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07E" w:rsidRPr="00DF160C" w:rsidRDefault="00D9307E" w:rsidP="00D9307E">
      <w:pPr>
        <w:pStyle w:val="Court"/>
      </w:pPr>
      <w:r w:rsidRPr="00DF160C">
        <w:t>Supreme Court of Canada</w:t>
      </w:r>
    </w:p>
    <w:p w:rsidR="00D9307E" w:rsidRPr="00DF160C" w:rsidRDefault="00D9307E" w:rsidP="00D9307E">
      <w:pPr>
        <w:pStyle w:val="CitationLine"/>
      </w:pPr>
      <w:r w:rsidRPr="00DF160C">
        <w:t xml:space="preserve">Letourneux </w:t>
      </w:r>
      <w:r w:rsidRPr="00DF160C">
        <w:rPr>
          <w:i/>
          <w:iCs/>
        </w:rPr>
        <w:t xml:space="preserve">v. </w:t>
      </w:r>
      <w:r w:rsidRPr="00DF160C">
        <w:t>The King (1903) 33 SCR 335</w:t>
      </w:r>
    </w:p>
    <w:p w:rsidR="00D9307E" w:rsidRPr="00DF160C" w:rsidRDefault="00D9307E" w:rsidP="00D9307E">
      <w:pPr>
        <w:pStyle w:val="DateISO"/>
      </w:pPr>
      <w:r w:rsidRPr="00DF160C">
        <w:t xml:space="preserve">Date: </w:t>
      </w:r>
      <w:r w:rsidR="007128C8">
        <w:t>1903-05-05</w:t>
      </w:r>
    </w:p>
    <w:p w:rsidR="00B96A0D" w:rsidRPr="00DF160C" w:rsidRDefault="00D9307E" w:rsidP="00D9307E">
      <w:pPr>
        <w:pStyle w:val="Metadata"/>
      </w:pPr>
      <w:r w:rsidRPr="00DF160C">
        <w:t>Charles H. Letourneux, (Suppliant)</w:t>
      </w:r>
    </w:p>
    <w:p w:rsidR="00B96A0D" w:rsidRPr="00DF160C" w:rsidRDefault="00D9307E" w:rsidP="00D9307E">
      <w:pPr>
        <w:pStyle w:val="Metadata"/>
      </w:pPr>
      <w:r w:rsidRPr="00DF160C">
        <w:t>Appellant</w:t>
      </w:r>
    </w:p>
    <w:p w:rsidR="00B96A0D" w:rsidRPr="00DF160C" w:rsidRDefault="00D9307E" w:rsidP="00D9307E">
      <w:pPr>
        <w:pStyle w:val="Metadata"/>
      </w:pPr>
      <w:r w:rsidRPr="00DF160C">
        <w:t>And</w:t>
      </w:r>
    </w:p>
    <w:p w:rsidR="00B96A0D" w:rsidRPr="00DF160C" w:rsidRDefault="00D9307E" w:rsidP="00D9307E">
      <w:pPr>
        <w:pStyle w:val="Metadata"/>
      </w:pPr>
      <w:r w:rsidRPr="00DF160C">
        <w:t>His Majesty, The King, (Respondent)</w:t>
      </w:r>
    </w:p>
    <w:p w:rsidR="00B96A0D" w:rsidRPr="00DF160C" w:rsidRDefault="00D9307E" w:rsidP="00D9307E">
      <w:pPr>
        <w:pStyle w:val="Metadata"/>
      </w:pPr>
      <w:r w:rsidRPr="00DF160C">
        <w:t>Respondent</w:t>
      </w:r>
    </w:p>
    <w:p w:rsidR="00D9307E" w:rsidRPr="00DF160C" w:rsidRDefault="00D9307E" w:rsidP="00D9307E">
      <w:pPr>
        <w:pStyle w:val="Metadata"/>
      </w:pPr>
      <w:r w:rsidRPr="00DF160C">
        <w:t>1903: Feb. 27; 1903: May 5.</w:t>
      </w:r>
    </w:p>
    <w:p w:rsidR="00D9307E" w:rsidRPr="00DF160C" w:rsidRDefault="00D9307E" w:rsidP="00D9307E">
      <w:pPr>
        <w:pStyle w:val="Metadata"/>
        <w:rPr>
          <w:smallCaps/>
        </w:rPr>
      </w:pPr>
      <w:r w:rsidRPr="00DF160C">
        <w:t xml:space="preserve">Present:—Sir Elzéar Taschereau C. </w:t>
      </w:r>
      <w:r w:rsidRPr="00DF160C">
        <w:rPr>
          <w:smallCaps/>
        </w:rPr>
        <w:t xml:space="preserve">J. </w:t>
      </w:r>
      <w:r w:rsidRPr="00DF160C">
        <w:t>and Sedgewick, Girouard, Davies and Armour JJ.</w:t>
      </w:r>
    </w:p>
    <w:p w:rsidR="00B96A0D" w:rsidRPr="00DF160C" w:rsidRDefault="00D9307E" w:rsidP="00D9307E">
      <w:pPr>
        <w:pStyle w:val="Metadata"/>
      </w:pPr>
      <w:r w:rsidRPr="00DF160C">
        <w:t>ON APPEAL FROM THE EXCHEQUER COURT OF CANADA.</w:t>
      </w:r>
    </w:p>
    <w:p w:rsidR="00B96A0D" w:rsidRPr="00DF160C" w:rsidRDefault="00B96A0D" w:rsidP="00A47284">
      <w:pPr>
        <w:pStyle w:val="Keywords"/>
      </w:pPr>
      <w:r w:rsidRPr="00DF160C">
        <w:t>Public work—Negligence of Grown officials—Right of action—Liability of the Crown—50 &amp; 51 V., c. 16, ss. 16 23, 58—Jurisdiction of the Exchequer Court—Prescription—Art. 2261 C. C.</w:t>
      </w:r>
    </w:p>
    <w:p w:rsidR="00B96A0D" w:rsidRPr="00DF160C" w:rsidRDefault="00B96A0D" w:rsidP="00A47284">
      <w:pPr>
        <w:pStyle w:val="Summary"/>
      </w:pPr>
      <w:r w:rsidRPr="00DF160C">
        <w:t>Lands in the vicinity of the Lachine Canal were injuriously affected through flooding caused by the negligence of the Crown officials in failing to keep a siphon-tunnel clear and in proper order to carry off the waters of a stream which had been diverted and carried under the canal and also by part of the lands being spoiled by dumping excavations upon it.</w:t>
      </w:r>
    </w:p>
    <w:p w:rsidR="00B96A0D" w:rsidRPr="00DF160C" w:rsidRDefault="00B96A0D" w:rsidP="00D9307E">
      <w:pPr>
        <w:pStyle w:val="Summary"/>
        <w:rPr>
          <w:szCs w:val="24"/>
        </w:rPr>
      </w:pPr>
      <w:r w:rsidRPr="00DF160C">
        <w:rPr>
          <w:i/>
          <w:iCs/>
          <w:szCs w:val="24"/>
        </w:rPr>
        <w:t xml:space="preserve">Held, </w:t>
      </w:r>
      <w:r w:rsidRPr="00DF160C">
        <w:rPr>
          <w:szCs w:val="24"/>
        </w:rPr>
        <w:t xml:space="preserve">reversing the judgment appealed from (7 Ex. </w:t>
      </w:r>
      <w:r w:rsidRPr="00DF160C">
        <w:rPr>
          <w:smallCaps/>
          <w:szCs w:val="24"/>
        </w:rPr>
        <w:t xml:space="preserve">C. R. </w:t>
      </w:r>
      <w:r w:rsidRPr="00DF160C">
        <w:rPr>
          <w:szCs w:val="24"/>
        </w:rPr>
        <w:t xml:space="preserve">1), Davies J. dissenting, that the owner had a right of action and was entitled to recover damages for the injuries sustained and that the Exchequer Court of Canada had exclusive original jurisdiction in the matter under the provisions of the 16th, 23rd and 58th sections of the Exchequer Court Act. </w:t>
      </w:r>
      <w:r w:rsidRPr="00DF160C">
        <w:rPr>
          <w:i/>
          <w:iCs/>
          <w:szCs w:val="24"/>
        </w:rPr>
        <w:t xml:space="preserve">The Queen </w:t>
      </w:r>
      <w:r w:rsidRPr="00DF160C">
        <w:rPr>
          <w:szCs w:val="24"/>
        </w:rPr>
        <w:t xml:space="preserve">v. </w:t>
      </w:r>
      <w:r w:rsidRPr="00DF160C">
        <w:rPr>
          <w:i/>
          <w:iCs/>
          <w:szCs w:val="24"/>
        </w:rPr>
        <w:t xml:space="preserve">Filion </w:t>
      </w:r>
      <w:r w:rsidRPr="00DF160C">
        <w:rPr>
          <w:szCs w:val="24"/>
        </w:rPr>
        <w:t xml:space="preserve">(24 Can, </w:t>
      </w:r>
      <w:r w:rsidRPr="00DF160C">
        <w:rPr>
          <w:smallCaps/>
          <w:szCs w:val="24"/>
        </w:rPr>
        <w:t xml:space="preserve">s. </w:t>
      </w:r>
      <w:r w:rsidRPr="00DF160C">
        <w:rPr>
          <w:szCs w:val="24"/>
        </w:rPr>
        <w:t xml:space="preserve">C. </w:t>
      </w:r>
      <w:r w:rsidRPr="00DF160C">
        <w:rPr>
          <w:smallCaps/>
          <w:szCs w:val="24"/>
        </w:rPr>
        <w:t xml:space="preserve">r. </w:t>
      </w:r>
      <w:r w:rsidRPr="00DF160C">
        <w:rPr>
          <w:szCs w:val="24"/>
        </w:rPr>
        <w:t>482) approved;</w:t>
      </w:r>
      <w:r w:rsidRPr="00DF160C">
        <w:rPr>
          <w:i/>
          <w:iCs/>
          <w:szCs w:val="24"/>
        </w:rPr>
        <w:t xml:space="preserve"> The City of Quebec </w:t>
      </w:r>
      <w:r w:rsidRPr="00DF160C">
        <w:rPr>
          <w:szCs w:val="24"/>
        </w:rPr>
        <w:t xml:space="preserve">v. </w:t>
      </w:r>
      <w:r w:rsidRPr="00DF160C">
        <w:rPr>
          <w:i/>
          <w:iCs/>
          <w:szCs w:val="24"/>
        </w:rPr>
        <w:t xml:space="preserve">The Queen </w:t>
      </w:r>
      <w:r w:rsidRPr="00DF160C">
        <w:rPr>
          <w:szCs w:val="24"/>
        </w:rPr>
        <w:t xml:space="preserve">(24 Can. </w:t>
      </w:r>
      <w:r w:rsidRPr="00DF160C">
        <w:rPr>
          <w:smallCaps/>
          <w:szCs w:val="24"/>
        </w:rPr>
        <w:t xml:space="preserve">S. </w:t>
      </w:r>
      <w:r w:rsidRPr="00DF160C">
        <w:rPr>
          <w:szCs w:val="24"/>
        </w:rPr>
        <w:t xml:space="preserve">C. </w:t>
      </w:r>
      <w:r w:rsidRPr="00DF160C">
        <w:rPr>
          <w:smallCaps/>
          <w:szCs w:val="24"/>
        </w:rPr>
        <w:t xml:space="preserve">R. </w:t>
      </w:r>
      <w:r w:rsidRPr="00DF160C">
        <w:rPr>
          <w:szCs w:val="24"/>
        </w:rPr>
        <w:t>430) referred to.</w:t>
      </w:r>
    </w:p>
    <w:p w:rsidR="00B96A0D" w:rsidRPr="00DF160C" w:rsidRDefault="00B96A0D" w:rsidP="00D9307E">
      <w:pPr>
        <w:pStyle w:val="Summary"/>
        <w:rPr>
          <w:szCs w:val="24"/>
        </w:rPr>
      </w:pPr>
      <w:r w:rsidRPr="00DF160C">
        <w:rPr>
          <w:szCs w:val="24"/>
        </w:rPr>
        <w:t>The prescription established by art. 2261 of the Civil Code of Lower Canada applies to the damages claimed by appellant in his Petition of Right.</w:t>
      </w:r>
    </w:p>
    <w:p w:rsidR="00B96A0D" w:rsidRPr="00DF160C" w:rsidRDefault="00D9307E" w:rsidP="00D9307E">
      <w:pPr>
        <w:pStyle w:val="History"/>
      </w:pPr>
      <w:r w:rsidRPr="00DF160C">
        <w:t xml:space="preserve">Appeal </w:t>
      </w:r>
      <w:r w:rsidR="00B96A0D" w:rsidRPr="00DF160C">
        <w:t>from the judgment of the Exchequer Court of Canada</w:t>
      </w:r>
      <w:r w:rsidR="00DF160C" w:rsidRPr="00DF160C">
        <w:rPr>
          <w:rStyle w:val="FootnoteReference"/>
        </w:rPr>
        <w:footnoteReference w:id="2"/>
      </w:r>
      <w:r w:rsidR="00B96A0D" w:rsidRPr="00DF160C">
        <w:t>, dismissing "the suppliant's Petition of Right with costs.</w:t>
      </w:r>
    </w:p>
    <w:p w:rsidR="00B96A0D" w:rsidRPr="00DF160C" w:rsidRDefault="00B96A0D" w:rsidP="00D9307E">
      <w:pPr>
        <w:pStyle w:val="History"/>
        <w:rPr>
          <w:rFonts w:cs="Arial"/>
          <w:szCs w:val="24"/>
        </w:rPr>
      </w:pPr>
      <w:r w:rsidRPr="00DF160C">
        <w:rPr>
          <w:rFonts w:cs="Arial"/>
          <w:szCs w:val="24"/>
        </w:rPr>
        <w:lastRenderedPageBreak/>
        <w:t>By his Petition of Right the Suppliant complained, among other things, that his lands had been injuriously affected on account of the Government of Canada</w:t>
      </w:r>
    </w:p>
    <w:p w:rsidR="00B96A0D" w:rsidRPr="00DF160C" w:rsidRDefault="00571BB5" w:rsidP="00571BB5">
      <w:pPr>
        <w:pStyle w:val="Page"/>
      </w:pPr>
      <w:r>
        <w:rPr>
          <w:rFonts w:cs="Arial"/>
          <w:smallCaps/>
          <w:szCs w:val="24"/>
        </w:rPr>
        <w:t>[</w:t>
      </w:r>
      <w:r w:rsidRPr="007128C8">
        <w:rPr>
          <w:rFonts w:cs="Arial"/>
          <w:szCs w:val="24"/>
        </w:rPr>
        <w:t>Page</w:t>
      </w:r>
      <w:r>
        <w:rPr>
          <w:rFonts w:cs="Arial"/>
          <w:smallCaps/>
          <w:szCs w:val="24"/>
        </w:rPr>
        <w:t xml:space="preserve"> </w:t>
      </w:r>
      <w:r w:rsidR="00B96A0D" w:rsidRPr="00DF160C">
        <w:rPr>
          <w:rFonts w:cs="Arial"/>
          <w:szCs w:val="24"/>
        </w:rPr>
        <w:t>336]</w:t>
      </w:r>
    </w:p>
    <w:p w:rsidR="00B96A0D" w:rsidRPr="00DF160C" w:rsidRDefault="00B96A0D" w:rsidP="00A47284">
      <w:pPr>
        <w:pStyle w:val="History"/>
        <w:ind w:firstLine="0"/>
        <w:rPr>
          <w:rFonts w:cs="Arial"/>
          <w:szCs w:val="24"/>
        </w:rPr>
      </w:pPr>
      <w:r w:rsidRPr="00DF160C">
        <w:rPr>
          <w:rFonts w:cs="Arial"/>
          <w:szCs w:val="24"/>
        </w:rPr>
        <w:t>assuming control and diverting the course of the River St. Pierre for public uses for the benefit of and in connection with the Lachine Canal and constructing drains in the vicinity; that a portion of his property had been taken and spoiled by throwing back upon it a quantity of earth from the excavations made, and that it had been rendered useless through flooding caused by the neglect of the officers of the Crown to clear and maintain in good order a siphon-tunnel intended to carry off the subsidiary drainage and the waters of the River St. Pierre which had been diverted from their natural channel and made to pass, by this tunnel, underneath the Lachine Canal.</w:t>
      </w:r>
    </w:p>
    <w:p w:rsidR="00B96A0D" w:rsidRPr="00DF160C" w:rsidRDefault="00B96A0D" w:rsidP="00A47284">
      <w:pPr>
        <w:pStyle w:val="History"/>
        <w:rPr>
          <w:rFonts w:cs="Arial"/>
          <w:szCs w:val="24"/>
        </w:rPr>
      </w:pPr>
      <w:r w:rsidRPr="00DF160C">
        <w:rPr>
          <w:rFonts w:cs="Arial"/>
          <w:szCs w:val="24"/>
        </w:rPr>
        <w:t>The judgment of the Court dismissed the Petition of Right with costs and the suppliant appealed to the Supreme Court of Canada.</w:t>
      </w:r>
    </w:p>
    <w:p w:rsidR="00B96A0D" w:rsidRPr="00DF160C" w:rsidRDefault="00B96A0D" w:rsidP="00A47284">
      <w:pPr>
        <w:pStyle w:val="History"/>
        <w:rPr>
          <w:rFonts w:cs="Arial"/>
          <w:szCs w:val="24"/>
        </w:rPr>
      </w:pPr>
      <w:r w:rsidRPr="00DF160C">
        <w:rPr>
          <w:rFonts w:cs="Arial"/>
          <w:i/>
          <w:iCs/>
          <w:szCs w:val="24"/>
          <w:lang w:val="fr-FR"/>
        </w:rPr>
        <w:t xml:space="preserve">Maréchal </w:t>
      </w:r>
      <w:r w:rsidRPr="00DF160C">
        <w:rPr>
          <w:rFonts w:cs="Arial"/>
          <w:i/>
          <w:iCs/>
          <w:szCs w:val="24"/>
        </w:rPr>
        <w:t xml:space="preserve">K. C </w:t>
      </w:r>
      <w:r w:rsidRPr="00DF160C">
        <w:rPr>
          <w:rFonts w:cs="Arial"/>
          <w:szCs w:val="24"/>
        </w:rPr>
        <w:t xml:space="preserve">and </w:t>
      </w:r>
      <w:r w:rsidRPr="00DF160C">
        <w:rPr>
          <w:rFonts w:cs="Arial"/>
          <w:i/>
          <w:iCs/>
          <w:szCs w:val="24"/>
        </w:rPr>
        <w:t xml:space="preserve">Belcourt K. C. </w:t>
      </w:r>
      <w:r w:rsidRPr="00DF160C">
        <w:rPr>
          <w:rFonts w:cs="Arial"/>
          <w:szCs w:val="24"/>
        </w:rPr>
        <w:t xml:space="preserve">for the appellant, cited </w:t>
      </w:r>
      <w:r w:rsidRPr="00DF160C">
        <w:rPr>
          <w:rFonts w:cs="Arial"/>
          <w:i/>
          <w:iCs/>
          <w:szCs w:val="24"/>
        </w:rPr>
        <w:t xml:space="preserve">Davidson </w:t>
      </w:r>
      <w:r w:rsidRPr="00DF160C">
        <w:rPr>
          <w:rFonts w:cs="Arial"/>
          <w:szCs w:val="24"/>
        </w:rPr>
        <w:t xml:space="preserve">v. </w:t>
      </w:r>
      <w:r w:rsidRPr="00DF160C">
        <w:rPr>
          <w:rFonts w:cs="Arial"/>
          <w:i/>
          <w:iCs/>
          <w:szCs w:val="24"/>
        </w:rPr>
        <w:t>The Queen</w:t>
      </w:r>
      <w:r w:rsidR="00DF160C" w:rsidRPr="00DF160C">
        <w:rPr>
          <w:rStyle w:val="FootnoteReference"/>
          <w:rFonts w:cs="Arial"/>
          <w:i/>
          <w:iCs/>
          <w:szCs w:val="24"/>
        </w:rPr>
        <w:footnoteReference w:id="3"/>
      </w:r>
      <w:r w:rsidRPr="00DF160C">
        <w:rPr>
          <w:rFonts w:cs="Arial"/>
          <w:szCs w:val="24"/>
        </w:rPr>
        <w:t xml:space="preserve">; </w:t>
      </w:r>
      <w:r w:rsidRPr="00DF160C">
        <w:rPr>
          <w:rFonts w:cs="Arial"/>
          <w:i/>
          <w:iCs/>
          <w:szCs w:val="24"/>
        </w:rPr>
        <w:t xml:space="preserve">The City of Quebec </w:t>
      </w:r>
      <w:r w:rsidRPr="00DF160C">
        <w:rPr>
          <w:rFonts w:cs="Arial"/>
          <w:szCs w:val="24"/>
        </w:rPr>
        <w:t xml:space="preserve">v. </w:t>
      </w:r>
      <w:r w:rsidRPr="00DF160C">
        <w:rPr>
          <w:rFonts w:cs="Arial"/>
          <w:i/>
          <w:iCs/>
          <w:szCs w:val="24"/>
        </w:rPr>
        <w:t>The Queen</w:t>
      </w:r>
      <w:r w:rsidR="00DF160C" w:rsidRPr="00DF160C">
        <w:rPr>
          <w:rStyle w:val="FootnoteReference"/>
          <w:rFonts w:cs="Arial"/>
          <w:i/>
          <w:iCs/>
          <w:szCs w:val="24"/>
        </w:rPr>
        <w:footnoteReference w:id="4"/>
      </w:r>
      <w:r w:rsidRPr="00DF160C">
        <w:rPr>
          <w:rFonts w:cs="Arial"/>
          <w:szCs w:val="24"/>
        </w:rPr>
        <w:t xml:space="preserve">; </w:t>
      </w:r>
      <w:r w:rsidRPr="00DF160C">
        <w:rPr>
          <w:rFonts w:cs="Arial"/>
          <w:i/>
          <w:iCs/>
          <w:szCs w:val="24"/>
        </w:rPr>
        <w:t xml:space="preserve">The Queen </w:t>
      </w:r>
      <w:r w:rsidRPr="00DF160C">
        <w:rPr>
          <w:rFonts w:cs="Arial"/>
          <w:szCs w:val="24"/>
        </w:rPr>
        <w:t xml:space="preserve">v. </w:t>
      </w:r>
      <w:r w:rsidRPr="00DF160C">
        <w:rPr>
          <w:rFonts w:cs="Arial"/>
          <w:i/>
          <w:iCs/>
          <w:szCs w:val="24"/>
        </w:rPr>
        <w:t>Filion</w:t>
      </w:r>
      <w:r w:rsidR="00DF160C" w:rsidRPr="00DF160C">
        <w:rPr>
          <w:rStyle w:val="FootnoteReference"/>
          <w:rFonts w:cs="Arial"/>
          <w:i/>
          <w:iCs/>
          <w:szCs w:val="24"/>
        </w:rPr>
        <w:footnoteReference w:id="5"/>
      </w:r>
      <w:r w:rsidRPr="00DF160C">
        <w:rPr>
          <w:rFonts w:cs="Arial"/>
          <w:szCs w:val="24"/>
        </w:rPr>
        <w:t xml:space="preserve">; </w:t>
      </w:r>
      <w:r w:rsidRPr="00DF160C">
        <w:rPr>
          <w:rFonts w:cs="Arial"/>
          <w:i/>
          <w:iCs/>
          <w:szCs w:val="24"/>
        </w:rPr>
        <w:t xml:space="preserve">The Queen </w:t>
      </w:r>
      <w:r w:rsidRPr="00DF160C">
        <w:rPr>
          <w:rFonts w:cs="Arial"/>
          <w:szCs w:val="24"/>
        </w:rPr>
        <w:t xml:space="preserve">v. </w:t>
      </w:r>
      <w:r w:rsidRPr="00DF160C">
        <w:rPr>
          <w:rFonts w:cs="Arial"/>
          <w:i/>
          <w:iCs/>
          <w:szCs w:val="24"/>
        </w:rPr>
        <w:t>McLeod</w:t>
      </w:r>
      <w:r w:rsidR="00DF160C" w:rsidRPr="00DF160C">
        <w:rPr>
          <w:rStyle w:val="FootnoteReference"/>
          <w:rFonts w:cs="Arial"/>
          <w:i/>
          <w:iCs/>
          <w:szCs w:val="24"/>
        </w:rPr>
        <w:footnoteReference w:id="6"/>
      </w:r>
      <w:r w:rsidRPr="00DF160C">
        <w:rPr>
          <w:rFonts w:cs="Arial"/>
          <w:szCs w:val="24"/>
        </w:rPr>
        <w:t>; 17 Am. &amp; Eng. Encyc. of Law (1892) ed.) p. 183, and arts. 501, 1057 C. C.</w:t>
      </w:r>
    </w:p>
    <w:p w:rsidR="00B96A0D" w:rsidRPr="00DF160C" w:rsidRDefault="00B96A0D" w:rsidP="00A47284">
      <w:pPr>
        <w:pStyle w:val="History"/>
        <w:rPr>
          <w:rFonts w:cs="Arial"/>
          <w:szCs w:val="24"/>
        </w:rPr>
      </w:pPr>
      <w:r w:rsidRPr="00DF160C">
        <w:rPr>
          <w:rFonts w:cs="Arial"/>
          <w:i/>
          <w:iCs/>
          <w:szCs w:val="24"/>
        </w:rPr>
        <w:t xml:space="preserve">Newcombe </w:t>
      </w:r>
      <w:r w:rsidRPr="00DF160C">
        <w:rPr>
          <w:rFonts w:cs="Arial"/>
          <w:i/>
          <w:iCs/>
          <w:szCs w:val="24"/>
          <w:lang w:val="fr-FR"/>
        </w:rPr>
        <w:t xml:space="preserve">K. </w:t>
      </w:r>
      <w:r w:rsidRPr="00DF160C">
        <w:rPr>
          <w:rFonts w:cs="Arial"/>
          <w:i/>
          <w:iCs/>
          <w:szCs w:val="24"/>
        </w:rPr>
        <w:t xml:space="preserve">C. </w:t>
      </w:r>
      <w:r w:rsidRPr="00DF160C">
        <w:rPr>
          <w:rFonts w:cs="Arial"/>
          <w:szCs w:val="24"/>
        </w:rPr>
        <w:t xml:space="preserve">and </w:t>
      </w:r>
      <w:r w:rsidRPr="00DF160C">
        <w:rPr>
          <w:rFonts w:cs="Arial"/>
          <w:i/>
          <w:iCs/>
          <w:szCs w:val="24"/>
        </w:rPr>
        <w:t xml:space="preserve">Hutchinson </w:t>
      </w:r>
      <w:r w:rsidRPr="00DF160C">
        <w:rPr>
          <w:rFonts w:cs="Arial"/>
          <w:i/>
          <w:iCs/>
          <w:szCs w:val="24"/>
          <w:lang w:val="fr-FR"/>
        </w:rPr>
        <w:t xml:space="preserve">K. </w:t>
      </w:r>
      <w:r w:rsidRPr="00DF160C">
        <w:rPr>
          <w:rFonts w:cs="Arial"/>
          <w:i/>
          <w:iCs/>
          <w:szCs w:val="24"/>
        </w:rPr>
        <w:t xml:space="preserve">C. </w:t>
      </w:r>
      <w:r w:rsidRPr="00DF160C">
        <w:rPr>
          <w:rFonts w:cs="Arial"/>
          <w:szCs w:val="24"/>
        </w:rPr>
        <w:t xml:space="preserve">for the respondent. Under art. 2261 </w:t>
      </w:r>
      <w:r w:rsidRPr="00DF160C">
        <w:rPr>
          <w:rFonts w:cs="Arial"/>
          <w:szCs w:val="24"/>
          <w:lang w:val="fr-FR"/>
        </w:rPr>
        <w:t xml:space="preserve">C. </w:t>
      </w:r>
      <w:r w:rsidRPr="00DF160C">
        <w:rPr>
          <w:rFonts w:cs="Arial"/>
          <w:szCs w:val="24"/>
        </w:rPr>
        <w:t xml:space="preserve">C., damages such as claimed are prescribed by two years. Consequently, appellant's claim must, in any event, be restricted to damages suffered for the two years immediately preceding the date of his Petition of Eight. Prescription is not pleaded, but it was not necessary that it should be pleaded; art. 2188 </w:t>
      </w:r>
      <w:r w:rsidRPr="00DF160C">
        <w:rPr>
          <w:rFonts w:cs="Arial"/>
          <w:szCs w:val="24"/>
          <w:lang w:val="fr-FR"/>
        </w:rPr>
        <w:t>C. C.;</w:t>
      </w:r>
      <w:r w:rsidRPr="00DF160C">
        <w:rPr>
          <w:rFonts w:cs="Arial"/>
          <w:szCs w:val="24"/>
        </w:rPr>
        <w:t xml:space="preserve"> </w:t>
      </w:r>
      <w:r w:rsidRPr="00DF160C">
        <w:rPr>
          <w:rFonts w:cs="Arial"/>
          <w:i/>
          <w:iCs/>
          <w:szCs w:val="24"/>
          <w:lang w:val="fr-FR"/>
        </w:rPr>
        <w:t xml:space="preserve">Dorions. </w:t>
      </w:r>
      <w:r w:rsidRPr="00DF160C">
        <w:rPr>
          <w:rFonts w:cs="Arial"/>
          <w:i/>
          <w:iCs/>
          <w:szCs w:val="24"/>
        </w:rPr>
        <w:t>Crowley,</w:t>
      </w:r>
      <w:r w:rsidR="00DF160C" w:rsidRPr="00DF160C">
        <w:rPr>
          <w:rStyle w:val="FootnoteReference"/>
          <w:rFonts w:cs="Arial"/>
          <w:i/>
          <w:iCs/>
          <w:szCs w:val="24"/>
        </w:rPr>
        <w:footnoteReference w:id="7"/>
      </w:r>
      <w:r w:rsidRPr="00DF160C">
        <w:rPr>
          <w:rFonts w:cs="Arial"/>
          <w:szCs w:val="24"/>
        </w:rPr>
        <w:t xml:space="preserve">; </w:t>
      </w:r>
      <w:r w:rsidRPr="00DF160C">
        <w:rPr>
          <w:rFonts w:cs="Arial"/>
          <w:i/>
          <w:iCs/>
          <w:szCs w:val="24"/>
        </w:rPr>
        <w:t xml:space="preserve">Kerr </w:t>
      </w:r>
      <w:r w:rsidRPr="00DF160C">
        <w:rPr>
          <w:rFonts w:cs="Arial"/>
          <w:szCs w:val="24"/>
        </w:rPr>
        <w:t xml:space="preserve">v. </w:t>
      </w:r>
      <w:r w:rsidRPr="00DF160C">
        <w:rPr>
          <w:rFonts w:cs="Arial"/>
          <w:i/>
          <w:iCs/>
          <w:szCs w:val="24"/>
        </w:rPr>
        <w:t>The Atlantic and Northwest Railway Co.</w:t>
      </w:r>
      <w:r w:rsidR="00DF160C" w:rsidRPr="00DF160C">
        <w:rPr>
          <w:rStyle w:val="FootnoteReference"/>
          <w:rFonts w:cs="Arial"/>
          <w:i/>
          <w:iCs/>
          <w:szCs w:val="24"/>
        </w:rPr>
        <w:footnoteReference w:id="8"/>
      </w:r>
      <w:r w:rsidRPr="00DF160C">
        <w:rPr>
          <w:rFonts w:cs="Arial"/>
          <w:szCs w:val="24"/>
        </w:rPr>
        <w:t>; No damages are proved to have been suffered during this period. The appellant acquired this property in 1891 and 1892. There has been no construction of any public works</w:t>
      </w:r>
    </w:p>
    <w:p w:rsidR="00B96A0D" w:rsidRPr="00DF160C" w:rsidRDefault="00571BB5" w:rsidP="00571BB5">
      <w:pPr>
        <w:pStyle w:val="Page"/>
      </w:pPr>
      <w:r>
        <w:rPr>
          <w:rFonts w:cs="Arial"/>
          <w:smallCaps/>
          <w:szCs w:val="24"/>
        </w:rPr>
        <w:t>[</w:t>
      </w:r>
      <w:r w:rsidRPr="007128C8">
        <w:rPr>
          <w:rFonts w:cs="Arial"/>
          <w:szCs w:val="24"/>
        </w:rPr>
        <w:t>Page</w:t>
      </w:r>
      <w:r>
        <w:rPr>
          <w:rFonts w:cs="Arial"/>
          <w:smallCaps/>
          <w:szCs w:val="24"/>
        </w:rPr>
        <w:t xml:space="preserve"> </w:t>
      </w:r>
      <w:r w:rsidR="00B96A0D" w:rsidRPr="00DF160C">
        <w:rPr>
          <w:rFonts w:cs="Arial"/>
          <w:szCs w:val="24"/>
        </w:rPr>
        <w:t>337]</w:t>
      </w:r>
    </w:p>
    <w:p w:rsidR="00B96A0D" w:rsidRPr="00DF160C" w:rsidRDefault="00B96A0D" w:rsidP="00A47284">
      <w:pPr>
        <w:pStyle w:val="History"/>
        <w:ind w:firstLine="0"/>
        <w:rPr>
          <w:rFonts w:cs="Arial"/>
          <w:szCs w:val="24"/>
        </w:rPr>
      </w:pPr>
      <w:r w:rsidRPr="00DF160C">
        <w:rPr>
          <w:rFonts w:cs="Arial"/>
          <w:szCs w:val="24"/>
        </w:rPr>
        <w:t>in the vicinity since those dates, except the completion of the collecting drains, and the deepening and straightening of the river, which have much improved the appellant's property.</w:t>
      </w:r>
    </w:p>
    <w:p w:rsidR="00B96A0D" w:rsidRPr="00DF160C" w:rsidRDefault="00B96A0D" w:rsidP="00A47284">
      <w:pPr>
        <w:pStyle w:val="History"/>
        <w:rPr>
          <w:rFonts w:cs="Arial"/>
          <w:szCs w:val="24"/>
        </w:rPr>
      </w:pPr>
      <w:r w:rsidRPr="00DF160C">
        <w:rPr>
          <w:rFonts w:cs="Arial"/>
          <w:szCs w:val="24"/>
        </w:rPr>
        <w:t xml:space="preserve">Under sec. 16, of 50 &amp; 51 Vict., ch. 16, the appellant cannot possibly have any right of action; </w:t>
      </w:r>
      <w:r w:rsidRPr="00DF160C">
        <w:rPr>
          <w:rFonts w:cs="Arial"/>
          <w:i/>
          <w:iCs/>
          <w:szCs w:val="24"/>
        </w:rPr>
        <w:t xml:space="preserve">The City of Quebec </w:t>
      </w:r>
      <w:r w:rsidRPr="00DF160C">
        <w:rPr>
          <w:rFonts w:cs="Arial"/>
          <w:szCs w:val="24"/>
        </w:rPr>
        <w:t xml:space="preserve">v. </w:t>
      </w:r>
      <w:r w:rsidRPr="00DF160C">
        <w:rPr>
          <w:rFonts w:cs="Arial"/>
          <w:i/>
          <w:iCs/>
          <w:szCs w:val="24"/>
        </w:rPr>
        <w:t>The Queen</w:t>
      </w:r>
      <w:r w:rsidR="00DF160C" w:rsidRPr="00DF160C">
        <w:rPr>
          <w:rStyle w:val="FootnoteReference"/>
          <w:rFonts w:cs="Arial"/>
          <w:i/>
          <w:iCs/>
          <w:szCs w:val="24"/>
        </w:rPr>
        <w:footnoteReference w:id="9"/>
      </w:r>
      <w:r w:rsidRPr="00DF160C">
        <w:rPr>
          <w:rFonts w:cs="Arial"/>
          <w:szCs w:val="24"/>
        </w:rPr>
        <w:t>.</w:t>
      </w:r>
    </w:p>
    <w:p w:rsidR="00B96A0D" w:rsidRPr="00DF160C" w:rsidRDefault="00B96A0D" w:rsidP="00A47284">
      <w:pPr>
        <w:pStyle w:val="History"/>
        <w:rPr>
          <w:rFonts w:cs="Arial"/>
          <w:szCs w:val="24"/>
        </w:rPr>
      </w:pPr>
      <w:r w:rsidRPr="00DF160C">
        <w:rPr>
          <w:rFonts w:cs="Arial"/>
          <w:szCs w:val="24"/>
        </w:rPr>
        <w:t xml:space="preserve">As to the claim of $544. as the value of land taken for works done on the River St. </w:t>
      </w:r>
      <w:r w:rsidRPr="00DF160C">
        <w:rPr>
          <w:rFonts w:cs="Arial"/>
          <w:szCs w:val="24"/>
        </w:rPr>
        <w:lastRenderedPageBreak/>
        <w:t xml:space="preserve">Pierre, the respondent quotes the reasons of the learned Judge of the Exchequer Court, at page 8 of the Exchequer Court Reports, vol. </w:t>
      </w:r>
      <w:r w:rsidRPr="00DF160C">
        <w:rPr>
          <w:rFonts w:cs="Arial"/>
          <w:smallCaps/>
          <w:szCs w:val="24"/>
        </w:rPr>
        <w:t xml:space="preserve">vii., </w:t>
      </w:r>
      <w:r w:rsidRPr="00DF160C">
        <w:rPr>
          <w:rFonts w:cs="Arial"/>
          <w:szCs w:val="24"/>
        </w:rPr>
        <w:t>and the cases there cited.</w:t>
      </w:r>
    </w:p>
    <w:p w:rsidR="00B96A0D" w:rsidRPr="00DF160C" w:rsidRDefault="00B96A0D" w:rsidP="00A47284">
      <w:pPr>
        <w:pStyle w:val="Reasons"/>
      </w:pPr>
      <w:r w:rsidRPr="00DF160C">
        <w:t>The judgment of the court was delivered by:</w:t>
      </w:r>
    </w:p>
    <w:p w:rsidR="00A47284" w:rsidRPr="00DF160C" w:rsidRDefault="00A47284" w:rsidP="00A47284">
      <w:pPr>
        <w:pStyle w:val="Reasons"/>
      </w:pPr>
      <w:r w:rsidRPr="00DF160C">
        <w:t>THE CHIEF JUSTICE</w:t>
      </w:r>
      <w:r w:rsidR="00B96A0D" w:rsidRPr="00DF160C">
        <w:t>.—The statute of 1867</w:t>
      </w:r>
      <w:r w:rsidR="00DF160C" w:rsidRPr="00DF160C">
        <w:rPr>
          <w:rStyle w:val="FootnoteReference"/>
        </w:rPr>
        <w:footnoteReference w:id="10"/>
      </w:r>
      <w:r w:rsidR="00B96A0D" w:rsidRPr="00DF160C">
        <w:t xml:space="preserve"> by sec. 31 provides for the appointment of official arbitrators</w:t>
      </w:r>
    </w:p>
    <w:p w:rsidR="00B96A0D" w:rsidRPr="00DF160C" w:rsidRDefault="00B96A0D" w:rsidP="00A47284">
      <w:pPr>
        <w:pStyle w:val="Indent1"/>
        <w:rPr>
          <w:smallCaps/>
        </w:rPr>
      </w:pPr>
      <w:r w:rsidRPr="00DF160C">
        <w:t>who shall arbitrate on, appraise, determine and award the sums which shall be paid to any person for land or property taken for any public work, or for loss or damage caused by such taking</w:t>
      </w:r>
      <w:r w:rsidR="00DF160C" w:rsidRPr="00DF160C">
        <w:rPr>
          <w:rStyle w:val="FootnoteReference"/>
        </w:rPr>
        <w:footnoteReference w:id="11"/>
      </w:r>
      <w:r w:rsidRPr="00DF160C">
        <w:rPr>
          <w:smallCaps/>
        </w:rPr>
        <w:t>.</w:t>
      </w:r>
    </w:p>
    <w:p w:rsidR="00B96A0D" w:rsidRPr="00DF160C" w:rsidRDefault="00B96A0D" w:rsidP="00A47284">
      <w:pPr>
        <w:pStyle w:val="Reasons"/>
        <w:rPr>
          <w:rFonts w:cs="Arial"/>
          <w:szCs w:val="24"/>
        </w:rPr>
      </w:pPr>
      <w:r w:rsidRPr="00DF160C">
        <w:rPr>
          <w:rFonts w:cs="Arial"/>
          <w:szCs w:val="24"/>
        </w:rPr>
        <w:t xml:space="preserve">Under secs. 34, 35, 37, claims for </w:t>
      </w:r>
      <w:r w:rsidRPr="00DF160C">
        <w:rPr>
          <w:rFonts w:cs="Arial"/>
          <w:i/>
          <w:iCs/>
          <w:szCs w:val="24"/>
        </w:rPr>
        <w:t xml:space="preserve">property </w:t>
      </w:r>
      <w:r w:rsidRPr="00DF160C">
        <w:rPr>
          <w:rFonts w:cs="Arial"/>
          <w:szCs w:val="24"/>
        </w:rPr>
        <w:t xml:space="preserve">taken, or for damage to </w:t>
      </w:r>
      <w:r w:rsidRPr="00DF160C">
        <w:rPr>
          <w:rFonts w:cs="Arial"/>
          <w:i/>
          <w:iCs/>
          <w:szCs w:val="24"/>
        </w:rPr>
        <w:t xml:space="preserve">property </w:t>
      </w:r>
      <w:r w:rsidRPr="00DF160C">
        <w:rPr>
          <w:rFonts w:cs="Arial"/>
          <w:szCs w:val="24"/>
        </w:rPr>
        <w:t>arising from the construction may be referred to official arbitrators</w:t>
      </w:r>
      <w:r w:rsidR="00DF160C" w:rsidRPr="00DF160C">
        <w:rPr>
          <w:rStyle w:val="FootnoteReference"/>
          <w:rFonts w:cs="Arial"/>
          <w:szCs w:val="24"/>
        </w:rPr>
        <w:footnoteReference w:id="12"/>
      </w:r>
      <w:r w:rsidRPr="00DF160C">
        <w:rPr>
          <w:rFonts w:cs="Arial"/>
          <w:szCs w:val="24"/>
        </w:rPr>
        <w:t>.</w:t>
      </w:r>
    </w:p>
    <w:p w:rsidR="00B96A0D" w:rsidRPr="00DF160C" w:rsidRDefault="00B96A0D" w:rsidP="00A47284">
      <w:pPr>
        <w:pStyle w:val="Reasons"/>
        <w:rPr>
          <w:rFonts w:cs="Arial"/>
          <w:szCs w:val="24"/>
        </w:rPr>
      </w:pPr>
      <w:r w:rsidRPr="00DF160C">
        <w:rPr>
          <w:rFonts w:cs="Arial"/>
          <w:szCs w:val="24"/>
        </w:rPr>
        <w:t>The statute 33 Vict. c. 23 [sec. 1] (1870) "An Act to extend the powers of the official arbitrators," authorises the reference to official arbitrators, (besides claims for damages to property, or for property taken,) of claims</w:t>
      </w:r>
    </w:p>
    <w:p w:rsidR="00B96A0D" w:rsidRPr="00DF160C" w:rsidRDefault="00B96A0D" w:rsidP="00A47284">
      <w:pPr>
        <w:pStyle w:val="Indent1"/>
      </w:pPr>
      <w:r w:rsidRPr="00DF160C">
        <w:t xml:space="preserve">arising out of any death, or any injury to person or property on any public work—provided [sec. </w:t>
      </w:r>
      <w:r w:rsidRPr="00DF160C">
        <w:rPr>
          <w:smallCaps/>
        </w:rPr>
        <w:t xml:space="preserve">2] </w:t>
      </w:r>
      <w:r w:rsidRPr="00DF160C">
        <w:t xml:space="preserve">that nothing herein contained </w:t>
      </w:r>
      <w:r w:rsidRPr="00DF160C">
        <w:rPr>
          <w:i/>
          <w:iCs/>
        </w:rPr>
        <w:t xml:space="preserve">shall be construed as making it imperative </w:t>
      </w:r>
      <w:r w:rsidRPr="00DF160C">
        <w:t>on the Government to entertain any claim under this Act, but that Head of the Department shall refer to arbitrators such claims only as he may be instructed so to refer by the Governor-in-Council.</w:t>
      </w:r>
    </w:p>
    <w:p w:rsidR="00B96A0D" w:rsidRPr="00DF160C" w:rsidRDefault="00B96A0D" w:rsidP="00A47284">
      <w:pPr>
        <w:pStyle w:val="Reasons"/>
        <w:rPr>
          <w:rFonts w:cs="Arial"/>
          <w:szCs w:val="24"/>
        </w:rPr>
      </w:pPr>
      <w:r w:rsidRPr="00DF160C">
        <w:rPr>
          <w:rFonts w:cs="Arial"/>
          <w:szCs w:val="24"/>
        </w:rPr>
        <w:t>The statute 44 Vict. c. 25, sec. 27 (1881), (Railway Act) extends the previous right of reference to official arbitrators to claims as to damages to property, etc.,</w:t>
      </w:r>
    </w:p>
    <w:p w:rsidR="00B96A0D" w:rsidRPr="00DF160C" w:rsidRDefault="00571BB5" w:rsidP="00571BB5">
      <w:pPr>
        <w:pStyle w:val="Page"/>
      </w:pPr>
      <w:r>
        <w:rPr>
          <w:rFonts w:cs="Arial"/>
          <w:smallCaps/>
          <w:szCs w:val="24"/>
        </w:rPr>
        <w:t>[</w:t>
      </w:r>
      <w:r w:rsidRPr="007128C8">
        <w:rPr>
          <w:rFonts w:cs="Arial"/>
          <w:szCs w:val="24"/>
        </w:rPr>
        <w:t>Page</w:t>
      </w:r>
      <w:r>
        <w:rPr>
          <w:rFonts w:cs="Arial"/>
          <w:smallCaps/>
          <w:szCs w:val="24"/>
        </w:rPr>
        <w:t xml:space="preserve"> </w:t>
      </w:r>
      <w:r w:rsidR="00B96A0D" w:rsidRPr="00DF160C">
        <w:rPr>
          <w:rFonts w:cs="Arial"/>
          <w:szCs w:val="24"/>
        </w:rPr>
        <w:t>338]</w:t>
      </w:r>
    </w:p>
    <w:p w:rsidR="00B96A0D" w:rsidRPr="00DF160C" w:rsidRDefault="00B96A0D" w:rsidP="00A47284">
      <w:pPr>
        <w:pStyle w:val="Reasons"/>
        <w:rPr>
          <w:rFonts w:cs="Arial"/>
          <w:szCs w:val="24"/>
        </w:rPr>
      </w:pPr>
      <w:r w:rsidRPr="00DF160C">
        <w:rPr>
          <w:rFonts w:cs="Arial"/>
          <w:szCs w:val="24"/>
        </w:rPr>
        <w:t>by any Dominion railway</w:t>
      </w:r>
      <w:r w:rsidR="00DF160C" w:rsidRPr="00DF160C">
        <w:rPr>
          <w:rStyle w:val="FootnoteReference"/>
          <w:rFonts w:cs="Arial"/>
          <w:szCs w:val="24"/>
        </w:rPr>
        <w:footnoteReference w:id="13"/>
      </w:r>
      <w:r w:rsidRPr="00DF160C">
        <w:rPr>
          <w:rFonts w:cs="Arial"/>
          <w:szCs w:val="24"/>
        </w:rPr>
        <w:t>; and, by subsec. 3 of sec 27, to claims for any death or injury to person or property on any such railway,</w:t>
      </w:r>
    </w:p>
    <w:p w:rsidR="00B96A0D" w:rsidRPr="00DF160C" w:rsidRDefault="00B96A0D" w:rsidP="00A47284">
      <w:pPr>
        <w:pStyle w:val="Indent1"/>
      </w:pPr>
      <w:r w:rsidRPr="00DF160C">
        <w:t xml:space="preserve">but the </w:t>
      </w:r>
      <w:r w:rsidRPr="00DF160C">
        <w:rPr>
          <w:i/>
          <w:iCs/>
        </w:rPr>
        <w:t xml:space="preserve">arbitrators' duty in such case shall be confined </w:t>
      </w:r>
      <w:r w:rsidRPr="00DF160C">
        <w:t xml:space="preserve">to reporting bis or their findings upon the questions of fact, and upon the amount of damages, if any, </w:t>
      </w:r>
      <w:r w:rsidRPr="00DF160C">
        <w:lastRenderedPageBreak/>
        <w:t>sustained, and the principles upon which such amount has been computed</w:t>
      </w:r>
      <w:r w:rsidR="00DF160C" w:rsidRPr="00DF160C">
        <w:rPr>
          <w:rStyle w:val="FootnoteReference"/>
        </w:rPr>
        <w:footnoteReference w:id="14"/>
      </w:r>
      <w:r w:rsidRPr="00DF160C">
        <w:t>.</w:t>
      </w:r>
    </w:p>
    <w:p w:rsidR="00B96A0D" w:rsidRPr="00DF160C" w:rsidRDefault="00B96A0D" w:rsidP="00A47284">
      <w:pPr>
        <w:pStyle w:val="Reasons"/>
        <w:rPr>
          <w:rFonts w:cs="Arial"/>
          <w:szCs w:val="24"/>
        </w:rPr>
      </w:pPr>
      <w:r w:rsidRPr="00DF160C">
        <w:rPr>
          <w:rFonts w:cs="Arial"/>
          <w:szCs w:val="24"/>
        </w:rPr>
        <w:t xml:space="preserve">Now come in chronological order the cases of </w:t>
      </w:r>
      <w:r w:rsidRPr="00DF160C">
        <w:rPr>
          <w:rFonts w:cs="Arial"/>
          <w:i/>
          <w:iCs/>
          <w:szCs w:val="24"/>
        </w:rPr>
        <w:t xml:space="preserve">The Queen </w:t>
      </w:r>
      <w:r w:rsidRPr="00DF160C">
        <w:rPr>
          <w:rFonts w:cs="Arial"/>
          <w:szCs w:val="24"/>
        </w:rPr>
        <w:t xml:space="preserve">v. </w:t>
      </w:r>
      <w:r w:rsidRPr="00DF160C">
        <w:rPr>
          <w:rFonts w:cs="Arial"/>
          <w:i/>
          <w:iCs/>
          <w:szCs w:val="24"/>
        </w:rPr>
        <w:t>McFarlane</w:t>
      </w:r>
      <w:r w:rsidR="00DF160C" w:rsidRPr="00DF160C">
        <w:rPr>
          <w:rStyle w:val="FootnoteReference"/>
          <w:rFonts w:cs="Arial"/>
          <w:i/>
          <w:iCs/>
          <w:szCs w:val="24"/>
        </w:rPr>
        <w:footnoteReference w:id="15"/>
      </w:r>
      <w:r w:rsidRPr="00DF160C">
        <w:rPr>
          <w:rFonts w:cs="Arial"/>
          <w:szCs w:val="24"/>
        </w:rPr>
        <w:t xml:space="preserve">; and of </w:t>
      </w:r>
      <w:r w:rsidRPr="00DF160C">
        <w:rPr>
          <w:rFonts w:cs="Arial"/>
          <w:i/>
          <w:iCs/>
          <w:szCs w:val="24"/>
        </w:rPr>
        <w:t xml:space="preserve">McLeod </w:t>
      </w:r>
      <w:r w:rsidRPr="00DF160C">
        <w:rPr>
          <w:rFonts w:cs="Arial"/>
          <w:szCs w:val="24"/>
        </w:rPr>
        <w:t xml:space="preserve">v. </w:t>
      </w:r>
      <w:r w:rsidRPr="00DF160C">
        <w:rPr>
          <w:rFonts w:cs="Arial"/>
          <w:i/>
          <w:iCs/>
          <w:szCs w:val="24"/>
        </w:rPr>
        <w:t>The Queen</w:t>
      </w:r>
      <w:r w:rsidR="00DF160C" w:rsidRPr="00DF160C">
        <w:rPr>
          <w:rStyle w:val="FootnoteReference"/>
          <w:rFonts w:cs="Arial"/>
          <w:i/>
          <w:iCs/>
          <w:szCs w:val="24"/>
        </w:rPr>
        <w:footnoteReference w:id="16"/>
      </w:r>
      <w:r w:rsidRPr="00DF160C">
        <w:rPr>
          <w:rFonts w:cs="Arial"/>
          <w:szCs w:val="24"/>
        </w:rPr>
        <w:t>, 1882-1883, which determine that no statute up to 1883 altered the rule that the Crown was not liable in tort or damages for negligence of its officers.</w:t>
      </w:r>
    </w:p>
    <w:p w:rsidR="00B96A0D" w:rsidRPr="00DF160C" w:rsidRDefault="00B96A0D" w:rsidP="00A47284">
      <w:pPr>
        <w:pStyle w:val="Reasons"/>
        <w:rPr>
          <w:rFonts w:cs="Arial"/>
          <w:szCs w:val="24"/>
        </w:rPr>
      </w:pPr>
      <w:r w:rsidRPr="00DF160C">
        <w:rPr>
          <w:rFonts w:cs="Arial"/>
          <w:szCs w:val="24"/>
        </w:rPr>
        <w:t>Next comes in 1886, the Revised Statute, ch. 40, which embodies the above statutory provisions as to official arbitrators.</w:t>
      </w:r>
    </w:p>
    <w:p w:rsidR="00B96A0D" w:rsidRPr="00DF160C" w:rsidRDefault="00B96A0D" w:rsidP="00A47284">
      <w:pPr>
        <w:pStyle w:val="Reasons"/>
        <w:rPr>
          <w:rFonts w:cs="Arial"/>
          <w:szCs w:val="24"/>
        </w:rPr>
      </w:pPr>
      <w:r w:rsidRPr="00DF160C">
        <w:rPr>
          <w:rFonts w:cs="Arial"/>
          <w:szCs w:val="24"/>
        </w:rPr>
        <w:t xml:space="preserve">Then comes in 1887 The Exchequer Court Act, 50 51 Vict., ch. 16, s. 58, which repeals ch. 40 of the Revised Statutes, and enacts that for the purposes of any reference as authorised by the said Act for claims against the Crown, the Exchequer Court shall replace the official arbitrators. By sec. 23, it is enacted that "any" </w:t>
      </w:r>
      <w:r w:rsidRPr="00DF160C">
        <w:rPr>
          <w:rFonts w:cs="Arial"/>
          <w:i/>
          <w:iCs/>
          <w:szCs w:val="24"/>
        </w:rPr>
        <w:t xml:space="preserve">claim against </w:t>
      </w:r>
      <w:r w:rsidRPr="00DF160C">
        <w:rPr>
          <w:rFonts w:cs="Arial"/>
          <w:szCs w:val="24"/>
        </w:rPr>
        <w:t xml:space="preserve">the Crown may be prosecuted by Petition of Right, and secs, 15 and 16 give exclusive original jurisdiction thereon to the Exchequer Court. So that this action lies in law. Such is the jurisprudence of this court as finally settled by </w:t>
      </w:r>
      <w:r w:rsidRPr="00DF160C">
        <w:rPr>
          <w:rFonts w:cs="Arial"/>
          <w:i/>
          <w:iCs/>
          <w:szCs w:val="24"/>
        </w:rPr>
        <w:t xml:space="preserve">The Queen </w:t>
      </w:r>
      <w:r w:rsidRPr="00DF160C">
        <w:rPr>
          <w:rFonts w:cs="Arial"/>
          <w:szCs w:val="24"/>
        </w:rPr>
        <w:t xml:space="preserve">v. </w:t>
      </w:r>
      <w:r w:rsidRPr="00DF160C">
        <w:rPr>
          <w:rFonts w:cs="Arial"/>
          <w:i/>
          <w:iCs/>
          <w:szCs w:val="24"/>
        </w:rPr>
        <w:t>Filion</w:t>
      </w:r>
      <w:r w:rsidR="00DF160C" w:rsidRPr="00DF160C">
        <w:rPr>
          <w:rStyle w:val="FootnoteReference"/>
          <w:rFonts w:cs="Arial"/>
          <w:i/>
          <w:iCs/>
          <w:szCs w:val="24"/>
        </w:rPr>
        <w:footnoteReference w:id="17"/>
      </w:r>
      <w:r w:rsidRPr="00DF160C">
        <w:rPr>
          <w:rFonts w:cs="Arial"/>
          <w:szCs w:val="24"/>
        </w:rPr>
        <w:t>.</w:t>
      </w:r>
    </w:p>
    <w:p w:rsidR="00B96A0D" w:rsidRPr="00DF160C" w:rsidRDefault="00B96A0D" w:rsidP="00A47284">
      <w:pPr>
        <w:pStyle w:val="Reasons"/>
        <w:rPr>
          <w:rFonts w:cs="Arial"/>
          <w:szCs w:val="24"/>
        </w:rPr>
      </w:pPr>
      <w:r w:rsidRPr="00DF160C">
        <w:rPr>
          <w:rFonts w:cs="Arial"/>
          <w:szCs w:val="24"/>
        </w:rPr>
        <w:t>We are of opinion in this case, however, that the only damages that the appellant can in law recover against the Crown under subsec. 3 of sec. 16 of the Exchequer Court Act, are those that he suffered within the two years preceding his action by the negligence of</w:t>
      </w:r>
    </w:p>
    <w:p w:rsidR="00B96A0D" w:rsidRPr="00DF160C" w:rsidRDefault="00571BB5" w:rsidP="00571BB5">
      <w:pPr>
        <w:pStyle w:val="Page"/>
      </w:pPr>
      <w:r>
        <w:rPr>
          <w:rFonts w:cs="Arial"/>
          <w:smallCaps/>
          <w:szCs w:val="24"/>
        </w:rPr>
        <w:t>[</w:t>
      </w:r>
      <w:r w:rsidRPr="007128C8">
        <w:rPr>
          <w:rFonts w:cs="Arial"/>
          <w:szCs w:val="24"/>
        </w:rPr>
        <w:t>Page</w:t>
      </w:r>
      <w:r>
        <w:rPr>
          <w:rFonts w:cs="Arial"/>
          <w:smallCaps/>
          <w:szCs w:val="24"/>
        </w:rPr>
        <w:t xml:space="preserve"> </w:t>
      </w:r>
      <w:r w:rsidR="00B96A0D" w:rsidRPr="00DF160C">
        <w:rPr>
          <w:rFonts w:cs="Arial"/>
          <w:szCs w:val="24"/>
        </w:rPr>
        <w:t>339]</w:t>
      </w:r>
    </w:p>
    <w:p w:rsidR="00B96A0D" w:rsidRPr="00DF160C" w:rsidRDefault="00B96A0D" w:rsidP="00A47284">
      <w:pPr>
        <w:pStyle w:val="Reasons"/>
        <w:rPr>
          <w:rFonts w:cs="Arial"/>
          <w:szCs w:val="24"/>
        </w:rPr>
      </w:pPr>
      <w:r w:rsidRPr="00DF160C">
        <w:rPr>
          <w:rFonts w:cs="Arial"/>
          <w:szCs w:val="24"/>
        </w:rPr>
        <w:t>the officers of the Crown in not keeping the siphon-culvert clear and in proper order.</w:t>
      </w:r>
    </w:p>
    <w:p w:rsidR="00B96A0D" w:rsidRPr="00DF160C" w:rsidRDefault="00B96A0D" w:rsidP="00A47284">
      <w:pPr>
        <w:pStyle w:val="Reasons"/>
        <w:rPr>
          <w:rFonts w:cs="Arial"/>
          <w:szCs w:val="24"/>
        </w:rPr>
      </w:pPr>
      <w:r w:rsidRPr="00DF160C">
        <w:rPr>
          <w:rFonts w:cs="Arial"/>
          <w:szCs w:val="24"/>
        </w:rPr>
        <w:t xml:space="preserve">We do not see anything in </w:t>
      </w:r>
      <w:r w:rsidRPr="00DF160C">
        <w:rPr>
          <w:rFonts w:cs="Arial"/>
          <w:i/>
          <w:iCs/>
          <w:szCs w:val="24"/>
        </w:rPr>
        <w:t xml:space="preserve">The City of Quebec </w:t>
      </w:r>
      <w:r w:rsidRPr="00DF160C">
        <w:rPr>
          <w:rFonts w:cs="Arial"/>
          <w:szCs w:val="24"/>
        </w:rPr>
        <w:t xml:space="preserve">v </w:t>
      </w:r>
      <w:r w:rsidRPr="00DF160C">
        <w:rPr>
          <w:rFonts w:cs="Arial"/>
          <w:i/>
          <w:iCs/>
          <w:szCs w:val="24"/>
        </w:rPr>
        <w:t>The Queen</w:t>
      </w:r>
      <w:r w:rsidR="00DF160C" w:rsidRPr="00DF160C">
        <w:rPr>
          <w:rStyle w:val="FootnoteReference"/>
          <w:rFonts w:cs="Arial"/>
          <w:i/>
          <w:iCs/>
          <w:szCs w:val="24"/>
        </w:rPr>
        <w:footnoteReference w:id="18"/>
      </w:r>
      <w:r w:rsidRPr="00DF160C">
        <w:rPr>
          <w:rFonts w:cs="Arial"/>
          <w:szCs w:val="24"/>
        </w:rPr>
        <w:t xml:space="preserve">, that militates against his right to recover these damages. There is no question of jurisdiction in the case. If the appellant had a right of action, the Exchequer Court had exclusive original jurisdiction over it. And upon the authority of </w:t>
      </w:r>
      <w:r w:rsidRPr="00DF160C">
        <w:rPr>
          <w:rFonts w:cs="Arial"/>
          <w:i/>
          <w:iCs/>
          <w:szCs w:val="24"/>
        </w:rPr>
        <w:t xml:space="preserve">The Queen </w:t>
      </w:r>
      <w:r w:rsidRPr="00DF160C">
        <w:rPr>
          <w:rFonts w:cs="Arial"/>
          <w:szCs w:val="24"/>
        </w:rPr>
        <w:t xml:space="preserve">v. </w:t>
      </w:r>
      <w:r w:rsidRPr="00DF160C">
        <w:rPr>
          <w:rFonts w:cs="Arial"/>
          <w:i/>
          <w:iCs/>
          <w:szCs w:val="24"/>
        </w:rPr>
        <w:t>Filion,</w:t>
      </w:r>
      <w:r w:rsidR="00DF160C" w:rsidRPr="00DF160C">
        <w:rPr>
          <w:rStyle w:val="FootnoteReference"/>
          <w:rFonts w:cs="Arial"/>
          <w:i/>
          <w:iCs/>
          <w:szCs w:val="24"/>
        </w:rPr>
        <w:footnoteReference w:id="19"/>
      </w:r>
      <w:r w:rsidR="00DF160C" w:rsidRPr="00DF160C">
        <w:rPr>
          <w:rFonts w:cs="Arial"/>
          <w:i/>
          <w:iCs/>
          <w:szCs w:val="24"/>
        </w:rPr>
        <w:t xml:space="preserve"> </w:t>
      </w:r>
      <w:r w:rsidRPr="00DF160C">
        <w:rPr>
          <w:rFonts w:cs="Arial"/>
          <w:szCs w:val="24"/>
        </w:rPr>
        <w:t xml:space="preserve">under secs. 16, 23 and 58 of the Exchequer Court Act this right of action cannot be controverted. He should also get </w:t>
      </w:r>
      <w:r w:rsidRPr="00DF160C">
        <w:rPr>
          <w:rFonts w:cs="Arial"/>
          <w:szCs w:val="24"/>
        </w:rPr>
        <w:lastRenderedPageBreak/>
        <w:t>compensation for that part of his land that was taken, for which he claims $544. He may not be entitled to more than half that sum, perhaps, but we have nothing to do with assessing the damages either upon this head or upon the first one.</w:t>
      </w:r>
    </w:p>
    <w:p w:rsidR="00B96A0D" w:rsidRPr="00DF160C" w:rsidRDefault="00B96A0D" w:rsidP="00A47284">
      <w:pPr>
        <w:pStyle w:val="Reasons"/>
        <w:rPr>
          <w:rFonts w:cs="Arial"/>
          <w:szCs w:val="24"/>
        </w:rPr>
      </w:pPr>
      <w:r w:rsidRPr="00DF160C">
        <w:rPr>
          <w:rFonts w:cs="Arial"/>
          <w:szCs w:val="24"/>
        </w:rPr>
        <w:t>The appeal is allowed with costs and the case referred to the Exchequer Court to assess, 1st the damages that the appellant has suffered during the two years preceding his action by the negligence of the officers of the Crown in not keeping the siphon-culvert clear and in proper order; 2nd the damages suffered by the appellant by throwing back upon his land part of the bank dug up in widening the River St. Pierre, unless the appellant agrees, within three months from this date, to accept in full compensation the sum of seven hundred dollars with interest from the date of the Petition of Right, in which case, upon his filing his consent to that effect, judgment will then be entered against the respondent for that amount with interest as aforesaid and costs in the Exchequer Court, less the costs of the trial incurred in respect of the claims of the appellant which are not hereby allowed.</w:t>
      </w:r>
    </w:p>
    <w:p w:rsidR="00B96A0D" w:rsidRPr="00DF160C" w:rsidRDefault="00A47284" w:rsidP="00A47284">
      <w:pPr>
        <w:pStyle w:val="Reasons"/>
        <w:rPr>
          <w:rFonts w:cs="Arial"/>
          <w:i/>
          <w:iCs/>
          <w:szCs w:val="24"/>
        </w:rPr>
      </w:pPr>
      <w:r w:rsidRPr="00DF160C">
        <w:t>DAVIES</w:t>
      </w:r>
      <w:r w:rsidRPr="00DF160C">
        <w:rPr>
          <w:rFonts w:cs="Arial"/>
          <w:smallCaps/>
          <w:szCs w:val="24"/>
        </w:rPr>
        <w:t xml:space="preserve"> </w:t>
      </w:r>
      <w:r w:rsidR="00B96A0D" w:rsidRPr="00DF160C">
        <w:rPr>
          <w:rFonts w:cs="Arial"/>
          <w:smallCaps/>
          <w:szCs w:val="24"/>
        </w:rPr>
        <w:t xml:space="preserve">J. </w:t>
      </w:r>
      <w:r w:rsidR="00B96A0D" w:rsidRPr="00DF160C">
        <w:rPr>
          <w:rFonts w:cs="Arial"/>
          <w:szCs w:val="24"/>
        </w:rPr>
        <w:t xml:space="preserve">(dissenting).—On the authority of </w:t>
      </w:r>
      <w:r w:rsidR="00B96A0D" w:rsidRPr="00DF160C">
        <w:rPr>
          <w:rFonts w:cs="Arial"/>
          <w:i/>
          <w:iCs/>
          <w:szCs w:val="24"/>
        </w:rPr>
        <w:t xml:space="preserve">The City of Quebec </w:t>
      </w:r>
      <w:r w:rsidR="00B96A0D" w:rsidRPr="00DF160C">
        <w:rPr>
          <w:rFonts w:cs="Arial"/>
          <w:szCs w:val="24"/>
        </w:rPr>
        <w:t xml:space="preserve">v </w:t>
      </w:r>
      <w:r w:rsidR="00B96A0D" w:rsidRPr="00DF160C">
        <w:rPr>
          <w:rFonts w:cs="Arial"/>
          <w:i/>
          <w:iCs/>
          <w:szCs w:val="24"/>
        </w:rPr>
        <w:t xml:space="preserve">The Queen </w:t>
      </w:r>
      <w:r w:rsidR="00B96A0D" w:rsidRPr="00DF160C">
        <w:rPr>
          <w:rFonts w:cs="Arial"/>
          <w:szCs w:val="24"/>
        </w:rPr>
        <w:t xml:space="preserve">(1), and </w:t>
      </w:r>
      <w:r w:rsidR="00B96A0D" w:rsidRPr="00DF160C">
        <w:rPr>
          <w:rFonts w:cs="Arial"/>
          <w:i/>
          <w:iCs/>
          <w:szCs w:val="24"/>
        </w:rPr>
        <w:t xml:space="preserve">The Queen </w:t>
      </w:r>
      <w:r w:rsidR="00B96A0D" w:rsidRPr="00DF160C">
        <w:rPr>
          <w:rFonts w:cs="Arial"/>
          <w:szCs w:val="24"/>
        </w:rPr>
        <w:t xml:space="preserve">v </w:t>
      </w:r>
      <w:r w:rsidR="00B96A0D" w:rsidRPr="00DF160C">
        <w:rPr>
          <w:rFonts w:cs="Arial"/>
          <w:i/>
          <w:iCs/>
          <w:szCs w:val="24"/>
        </w:rPr>
        <w:t>Filion</w:t>
      </w:r>
      <w:r w:rsidRPr="00DF160C">
        <w:rPr>
          <w:rFonts w:cs="Arial"/>
          <w:szCs w:val="24"/>
        </w:rPr>
        <w:t>(2)</w:t>
      </w:r>
    </w:p>
    <w:p w:rsidR="00B96A0D" w:rsidRPr="00DF160C" w:rsidRDefault="00571BB5" w:rsidP="00571BB5">
      <w:pPr>
        <w:pStyle w:val="Page"/>
      </w:pPr>
      <w:r>
        <w:rPr>
          <w:rFonts w:cs="Arial"/>
          <w:smallCaps/>
          <w:szCs w:val="24"/>
        </w:rPr>
        <w:t>[</w:t>
      </w:r>
      <w:r w:rsidRPr="007128C8">
        <w:rPr>
          <w:rFonts w:cs="Arial"/>
          <w:szCs w:val="24"/>
        </w:rPr>
        <w:t>Page</w:t>
      </w:r>
      <w:r>
        <w:rPr>
          <w:rFonts w:cs="Arial"/>
          <w:smallCaps/>
          <w:szCs w:val="24"/>
        </w:rPr>
        <w:t xml:space="preserve"> </w:t>
      </w:r>
      <w:r w:rsidR="00B96A0D" w:rsidRPr="00DF160C">
        <w:rPr>
          <w:rFonts w:cs="Arial"/>
          <w:szCs w:val="24"/>
        </w:rPr>
        <w:t>340]</w:t>
      </w:r>
    </w:p>
    <w:p w:rsidR="00B96A0D" w:rsidRPr="00DF160C" w:rsidRDefault="00B96A0D" w:rsidP="00A47284">
      <w:pPr>
        <w:pStyle w:val="Reasons"/>
        <w:rPr>
          <w:rFonts w:cs="Arial"/>
          <w:szCs w:val="24"/>
        </w:rPr>
      </w:pPr>
      <w:r w:rsidRPr="00DF160C">
        <w:rPr>
          <w:rFonts w:cs="Arial"/>
          <w:szCs w:val="24"/>
        </w:rPr>
        <w:t xml:space="preserve">I am of </w:t>
      </w:r>
      <w:r w:rsidRPr="00DF160C">
        <w:rPr>
          <w:rFonts w:cs="Arial"/>
          <w:szCs w:val="24"/>
          <w:lang w:val="fr-FR"/>
        </w:rPr>
        <w:t xml:space="preserve">opinion </w:t>
      </w:r>
      <w:r w:rsidRPr="00DF160C">
        <w:rPr>
          <w:rFonts w:cs="Arial"/>
          <w:szCs w:val="24"/>
        </w:rPr>
        <w:t>that this appeal must be dismissed for the reasons given by the learned judge of the Exchequer Court. I do not, however, wish to commit myself to the proposition laid down by him that if there had been jurisdiction to</w:t>
      </w:r>
      <w:r w:rsidRPr="00DF160C">
        <w:rPr>
          <w:rFonts w:cs="Arial"/>
          <w:i/>
          <w:iCs/>
          <w:szCs w:val="24"/>
          <w:lang w:val="fr-FR"/>
        </w:rPr>
        <w:t xml:space="preserve"> </w:t>
      </w:r>
      <w:r w:rsidRPr="00DF160C">
        <w:rPr>
          <w:rFonts w:cs="Arial"/>
          <w:szCs w:val="24"/>
        </w:rPr>
        <w:t>try the action, actionable negligence had been proved. The damming of the siphon drain appears to have been caused by an extraordinary flood which the authorities had no reason to anticipate, and for the results of which they would not be responsible.</w:t>
      </w:r>
    </w:p>
    <w:p w:rsidR="00B96A0D" w:rsidRPr="00DF160C" w:rsidRDefault="00B96A0D" w:rsidP="00A47284">
      <w:pPr>
        <w:pStyle w:val="Reasons"/>
      </w:pPr>
      <w:r w:rsidRPr="00DF160C">
        <w:t>Appeal allowed with costs.</w:t>
      </w:r>
    </w:p>
    <w:p w:rsidR="00B96A0D" w:rsidRPr="00DF160C" w:rsidRDefault="00B96A0D" w:rsidP="00A47284">
      <w:pPr>
        <w:pStyle w:val="Sollicitors"/>
        <w:rPr>
          <w:iCs/>
          <w:lang w:val="fr-FR"/>
        </w:rPr>
      </w:pPr>
      <w:r w:rsidRPr="00DF160C">
        <w:t xml:space="preserve">Solicitors for the appellant: </w:t>
      </w:r>
      <w:r w:rsidRPr="00DF160C">
        <w:rPr>
          <w:iCs/>
          <w:lang w:val="fr-FR"/>
        </w:rPr>
        <w:t>L. T. Maréchal.</w:t>
      </w:r>
    </w:p>
    <w:p w:rsidR="00B96A0D" w:rsidRDefault="00B96A0D" w:rsidP="00A47284">
      <w:pPr>
        <w:pStyle w:val="Sollicitors"/>
        <w:rPr>
          <w:iCs/>
        </w:rPr>
      </w:pPr>
      <w:r w:rsidRPr="00DF160C">
        <w:t xml:space="preserve">Solicitor for the respondent: </w:t>
      </w:r>
      <w:r w:rsidRPr="00DF160C">
        <w:rPr>
          <w:iCs/>
        </w:rPr>
        <w:t>E. L. Newcombe.</w:t>
      </w:r>
    </w:p>
    <w:sectPr w:rsidR="00B96A0D" w:rsidSect="00CC6EF3">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564" w:rsidRDefault="00002564" w:rsidP="00CC6EF3">
      <w:r>
        <w:separator/>
      </w:r>
    </w:p>
  </w:endnote>
  <w:endnote w:type="continuationSeparator" w:id="1">
    <w:p w:rsidR="00002564" w:rsidRDefault="00002564" w:rsidP="00CC6E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EF3" w:rsidRDefault="00CC6E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EF3" w:rsidRDefault="00CC6E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EF3" w:rsidRDefault="00CC6E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564" w:rsidRDefault="00002564" w:rsidP="00CC6EF3">
      <w:r>
        <w:separator/>
      </w:r>
    </w:p>
  </w:footnote>
  <w:footnote w:type="continuationSeparator" w:id="1">
    <w:p w:rsidR="00002564" w:rsidRDefault="00002564" w:rsidP="00CC6EF3">
      <w:r>
        <w:continuationSeparator/>
      </w:r>
    </w:p>
  </w:footnote>
  <w:footnote w:id="2">
    <w:p w:rsidR="00DF160C" w:rsidRPr="00DF160C" w:rsidRDefault="00DF160C">
      <w:pPr>
        <w:pStyle w:val="FootnoteText"/>
        <w:rPr>
          <w:lang w:val="en-US"/>
        </w:rPr>
      </w:pPr>
      <w:r>
        <w:rPr>
          <w:rStyle w:val="FootnoteReference"/>
        </w:rPr>
        <w:footnoteRef/>
      </w:r>
      <w:r>
        <w:t xml:space="preserve"> </w:t>
      </w:r>
      <w:r>
        <w:rPr>
          <w:rFonts w:cs="Arial"/>
          <w:szCs w:val="24"/>
        </w:rPr>
        <w:t xml:space="preserve">7 Ex. C. </w:t>
      </w:r>
      <w:r>
        <w:rPr>
          <w:rFonts w:cs="Arial"/>
          <w:smallCaps/>
          <w:szCs w:val="24"/>
        </w:rPr>
        <w:t xml:space="preserve">r. </w:t>
      </w:r>
      <w:r>
        <w:rPr>
          <w:rFonts w:cs="Arial"/>
          <w:szCs w:val="24"/>
        </w:rPr>
        <w:t>1.</w:t>
      </w:r>
    </w:p>
  </w:footnote>
  <w:footnote w:id="3">
    <w:p w:rsidR="00DF160C" w:rsidRPr="00DF160C" w:rsidRDefault="00DF160C">
      <w:pPr>
        <w:pStyle w:val="FootnoteText"/>
        <w:rPr>
          <w:lang w:val="en-US"/>
        </w:rPr>
      </w:pPr>
      <w:r>
        <w:rPr>
          <w:rStyle w:val="FootnoteReference"/>
        </w:rPr>
        <w:footnoteRef/>
      </w:r>
      <w:r>
        <w:t xml:space="preserve"> </w:t>
      </w:r>
      <w:r>
        <w:rPr>
          <w:rFonts w:cs="Arial"/>
          <w:szCs w:val="24"/>
        </w:rPr>
        <w:t xml:space="preserve">6 Ex. </w:t>
      </w:r>
      <w:r>
        <w:rPr>
          <w:rFonts w:cs="Arial"/>
          <w:szCs w:val="24"/>
          <w:lang w:val="fr-FR"/>
        </w:rPr>
        <w:t xml:space="preserve">C. </w:t>
      </w:r>
      <w:r>
        <w:rPr>
          <w:rFonts w:cs="Arial"/>
          <w:szCs w:val="24"/>
        </w:rPr>
        <w:t>R. 51.</w:t>
      </w:r>
    </w:p>
  </w:footnote>
  <w:footnote w:id="4">
    <w:p w:rsidR="00DF160C" w:rsidRPr="00DF160C" w:rsidRDefault="00DF160C">
      <w:pPr>
        <w:pStyle w:val="FootnoteText"/>
        <w:rPr>
          <w:lang w:val="en-US"/>
        </w:rPr>
      </w:pPr>
      <w:r>
        <w:rPr>
          <w:rStyle w:val="FootnoteReference"/>
        </w:rPr>
        <w:footnoteRef/>
      </w:r>
      <w:r>
        <w:t xml:space="preserve"> </w:t>
      </w:r>
      <w:r>
        <w:rPr>
          <w:rFonts w:cs="Arial"/>
          <w:szCs w:val="24"/>
        </w:rPr>
        <w:t xml:space="preserve">24 Can. </w:t>
      </w:r>
      <w:r>
        <w:rPr>
          <w:rFonts w:cs="Arial"/>
          <w:szCs w:val="24"/>
          <w:lang w:val="fr-FR"/>
        </w:rPr>
        <w:t xml:space="preserve">S. C. </w:t>
      </w:r>
      <w:r>
        <w:rPr>
          <w:rFonts w:cs="Arial"/>
          <w:szCs w:val="24"/>
        </w:rPr>
        <w:t>R. 420.</w:t>
      </w:r>
    </w:p>
  </w:footnote>
  <w:footnote w:id="5">
    <w:p w:rsidR="00DF160C" w:rsidRPr="00DF160C" w:rsidRDefault="00DF160C">
      <w:pPr>
        <w:pStyle w:val="FootnoteText"/>
        <w:rPr>
          <w:lang w:val="en-US"/>
        </w:rPr>
      </w:pPr>
      <w:r>
        <w:rPr>
          <w:rStyle w:val="FootnoteReference"/>
        </w:rPr>
        <w:footnoteRef/>
      </w:r>
      <w:r>
        <w:t xml:space="preserve"> </w:t>
      </w:r>
      <w:r>
        <w:rPr>
          <w:rFonts w:cs="Arial"/>
          <w:szCs w:val="24"/>
        </w:rPr>
        <w:t xml:space="preserve">24 Can. </w:t>
      </w:r>
      <w:r>
        <w:rPr>
          <w:rFonts w:cs="Arial"/>
          <w:szCs w:val="24"/>
          <w:lang w:val="fr-FR"/>
        </w:rPr>
        <w:t xml:space="preserve">S. C. </w:t>
      </w:r>
      <w:r>
        <w:rPr>
          <w:rFonts w:cs="Arial"/>
          <w:szCs w:val="24"/>
        </w:rPr>
        <w:t>R. 482.</w:t>
      </w:r>
    </w:p>
  </w:footnote>
  <w:footnote w:id="6">
    <w:p w:rsidR="00DF160C" w:rsidRPr="00DF160C" w:rsidRDefault="00DF160C">
      <w:pPr>
        <w:pStyle w:val="FootnoteText"/>
        <w:rPr>
          <w:lang w:val="en-US"/>
        </w:rPr>
      </w:pPr>
      <w:r>
        <w:rPr>
          <w:rStyle w:val="FootnoteReference"/>
        </w:rPr>
        <w:footnoteRef/>
      </w:r>
      <w:r>
        <w:t xml:space="preserve"> </w:t>
      </w:r>
      <w:r>
        <w:rPr>
          <w:rFonts w:cs="Arial"/>
          <w:szCs w:val="24"/>
        </w:rPr>
        <w:t xml:space="preserve">8 Can. </w:t>
      </w:r>
      <w:r>
        <w:rPr>
          <w:rFonts w:cs="Arial"/>
          <w:szCs w:val="24"/>
          <w:lang w:val="fr-FR"/>
        </w:rPr>
        <w:t xml:space="preserve">S. C. R. </w:t>
      </w:r>
      <w:r>
        <w:rPr>
          <w:rFonts w:cs="Arial"/>
          <w:szCs w:val="24"/>
        </w:rPr>
        <w:t>1.</w:t>
      </w:r>
    </w:p>
  </w:footnote>
  <w:footnote w:id="7">
    <w:p w:rsidR="00DF160C" w:rsidRPr="00DF160C" w:rsidRDefault="00DF160C">
      <w:pPr>
        <w:pStyle w:val="FootnoteText"/>
        <w:rPr>
          <w:lang w:val="en-US"/>
        </w:rPr>
      </w:pPr>
      <w:r>
        <w:rPr>
          <w:rStyle w:val="FootnoteReference"/>
        </w:rPr>
        <w:footnoteRef/>
      </w:r>
      <w:r>
        <w:t xml:space="preserve"> </w:t>
      </w:r>
      <w:r>
        <w:rPr>
          <w:rFonts w:cs="Arial"/>
          <w:szCs w:val="24"/>
        </w:rPr>
        <w:t>Cass. Dig. (2 ed.) 709.</w:t>
      </w:r>
    </w:p>
  </w:footnote>
  <w:footnote w:id="8">
    <w:p w:rsidR="00DF160C" w:rsidRPr="00DF160C" w:rsidRDefault="00DF160C">
      <w:pPr>
        <w:pStyle w:val="FootnoteText"/>
        <w:rPr>
          <w:lang w:val="en-US"/>
        </w:rPr>
      </w:pPr>
      <w:r>
        <w:rPr>
          <w:rStyle w:val="FootnoteReference"/>
        </w:rPr>
        <w:footnoteRef/>
      </w:r>
      <w:r>
        <w:t xml:space="preserve"> </w:t>
      </w:r>
      <w:r>
        <w:rPr>
          <w:rFonts w:cs="Arial"/>
          <w:szCs w:val="24"/>
        </w:rPr>
        <w:t xml:space="preserve">25 Can. </w:t>
      </w:r>
      <w:r>
        <w:rPr>
          <w:rFonts w:cs="Arial"/>
          <w:szCs w:val="24"/>
          <w:lang w:val="fr-FR"/>
        </w:rPr>
        <w:t xml:space="preserve">S. C </w:t>
      </w:r>
      <w:r>
        <w:rPr>
          <w:rFonts w:cs="Arial"/>
          <w:szCs w:val="24"/>
        </w:rPr>
        <w:t>R. 197.</w:t>
      </w:r>
    </w:p>
  </w:footnote>
  <w:footnote w:id="9">
    <w:p w:rsidR="00DF160C" w:rsidRPr="00DF160C" w:rsidRDefault="00DF160C">
      <w:pPr>
        <w:pStyle w:val="FootnoteText"/>
        <w:rPr>
          <w:lang w:val="en-US"/>
        </w:rPr>
      </w:pPr>
      <w:r>
        <w:rPr>
          <w:rStyle w:val="FootnoteReference"/>
        </w:rPr>
        <w:footnoteRef/>
      </w:r>
      <w:r>
        <w:t xml:space="preserve"> </w:t>
      </w:r>
      <w:r>
        <w:rPr>
          <w:rFonts w:cs="Arial"/>
          <w:smallCaps/>
          <w:szCs w:val="24"/>
        </w:rPr>
        <w:t xml:space="preserve">24 </w:t>
      </w:r>
      <w:r>
        <w:rPr>
          <w:rFonts w:cs="Arial"/>
          <w:szCs w:val="24"/>
        </w:rPr>
        <w:t xml:space="preserve">Can. S. C. R. </w:t>
      </w:r>
      <w:r>
        <w:rPr>
          <w:rFonts w:cs="Arial"/>
          <w:smallCaps/>
          <w:szCs w:val="24"/>
        </w:rPr>
        <w:t>420.</w:t>
      </w:r>
    </w:p>
  </w:footnote>
  <w:footnote w:id="10">
    <w:p w:rsidR="00DF160C" w:rsidRPr="00DF160C" w:rsidRDefault="00DF160C">
      <w:pPr>
        <w:pStyle w:val="FootnoteText"/>
        <w:rPr>
          <w:lang w:val="en-US"/>
        </w:rPr>
      </w:pPr>
      <w:r>
        <w:rPr>
          <w:rStyle w:val="FootnoteReference"/>
        </w:rPr>
        <w:footnoteRef/>
      </w:r>
      <w:r>
        <w:t xml:space="preserve"> </w:t>
      </w:r>
      <w:r>
        <w:rPr>
          <w:rFonts w:cs="Arial"/>
          <w:smallCaps/>
          <w:szCs w:val="24"/>
        </w:rPr>
        <w:t xml:space="preserve">31 </w:t>
      </w:r>
      <w:r>
        <w:rPr>
          <w:rFonts w:cs="Arial"/>
          <w:szCs w:val="24"/>
        </w:rPr>
        <w:t xml:space="preserve">Vict. ch. </w:t>
      </w:r>
      <w:r>
        <w:rPr>
          <w:rFonts w:cs="Arial"/>
          <w:smallCaps/>
          <w:szCs w:val="24"/>
        </w:rPr>
        <w:t>12.</w:t>
      </w:r>
    </w:p>
  </w:footnote>
  <w:footnote w:id="11">
    <w:p w:rsidR="00DF160C" w:rsidRPr="00DF160C" w:rsidRDefault="00DF160C">
      <w:pPr>
        <w:pStyle w:val="FootnoteText"/>
        <w:rPr>
          <w:lang w:val="en-US"/>
        </w:rPr>
      </w:pPr>
      <w:r>
        <w:rPr>
          <w:rStyle w:val="FootnoteReference"/>
        </w:rPr>
        <w:footnoteRef/>
      </w:r>
      <w:r>
        <w:t xml:space="preserve"> </w:t>
      </w:r>
      <w:r>
        <w:rPr>
          <w:rFonts w:cs="Arial"/>
          <w:szCs w:val="24"/>
        </w:rPr>
        <w:t xml:space="preserve">Secs. </w:t>
      </w:r>
      <w:r>
        <w:rPr>
          <w:rFonts w:cs="Arial"/>
          <w:smallCaps/>
          <w:szCs w:val="24"/>
        </w:rPr>
        <w:t xml:space="preserve">2, </w:t>
      </w:r>
      <w:r>
        <w:rPr>
          <w:rFonts w:cs="Arial"/>
          <w:szCs w:val="24"/>
        </w:rPr>
        <w:t xml:space="preserve">5, ch. </w:t>
      </w:r>
      <w:r>
        <w:rPr>
          <w:rFonts w:cs="Arial"/>
          <w:smallCaps/>
          <w:szCs w:val="24"/>
        </w:rPr>
        <w:t xml:space="preserve">40 </w:t>
      </w:r>
      <w:r>
        <w:rPr>
          <w:rFonts w:cs="Arial"/>
          <w:szCs w:val="24"/>
        </w:rPr>
        <w:t>R. S. C.</w:t>
      </w:r>
    </w:p>
  </w:footnote>
  <w:footnote w:id="12">
    <w:p w:rsidR="00DF160C" w:rsidRPr="00DF160C" w:rsidRDefault="00DF160C">
      <w:pPr>
        <w:pStyle w:val="FootnoteText"/>
        <w:rPr>
          <w:lang w:val="en-US"/>
        </w:rPr>
      </w:pPr>
      <w:r>
        <w:rPr>
          <w:rStyle w:val="FootnoteReference"/>
        </w:rPr>
        <w:footnoteRef/>
      </w:r>
      <w:r>
        <w:t xml:space="preserve"> </w:t>
      </w:r>
      <w:r>
        <w:rPr>
          <w:rFonts w:cs="Arial"/>
          <w:szCs w:val="24"/>
        </w:rPr>
        <w:t xml:space="preserve">Secs. </w:t>
      </w:r>
      <w:r>
        <w:rPr>
          <w:rFonts w:cs="Arial"/>
          <w:smallCaps/>
          <w:szCs w:val="24"/>
        </w:rPr>
        <w:t xml:space="preserve">6 </w:t>
      </w:r>
      <w:r>
        <w:rPr>
          <w:rFonts w:cs="Arial"/>
          <w:szCs w:val="24"/>
        </w:rPr>
        <w:t xml:space="preserve">to </w:t>
      </w:r>
      <w:r>
        <w:rPr>
          <w:rFonts w:cs="Arial"/>
          <w:smallCaps/>
          <w:szCs w:val="24"/>
        </w:rPr>
        <w:t xml:space="preserve">32, </w:t>
      </w:r>
      <w:r>
        <w:rPr>
          <w:rFonts w:cs="Arial"/>
          <w:szCs w:val="24"/>
        </w:rPr>
        <w:t xml:space="preserve">ch. </w:t>
      </w:r>
      <w:r>
        <w:rPr>
          <w:rFonts w:cs="Arial"/>
          <w:smallCaps/>
          <w:szCs w:val="24"/>
        </w:rPr>
        <w:t xml:space="preserve">40 </w:t>
      </w:r>
      <w:r>
        <w:rPr>
          <w:rFonts w:cs="Arial"/>
          <w:szCs w:val="24"/>
        </w:rPr>
        <w:t>R. S. C.</w:t>
      </w:r>
    </w:p>
  </w:footnote>
  <w:footnote w:id="13">
    <w:p w:rsidR="00DF160C" w:rsidRPr="00DF160C" w:rsidRDefault="00DF160C">
      <w:pPr>
        <w:pStyle w:val="FootnoteText"/>
        <w:rPr>
          <w:lang w:val="en-US"/>
        </w:rPr>
      </w:pPr>
      <w:r>
        <w:rPr>
          <w:rStyle w:val="FootnoteReference"/>
        </w:rPr>
        <w:footnoteRef/>
      </w:r>
      <w:r>
        <w:t xml:space="preserve"> </w:t>
      </w:r>
      <w:r>
        <w:rPr>
          <w:rFonts w:cs="Arial"/>
          <w:szCs w:val="24"/>
        </w:rPr>
        <w:t>Sec. 6 ch. 40 R. S. C.</w:t>
      </w:r>
    </w:p>
  </w:footnote>
  <w:footnote w:id="14">
    <w:p w:rsidR="00DF160C" w:rsidRPr="00DF160C" w:rsidRDefault="00DF160C">
      <w:pPr>
        <w:pStyle w:val="FootnoteText"/>
        <w:rPr>
          <w:lang w:val="en-US"/>
        </w:rPr>
      </w:pPr>
      <w:r>
        <w:rPr>
          <w:rStyle w:val="FootnoteReference"/>
        </w:rPr>
        <w:footnoteRef/>
      </w:r>
      <w:r>
        <w:t xml:space="preserve"> </w:t>
      </w:r>
      <w:r>
        <w:rPr>
          <w:rFonts w:cs="Arial"/>
          <w:szCs w:val="24"/>
        </w:rPr>
        <w:t>Sec. 11 ch. 40 P. S. C. now replaced by sec. 54, Ex. Ct. Act, 50 &amp; 51 Vict.ch. 16.</w:t>
      </w:r>
    </w:p>
  </w:footnote>
  <w:footnote w:id="15">
    <w:p w:rsidR="00DF160C" w:rsidRPr="00DF160C" w:rsidRDefault="00DF160C">
      <w:pPr>
        <w:pStyle w:val="FootnoteText"/>
        <w:rPr>
          <w:lang w:val="en-US"/>
        </w:rPr>
      </w:pPr>
      <w:r>
        <w:rPr>
          <w:rStyle w:val="FootnoteReference"/>
        </w:rPr>
        <w:footnoteRef/>
      </w:r>
      <w:r>
        <w:t xml:space="preserve"> </w:t>
      </w:r>
      <w:r>
        <w:rPr>
          <w:rFonts w:cs="Arial"/>
          <w:szCs w:val="24"/>
        </w:rPr>
        <w:t>7 Can. S. C. R. 216.</w:t>
      </w:r>
    </w:p>
  </w:footnote>
  <w:footnote w:id="16">
    <w:p w:rsidR="00DF160C" w:rsidRPr="00DF160C" w:rsidRDefault="00DF160C">
      <w:pPr>
        <w:pStyle w:val="FootnoteText"/>
        <w:rPr>
          <w:lang w:val="en-US"/>
        </w:rPr>
      </w:pPr>
      <w:r>
        <w:rPr>
          <w:rStyle w:val="FootnoteReference"/>
        </w:rPr>
        <w:footnoteRef/>
      </w:r>
      <w:r>
        <w:t xml:space="preserve"> </w:t>
      </w:r>
      <w:r>
        <w:rPr>
          <w:rFonts w:cs="Arial"/>
          <w:szCs w:val="24"/>
        </w:rPr>
        <w:t>8 Can. S.C.R. 1.</w:t>
      </w:r>
    </w:p>
  </w:footnote>
  <w:footnote w:id="17">
    <w:p w:rsidR="00DF160C" w:rsidRPr="00DF160C" w:rsidRDefault="00DF160C">
      <w:pPr>
        <w:pStyle w:val="FootnoteText"/>
        <w:rPr>
          <w:lang w:val="en-US"/>
        </w:rPr>
      </w:pPr>
      <w:r>
        <w:rPr>
          <w:rStyle w:val="FootnoteReference"/>
        </w:rPr>
        <w:footnoteRef/>
      </w:r>
      <w:r>
        <w:t xml:space="preserve"> </w:t>
      </w:r>
      <w:r>
        <w:rPr>
          <w:rFonts w:cs="Arial"/>
          <w:szCs w:val="24"/>
        </w:rPr>
        <w:t>24 Can. S. C. R. 482.</w:t>
      </w:r>
    </w:p>
  </w:footnote>
  <w:footnote w:id="18">
    <w:p w:rsidR="00DF160C" w:rsidRPr="00DF160C" w:rsidRDefault="00DF160C">
      <w:pPr>
        <w:pStyle w:val="FootnoteText"/>
        <w:rPr>
          <w:lang w:val="en-US"/>
        </w:rPr>
      </w:pPr>
      <w:r>
        <w:rPr>
          <w:rStyle w:val="FootnoteReference"/>
        </w:rPr>
        <w:footnoteRef/>
      </w:r>
      <w:r>
        <w:t xml:space="preserve"> </w:t>
      </w:r>
      <w:r>
        <w:rPr>
          <w:rFonts w:cs="Arial"/>
          <w:szCs w:val="24"/>
        </w:rPr>
        <w:t>24 Can. S. C. R. 420.</w:t>
      </w:r>
    </w:p>
  </w:footnote>
  <w:footnote w:id="19">
    <w:p w:rsidR="00DF160C" w:rsidRPr="00DF160C" w:rsidRDefault="00DF160C">
      <w:pPr>
        <w:pStyle w:val="FootnoteText"/>
        <w:rPr>
          <w:lang w:val="en-US"/>
        </w:rPr>
      </w:pPr>
      <w:r>
        <w:rPr>
          <w:rStyle w:val="FootnoteReference"/>
        </w:rPr>
        <w:footnoteRef/>
      </w:r>
      <w:r>
        <w:t xml:space="preserve"> </w:t>
      </w:r>
      <w:r>
        <w:rPr>
          <w:rFonts w:cs="Arial"/>
          <w:szCs w:val="24"/>
        </w:rPr>
        <w:t>Can. S.C.R. 482.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EF3" w:rsidRDefault="00CC6E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EF3" w:rsidRDefault="00CC6E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EF3" w:rsidRDefault="00CC6E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14DA778A">
      <w:start w:val="1"/>
      <w:numFmt w:val="decimal"/>
      <w:pStyle w:val="ParagNum"/>
      <w:lvlText w:val="[%1]"/>
      <w:lvlJc w:val="left"/>
      <w:pPr>
        <w:tabs>
          <w:tab w:val="num" w:pos="369"/>
        </w:tabs>
        <w:ind w:left="369" w:hanging="369"/>
      </w:pPr>
    </w:lvl>
    <w:lvl w:ilvl="1" w:tplc="5114E0CC" w:tentative="1">
      <w:start w:val="1"/>
      <w:numFmt w:val="lowerLetter"/>
      <w:lvlText w:val="%2."/>
      <w:lvlJc w:val="left"/>
      <w:pPr>
        <w:tabs>
          <w:tab w:val="num" w:pos="1440"/>
        </w:tabs>
        <w:ind w:left="1440" w:hanging="360"/>
      </w:pPr>
    </w:lvl>
    <w:lvl w:ilvl="2" w:tplc="90688C4A" w:tentative="1">
      <w:start w:val="1"/>
      <w:numFmt w:val="lowerRoman"/>
      <w:lvlText w:val="%3."/>
      <w:lvlJc w:val="right"/>
      <w:pPr>
        <w:tabs>
          <w:tab w:val="num" w:pos="2160"/>
        </w:tabs>
        <w:ind w:left="2160" w:hanging="180"/>
      </w:pPr>
    </w:lvl>
    <w:lvl w:ilvl="3" w:tplc="87B8292E" w:tentative="1">
      <w:start w:val="1"/>
      <w:numFmt w:val="decimal"/>
      <w:lvlText w:val="%4."/>
      <w:lvlJc w:val="left"/>
      <w:pPr>
        <w:tabs>
          <w:tab w:val="num" w:pos="2880"/>
        </w:tabs>
        <w:ind w:left="2880" w:hanging="360"/>
      </w:pPr>
    </w:lvl>
    <w:lvl w:ilvl="4" w:tplc="582047C4" w:tentative="1">
      <w:start w:val="1"/>
      <w:numFmt w:val="lowerLetter"/>
      <w:lvlText w:val="%5."/>
      <w:lvlJc w:val="left"/>
      <w:pPr>
        <w:tabs>
          <w:tab w:val="num" w:pos="3600"/>
        </w:tabs>
        <w:ind w:left="3600" w:hanging="360"/>
      </w:pPr>
    </w:lvl>
    <w:lvl w:ilvl="5" w:tplc="A0125260" w:tentative="1">
      <w:start w:val="1"/>
      <w:numFmt w:val="lowerRoman"/>
      <w:lvlText w:val="%6."/>
      <w:lvlJc w:val="right"/>
      <w:pPr>
        <w:tabs>
          <w:tab w:val="num" w:pos="4320"/>
        </w:tabs>
        <w:ind w:left="4320" w:hanging="180"/>
      </w:pPr>
    </w:lvl>
    <w:lvl w:ilvl="6" w:tplc="9CEC823C" w:tentative="1">
      <w:start w:val="1"/>
      <w:numFmt w:val="decimal"/>
      <w:lvlText w:val="%7."/>
      <w:lvlJc w:val="left"/>
      <w:pPr>
        <w:tabs>
          <w:tab w:val="num" w:pos="5040"/>
        </w:tabs>
        <w:ind w:left="5040" w:hanging="360"/>
      </w:pPr>
    </w:lvl>
    <w:lvl w:ilvl="7" w:tplc="971692F4" w:tentative="1">
      <w:start w:val="1"/>
      <w:numFmt w:val="lowerLetter"/>
      <w:lvlText w:val="%8."/>
      <w:lvlJc w:val="left"/>
      <w:pPr>
        <w:tabs>
          <w:tab w:val="num" w:pos="5760"/>
        </w:tabs>
        <w:ind w:left="5760" w:hanging="360"/>
      </w:pPr>
    </w:lvl>
    <w:lvl w:ilvl="8" w:tplc="1056F66C"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96A0D"/>
    <w:rsid w:val="00002564"/>
    <w:rsid w:val="00013FDA"/>
    <w:rsid w:val="000173FB"/>
    <w:rsid w:val="000266D0"/>
    <w:rsid w:val="000655EC"/>
    <w:rsid w:val="00077D2F"/>
    <w:rsid w:val="0008547A"/>
    <w:rsid w:val="000B6688"/>
    <w:rsid w:val="000C3415"/>
    <w:rsid w:val="00121409"/>
    <w:rsid w:val="00125F0C"/>
    <w:rsid w:val="00126A8E"/>
    <w:rsid w:val="00135D82"/>
    <w:rsid w:val="001837F3"/>
    <w:rsid w:val="001D0D42"/>
    <w:rsid w:val="001D5C4A"/>
    <w:rsid w:val="001F392B"/>
    <w:rsid w:val="001F6A76"/>
    <w:rsid w:val="002209AC"/>
    <w:rsid w:val="002428EB"/>
    <w:rsid w:val="002A74DD"/>
    <w:rsid w:val="002B30C5"/>
    <w:rsid w:val="002C186C"/>
    <w:rsid w:val="002D5E01"/>
    <w:rsid w:val="002F4F64"/>
    <w:rsid w:val="002F7D00"/>
    <w:rsid w:val="0033275E"/>
    <w:rsid w:val="00361108"/>
    <w:rsid w:val="003824D9"/>
    <w:rsid w:val="003E3FAC"/>
    <w:rsid w:val="003E5AF5"/>
    <w:rsid w:val="003F602F"/>
    <w:rsid w:val="004277EE"/>
    <w:rsid w:val="0043543D"/>
    <w:rsid w:val="00442713"/>
    <w:rsid w:val="00457BC5"/>
    <w:rsid w:val="00463F5F"/>
    <w:rsid w:val="00482CDC"/>
    <w:rsid w:val="004C7ED4"/>
    <w:rsid w:val="004D47C9"/>
    <w:rsid w:val="00511D93"/>
    <w:rsid w:val="00514003"/>
    <w:rsid w:val="00537980"/>
    <w:rsid w:val="00563767"/>
    <w:rsid w:val="005667DA"/>
    <w:rsid w:val="00571BB5"/>
    <w:rsid w:val="00593C8B"/>
    <w:rsid w:val="00634B39"/>
    <w:rsid w:val="00644967"/>
    <w:rsid w:val="006665CF"/>
    <w:rsid w:val="00684E2A"/>
    <w:rsid w:val="006D2BED"/>
    <w:rsid w:val="006D6F42"/>
    <w:rsid w:val="006E5FEA"/>
    <w:rsid w:val="007128C8"/>
    <w:rsid w:val="00747F2C"/>
    <w:rsid w:val="00751F7D"/>
    <w:rsid w:val="007969C4"/>
    <w:rsid w:val="007B3A90"/>
    <w:rsid w:val="007D5AAA"/>
    <w:rsid w:val="007D6DD5"/>
    <w:rsid w:val="007E7E43"/>
    <w:rsid w:val="008027F3"/>
    <w:rsid w:val="008433A9"/>
    <w:rsid w:val="008550EF"/>
    <w:rsid w:val="00872F75"/>
    <w:rsid w:val="00873389"/>
    <w:rsid w:val="00880FBB"/>
    <w:rsid w:val="008B0B7A"/>
    <w:rsid w:val="00926406"/>
    <w:rsid w:val="009A7B1B"/>
    <w:rsid w:val="009D37B6"/>
    <w:rsid w:val="009E64DC"/>
    <w:rsid w:val="00A42830"/>
    <w:rsid w:val="00A4371F"/>
    <w:rsid w:val="00A47284"/>
    <w:rsid w:val="00A54E5B"/>
    <w:rsid w:val="00A61128"/>
    <w:rsid w:val="00A94C52"/>
    <w:rsid w:val="00AB09B8"/>
    <w:rsid w:val="00AD0F03"/>
    <w:rsid w:val="00B007EC"/>
    <w:rsid w:val="00B177F7"/>
    <w:rsid w:val="00B41B49"/>
    <w:rsid w:val="00B532F0"/>
    <w:rsid w:val="00B639A4"/>
    <w:rsid w:val="00B772A6"/>
    <w:rsid w:val="00B96A0D"/>
    <w:rsid w:val="00BC4595"/>
    <w:rsid w:val="00C372DF"/>
    <w:rsid w:val="00C45FBD"/>
    <w:rsid w:val="00C54EB9"/>
    <w:rsid w:val="00C7016B"/>
    <w:rsid w:val="00C93FA5"/>
    <w:rsid w:val="00CB726B"/>
    <w:rsid w:val="00CC50DD"/>
    <w:rsid w:val="00CC6EF3"/>
    <w:rsid w:val="00CD1289"/>
    <w:rsid w:val="00CD1F09"/>
    <w:rsid w:val="00CD50FC"/>
    <w:rsid w:val="00CE2A11"/>
    <w:rsid w:val="00CF1E48"/>
    <w:rsid w:val="00D00550"/>
    <w:rsid w:val="00D306D2"/>
    <w:rsid w:val="00D45866"/>
    <w:rsid w:val="00D9036C"/>
    <w:rsid w:val="00D9307E"/>
    <w:rsid w:val="00DC4119"/>
    <w:rsid w:val="00DE30DC"/>
    <w:rsid w:val="00DF160C"/>
    <w:rsid w:val="00E1124B"/>
    <w:rsid w:val="00E114A9"/>
    <w:rsid w:val="00E117BD"/>
    <w:rsid w:val="00E30F5A"/>
    <w:rsid w:val="00E40016"/>
    <w:rsid w:val="00E407E4"/>
    <w:rsid w:val="00E43349"/>
    <w:rsid w:val="00E51D18"/>
    <w:rsid w:val="00E86DF4"/>
    <w:rsid w:val="00EB3437"/>
    <w:rsid w:val="00EF2358"/>
    <w:rsid w:val="00F028CE"/>
    <w:rsid w:val="00F13669"/>
    <w:rsid w:val="00F177D8"/>
    <w:rsid w:val="00F35E8A"/>
    <w:rsid w:val="00F60320"/>
    <w:rsid w:val="00F64D86"/>
    <w:rsid w:val="00F93D91"/>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28C8"/>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7128C8"/>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7128C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7128C8"/>
  </w:style>
  <w:style w:type="paragraph" w:styleId="Header">
    <w:name w:val="header"/>
    <w:basedOn w:val="Normal"/>
    <w:link w:val="HeaderChar"/>
    <w:uiPriority w:val="99"/>
    <w:unhideWhenUsed/>
    <w:rsid w:val="007128C8"/>
    <w:pPr>
      <w:tabs>
        <w:tab w:val="center" w:pos="4680"/>
        <w:tab w:val="right" w:pos="9360"/>
      </w:tabs>
    </w:pPr>
    <w:rPr>
      <w:rFonts w:ascii="Times New Roman" w:hAnsi="Times New Roman"/>
    </w:rPr>
  </w:style>
  <w:style w:type="character" w:customStyle="1" w:styleId="HeaderChar">
    <w:name w:val="Header Char"/>
    <w:link w:val="Header"/>
    <w:uiPriority w:val="99"/>
    <w:rsid w:val="007128C8"/>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7128C8"/>
    <w:pPr>
      <w:tabs>
        <w:tab w:val="center" w:pos="4680"/>
        <w:tab w:val="right" w:pos="9360"/>
      </w:tabs>
    </w:pPr>
    <w:rPr>
      <w:rFonts w:ascii="Times New Roman" w:hAnsi="Times New Roman"/>
    </w:rPr>
  </w:style>
  <w:style w:type="character" w:customStyle="1" w:styleId="FooterChar">
    <w:name w:val="Footer Char"/>
    <w:link w:val="Footer"/>
    <w:uiPriority w:val="99"/>
    <w:rsid w:val="007128C8"/>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AD0F03"/>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7128C8"/>
    <w:pPr>
      <w:spacing w:before="100" w:beforeAutospacing="1"/>
      <w:ind w:left="567"/>
      <w:jc w:val="both"/>
    </w:pPr>
  </w:style>
  <w:style w:type="paragraph" w:customStyle="1" w:styleId="Metadata">
    <w:name w:val="Metadata"/>
    <w:basedOn w:val="Normal"/>
    <w:rsid w:val="007128C8"/>
    <w:pPr>
      <w:spacing w:before="100" w:beforeAutospacing="1" w:after="100" w:afterAutospacing="1"/>
    </w:pPr>
    <w:rPr>
      <w:rFonts w:cs="Arial"/>
      <w:szCs w:val="24"/>
    </w:rPr>
  </w:style>
  <w:style w:type="paragraph" w:customStyle="1" w:styleId="Page">
    <w:name w:val="Page"/>
    <w:basedOn w:val="Normal"/>
    <w:link w:val="PageChar"/>
    <w:rsid w:val="007128C8"/>
    <w:pPr>
      <w:spacing w:before="100" w:beforeAutospacing="1" w:after="100" w:afterAutospacing="1"/>
    </w:pPr>
    <w:rPr>
      <w:i/>
    </w:rPr>
  </w:style>
  <w:style w:type="paragraph" w:styleId="FootnoteText">
    <w:name w:val="footnote text"/>
    <w:basedOn w:val="Normal"/>
    <w:link w:val="FootnoteTextChar"/>
    <w:autoRedefine/>
    <w:semiHidden/>
    <w:rsid w:val="007128C8"/>
    <w:rPr>
      <w:sz w:val="16"/>
      <w:szCs w:val="20"/>
    </w:rPr>
  </w:style>
  <w:style w:type="character" w:customStyle="1" w:styleId="FootnoteTextChar">
    <w:name w:val="Footnote Text Char"/>
    <w:link w:val="FootnoteText"/>
    <w:semiHidden/>
    <w:rsid w:val="007128C8"/>
    <w:rPr>
      <w:rFonts w:ascii="Arial" w:eastAsia="MS Mincho" w:hAnsi="Arial" w:cs="Times New Roman"/>
      <w:sz w:val="16"/>
      <w:szCs w:val="20"/>
      <w:lang w:val="en-CA" w:eastAsia="ja-JP"/>
    </w:rPr>
  </w:style>
  <w:style w:type="character" w:styleId="FootnoteReference">
    <w:name w:val="footnote reference"/>
    <w:semiHidden/>
    <w:rsid w:val="007128C8"/>
    <w:rPr>
      <w:vertAlign w:val="superscript"/>
    </w:rPr>
  </w:style>
  <w:style w:type="paragraph" w:customStyle="1" w:styleId="ParagNum">
    <w:name w:val="ParagNum"/>
    <w:basedOn w:val="Normal"/>
    <w:rsid w:val="007128C8"/>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7128C8"/>
    <w:pPr>
      <w:spacing w:before="100" w:beforeAutospacing="1" w:after="100" w:afterAutospacing="1" w:line="360" w:lineRule="auto"/>
    </w:pPr>
  </w:style>
  <w:style w:type="paragraph" w:customStyle="1" w:styleId="Indent2">
    <w:name w:val="Indent 2"/>
    <w:basedOn w:val="Indent1"/>
    <w:rsid w:val="007128C8"/>
    <w:pPr>
      <w:ind w:left="1134"/>
    </w:pPr>
  </w:style>
  <w:style w:type="paragraph" w:customStyle="1" w:styleId="Indent3">
    <w:name w:val="Indent 3"/>
    <w:basedOn w:val="Indent1"/>
    <w:rsid w:val="007128C8"/>
    <w:pPr>
      <w:ind w:left="1701"/>
    </w:pPr>
  </w:style>
  <w:style w:type="paragraph" w:customStyle="1" w:styleId="Indent4">
    <w:name w:val="Indent 4"/>
    <w:basedOn w:val="Indent1"/>
    <w:rsid w:val="007128C8"/>
    <w:pPr>
      <w:ind w:left="2268"/>
    </w:pPr>
  </w:style>
  <w:style w:type="paragraph" w:customStyle="1" w:styleId="Indent10">
    <w:name w:val="Indent1"/>
    <w:basedOn w:val="Reasons"/>
    <w:rsid w:val="007128C8"/>
    <w:pPr>
      <w:ind w:left="567"/>
    </w:pPr>
  </w:style>
  <w:style w:type="paragraph" w:customStyle="1" w:styleId="Indent20">
    <w:name w:val="Indent2"/>
    <w:basedOn w:val="Indent10"/>
    <w:rsid w:val="007128C8"/>
    <w:pPr>
      <w:ind w:left="1134"/>
    </w:pPr>
  </w:style>
  <w:style w:type="paragraph" w:customStyle="1" w:styleId="Indent30">
    <w:name w:val="Indent3"/>
    <w:basedOn w:val="Indent10"/>
    <w:rsid w:val="007128C8"/>
    <w:pPr>
      <w:ind w:left="1701"/>
    </w:pPr>
  </w:style>
  <w:style w:type="paragraph" w:customStyle="1" w:styleId="Indent40">
    <w:name w:val="Indent4"/>
    <w:basedOn w:val="Indent10"/>
    <w:rsid w:val="007128C8"/>
    <w:pPr>
      <w:ind w:left="2268"/>
    </w:pPr>
  </w:style>
  <w:style w:type="paragraph" w:customStyle="1" w:styleId="Keywords">
    <w:name w:val="Keywords"/>
    <w:basedOn w:val="Normal"/>
    <w:rsid w:val="007128C8"/>
    <w:pPr>
      <w:spacing w:before="100" w:beforeAutospacing="1" w:after="100" w:afterAutospacing="1"/>
    </w:pPr>
    <w:rPr>
      <w:rFonts w:cs="Arial"/>
      <w:i/>
      <w:szCs w:val="24"/>
    </w:rPr>
  </w:style>
  <w:style w:type="paragraph" w:customStyle="1" w:styleId="Summary">
    <w:name w:val="Summary"/>
    <w:basedOn w:val="Normal"/>
    <w:autoRedefine/>
    <w:rsid w:val="007128C8"/>
    <w:pPr>
      <w:spacing w:before="100" w:beforeAutospacing="1" w:after="100" w:afterAutospacing="1"/>
      <w:ind w:left="562" w:hanging="562"/>
    </w:pPr>
    <w:rPr>
      <w:rFonts w:cs="Arial"/>
    </w:rPr>
  </w:style>
  <w:style w:type="paragraph" w:customStyle="1" w:styleId="History">
    <w:name w:val="History"/>
    <w:basedOn w:val="Normal"/>
    <w:rsid w:val="007128C8"/>
    <w:pPr>
      <w:spacing w:before="100" w:beforeAutospacing="1" w:after="100" w:afterAutospacing="1"/>
      <w:ind w:firstLine="567"/>
    </w:pPr>
  </w:style>
  <w:style w:type="paragraph" w:customStyle="1" w:styleId="T1">
    <w:name w:val="T1"/>
    <w:basedOn w:val="Normal"/>
    <w:rsid w:val="007128C8"/>
    <w:pPr>
      <w:spacing w:before="240" w:after="100" w:afterAutospacing="1"/>
    </w:pPr>
    <w:rPr>
      <w:b/>
    </w:rPr>
  </w:style>
  <w:style w:type="paragraph" w:customStyle="1" w:styleId="T2">
    <w:name w:val="T2"/>
    <w:basedOn w:val="Normal"/>
    <w:rsid w:val="007128C8"/>
    <w:pPr>
      <w:spacing w:before="240" w:after="100" w:afterAutospacing="1"/>
    </w:pPr>
  </w:style>
  <w:style w:type="paragraph" w:customStyle="1" w:styleId="Sollicitors">
    <w:name w:val="Sollicitors"/>
    <w:basedOn w:val="Normal"/>
    <w:rsid w:val="007128C8"/>
    <w:pPr>
      <w:spacing w:before="100" w:beforeAutospacing="1" w:after="100" w:afterAutospacing="1"/>
    </w:pPr>
    <w:rPr>
      <w:i/>
    </w:rPr>
  </w:style>
  <w:style w:type="paragraph" w:customStyle="1" w:styleId="Court">
    <w:name w:val="Court"/>
    <w:basedOn w:val="Normal"/>
    <w:rsid w:val="007128C8"/>
    <w:rPr>
      <w:rFonts w:cs="Arial"/>
      <w:b/>
      <w:szCs w:val="24"/>
    </w:rPr>
  </w:style>
  <w:style w:type="character" w:customStyle="1" w:styleId="PageChar">
    <w:name w:val="Page Char"/>
    <w:link w:val="Page"/>
    <w:rsid w:val="007128C8"/>
    <w:rPr>
      <w:rFonts w:ascii="Arial" w:eastAsia="MS Mincho" w:hAnsi="Arial" w:cs="Times New Roman"/>
      <w:i/>
      <w:sz w:val="24"/>
      <w:szCs w:val="28"/>
      <w:lang w:val="en-CA" w:eastAsia="ja-JP"/>
    </w:rPr>
  </w:style>
  <w:style w:type="character" w:customStyle="1" w:styleId="ReasonsCar">
    <w:name w:val="Reasons Car"/>
    <w:link w:val="Reasons"/>
    <w:rsid w:val="007128C8"/>
    <w:rPr>
      <w:rFonts w:ascii="Arial" w:eastAsia="MS Mincho" w:hAnsi="Arial" w:cs="Times New Roman"/>
      <w:sz w:val="24"/>
      <w:szCs w:val="28"/>
      <w:lang w:val="en-CA" w:eastAsia="ja-JP"/>
    </w:rPr>
  </w:style>
  <w:style w:type="paragraph" w:customStyle="1" w:styleId="CitationLine">
    <w:name w:val="CitationLine"/>
    <w:basedOn w:val="Court"/>
    <w:rsid w:val="007128C8"/>
  </w:style>
  <w:style w:type="paragraph" w:customStyle="1" w:styleId="DateISO">
    <w:name w:val="DateISO"/>
    <w:basedOn w:val="Court"/>
    <w:rsid w:val="007128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4</TotalTime>
  <Pages>5</Pages>
  <Words>1384</Words>
  <Characters>7891</Characters>
  <Application>Microsoft Office Word</Application>
  <DocSecurity>0</DocSecurity>
  <Lines>65</Lines>
  <Paragraphs>18</Paragraphs>
  <ScaleCrop>false</ScaleCrop>
  <Company/>
  <LinksUpToDate>false</LinksUpToDate>
  <CharactersWithSpaces>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2015-03-21T17:31:00Z</dcterms:created>
  <dcterms:modified xsi:type="dcterms:W3CDTF">2015-03-23T04:36:00Z</dcterms:modified>
</cp:coreProperties>
</file>