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0A" w:rsidRDefault="000B500A" w:rsidP="000B500A">
      <w:pPr>
        <w:pStyle w:val="Court"/>
      </w:pPr>
      <w:r>
        <w:t>Supreme Court of Canada</w:t>
      </w:r>
    </w:p>
    <w:p w:rsidR="000B500A" w:rsidRDefault="000B500A" w:rsidP="000B500A">
      <w:pPr>
        <w:pStyle w:val="CitationLine"/>
      </w:pPr>
      <w:r w:rsidRPr="006B08FA">
        <w:t xml:space="preserve">Smitheman </w:t>
      </w:r>
      <w:r w:rsidRPr="006B08FA">
        <w:rPr>
          <w:i/>
          <w:iCs/>
        </w:rPr>
        <w:t xml:space="preserve">v. </w:t>
      </w:r>
      <w:r w:rsidRPr="006B08FA">
        <w:t>The King</w:t>
      </w:r>
      <w:r>
        <w:t xml:space="preserve"> (1905) 35 SCR 490</w:t>
      </w:r>
    </w:p>
    <w:p w:rsidR="000B500A" w:rsidRDefault="000B500A" w:rsidP="000B500A">
      <w:pPr>
        <w:pStyle w:val="DateISO"/>
      </w:pPr>
      <w:r>
        <w:t>Date: 1905-01-31</w:t>
      </w:r>
    </w:p>
    <w:p w:rsidR="009A2529" w:rsidRPr="006B08FA" w:rsidRDefault="000B500A" w:rsidP="000B500A">
      <w:pPr>
        <w:pStyle w:val="Metadata"/>
        <w:rPr>
          <w:caps/>
        </w:rPr>
      </w:pPr>
      <w:r w:rsidRPr="006B08FA">
        <w:t>William Smitheman</w:t>
      </w:r>
    </w:p>
    <w:p w:rsidR="009A2529" w:rsidRPr="006B08FA" w:rsidRDefault="000B500A" w:rsidP="000B500A">
      <w:pPr>
        <w:pStyle w:val="Metadata"/>
        <w:rPr>
          <w:caps/>
        </w:rPr>
      </w:pPr>
      <w:r w:rsidRPr="006B08FA">
        <w:t>Appellant</w:t>
      </w:r>
    </w:p>
    <w:p w:rsidR="009A2529" w:rsidRPr="006B08FA" w:rsidRDefault="000B500A" w:rsidP="000B500A">
      <w:pPr>
        <w:pStyle w:val="Metadata"/>
        <w:rPr>
          <w:caps/>
        </w:rPr>
      </w:pPr>
      <w:r w:rsidRPr="006B08FA">
        <w:t>And</w:t>
      </w:r>
    </w:p>
    <w:p w:rsidR="009A2529" w:rsidRPr="006B08FA" w:rsidRDefault="000B500A" w:rsidP="000B500A">
      <w:pPr>
        <w:pStyle w:val="Metadata"/>
        <w:rPr>
          <w:caps/>
        </w:rPr>
      </w:pPr>
      <w:r w:rsidRPr="006B08FA">
        <w:t>His Majesty The King</w:t>
      </w:r>
    </w:p>
    <w:p w:rsidR="009A2529" w:rsidRPr="006B08FA" w:rsidRDefault="000B500A" w:rsidP="000B500A">
      <w:pPr>
        <w:pStyle w:val="Metadata"/>
        <w:rPr>
          <w:caps/>
        </w:rPr>
      </w:pPr>
      <w:r w:rsidRPr="006B08FA">
        <w:t>Respondent</w:t>
      </w:r>
    </w:p>
    <w:p w:rsidR="000B500A" w:rsidRDefault="000B500A" w:rsidP="000B500A">
      <w:pPr>
        <w:pStyle w:val="Metadata"/>
      </w:pPr>
      <w:r w:rsidRPr="006B08FA">
        <w:t>1904</w:t>
      </w:r>
      <w:r>
        <w:t xml:space="preserve">: Nov. 29; </w:t>
      </w:r>
      <w:r w:rsidRPr="006B08FA">
        <w:t>1905</w:t>
      </w:r>
      <w:r>
        <w:t xml:space="preserve">: </w:t>
      </w:r>
      <w:r w:rsidRPr="006B08FA">
        <w:t>Jan. 31.</w:t>
      </w:r>
    </w:p>
    <w:p w:rsidR="000B500A" w:rsidRDefault="000B500A" w:rsidP="000B500A">
      <w:pPr>
        <w:pStyle w:val="Metadata"/>
      </w:pPr>
      <w:r w:rsidRPr="006B08FA">
        <w:t>Present</w:t>
      </w:r>
      <w:r w:rsidRPr="006B08FA">
        <w:rPr>
          <w:caps/>
        </w:rPr>
        <w:t>:</w:t>
      </w:r>
      <w:r w:rsidRPr="006B08FA">
        <w:t>—Sedgewick, Girouard, Nesbitt and Killam JJ.</w:t>
      </w:r>
    </w:p>
    <w:p w:rsidR="009A2529" w:rsidRPr="006B08FA" w:rsidRDefault="009A2529" w:rsidP="000B500A">
      <w:pPr>
        <w:pStyle w:val="Metadata"/>
      </w:pPr>
      <w:r w:rsidRPr="006B08FA">
        <w:t>ON APPEAL FROM HIS LORDSHIP MR. JUSTICE DAVIES, IN CHAMBERS.</w:t>
      </w:r>
    </w:p>
    <w:p w:rsidR="009A2529" w:rsidRPr="006B08FA" w:rsidRDefault="009A2529" w:rsidP="000B500A">
      <w:pPr>
        <w:pStyle w:val="Keywords"/>
      </w:pPr>
      <w:r w:rsidRPr="006B08FA">
        <w:t>Criminal law—Venue—Indictment—Commitment to penitentiary—Warrant—Criminal Code, 1892, ss. 609, 754—R. S. C. c. 182, s. 42.</w:t>
      </w:r>
    </w:p>
    <w:p w:rsidR="009A2529" w:rsidRPr="006B08FA" w:rsidRDefault="009A2529" w:rsidP="000B500A">
      <w:pPr>
        <w:pStyle w:val="Summary"/>
      </w:pPr>
      <w:r w:rsidRPr="006B08FA">
        <w:t>The venue mentioned in section 609 of the Criminal Code, 1892, means the place where the crime is charged to have been committed and, in cases where local description is not required, there is an implied allegation that the offence was committed at the place mentioned in the venue in the margin of the record. It is of no consequence whether or not the trial court should he considered an inferior court.</w:t>
      </w:r>
    </w:p>
    <w:p w:rsidR="009A2529" w:rsidRPr="006B08FA" w:rsidRDefault="009A2529" w:rsidP="000B500A">
      <w:pPr>
        <w:pStyle w:val="Summary"/>
        <w:rPr>
          <w:szCs w:val="24"/>
        </w:rPr>
      </w:pPr>
      <w:r w:rsidRPr="006B08FA">
        <w:rPr>
          <w:szCs w:val="24"/>
        </w:rPr>
        <w:t>Under section 42 of "The Penitentiary Act," R. S. C. chap 182, a copy of the sentence of the trial court certified by a judge or by the clerk or acting clerk of that court is a sufficient warrant for the commitment and detention of the convict.</w:t>
      </w:r>
    </w:p>
    <w:p w:rsidR="009A2529" w:rsidRPr="006B08FA" w:rsidRDefault="009A2529" w:rsidP="000B500A">
      <w:pPr>
        <w:pStyle w:val="Summary"/>
        <w:rPr>
          <w:szCs w:val="24"/>
        </w:rPr>
      </w:pPr>
      <w:r w:rsidRPr="006B08FA">
        <w:rPr>
          <w:szCs w:val="24"/>
        </w:rPr>
        <w:t>Judgment appealed from (35 Can. S. C. R. 189) affirmed.</w:t>
      </w:r>
    </w:p>
    <w:p w:rsidR="009A2529" w:rsidRPr="006B08FA" w:rsidRDefault="009A2529" w:rsidP="000B500A">
      <w:pPr>
        <w:pStyle w:val="History"/>
      </w:pPr>
      <w:r w:rsidRPr="006B08FA">
        <w:rPr>
          <w:caps/>
        </w:rPr>
        <w:t>Appeal</w:t>
      </w:r>
      <w:r w:rsidRPr="006B08FA">
        <w:t xml:space="preserve"> from the judgment of Mr. Justice Davies, in chambers</w:t>
      </w:r>
      <w:r w:rsidR="004A5E2F">
        <w:rPr>
          <w:rStyle w:val="FootnoteReference"/>
        </w:rPr>
        <w:footnoteReference w:id="2"/>
      </w:r>
      <w:r w:rsidRPr="006B08FA">
        <w:t>, refusing the application of the appellant for a writ of habeas corpus to inquire into the cause of bis imprisonment in the Penitentiary at Dorchester, N.B., on a conviction in a County Court Judges' Criminal Court, under the provisions of Part LIV. of "The Criminal Code, 1892," for the Speedy Trial of Indictable Offences.</w:t>
      </w:r>
    </w:p>
    <w:p w:rsidR="009A2529" w:rsidRPr="006B08FA" w:rsidRDefault="009A2529" w:rsidP="000B500A">
      <w:pPr>
        <w:pStyle w:val="History"/>
        <w:rPr>
          <w:rFonts w:cs="Arial"/>
          <w:szCs w:val="24"/>
        </w:rPr>
      </w:pPr>
      <w:r w:rsidRPr="006B08FA">
        <w:rPr>
          <w:rFonts w:cs="Arial"/>
          <w:szCs w:val="24"/>
        </w:rPr>
        <w:t>The questions raised on the appeal were similar to those raised on the application for the writ of habeas corpus mentioned in the report of the judgment appealed from.</w:t>
      </w:r>
    </w:p>
    <w:p w:rsidR="009A2529" w:rsidRPr="006B08FA" w:rsidRDefault="0069448F" w:rsidP="0069448F">
      <w:pPr>
        <w:pStyle w:val="Page"/>
      </w:pPr>
      <w:r>
        <w:rPr>
          <w:rFonts w:cs="Arial"/>
          <w:szCs w:val="24"/>
        </w:rPr>
        <w:lastRenderedPageBreak/>
        <w:t xml:space="preserve">[Page </w:t>
      </w:r>
      <w:r w:rsidR="009A2529" w:rsidRPr="006B08FA">
        <w:rPr>
          <w:rFonts w:cs="Arial"/>
          <w:szCs w:val="24"/>
        </w:rPr>
        <w:t>491]</w:t>
      </w:r>
    </w:p>
    <w:p w:rsidR="009A2529" w:rsidRPr="006B08FA" w:rsidRDefault="009A2529" w:rsidP="00D70282">
      <w:pPr>
        <w:pStyle w:val="History"/>
        <w:rPr>
          <w:rFonts w:cs="Arial"/>
          <w:szCs w:val="24"/>
        </w:rPr>
      </w:pPr>
      <w:r w:rsidRPr="006B08FA">
        <w:rPr>
          <w:rFonts w:cs="Arial"/>
          <w:i/>
          <w:iCs/>
          <w:szCs w:val="24"/>
        </w:rPr>
        <w:t xml:space="preserve">John J. Power </w:t>
      </w:r>
      <w:r w:rsidRPr="006B08FA">
        <w:rPr>
          <w:rFonts w:cs="Arial"/>
          <w:szCs w:val="24"/>
        </w:rPr>
        <w:t>for the appellant. The forms FF. to the Code are merely examples of the manner of stating offences. See Endlich on Statutes, sec. 71, pp. 91-92. A form given in a schedule, especially if there is no reference to it in the body of the Act, is to be regarded merely as an example. See also the foot note 77, on page 92.</w:t>
      </w:r>
    </w:p>
    <w:p w:rsidR="009A2529" w:rsidRPr="006B08FA" w:rsidRDefault="009A2529" w:rsidP="00D70282">
      <w:pPr>
        <w:pStyle w:val="History"/>
        <w:rPr>
          <w:rFonts w:cs="Arial"/>
          <w:szCs w:val="24"/>
        </w:rPr>
      </w:pPr>
      <w:r w:rsidRPr="006B08FA">
        <w:rPr>
          <w:rFonts w:cs="Arial"/>
          <w:szCs w:val="24"/>
        </w:rPr>
        <w:t xml:space="preserve">Every element must be stated in an indictment as heretofore required by law. </w:t>
      </w:r>
      <w:r w:rsidRPr="006B08FA">
        <w:rPr>
          <w:rFonts w:cs="Arial"/>
          <w:i/>
          <w:iCs/>
          <w:szCs w:val="24"/>
        </w:rPr>
        <w:t xml:space="preserve">Smith </w:t>
      </w:r>
      <w:r w:rsidRPr="006B08FA">
        <w:rPr>
          <w:rFonts w:cs="Arial"/>
          <w:szCs w:val="24"/>
        </w:rPr>
        <w:t xml:space="preserve">v. </w:t>
      </w:r>
      <w:r w:rsidRPr="006B08FA">
        <w:rPr>
          <w:rFonts w:cs="Arial"/>
          <w:i/>
          <w:iCs/>
          <w:szCs w:val="24"/>
        </w:rPr>
        <w:t>Moody</w:t>
      </w:r>
      <w:r w:rsidR="004A5E2F">
        <w:rPr>
          <w:rStyle w:val="FootnoteReference"/>
          <w:rFonts w:cs="Arial"/>
          <w:i/>
          <w:iCs/>
          <w:szCs w:val="24"/>
        </w:rPr>
        <w:footnoteReference w:id="3"/>
      </w:r>
      <w:r w:rsidRPr="006B08FA">
        <w:rPr>
          <w:rFonts w:cs="Arial"/>
          <w:szCs w:val="24"/>
        </w:rPr>
        <w:t xml:space="preserve">, at page 60-63, </w:t>
      </w:r>
      <w:r w:rsidRPr="006B08FA">
        <w:rPr>
          <w:rFonts w:cs="Arial"/>
          <w:i/>
          <w:iCs/>
          <w:szCs w:val="24"/>
        </w:rPr>
        <w:t xml:space="preserve">per </w:t>
      </w:r>
      <w:r w:rsidRPr="006B08FA">
        <w:rPr>
          <w:rFonts w:cs="Arial"/>
          <w:szCs w:val="24"/>
        </w:rPr>
        <w:t>Alverstone C. J., and Wills and Chan-nell JJ.</w:t>
      </w:r>
    </w:p>
    <w:p w:rsidR="009A2529" w:rsidRPr="006B08FA" w:rsidRDefault="009A2529" w:rsidP="00D70282">
      <w:pPr>
        <w:pStyle w:val="History"/>
        <w:rPr>
          <w:rFonts w:cs="Arial"/>
          <w:szCs w:val="24"/>
        </w:rPr>
      </w:pPr>
      <w:r w:rsidRPr="006B08FA">
        <w:rPr>
          <w:rFonts w:cs="Arial"/>
          <w:szCs w:val="24"/>
        </w:rPr>
        <w:t xml:space="preserve">The words "County of Halifax" in the margin must denote either </w:t>
      </w:r>
      <w:r w:rsidRPr="006B08FA">
        <w:rPr>
          <w:rFonts w:cs="Arial"/>
          <w:i/>
          <w:iCs/>
          <w:spacing w:val="30"/>
          <w:szCs w:val="24"/>
        </w:rPr>
        <w:t>(a)</w:t>
      </w:r>
      <w:r w:rsidRPr="006B08FA">
        <w:rPr>
          <w:rFonts w:cs="Arial"/>
          <w:i/>
          <w:iCs/>
          <w:szCs w:val="24"/>
        </w:rPr>
        <w:t xml:space="preserve"> </w:t>
      </w:r>
      <w:r w:rsidRPr="006B08FA">
        <w:rPr>
          <w:rFonts w:cs="Arial"/>
          <w:szCs w:val="24"/>
        </w:rPr>
        <w:t xml:space="preserve">the place where the document was drawn up; 1 Burns's Justices of the Peace (30 ed.) 1118, and </w:t>
      </w:r>
      <w:r w:rsidRPr="006B08FA">
        <w:rPr>
          <w:rFonts w:cs="Arial"/>
          <w:i/>
          <w:iCs/>
          <w:szCs w:val="24"/>
        </w:rPr>
        <w:t>Austin's Case</w:t>
      </w:r>
      <w:r w:rsidR="004A5E2F">
        <w:rPr>
          <w:rStyle w:val="FootnoteReference"/>
          <w:rFonts w:cs="Arial"/>
          <w:i/>
          <w:iCs/>
          <w:szCs w:val="24"/>
        </w:rPr>
        <w:footnoteReference w:id="4"/>
      </w:r>
      <w:r w:rsidRPr="006B08FA">
        <w:rPr>
          <w:rFonts w:cs="Arial"/>
          <w:szCs w:val="24"/>
        </w:rPr>
        <w:t xml:space="preserve">; or </w:t>
      </w:r>
      <w:r w:rsidRPr="006B08FA">
        <w:rPr>
          <w:rFonts w:cs="Arial"/>
          <w:i/>
          <w:iCs/>
          <w:spacing w:val="30"/>
          <w:szCs w:val="24"/>
        </w:rPr>
        <w:t>(b)</w:t>
      </w:r>
      <w:r w:rsidRPr="006B08FA">
        <w:rPr>
          <w:rFonts w:cs="Arial"/>
          <w:i/>
          <w:iCs/>
          <w:szCs w:val="24"/>
        </w:rPr>
        <w:t xml:space="preserve"> </w:t>
      </w:r>
      <w:r w:rsidRPr="006B08FA">
        <w:rPr>
          <w:rFonts w:cs="Arial"/>
          <w:szCs w:val="24"/>
        </w:rPr>
        <w:t>the venue as laid down in section 609 of the Code. The venue is intended to shew where the facts were alleged to have occurred and that the court and jury had jurisdiction in the matter. It was formerly necessary to state the venue expressly in the indictment, or by reference to the venue in the margin in every material allegation. Now, by virtue of sec. 609 of the Code [taken from 18 "Vict. c. 92, (U.C.) E. S. C. ch. 174, sec. 104, and 14 &amp; 15 Vict. (Imp.) ch. 100, s. 23] it is not necessary to state any venue in the body of any indictment.</w:t>
      </w:r>
    </w:p>
    <w:p w:rsidR="009A2529" w:rsidRPr="006B08FA" w:rsidRDefault="009A2529" w:rsidP="00D70282">
      <w:pPr>
        <w:pStyle w:val="History"/>
        <w:rPr>
          <w:rFonts w:cs="Arial"/>
          <w:szCs w:val="24"/>
        </w:rPr>
      </w:pPr>
      <w:r w:rsidRPr="006B08FA">
        <w:rPr>
          <w:rFonts w:cs="Arial"/>
          <w:szCs w:val="24"/>
        </w:rPr>
        <w:t>Section 651 of the Code relates to procedure only, and does not authorize any order for the change of the place of trial of a prisoner, in any case where any such change would not have been granted under the former practice; it does away with the old practice of removing the case, by certiorari, into the Queen's Bench, and then moving to change the venue. But if the venue be changed, what of the marginal "place" as indicating where the crime was committed.</w:t>
      </w:r>
    </w:p>
    <w:p w:rsidR="009A2529" w:rsidRPr="006B08FA" w:rsidRDefault="0069448F" w:rsidP="0069448F">
      <w:pPr>
        <w:pStyle w:val="Page"/>
      </w:pPr>
      <w:r>
        <w:rPr>
          <w:rFonts w:cs="Arial"/>
          <w:szCs w:val="24"/>
        </w:rPr>
        <w:t xml:space="preserve">[Page </w:t>
      </w:r>
      <w:r w:rsidR="009A2529" w:rsidRPr="006B08FA">
        <w:rPr>
          <w:rFonts w:cs="Arial"/>
          <w:szCs w:val="24"/>
        </w:rPr>
        <w:t>492]</w:t>
      </w:r>
    </w:p>
    <w:p w:rsidR="009A2529" w:rsidRPr="006B08FA" w:rsidRDefault="009A2529" w:rsidP="00D70282">
      <w:pPr>
        <w:pStyle w:val="History"/>
        <w:rPr>
          <w:rFonts w:cs="Arial"/>
          <w:szCs w:val="24"/>
        </w:rPr>
      </w:pPr>
      <w:r w:rsidRPr="006B08FA">
        <w:rPr>
          <w:rFonts w:cs="Arial"/>
          <w:szCs w:val="24"/>
        </w:rPr>
        <w:t>It is submitted, at all events, that the words "any record" referred to in s.s. (</w:t>
      </w:r>
      <w:r w:rsidRPr="006B08FA">
        <w:rPr>
          <w:rFonts w:cs="Arial"/>
          <w:i/>
          <w:iCs/>
          <w:szCs w:val="24"/>
        </w:rPr>
        <w:t>l</w:t>
      </w:r>
      <w:r w:rsidRPr="006B08FA">
        <w:rPr>
          <w:rFonts w:cs="Arial"/>
          <w:szCs w:val="24"/>
        </w:rPr>
        <w:t xml:space="preserve">) of sec. 3 of the Criminal Code means "any nisi prius record." See sec. 30 of 14 &amp; 15 Yict. (Imp.) ch. 100. By sub-sec. 3 of sec. 764 of the Code the </w:t>
      </w:r>
      <w:r w:rsidRPr="006B08FA">
        <w:rPr>
          <w:rFonts w:cs="Arial"/>
          <w:i/>
          <w:iCs/>
          <w:szCs w:val="24"/>
        </w:rPr>
        <w:t xml:space="preserve">record </w:t>
      </w:r>
      <w:r w:rsidRPr="006B08FA">
        <w:rPr>
          <w:rFonts w:cs="Arial"/>
          <w:szCs w:val="24"/>
        </w:rPr>
        <w:t xml:space="preserve">in any case must be filed in the court. The warrant is a certificate under sec. 42 of the "Penitentiary Act," and is given to the warden of the penitentary through the officer who carries the prisoner, the act of a ministerial officer; it is not a "record," and therefore, is not covered by sec. 609 and sub-sec. </w:t>
      </w:r>
      <w:r w:rsidRPr="00CA5B7F">
        <w:rPr>
          <w:rFonts w:cs="Arial"/>
          <w:szCs w:val="24"/>
        </w:rPr>
        <w:t>(1)</w:t>
      </w:r>
      <w:r w:rsidRPr="006B08FA">
        <w:rPr>
          <w:rFonts w:cs="Arial"/>
          <w:szCs w:val="24"/>
        </w:rPr>
        <w:t xml:space="preserve"> of sec. </w:t>
      </w:r>
      <w:r w:rsidRPr="006B08FA">
        <w:rPr>
          <w:rFonts w:cs="Arial"/>
          <w:spacing w:val="-20"/>
          <w:szCs w:val="24"/>
        </w:rPr>
        <w:t>3</w:t>
      </w:r>
      <w:r w:rsidRPr="006B08FA">
        <w:rPr>
          <w:rFonts w:cs="Arial"/>
          <w:szCs w:val="24"/>
        </w:rPr>
        <w:t xml:space="preserve"> of the Code.</w:t>
      </w:r>
    </w:p>
    <w:p w:rsidR="009A2529" w:rsidRPr="006B08FA" w:rsidRDefault="009A2529" w:rsidP="00D70282">
      <w:pPr>
        <w:pStyle w:val="History"/>
        <w:rPr>
          <w:rFonts w:cs="Arial"/>
          <w:szCs w:val="24"/>
        </w:rPr>
      </w:pPr>
      <w:r w:rsidRPr="006B08FA">
        <w:rPr>
          <w:rFonts w:cs="Arial"/>
          <w:szCs w:val="24"/>
        </w:rPr>
        <w:t xml:space="preserve">As to the distinction of courts of general and limited jurisdiction, see the </w:t>
      </w:r>
      <w:r w:rsidRPr="006B08FA">
        <w:rPr>
          <w:rFonts w:cs="Arial"/>
          <w:i/>
          <w:iCs/>
          <w:szCs w:val="24"/>
        </w:rPr>
        <w:t>Lefroy Case</w:t>
      </w:r>
      <w:r w:rsidR="004A5E2F">
        <w:rPr>
          <w:rStyle w:val="FootnoteReference"/>
          <w:rFonts w:cs="Arial"/>
          <w:i/>
          <w:iCs/>
          <w:szCs w:val="24"/>
        </w:rPr>
        <w:footnoteReference w:id="5"/>
      </w:r>
      <w:r w:rsidRPr="006B08FA">
        <w:rPr>
          <w:rFonts w:cs="Arial"/>
          <w:szCs w:val="24"/>
        </w:rPr>
        <w:t xml:space="preserve">, and 8 Am. &amp; Eng. Ency. of Law, (2 ed.) pages 37, 38. Jurisdiction in the County Court Judge's Criminal Court depends on </w:t>
      </w:r>
      <w:r w:rsidRPr="006B08FA">
        <w:rPr>
          <w:rFonts w:cs="Arial"/>
          <w:i/>
          <w:iCs/>
          <w:spacing w:val="30"/>
          <w:szCs w:val="24"/>
        </w:rPr>
        <w:t xml:space="preserve">(a) </w:t>
      </w:r>
      <w:r w:rsidRPr="006B08FA">
        <w:rPr>
          <w:rFonts w:cs="Arial"/>
          <w:szCs w:val="24"/>
        </w:rPr>
        <w:t xml:space="preserve">committal for trial or binding over; Code sees. 596, 601, 765; </w:t>
      </w:r>
      <w:r w:rsidRPr="006B08FA">
        <w:rPr>
          <w:rFonts w:cs="Arial"/>
          <w:i/>
          <w:iCs/>
          <w:szCs w:val="24"/>
        </w:rPr>
        <w:t xml:space="preserve">The King </w:t>
      </w:r>
      <w:r w:rsidRPr="006B08FA">
        <w:rPr>
          <w:rFonts w:cs="Arial"/>
          <w:szCs w:val="24"/>
        </w:rPr>
        <w:t xml:space="preserve">v. </w:t>
      </w:r>
      <w:r w:rsidRPr="006B08FA">
        <w:rPr>
          <w:rFonts w:cs="Arial"/>
          <w:i/>
          <w:iCs/>
          <w:szCs w:val="24"/>
        </w:rPr>
        <w:t>Komiensky</w:t>
      </w:r>
      <w:r w:rsidR="004A5E2F">
        <w:rPr>
          <w:rStyle w:val="FootnoteReference"/>
          <w:rFonts w:cs="Arial"/>
          <w:i/>
          <w:iCs/>
          <w:szCs w:val="24"/>
        </w:rPr>
        <w:footnoteReference w:id="6"/>
      </w:r>
      <w:r w:rsidR="004A5E2F">
        <w:rPr>
          <w:rFonts w:cs="Arial"/>
          <w:i/>
          <w:iCs/>
          <w:szCs w:val="24"/>
        </w:rPr>
        <w:t xml:space="preserve"> </w:t>
      </w:r>
      <w:r w:rsidRPr="006B08FA">
        <w:rPr>
          <w:rFonts w:cs="Arial"/>
          <w:i/>
          <w:iCs/>
          <w:spacing w:val="30"/>
          <w:szCs w:val="24"/>
        </w:rPr>
        <w:t>(b)</w:t>
      </w:r>
      <w:r w:rsidRPr="006B08FA">
        <w:rPr>
          <w:rFonts w:cs="Arial"/>
          <w:i/>
          <w:iCs/>
          <w:szCs w:val="24"/>
        </w:rPr>
        <w:t xml:space="preserve"> </w:t>
      </w:r>
      <w:r w:rsidRPr="006B08FA">
        <w:rPr>
          <w:rFonts w:cs="Arial"/>
          <w:szCs w:val="24"/>
        </w:rPr>
        <w:t xml:space="preserve">certain crimes; sea 765; or </w:t>
      </w:r>
      <w:r w:rsidRPr="006B08FA">
        <w:rPr>
          <w:rFonts w:cs="Arial"/>
          <w:i/>
          <w:iCs/>
          <w:spacing w:val="30"/>
          <w:szCs w:val="24"/>
        </w:rPr>
        <w:t>(c)</w:t>
      </w:r>
      <w:r w:rsidRPr="006B08FA">
        <w:rPr>
          <w:rFonts w:cs="Arial"/>
          <w:i/>
          <w:iCs/>
          <w:szCs w:val="24"/>
        </w:rPr>
        <w:t xml:space="preserve"> </w:t>
      </w:r>
      <w:r w:rsidRPr="006B08FA">
        <w:rPr>
          <w:rFonts w:cs="Arial"/>
          <w:szCs w:val="24"/>
        </w:rPr>
        <w:t>consent of prisoner; secs. 765-767.</w:t>
      </w:r>
    </w:p>
    <w:p w:rsidR="009A2529" w:rsidRPr="006B08FA" w:rsidRDefault="009A2529" w:rsidP="00D70282">
      <w:pPr>
        <w:pStyle w:val="History"/>
        <w:rPr>
          <w:rFonts w:cs="Arial"/>
          <w:szCs w:val="24"/>
        </w:rPr>
      </w:pPr>
      <w:r w:rsidRPr="006B08FA">
        <w:rPr>
          <w:rFonts w:cs="Arial"/>
          <w:szCs w:val="24"/>
        </w:rPr>
        <w:lastRenderedPageBreak/>
        <w:t xml:space="preserve">We also refer to </w:t>
      </w:r>
      <w:r w:rsidRPr="006B08FA">
        <w:rPr>
          <w:rFonts w:cs="Arial"/>
          <w:i/>
          <w:iCs/>
          <w:szCs w:val="24"/>
        </w:rPr>
        <w:t xml:space="preserve">Christie </w:t>
      </w:r>
      <w:r w:rsidRPr="006B08FA">
        <w:rPr>
          <w:rFonts w:cs="Arial"/>
          <w:szCs w:val="24"/>
        </w:rPr>
        <w:t xml:space="preserve">v. </w:t>
      </w:r>
      <w:r w:rsidRPr="006B08FA">
        <w:rPr>
          <w:rFonts w:cs="Arial"/>
          <w:i/>
          <w:iCs/>
          <w:szCs w:val="24"/>
        </w:rPr>
        <w:t>Unwin</w:t>
      </w:r>
      <w:r w:rsidR="004A5E2F">
        <w:rPr>
          <w:rStyle w:val="FootnoteReference"/>
          <w:rFonts w:cs="Arial"/>
          <w:i/>
          <w:iCs/>
          <w:szCs w:val="24"/>
        </w:rPr>
        <w:footnoteReference w:id="7"/>
      </w:r>
      <w:r w:rsidRPr="006B08FA">
        <w:rPr>
          <w:rFonts w:cs="Arial"/>
          <w:szCs w:val="24"/>
        </w:rPr>
        <w:t xml:space="preserve">, at </w:t>
      </w:r>
      <w:r w:rsidRPr="006B08FA">
        <w:rPr>
          <w:rFonts w:cs="Arial"/>
          <w:spacing w:val="-20"/>
          <w:szCs w:val="24"/>
        </w:rPr>
        <w:t>p.</w:t>
      </w:r>
      <w:r w:rsidRPr="006B08FA">
        <w:rPr>
          <w:rFonts w:cs="Arial"/>
          <w:szCs w:val="24"/>
        </w:rPr>
        <w:t xml:space="preserve"> 379; </w:t>
      </w:r>
      <w:r w:rsidRPr="006B08FA">
        <w:rPr>
          <w:rFonts w:cs="Arial"/>
          <w:i/>
          <w:iCs/>
          <w:szCs w:val="24"/>
        </w:rPr>
        <w:t xml:space="preserve">The Queen </w:t>
      </w:r>
      <w:r w:rsidRPr="006B08FA">
        <w:rPr>
          <w:rFonts w:cs="Arial"/>
          <w:szCs w:val="24"/>
        </w:rPr>
        <w:t xml:space="preserve">v. </w:t>
      </w:r>
      <w:r w:rsidRPr="006B08FA">
        <w:rPr>
          <w:rFonts w:cs="Arial"/>
          <w:i/>
          <w:iCs/>
          <w:szCs w:val="24"/>
        </w:rPr>
        <w:t>Slavin</w:t>
      </w:r>
      <w:r w:rsidR="004A5E2F">
        <w:rPr>
          <w:rStyle w:val="FootnoteReference"/>
          <w:rFonts w:cs="Arial"/>
          <w:i/>
          <w:iCs/>
          <w:szCs w:val="24"/>
        </w:rPr>
        <w:footnoteReference w:id="8"/>
      </w:r>
      <w:r w:rsidRPr="006B08FA">
        <w:rPr>
          <w:rFonts w:cs="Arial"/>
          <w:szCs w:val="24"/>
        </w:rPr>
        <w:t xml:space="preserve">; </w:t>
      </w:r>
      <w:r w:rsidRPr="006B08FA">
        <w:rPr>
          <w:rFonts w:cs="Arial"/>
          <w:i/>
          <w:iCs/>
          <w:szCs w:val="24"/>
        </w:rPr>
        <w:t>Ex parte Macdonald</w:t>
      </w:r>
      <w:r w:rsidR="004A5E2F">
        <w:rPr>
          <w:rStyle w:val="FootnoteReference"/>
          <w:rFonts w:cs="Arial"/>
          <w:i/>
          <w:iCs/>
          <w:szCs w:val="24"/>
        </w:rPr>
        <w:footnoteReference w:id="9"/>
      </w:r>
      <w:r w:rsidRPr="006B08FA">
        <w:rPr>
          <w:rFonts w:cs="Arial"/>
          <w:szCs w:val="24"/>
        </w:rPr>
        <w:t xml:space="preserve">; </w:t>
      </w:r>
      <w:r w:rsidRPr="006B08FA">
        <w:rPr>
          <w:rFonts w:cs="Arial"/>
          <w:i/>
          <w:iCs/>
          <w:szCs w:val="24"/>
        </w:rPr>
        <w:t xml:space="preserve">Case </w:t>
      </w:r>
      <w:r w:rsidRPr="006B08FA">
        <w:rPr>
          <w:rFonts w:cs="Arial"/>
          <w:i/>
          <w:iCs/>
          <w:spacing w:val="-20"/>
          <w:szCs w:val="24"/>
        </w:rPr>
        <w:t>of</w:t>
      </w:r>
      <w:r w:rsidRPr="006B08FA">
        <w:rPr>
          <w:rFonts w:cs="Arial"/>
          <w:i/>
          <w:iCs/>
          <w:szCs w:val="24"/>
        </w:rPr>
        <w:t xml:space="preserve"> the Sheriff </w:t>
      </w:r>
      <w:r w:rsidRPr="006B08FA">
        <w:rPr>
          <w:rFonts w:cs="Arial"/>
          <w:i/>
          <w:iCs/>
          <w:spacing w:val="-20"/>
          <w:szCs w:val="24"/>
        </w:rPr>
        <w:t>of</w:t>
      </w:r>
      <w:r w:rsidRPr="006B08FA">
        <w:rPr>
          <w:rFonts w:cs="Arial"/>
          <w:i/>
          <w:iCs/>
          <w:szCs w:val="24"/>
        </w:rPr>
        <w:t xml:space="preserve"> Middlesex</w:t>
      </w:r>
      <w:r w:rsidR="004A5E2F">
        <w:rPr>
          <w:rStyle w:val="FootnoteReference"/>
          <w:rFonts w:cs="Arial"/>
          <w:i/>
          <w:iCs/>
          <w:szCs w:val="24"/>
        </w:rPr>
        <w:footnoteReference w:id="10"/>
      </w:r>
      <w:r w:rsidRPr="006B08FA">
        <w:rPr>
          <w:rFonts w:cs="Arial"/>
          <w:szCs w:val="24"/>
        </w:rPr>
        <w:t>.</w:t>
      </w:r>
    </w:p>
    <w:p w:rsidR="009A2529" w:rsidRPr="006B08FA" w:rsidRDefault="009A2529" w:rsidP="00D70282">
      <w:pPr>
        <w:pStyle w:val="History"/>
        <w:rPr>
          <w:rFonts w:cs="Arial"/>
          <w:szCs w:val="24"/>
        </w:rPr>
      </w:pPr>
      <w:r w:rsidRPr="006B08FA">
        <w:rPr>
          <w:rFonts w:cs="Arial"/>
          <w:i/>
          <w:iCs/>
          <w:szCs w:val="24"/>
        </w:rPr>
        <w:t xml:space="preserve">Longley K.C., </w:t>
      </w:r>
      <w:r w:rsidRPr="006B08FA">
        <w:rPr>
          <w:rFonts w:cs="Arial"/>
          <w:szCs w:val="24"/>
        </w:rPr>
        <w:t>Attorney General for Nova Scotia, for the Crown. Under the Criminal Code, 1892, and the Dominion statutes respecting the imprisonment of convicts in the penitentiary the warrant in question in this case is a sufficient compliance with the law. I adopt the arguments used in the judgment of His Lordship Mr. Justice Davies in the judgment appealed from. There can be no doubt that the marginal venue is a proper and sufficient allegation of the place where the offence charged was committed.</w:t>
      </w:r>
    </w:p>
    <w:p w:rsidR="009A2529" w:rsidRPr="006B08FA" w:rsidRDefault="009A2529" w:rsidP="00D70282">
      <w:pPr>
        <w:pStyle w:val="Reasons"/>
      </w:pPr>
      <w:r w:rsidRPr="006B08FA">
        <w:t>The judgment of the court was delivered by:</w:t>
      </w:r>
    </w:p>
    <w:p w:rsidR="009A2529" w:rsidRPr="006B08FA" w:rsidRDefault="0069448F" w:rsidP="0069448F">
      <w:pPr>
        <w:pStyle w:val="Page"/>
      </w:pPr>
      <w:r>
        <w:rPr>
          <w:rFonts w:cs="Arial"/>
          <w:szCs w:val="24"/>
        </w:rPr>
        <w:t xml:space="preserve">[Page </w:t>
      </w:r>
      <w:r w:rsidR="009A2529" w:rsidRPr="006B08FA">
        <w:rPr>
          <w:rFonts w:cs="Arial"/>
          <w:szCs w:val="24"/>
        </w:rPr>
        <w:t>493]</w:t>
      </w:r>
    </w:p>
    <w:p w:rsidR="009A2529" w:rsidRPr="006B08FA" w:rsidRDefault="009A2529" w:rsidP="00D70282">
      <w:pPr>
        <w:pStyle w:val="Reasons"/>
        <w:rPr>
          <w:rFonts w:cs="Arial"/>
          <w:szCs w:val="24"/>
        </w:rPr>
      </w:pPr>
      <w:r w:rsidRPr="006B08FA">
        <w:rPr>
          <w:rFonts w:cs="Arial"/>
          <w:caps/>
          <w:szCs w:val="24"/>
        </w:rPr>
        <w:t xml:space="preserve">Killam </w:t>
      </w:r>
      <w:r w:rsidRPr="006B08FA">
        <w:rPr>
          <w:rFonts w:cs="Arial"/>
          <w:szCs w:val="24"/>
        </w:rPr>
        <w:t>J.—We are all of the opinion that this appeal should be dismissed.</w:t>
      </w:r>
    </w:p>
    <w:p w:rsidR="009A2529" w:rsidRPr="006B08FA" w:rsidRDefault="009A2529" w:rsidP="00D70282">
      <w:pPr>
        <w:pStyle w:val="Reasons"/>
        <w:rPr>
          <w:rFonts w:cs="Arial"/>
          <w:szCs w:val="24"/>
        </w:rPr>
      </w:pPr>
      <w:r w:rsidRPr="006B08FA">
        <w:rPr>
          <w:rFonts w:cs="Arial"/>
          <w:szCs w:val="24"/>
        </w:rPr>
        <w:t>By sec. 609 of the Criminal Code,</w:t>
      </w:r>
    </w:p>
    <w:p w:rsidR="009A2529" w:rsidRPr="006B08FA" w:rsidRDefault="009A2529" w:rsidP="00D70282">
      <w:pPr>
        <w:pStyle w:val="Indent1"/>
      </w:pPr>
      <w:r w:rsidRPr="006B08FA">
        <w:t>it shall not be necessary to state any venue in the body of any indictment, and the district, county or place named in the margin thereof stall be the venue for all the facts stated in the body of the indictment; but if local description is required such local description shall be given in the body thereof.</w:t>
      </w:r>
    </w:p>
    <w:p w:rsidR="009A2529" w:rsidRPr="006B08FA" w:rsidRDefault="009A2529" w:rsidP="00D70282">
      <w:pPr>
        <w:pStyle w:val="Reasons"/>
        <w:rPr>
          <w:rFonts w:cs="Arial"/>
          <w:szCs w:val="24"/>
        </w:rPr>
      </w:pPr>
      <w:r w:rsidRPr="006B08FA">
        <w:rPr>
          <w:rFonts w:cs="Arial"/>
          <w:szCs w:val="24"/>
        </w:rPr>
        <w:t>The word "venue" in this section means the place where the crime is charged to have been committed. See Taschereau's Criminal Code, page 671, and 22 Enc. Pl. &amp; Pr., page 819.</w:t>
      </w:r>
    </w:p>
    <w:p w:rsidR="009A2529" w:rsidRPr="006B08FA" w:rsidRDefault="009A2529" w:rsidP="00D70282">
      <w:pPr>
        <w:pStyle w:val="Reasons"/>
        <w:rPr>
          <w:rFonts w:cs="Arial"/>
          <w:szCs w:val="24"/>
        </w:rPr>
      </w:pPr>
      <w:r w:rsidRPr="006B08FA">
        <w:rPr>
          <w:rFonts w:cs="Arial"/>
          <w:szCs w:val="24"/>
        </w:rPr>
        <w:t>By sec. 764 of the Criminal Code, and R. S. N. S. (1900) c. 157, county court judges' criminal courts are courts of record. The forms of records for these courts given by the Criminal Code, MM and NN, do not state any place of commitment of the offence. By sec. 3, sub-sec (</w:t>
      </w:r>
      <w:r w:rsidRPr="006B08FA">
        <w:rPr>
          <w:rFonts w:cs="Arial"/>
          <w:i/>
          <w:iCs/>
          <w:szCs w:val="24"/>
        </w:rPr>
        <w:t>l</w:t>
      </w:r>
      <w:r w:rsidRPr="006B08FA">
        <w:rPr>
          <w:rFonts w:cs="Arial"/>
          <w:szCs w:val="24"/>
        </w:rPr>
        <w:t>), of the Criminal Code, the word "indictment" includes "any record." The offence of which the appellant was convicted was not one for which local description was required.</w:t>
      </w:r>
    </w:p>
    <w:p w:rsidR="009A2529" w:rsidRPr="006B08FA" w:rsidRDefault="009A2529" w:rsidP="00D70282">
      <w:pPr>
        <w:pStyle w:val="Reasons"/>
        <w:rPr>
          <w:rFonts w:cs="Arial"/>
          <w:szCs w:val="24"/>
        </w:rPr>
      </w:pPr>
      <w:r w:rsidRPr="006B08FA">
        <w:rPr>
          <w:rFonts w:cs="Arial"/>
          <w:szCs w:val="24"/>
        </w:rPr>
        <w:t>The venue in the margin of the record was:</w:t>
      </w:r>
    </w:p>
    <w:p w:rsidR="009A2529" w:rsidRPr="006B08FA" w:rsidRDefault="00E50475" w:rsidP="00D70282">
      <w:pPr>
        <w:pStyle w:val="Indent1"/>
        <w:spacing w:before="0" w:beforeAutospacing="0"/>
        <w:ind w:left="0"/>
      </w:pPr>
      <w:r w:rsidRPr="00E50475">
        <w:rPr>
          <w:rFonts w:cs="Arial"/>
          <w:noProof/>
          <w:szCs w:val="24"/>
          <w:lang w:val="en-US" w:eastAsia="en-US"/>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74.1pt;margin-top:.2pt;width:7.15pt;height:44.45pt;z-index:251658240"/>
        </w:pict>
      </w:r>
      <w:r w:rsidR="009A2529" w:rsidRPr="006B08FA">
        <w:t>Canada,</w:t>
      </w:r>
    </w:p>
    <w:p w:rsidR="009A2529" w:rsidRPr="006B08FA" w:rsidRDefault="009A2529" w:rsidP="00D70282">
      <w:pPr>
        <w:pStyle w:val="Indent1"/>
        <w:spacing w:before="0" w:beforeAutospacing="0"/>
      </w:pPr>
      <w:r w:rsidRPr="006B08FA">
        <w:t>Province of Nova Scotia,</w:t>
      </w:r>
    </w:p>
    <w:p w:rsidR="009A2529" w:rsidRPr="006B08FA" w:rsidRDefault="009A2529" w:rsidP="00D70282">
      <w:pPr>
        <w:pStyle w:val="Indent1"/>
        <w:spacing w:before="0" w:beforeAutospacing="0"/>
        <w:ind w:left="720"/>
      </w:pPr>
      <w:r w:rsidRPr="006B08FA">
        <w:t>County of Halifax.</w:t>
      </w:r>
    </w:p>
    <w:p w:rsidR="009A2529" w:rsidRPr="006B08FA" w:rsidRDefault="009A2529" w:rsidP="00D70282">
      <w:pPr>
        <w:pStyle w:val="Reasons"/>
        <w:rPr>
          <w:rFonts w:cs="Arial"/>
          <w:szCs w:val="24"/>
        </w:rPr>
      </w:pPr>
      <w:r w:rsidRPr="006B08FA">
        <w:rPr>
          <w:rFonts w:cs="Arial"/>
          <w:szCs w:val="24"/>
        </w:rPr>
        <w:t>There was, then, by force of the statute, an implied allegation that the offence was committed in the County of Halifax and the Province of Nova Scotia. This was sufficient to show the jurisdiction of the court, and it is unimportant whether that court should or should not be considered an inferior court.</w:t>
      </w:r>
    </w:p>
    <w:p w:rsidR="009A2529" w:rsidRPr="006B08FA" w:rsidRDefault="009A2529" w:rsidP="00D70282">
      <w:pPr>
        <w:pStyle w:val="Reasons"/>
        <w:rPr>
          <w:rFonts w:cs="Arial"/>
          <w:szCs w:val="24"/>
        </w:rPr>
      </w:pPr>
      <w:r w:rsidRPr="006B08FA">
        <w:rPr>
          <w:rFonts w:cs="Arial"/>
          <w:szCs w:val="24"/>
        </w:rPr>
        <w:t>By the Penitentiary Act, R. S. C. c. 182, sec. 42, the officer conveying a convict to a penitentiary is to deliver him over without any further warrant than a copy of the sentence taken from the minutes of the court before which the convict was tried and certified by a judge or by the clerk or acting clerk of such</w:t>
      </w:r>
    </w:p>
    <w:p w:rsidR="009A2529" w:rsidRPr="006B08FA" w:rsidRDefault="0069448F" w:rsidP="0069448F">
      <w:pPr>
        <w:pStyle w:val="Page"/>
      </w:pPr>
      <w:r>
        <w:rPr>
          <w:rFonts w:cs="Arial"/>
          <w:szCs w:val="24"/>
        </w:rPr>
        <w:t xml:space="preserve">[Page </w:t>
      </w:r>
      <w:r w:rsidR="009A2529" w:rsidRPr="006B08FA">
        <w:rPr>
          <w:rFonts w:cs="Arial"/>
          <w:szCs w:val="24"/>
        </w:rPr>
        <w:t>494]</w:t>
      </w:r>
    </w:p>
    <w:p w:rsidR="009A2529" w:rsidRPr="006B08FA" w:rsidRDefault="009A2529" w:rsidP="00D70282">
      <w:pPr>
        <w:pStyle w:val="Reasons"/>
        <w:rPr>
          <w:rFonts w:cs="Arial"/>
          <w:szCs w:val="24"/>
        </w:rPr>
      </w:pPr>
      <w:r w:rsidRPr="006B08FA">
        <w:rPr>
          <w:rFonts w:cs="Arial"/>
          <w:szCs w:val="24"/>
        </w:rPr>
        <w:t>court. This was done in the present case and the copy furnished showed a record in a form which satisfied the statute, and which by virtue of the statute showed the jurisdiction of the court.</w:t>
      </w:r>
    </w:p>
    <w:p w:rsidR="009A2529" w:rsidRPr="00D70282" w:rsidRDefault="009A2529" w:rsidP="00D70282">
      <w:pPr>
        <w:pStyle w:val="Reasons"/>
      </w:pPr>
      <w:r w:rsidRPr="00D70282">
        <w:t>Appeal dismissed.</w:t>
      </w:r>
    </w:p>
    <w:p w:rsidR="009A2529" w:rsidRPr="006B08FA" w:rsidRDefault="009A2529" w:rsidP="00D70282">
      <w:pPr>
        <w:pStyle w:val="Sollicitors"/>
        <w:rPr>
          <w:iCs/>
        </w:rPr>
      </w:pPr>
      <w:r w:rsidRPr="006B08FA">
        <w:t xml:space="preserve">Solicitor for the appellant: </w:t>
      </w:r>
      <w:r w:rsidRPr="006B08FA">
        <w:rPr>
          <w:iCs/>
        </w:rPr>
        <w:t>John J. Power.</w:t>
      </w:r>
    </w:p>
    <w:p w:rsidR="009A2529" w:rsidRPr="006B08FA" w:rsidRDefault="009A2529" w:rsidP="00D70282">
      <w:pPr>
        <w:pStyle w:val="Sollicitors"/>
        <w:rPr>
          <w:iCs/>
        </w:rPr>
      </w:pPr>
      <w:r w:rsidRPr="006B08FA">
        <w:t xml:space="preserve">Solicitor for the respondent: </w:t>
      </w:r>
      <w:r w:rsidRPr="006B08FA">
        <w:rPr>
          <w:iCs/>
        </w:rPr>
        <w:t xml:space="preserve">J. </w:t>
      </w:r>
      <w:r w:rsidRPr="006B08FA">
        <w:rPr>
          <w:spacing w:val="-20"/>
        </w:rPr>
        <w:t>W.</w:t>
      </w:r>
      <w:r w:rsidRPr="006B08FA">
        <w:t xml:space="preserve"> </w:t>
      </w:r>
      <w:r w:rsidRPr="006B08FA">
        <w:rPr>
          <w:iCs/>
        </w:rPr>
        <w:t>Longley.</w:t>
      </w:r>
    </w:p>
    <w:sectPr w:rsidR="009A2529" w:rsidRPr="006B08FA" w:rsidSect="005D2EA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535" w:rsidRDefault="00363535" w:rsidP="005D2EAE">
      <w:r>
        <w:separator/>
      </w:r>
    </w:p>
  </w:endnote>
  <w:endnote w:type="continuationSeparator" w:id="1">
    <w:p w:rsidR="00363535" w:rsidRDefault="00363535" w:rsidP="005D2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AE" w:rsidRDefault="005D2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AE" w:rsidRDefault="005D2E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AE" w:rsidRDefault="005D2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535" w:rsidRDefault="00363535" w:rsidP="005D2EAE">
      <w:r>
        <w:separator/>
      </w:r>
    </w:p>
  </w:footnote>
  <w:footnote w:type="continuationSeparator" w:id="1">
    <w:p w:rsidR="00363535" w:rsidRDefault="00363535" w:rsidP="005D2EAE">
      <w:r>
        <w:continuationSeparator/>
      </w:r>
    </w:p>
  </w:footnote>
  <w:footnote w:id="2">
    <w:p w:rsidR="004A5E2F" w:rsidRPr="004A5E2F" w:rsidRDefault="004A5E2F">
      <w:pPr>
        <w:pStyle w:val="FootnoteText"/>
        <w:rPr>
          <w:lang w:val="en-US"/>
        </w:rPr>
      </w:pPr>
      <w:r>
        <w:rPr>
          <w:rStyle w:val="FootnoteReference"/>
        </w:rPr>
        <w:footnoteRef/>
      </w:r>
      <w:r>
        <w:t xml:space="preserve"> </w:t>
      </w:r>
      <w:r w:rsidRPr="006B08FA">
        <w:rPr>
          <w:rFonts w:cs="Arial"/>
          <w:szCs w:val="24"/>
        </w:rPr>
        <w:t>35 Can. S. C. R. 189.</w:t>
      </w:r>
    </w:p>
  </w:footnote>
  <w:footnote w:id="3">
    <w:p w:rsidR="004A5E2F" w:rsidRPr="004A5E2F" w:rsidRDefault="004A5E2F">
      <w:pPr>
        <w:pStyle w:val="FootnoteText"/>
        <w:rPr>
          <w:lang w:val="en-US"/>
        </w:rPr>
      </w:pPr>
      <w:r>
        <w:rPr>
          <w:rStyle w:val="FootnoteReference"/>
        </w:rPr>
        <w:footnoteRef/>
      </w:r>
      <w:r>
        <w:t xml:space="preserve"> </w:t>
      </w:r>
      <w:r w:rsidRPr="006B08FA">
        <w:rPr>
          <w:rFonts w:cs="Arial"/>
          <w:szCs w:val="24"/>
        </w:rPr>
        <w:t>[1903] 1 K. B. 56.</w:t>
      </w:r>
    </w:p>
  </w:footnote>
  <w:footnote w:id="4">
    <w:p w:rsidR="004A5E2F" w:rsidRPr="004A5E2F" w:rsidRDefault="004A5E2F">
      <w:pPr>
        <w:pStyle w:val="FootnoteText"/>
        <w:rPr>
          <w:lang w:val="en-US"/>
        </w:rPr>
      </w:pPr>
      <w:r>
        <w:rPr>
          <w:rStyle w:val="FootnoteReference"/>
        </w:rPr>
        <w:footnoteRef/>
      </w:r>
      <w:r>
        <w:t xml:space="preserve"> </w:t>
      </w:r>
      <w:r w:rsidRPr="006B08FA">
        <w:rPr>
          <w:rFonts w:cs="Arial"/>
          <w:szCs w:val="24"/>
        </w:rPr>
        <w:t>8 Mod. 309.</w:t>
      </w:r>
    </w:p>
  </w:footnote>
  <w:footnote w:id="5">
    <w:p w:rsidR="004A5E2F" w:rsidRPr="004A5E2F" w:rsidRDefault="004A5E2F">
      <w:pPr>
        <w:pStyle w:val="FootnoteText"/>
        <w:rPr>
          <w:lang w:val="en-US"/>
        </w:rPr>
      </w:pPr>
      <w:r>
        <w:rPr>
          <w:rStyle w:val="FootnoteReference"/>
        </w:rPr>
        <w:footnoteRef/>
      </w:r>
      <w:r>
        <w:t xml:space="preserve"> </w:t>
      </w:r>
      <w:r w:rsidRPr="006B08FA">
        <w:rPr>
          <w:rFonts w:cs="Arial"/>
          <w:szCs w:val="24"/>
        </w:rPr>
        <w:t xml:space="preserve">L. R. </w:t>
      </w:r>
      <w:r w:rsidRPr="006B08FA">
        <w:rPr>
          <w:rFonts w:cs="Arial"/>
          <w:spacing w:val="30"/>
          <w:szCs w:val="24"/>
        </w:rPr>
        <w:t>8 Q.</w:t>
      </w:r>
      <w:r w:rsidRPr="006B08FA">
        <w:rPr>
          <w:rFonts w:cs="Arial"/>
          <w:szCs w:val="24"/>
        </w:rPr>
        <w:t xml:space="preserve"> B. 134.</w:t>
      </w:r>
    </w:p>
  </w:footnote>
  <w:footnote w:id="6">
    <w:p w:rsidR="004A5E2F" w:rsidRPr="004A5E2F" w:rsidRDefault="004A5E2F">
      <w:pPr>
        <w:pStyle w:val="FootnoteText"/>
        <w:rPr>
          <w:lang w:val="en-US"/>
        </w:rPr>
      </w:pPr>
      <w:r>
        <w:rPr>
          <w:rStyle w:val="FootnoteReference"/>
        </w:rPr>
        <w:footnoteRef/>
      </w:r>
      <w:r>
        <w:t xml:space="preserve"> </w:t>
      </w:r>
      <w:r w:rsidRPr="006B08FA">
        <w:rPr>
          <w:rFonts w:cs="Arial"/>
          <w:szCs w:val="24"/>
        </w:rPr>
        <w:t>6 Can. Cr. Cas. 524.</w:t>
      </w:r>
    </w:p>
  </w:footnote>
  <w:footnote w:id="7">
    <w:p w:rsidR="004A5E2F" w:rsidRPr="004A5E2F" w:rsidRDefault="004A5E2F">
      <w:pPr>
        <w:pStyle w:val="FootnoteText"/>
        <w:rPr>
          <w:lang w:val="en-US"/>
        </w:rPr>
      </w:pPr>
      <w:r>
        <w:rPr>
          <w:rStyle w:val="FootnoteReference"/>
        </w:rPr>
        <w:footnoteRef/>
      </w:r>
      <w:r>
        <w:t xml:space="preserve"> </w:t>
      </w:r>
      <w:r w:rsidRPr="006B08FA">
        <w:rPr>
          <w:rFonts w:cs="Arial"/>
          <w:szCs w:val="24"/>
        </w:rPr>
        <w:t>11 Ad. &amp; E. 373.</w:t>
      </w:r>
    </w:p>
  </w:footnote>
  <w:footnote w:id="8">
    <w:p w:rsidR="004A5E2F" w:rsidRPr="004A5E2F" w:rsidRDefault="004A5E2F">
      <w:pPr>
        <w:pStyle w:val="FootnoteText"/>
        <w:rPr>
          <w:lang w:val="en-US"/>
        </w:rPr>
      </w:pPr>
      <w:r>
        <w:rPr>
          <w:rStyle w:val="FootnoteReference"/>
        </w:rPr>
        <w:footnoteRef/>
      </w:r>
      <w:r>
        <w:t xml:space="preserve"> </w:t>
      </w:r>
      <w:r w:rsidRPr="006B08FA">
        <w:rPr>
          <w:rFonts w:cs="Arial"/>
          <w:szCs w:val="24"/>
        </w:rPr>
        <w:t>35 N. B. Rep. 388.</w:t>
      </w:r>
    </w:p>
  </w:footnote>
  <w:footnote w:id="9">
    <w:p w:rsidR="004A5E2F" w:rsidRPr="004A5E2F" w:rsidRDefault="004A5E2F">
      <w:pPr>
        <w:pStyle w:val="FootnoteText"/>
        <w:rPr>
          <w:lang w:val="en-US"/>
        </w:rPr>
      </w:pPr>
      <w:r>
        <w:rPr>
          <w:rStyle w:val="FootnoteReference"/>
        </w:rPr>
        <w:footnoteRef/>
      </w:r>
      <w:r>
        <w:t xml:space="preserve"> </w:t>
      </w:r>
      <w:r w:rsidRPr="006B08FA">
        <w:rPr>
          <w:rFonts w:cs="Arial"/>
          <w:szCs w:val="24"/>
        </w:rPr>
        <w:t>27 Can. S. C. R. 683.</w:t>
      </w:r>
    </w:p>
  </w:footnote>
  <w:footnote w:id="10">
    <w:p w:rsidR="004A5E2F" w:rsidRPr="004A5E2F" w:rsidRDefault="004A5E2F">
      <w:pPr>
        <w:pStyle w:val="FootnoteText"/>
        <w:rPr>
          <w:lang w:val="en-US"/>
        </w:rPr>
      </w:pPr>
      <w:r>
        <w:rPr>
          <w:rStyle w:val="FootnoteReference"/>
        </w:rPr>
        <w:footnoteRef/>
      </w:r>
      <w:r>
        <w:t xml:space="preserve"> </w:t>
      </w:r>
      <w:r w:rsidRPr="006B08FA">
        <w:rPr>
          <w:rFonts w:cs="Arial"/>
          <w:szCs w:val="24"/>
        </w:rPr>
        <w:t>11 Ad. &amp; E.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AE" w:rsidRDefault="005D2E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AE" w:rsidRDefault="005D2E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AE" w:rsidRDefault="005D2E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2529"/>
    <w:rsid w:val="00013FDA"/>
    <w:rsid w:val="000173FB"/>
    <w:rsid w:val="000655EC"/>
    <w:rsid w:val="00077D2F"/>
    <w:rsid w:val="000B500A"/>
    <w:rsid w:val="000B6688"/>
    <w:rsid w:val="000C3415"/>
    <w:rsid w:val="00121409"/>
    <w:rsid w:val="00125F0C"/>
    <w:rsid w:val="00126A8E"/>
    <w:rsid w:val="001837F3"/>
    <w:rsid w:val="001D0D42"/>
    <w:rsid w:val="001D5C4A"/>
    <w:rsid w:val="001F6A76"/>
    <w:rsid w:val="002209AC"/>
    <w:rsid w:val="002428EB"/>
    <w:rsid w:val="002631AA"/>
    <w:rsid w:val="002A74DD"/>
    <w:rsid w:val="002B30C5"/>
    <w:rsid w:val="002C186C"/>
    <w:rsid w:val="002D5E01"/>
    <w:rsid w:val="002F4F64"/>
    <w:rsid w:val="002F7D00"/>
    <w:rsid w:val="00361108"/>
    <w:rsid w:val="00363535"/>
    <w:rsid w:val="003824D9"/>
    <w:rsid w:val="003E5AF5"/>
    <w:rsid w:val="003F602F"/>
    <w:rsid w:val="004277EE"/>
    <w:rsid w:val="0043543D"/>
    <w:rsid w:val="00442713"/>
    <w:rsid w:val="00457BC5"/>
    <w:rsid w:val="00463F5F"/>
    <w:rsid w:val="00482CDC"/>
    <w:rsid w:val="004A5E2F"/>
    <w:rsid w:val="004C7ED4"/>
    <w:rsid w:val="00511D93"/>
    <w:rsid w:val="00514003"/>
    <w:rsid w:val="00537980"/>
    <w:rsid w:val="00563767"/>
    <w:rsid w:val="005667DA"/>
    <w:rsid w:val="00593C8B"/>
    <w:rsid w:val="005B2006"/>
    <w:rsid w:val="005D2EAE"/>
    <w:rsid w:val="0061259A"/>
    <w:rsid w:val="00644967"/>
    <w:rsid w:val="0069448F"/>
    <w:rsid w:val="006A077A"/>
    <w:rsid w:val="006D2BED"/>
    <w:rsid w:val="006D3096"/>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2529"/>
    <w:rsid w:val="009A7B1B"/>
    <w:rsid w:val="009B5A3B"/>
    <w:rsid w:val="009D37B6"/>
    <w:rsid w:val="009E64DC"/>
    <w:rsid w:val="00A03114"/>
    <w:rsid w:val="00A42830"/>
    <w:rsid w:val="00A4371F"/>
    <w:rsid w:val="00A54E5B"/>
    <w:rsid w:val="00A61128"/>
    <w:rsid w:val="00A94C52"/>
    <w:rsid w:val="00AB09B8"/>
    <w:rsid w:val="00B007EC"/>
    <w:rsid w:val="00B177F7"/>
    <w:rsid w:val="00B41B49"/>
    <w:rsid w:val="00B5157D"/>
    <w:rsid w:val="00B532F0"/>
    <w:rsid w:val="00B639A4"/>
    <w:rsid w:val="00B772A6"/>
    <w:rsid w:val="00BB7B80"/>
    <w:rsid w:val="00BC4595"/>
    <w:rsid w:val="00C372DF"/>
    <w:rsid w:val="00C45FBD"/>
    <w:rsid w:val="00C54EB9"/>
    <w:rsid w:val="00C7016B"/>
    <w:rsid w:val="00C93FA5"/>
    <w:rsid w:val="00CA5B7F"/>
    <w:rsid w:val="00CB4ED4"/>
    <w:rsid w:val="00CB726B"/>
    <w:rsid w:val="00CC50DD"/>
    <w:rsid w:val="00CD1289"/>
    <w:rsid w:val="00CD1F09"/>
    <w:rsid w:val="00CD50FC"/>
    <w:rsid w:val="00CE2A11"/>
    <w:rsid w:val="00CF1E48"/>
    <w:rsid w:val="00D00550"/>
    <w:rsid w:val="00D306D2"/>
    <w:rsid w:val="00D45866"/>
    <w:rsid w:val="00D70282"/>
    <w:rsid w:val="00D9036C"/>
    <w:rsid w:val="00DC4119"/>
    <w:rsid w:val="00DE30DC"/>
    <w:rsid w:val="00E1124B"/>
    <w:rsid w:val="00E114A9"/>
    <w:rsid w:val="00E117BD"/>
    <w:rsid w:val="00E17EA5"/>
    <w:rsid w:val="00E30F5A"/>
    <w:rsid w:val="00E40016"/>
    <w:rsid w:val="00E407E4"/>
    <w:rsid w:val="00E43349"/>
    <w:rsid w:val="00E50475"/>
    <w:rsid w:val="00E51D18"/>
    <w:rsid w:val="00E86DF4"/>
    <w:rsid w:val="00EB3437"/>
    <w:rsid w:val="00EF0BEB"/>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448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9448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9448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9448F"/>
  </w:style>
  <w:style w:type="paragraph" w:styleId="Header">
    <w:name w:val="header"/>
    <w:basedOn w:val="Normal"/>
    <w:link w:val="HeaderChar"/>
    <w:uiPriority w:val="99"/>
    <w:unhideWhenUsed/>
    <w:rsid w:val="0069448F"/>
    <w:pPr>
      <w:tabs>
        <w:tab w:val="center" w:pos="4680"/>
        <w:tab w:val="right" w:pos="9360"/>
      </w:tabs>
    </w:pPr>
    <w:rPr>
      <w:rFonts w:ascii="Times New Roman" w:hAnsi="Times New Roman"/>
    </w:rPr>
  </w:style>
  <w:style w:type="character" w:customStyle="1" w:styleId="HeaderChar">
    <w:name w:val="Header Char"/>
    <w:link w:val="Header"/>
    <w:uiPriority w:val="99"/>
    <w:rsid w:val="0069448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9448F"/>
    <w:pPr>
      <w:tabs>
        <w:tab w:val="center" w:pos="4680"/>
        <w:tab w:val="right" w:pos="9360"/>
      </w:tabs>
    </w:pPr>
    <w:rPr>
      <w:rFonts w:ascii="Times New Roman" w:hAnsi="Times New Roman"/>
    </w:rPr>
  </w:style>
  <w:style w:type="character" w:customStyle="1" w:styleId="FooterChar">
    <w:name w:val="Footer Char"/>
    <w:link w:val="Footer"/>
    <w:uiPriority w:val="99"/>
    <w:rsid w:val="0069448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0311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9448F"/>
    <w:pPr>
      <w:spacing w:before="100" w:beforeAutospacing="1"/>
      <w:ind w:left="567"/>
      <w:jc w:val="both"/>
    </w:pPr>
  </w:style>
  <w:style w:type="paragraph" w:customStyle="1" w:styleId="Metadata">
    <w:name w:val="Metadata"/>
    <w:basedOn w:val="Normal"/>
    <w:rsid w:val="0069448F"/>
    <w:pPr>
      <w:spacing w:before="100" w:beforeAutospacing="1" w:after="100" w:afterAutospacing="1"/>
    </w:pPr>
    <w:rPr>
      <w:rFonts w:cs="Arial"/>
      <w:szCs w:val="24"/>
    </w:rPr>
  </w:style>
  <w:style w:type="paragraph" w:customStyle="1" w:styleId="Page">
    <w:name w:val="Page"/>
    <w:basedOn w:val="Normal"/>
    <w:link w:val="PageChar"/>
    <w:rsid w:val="0069448F"/>
    <w:pPr>
      <w:spacing w:before="100" w:beforeAutospacing="1" w:after="100" w:afterAutospacing="1"/>
    </w:pPr>
    <w:rPr>
      <w:i/>
    </w:rPr>
  </w:style>
  <w:style w:type="paragraph" w:styleId="FootnoteText">
    <w:name w:val="footnote text"/>
    <w:basedOn w:val="Normal"/>
    <w:link w:val="FootnoteTextChar"/>
    <w:autoRedefine/>
    <w:semiHidden/>
    <w:rsid w:val="0069448F"/>
    <w:rPr>
      <w:sz w:val="16"/>
      <w:szCs w:val="20"/>
    </w:rPr>
  </w:style>
  <w:style w:type="character" w:customStyle="1" w:styleId="FootnoteTextChar">
    <w:name w:val="Footnote Text Char"/>
    <w:link w:val="FootnoteText"/>
    <w:semiHidden/>
    <w:rsid w:val="0069448F"/>
    <w:rPr>
      <w:rFonts w:ascii="Arial" w:eastAsia="MS Mincho" w:hAnsi="Arial" w:cs="Times New Roman"/>
      <w:sz w:val="16"/>
      <w:szCs w:val="20"/>
      <w:lang w:val="en-CA" w:eastAsia="ja-JP"/>
    </w:rPr>
  </w:style>
  <w:style w:type="character" w:styleId="FootnoteReference">
    <w:name w:val="footnote reference"/>
    <w:semiHidden/>
    <w:rsid w:val="0069448F"/>
    <w:rPr>
      <w:vertAlign w:val="superscript"/>
    </w:rPr>
  </w:style>
  <w:style w:type="paragraph" w:customStyle="1" w:styleId="ParagNum">
    <w:name w:val="ParagNum"/>
    <w:basedOn w:val="Normal"/>
    <w:rsid w:val="0069448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9448F"/>
    <w:pPr>
      <w:spacing w:before="100" w:beforeAutospacing="1" w:after="100" w:afterAutospacing="1" w:line="360" w:lineRule="auto"/>
    </w:pPr>
  </w:style>
  <w:style w:type="paragraph" w:customStyle="1" w:styleId="Indent2">
    <w:name w:val="Indent 2"/>
    <w:basedOn w:val="Indent1"/>
    <w:rsid w:val="0069448F"/>
    <w:pPr>
      <w:ind w:left="1134"/>
    </w:pPr>
  </w:style>
  <w:style w:type="paragraph" w:customStyle="1" w:styleId="Indent3">
    <w:name w:val="Indent 3"/>
    <w:basedOn w:val="Indent1"/>
    <w:rsid w:val="0069448F"/>
    <w:pPr>
      <w:ind w:left="1701"/>
    </w:pPr>
  </w:style>
  <w:style w:type="paragraph" w:customStyle="1" w:styleId="Indent4">
    <w:name w:val="Indent 4"/>
    <w:basedOn w:val="Indent1"/>
    <w:rsid w:val="0069448F"/>
    <w:pPr>
      <w:ind w:left="2268"/>
    </w:pPr>
  </w:style>
  <w:style w:type="paragraph" w:customStyle="1" w:styleId="Indent10">
    <w:name w:val="Indent1"/>
    <w:basedOn w:val="Reasons"/>
    <w:rsid w:val="0069448F"/>
    <w:pPr>
      <w:ind w:left="567"/>
    </w:pPr>
  </w:style>
  <w:style w:type="paragraph" w:customStyle="1" w:styleId="Indent20">
    <w:name w:val="Indent2"/>
    <w:basedOn w:val="Indent10"/>
    <w:rsid w:val="0069448F"/>
    <w:pPr>
      <w:ind w:left="1134"/>
    </w:pPr>
  </w:style>
  <w:style w:type="paragraph" w:customStyle="1" w:styleId="Indent30">
    <w:name w:val="Indent3"/>
    <w:basedOn w:val="Indent10"/>
    <w:rsid w:val="0069448F"/>
    <w:pPr>
      <w:ind w:left="1701"/>
    </w:pPr>
  </w:style>
  <w:style w:type="paragraph" w:customStyle="1" w:styleId="Indent40">
    <w:name w:val="Indent4"/>
    <w:basedOn w:val="Indent10"/>
    <w:rsid w:val="0069448F"/>
    <w:pPr>
      <w:ind w:left="2268"/>
    </w:pPr>
  </w:style>
  <w:style w:type="paragraph" w:customStyle="1" w:styleId="Keywords">
    <w:name w:val="Keywords"/>
    <w:basedOn w:val="Normal"/>
    <w:rsid w:val="0069448F"/>
    <w:pPr>
      <w:spacing w:before="100" w:beforeAutospacing="1" w:after="100" w:afterAutospacing="1"/>
    </w:pPr>
    <w:rPr>
      <w:rFonts w:cs="Arial"/>
      <w:i/>
      <w:szCs w:val="24"/>
    </w:rPr>
  </w:style>
  <w:style w:type="paragraph" w:customStyle="1" w:styleId="Summary">
    <w:name w:val="Summary"/>
    <w:basedOn w:val="Normal"/>
    <w:autoRedefine/>
    <w:rsid w:val="0069448F"/>
    <w:pPr>
      <w:spacing w:before="100" w:beforeAutospacing="1" w:after="100" w:afterAutospacing="1"/>
      <w:ind w:left="562" w:hanging="562"/>
    </w:pPr>
    <w:rPr>
      <w:rFonts w:cs="Arial"/>
    </w:rPr>
  </w:style>
  <w:style w:type="paragraph" w:customStyle="1" w:styleId="History">
    <w:name w:val="History"/>
    <w:basedOn w:val="Normal"/>
    <w:rsid w:val="0069448F"/>
    <w:pPr>
      <w:spacing w:before="100" w:beforeAutospacing="1" w:after="100" w:afterAutospacing="1"/>
      <w:ind w:firstLine="567"/>
    </w:pPr>
  </w:style>
  <w:style w:type="paragraph" w:customStyle="1" w:styleId="T1">
    <w:name w:val="T1"/>
    <w:basedOn w:val="Normal"/>
    <w:rsid w:val="0069448F"/>
    <w:pPr>
      <w:spacing w:before="240" w:after="100" w:afterAutospacing="1"/>
    </w:pPr>
    <w:rPr>
      <w:b/>
    </w:rPr>
  </w:style>
  <w:style w:type="paragraph" w:customStyle="1" w:styleId="T2">
    <w:name w:val="T2"/>
    <w:basedOn w:val="Normal"/>
    <w:rsid w:val="0069448F"/>
    <w:pPr>
      <w:spacing w:before="240" w:after="100" w:afterAutospacing="1"/>
    </w:pPr>
  </w:style>
  <w:style w:type="paragraph" w:customStyle="1" w:styleId="Sollicitors">
    <w:name w:val="Sollicitors"/>
    <w:basedOn w:val="Normal"/>
    <w:rsid w:val="0069448F"/>
    <w:pPr>
      <w:spacing w:before="100" w:beforeAutospacing="1" w:after="100" w:afterAutospacing="1"/>
    </w:pPr>
    <w:rPr>
      <w:i/>
    </w:rPr>
  </w:style>
  <w:style w:type="paragraph" w:customStyle="1" w:styleId="Court">
    <w:name w:val="Court"/>
    <w:basedOn w:val="Normal"/>
    <w:rsid w:val="0069448F"/>
    <w:rPr>
      <w:rFonts w:cs="Arial"/>
      <w:b/>
      <w:szCs w:val="24"/>
    </w:rPr>
  </w:style>
  <w:style w:type="character" w:customStyle="1" w:styleId="PageChar">
    <w:name w:val="Page Char"/>
    <w:link w:val="Page"/>
    <w:rsid w:val="0069448F"/>
    <w:rPr>
      <w:rFonts w:ascii="Arial" w:eastAsia="MS Mincho" w:hAnsi="Arial" w:cs="Times New Roman"/>
      <w:i/>
      <w:sz w:val="24"/>
      <w:szCs w:val="28"/>
      <w:lang w:val="en-CA" w:eastAsia="ja-JP"/>
    </w:rPr>
  </w:style>
  <w:style w:type="character" w:customStyle="1" w:styleId="ReasonsCar">
    <w:name w:val="Reasons Car"/>
    <w:link w:val="Reasons"/>
    <w:rsid w:val="0069448F"/>
    <w:rPr>
      <w:rFonts w:ascii="Arial" w:eastAsia="MS Mincho" w:hAnsi="Arial" w:cs="Times New Roman"/>
      <w:sz w:val="24"/>
      <w:szCs w:val="28"/>
      <w:lang w:val="en-CA" w:eastAsia="ja-JP"/>
    </w:rPr>
  </w:style>
  <w:style w:type="paragraph" w:customStyle="1" w:styleId="CitationLine">
    <w:name w:val="CitationLine"/>
    <w:basedOn w:val="Court"/>
    <w:rsid w:val="0069448F"/>
  </w:style>
  <w:style w:type="paragraph" w:customStyle="1" w:styleId="DateISO">
    <w:name w:val="DateISO"/>
    <w:basedOn w:val="Court"/>
    <w:rsid w:val="006944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4</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2015-03-17T14:40:00Z</dcterms:created>
  <dcterms:modified xsi:type="dcterms:W3CDTF">2015-03-23T10:29:00Z</dcterms:modified>
</cp:coreProperties>
</file>