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5A" w:rsidRPr="00ED3C03" w:rsidRDefault="000F575A" w:rsidP="000F575A">
      <w:pPr>
        <w:pStyle w:val="Court"/>
      </w:pPr>
      <w:r w:rsidRPr="00ED3C03">
        <w:t>Supreme Court of Canada</w:t>
      </w:r>
    </w:p>
    <w:p w:rsidR="000F575A" w:rsidRPr="00ED3C03" w:rsidRDefault="000F575A" w:rsidP="000F575A">
      <w:pPr>
        <w:pStyle w:val="CitationLine"/>
      </w:pPr>
      <w:r w:rsidRPr="00ED3C03">
        <w:rPr>
          <w:lang w:val="de-DE"/>
        </w:rPr>
        <w:t>Moore</w:t>
      </w:r>
      <w:r w:rsidRPr="00ED3C03">
        <w:t xml:space="preserve"> </w:t>
      </w:r>
      <w:r w:rsidRPr="00ED3C03">
        <w:rPr>
          <w:i/>
          <w:iCs/>
        </w:rPr>
        <w:t xml:space="preserve">v. </w:t>
      </w:r>
      <w:r w:rsidRPr="00ED3C03">
        <w:t>Roper (190</w:t>
      </w:r>
      <w:r w:rsidR="0037183D">
        <w:t>5</w:t>
      </w:r>
      <w:r w:rsidRPr="00ED3C03">
        <w:t>) 35 SCR 53</w:t>
      </w:r>
      <w:r w:rsidR="005F0299">
        <w:t>3</w:t>
      </w:r>
    </w:p>
    <w:p w:rsidR="000F575A" w:rsidRPr="00ED3C03" w:rsidRDefault="000F575A" w:rsidP="000F575A">
      <w:pPr>
        <w:pStyle w:val="DateISO"/>
      </w:pPr>
      <w:r w:rsidRPr="00ED3C03">
        <w:t>Date: 1905-01-31</w:t>
      </w:r>
    </w:p>
    <w:p w:rsidR="002B7CB7" w:rsidRPr="00ED3C03" w:rsidRDefault="002B7CB7" w:rsidP="000F575A">
      <w:pPr>
        <w:pStyle w:val="Metadata"/>
        <w:rPr>
          <w:caps/>
        </w:rPr>
      </w:pPr>
      <w:r w:rsidRPr="00ED3C03">
        <w:t xml:space="preserve">H. </w:t>
      </w:r>
      <w:r w:rsidR="000F575A" w:rsidRPr="00ED3C03">
        <w:t>Edwin Moore and Others</w:t>
      </w:r>
      <w:r w:rsidRPr="00ED3C03">
        <w:rPr>
          <w:caps/>
        </w:rPr>
        <w:t>, (</w:t>
      </w:r>
      <w:r w:rsidR="000F575A" w:rsidRPr="00ED3C03">
        <w:t>Plaintiffs</w:t>
      </w:r>
      <w:r w:rsidRPr="00ED3C03">
        <w:rPr>
          <w:caps/>
        </w:rPr>
        <w:t>)</w:t>
      </w:r>
    </w:p>
    <w:p w:rsidR="002B7CB7" w:rsidRPr="00ED3C03" w:rsidRDefault="000F575A" w:rsidP="000F575A">
      <w:pPr>
        <w:pStyle w:val="Metadata"/>
        <w:rPr>
          <w:caps/>
        </w:rPr>
      </w:pPr>
      <w:r w:rsidRPr="00ED3C03">
        <w:t>Appellants</w:t>
      </w:r>
    </w:p>
    <w:p w:rsidR="002B7CB7" w:rsidRPr="00ED3C03" w:rsidRDefault="000F575A" w:rsidP="000F575A">
      <w:pPr>
        <w:pStyle w:val="Metadata"/>
        <w:rPr>
          <w:caps/>
        </w:rPr>
      </w:pPr>
      <w:r w:rsidRPr="00ED3C03">
        <w:t>And</w:t>
      </w:r>
    </w:p>
    <w:p w:rsidR="002B7CB7" w:rsidRPr="00ED3C03" w:rsidRDefault="000F575A" w:rsidP="000F575A">
      <w:pPr>
        <w:pStyle w:val="Metadata"/>
        <w:rPr>
          <w:caps/>
        </w:rPr>
      </w:pPr>
      <w:r w:rsidRPr="00ED3C03">
        <w:t xml:space="preserve">George </w:t>
      </w:r>
      <w:r w:rsidR="002B7CB7" w:rsidRPr="00ED3C03">
        <w:t xml:space="preserve">F. </w:t>
      </w:r>
      <w:r w:rsidRPr="00ED3C03">
        <w:t>Roper (Defendant)</w:t>
      </w:r>
    </w:p>
    <w:p w:rsidR="002B7CB7" w:rsidRPr="00ED3C03" w:rsidRDefault="000F575A" w:rsidP="000F575A">
      <w:pPr>
        <w:pStyle w:val="Metadata"/>
        <w:rPr>
          <w:caps/>
        </w:rPr>
      </w:pPr>
      <w:r w:rsidRPr="00ED3C03">
        <w:t>Respondent</w:t>
      </w:r>
    </w:p>
    <w:p w:rsidR="000F575A" w:rsidRPr="00ED3C03" w:rsidRDefault="000F575A" w:rsidP="000F575A">
      <w:pPr>
        <w:pStyle w:val="Metadata"/>
        <w:rPr>
          <w:caps/>
        </w:rPr>
      </w:pPr>
      <w:r w:rsidRPr="00ED3C03">
        <w:t>1904: Dec. 3; 1905: Jan. 31.</w:t>
      </w:r>
    </w:p>
    <w:p w:rsidR="000F575A" w:rsidRPr="00ED3C03" w:rsidRDefault="000F575A" w:rsidP="000F575A">
      <w:pPr>
        <w:pStyle w:val="Metadata"/>
        <w:rPr>
          <w:caps/>
        </w:rPr>
      </w:pPr>
      <w:r w:rsidRPr="00ED3C03">
        <w:t>Present:—Sedgewick, Girouard, Davies, Nesbitt and Killam JJ.</w:t>
      </w:r>
    </w:p>
    <w:p w:rsidR="002B7CB7" w:rsidRPr="00ED3C03" w:rsidRDefault="002B7CB7" w:rsidP="000F575A">
      <w:pPr>
        <w:pStyle w:val="Metadata"/>
        <w:rPr>
          <w:caps/>
        </w:rPr>
      </w:pPr>
      <w:r w:rsidRPr="00ED3C03">
        <w:rPr>
          <w:caps/>
        </w:rPr>
        <w:t>on</w:t>
      </w:r>
      <w:r w:rsidRPr="00ED3C03">
        <w:t xml:space="preserve"> </w:t>
      </w:r>
      <w:r w:rsidRPr="00ED3C03">
        <w:rPr>
          <w:caps/>
        </w:rPr>
        <w:t>appeal</w:t>
      </w:r>
      <w:r w:rsidRPr="00ED3C03">
        <w:t xml:space="preserve"> </w:t>
      </w:r>
      <w:r w:rsidRPr="00ED3C03">
        <w:rPr>
          <w:caps/>
        </w:rPr>
        <w:t>from</w:t>
      </w:r>
      <w:r w:rsidRPr="00ED3C03">
        <w:t xml:space="preserve"> </w:t>
      </w:r>
      <w:r w:rsidRPr="00ED3C03">
        <w:rPr>
          <w:caps/>
        </w:rPr>
        <w:t>the</w:t>
      </w:r>
      <w:r w:rsidRPr="00ED3C03">
        <w:t xml:space="preserve"> </w:t>
      </w:r>
      <w:r w:rsidRPr="00ED3C03">
        <w:rPr>
          <w:caps/>
        </w:rPr>
        <w:t>supreme</w:t>
      </w:r>
      <w:r w:rsidRPr="00ED3C03">
        <w:t xml:space="preserve"> </w:t>
      </w:r>
      <w:r w:rsidRPr="00ED3C03">
        <w:rPr>
          <w:caps/>
        </w:rPr>
        <w:t>court</w:t>
      </w:r>
      <w:r w:rsidRPr="00ED3C03">
        <w:t xml:space="preserve"> </w:t>
      </w:r>
      <w:r w:rsidRPr="00ED3C03">
        <w:rPr>
          <w:caps/>
        </w:rPr>
        <w:t>of</w:t>
      </w:r>
      <w:r w:rsidRPr="00ED3C03">
        <w:t xml:space="preserve"> </w:t>
      </w:r>
      <w:r w:rsidRPr="00ED3C03">
        <w:rPr>
          <w:caps/>
        </w:rPr>
        <w:t>nova</w:t>
      </w:r>
      <w:r w:rsidRPr="00ED3C03">
        <w:t xml:space="preserve"> </w:t>
      </w:r>
      <w:r w:rsidRPr="00ED3C03">
        <w:rPr>
          <w:caps/>
        </w:rPr>
        <w:t>scotia.</w:t>
      </w:r>
    </w:p>
    <w:p w:rsidR="002B7CB7" w:rsidRPr="00ED3C03" w:rsidRDefault="002B7CB7" w:rsidP="000F575A">
      <w:pPr>
        <w:pStyle w:val="Keywords"/>
      </w:pPr>
      <w:r w:rsidRPr="00ED3C03">
        <w:t>Debtor and creditor—Assignment of debt—Sheriff's sale—Equitable assignment—Statute of Limitations—Payment—Ratification—Principal and agent.</w:t>
      </w:r>
    </w:p>
    <w:p w:rsidR="002B7CB7" w:rsidRPr="00ED3C03" w:rsidRDefault="002B7CB7" w:rsidP="000F575A">
      <w:pPr>
        <w:pStyle w:val="Summary"/>
      </w:pPr>
      <w:r w:rsidRPr="00ED3C03">
        <w:t>In Nova Scotia book debts cannot be Bold under execution and the act of the judgment debtor in allowing such sale does not constitute an equitable assignment of such debts to the purchaser.</w:t>
      </w:r>
    </w:p>
    <w:p w:rsidR="002B7CB7" w:rsidRPr="00ED3C03" w:rsidRDefault="002B7CB7" w:rsidP="000F575A">
      <w:pPr>
        <w:pStyle w:val="Summary"/>
      </w:pPr>
      <w:r w:rsidRPr="00ED3C03">
        <w:t>The purchaser received payment on account of a debt so sold which, in a subsequent action by the creditor and others, was relied on to prevent the operation of the Statute of Limitations.</w:t>
      </w:r>
    </w:p>
    <w:p w:rsidR="002B7CB7" w:rsidRPr="00ED3C03" w:rsidRDefault="002B7CB7" w:rsidP="000F575A">
      <w:pPr>
        <w:pStyle w:val="Summary"/>
      </w:pPr>
      <w:r w:rsidRPr="00ED3C03">
        <w:rPr>
          <w:i/>
          <w:iCs/>
        </w:rPr>
        <w:t xml:space="preserve">Held, </w:t>
      </w:r>
      <w:r w:rsidRPr="00ED3C03">
        <w:t xml:space="preserve">that though the creditor might be unable to deny the validity of the payment he could not adopt it so as to obtain a right of action thereon and the payment having been made to a third party who was not his agent did not interrupt the prescription. </w:t>
      </w:r>
      <w:r w:rsidRPr="00ED3C03">
        <w:rPr>
          <w:i/>
          <w:iCs/>
        </w:rPr>
        <w:t xml:space="preserve">Keighley, Maxtead &amp; Co. </w:t>
      </w:r>
      <w:r w:rsidRPr="00ED3C03">
        <w:t xml:space="preserve">v. </w:t>
      </w:r>
      <w:r w:rsidRPr="00ED3C03">
        <w:rPr>
          <w:i/>
          <w:iCs/>
        </w:rPr>
        <w:t xml:space="preserve">Durant </w:t>
      </w:r>
      <w:r w:rsidRPr="00ED3C03">
        <w:t>([1901] A. C. 240) followed.</w:t>
      </w:r>
    </w:p>
    <w:p w:rsidR="002B7CB7" w:rsidRPr="00ED3C03" w:rsidRDefault="002B7CB7" w:rsidP="000F575A">
      <w:pPr>
        <w:pStyle w:val="History"/>
      </w:pPr>
      <w:r w:rsidRPr="00ED3C03">
        <w:rPr>
          <w:caps/>
        </w:rPr>
        <w:t xml:space="preserve">Appeal </w:t>
      </w:r>
      <w:r w:rsidRPr="00ED3C03">
        <w:t>from a decision of the Supreme Court of Nova Scotia reversing the judgment at the trial in favour of the plaintiffs.</w:t>
      </w:r>
    </w:p>
    <w:p w:rsidR="002B7CB7" w:rsidRPr="00ED3C03" w:rsidRDefault="002B7CB7" w:rsidP="000F575A">
      <w:pPr>
        <w:pStyle w:val="History"/>
        <w:rPr>
          <w:rFonts w:cs="Arial"/>
          <w:szCs w:val="24"/>
        </w:rPr>
      </w:pPr>
      <w:r w:rsidRPr="00ED3C03">
        <w:rPr>
          <w:rFonts w:cs="Arial"/>
          <w:szCs w:val="24"/>
        </w:rPr>
        <w:t>The facts of the case are stated by the trial judge in his judgment as follows:</w:t>
      </w:r>
    </w:p>
    <w:p w:rsidR="002B7CB7" w:rsidRPr="00ED3C03" w:rsidRDefault="002B7CB7" w:rsidP="000F575A">
      <w:pPr>
        <w:pStyle w:val="History"/>
        <w:rPr>
          <w:rFonts w:cs="Arial"/>
          <w:szCs w:val="24"/>
        </w:rPr>
      </w:pPr>
      <w:r w:rsidRPr="00ED3C03">
        <w:rPr>
          <w:rFonts w:cs="Arial"/>
          <w:szCs w:val="24"/>
        </w:rPr>
        <w:t xml:space="preserve">"The plaintiff, H. E. Moore, was in partnership with one Robertson, and the firm sold part of the goods for which the action is brought and the other part Moore sold to the defendant after the dissolution when Moore took an assignment of Robertson's interest in the assets. On the 19th of January, 1897, H. E. Moore assigned for the </w:t>
      </w:r>
      <w:r w:rsidRPr="00ED3C03">
        <w:rPr>
          <w:rFonts w:cs="Arial"/>
          <w:szCs w:val="24"/>
        </w:rPr>
        <w:lastRenderedPageBreak/>
        <w:t>benefit of creditors of W. A. Moore and one Moffat. On the same date W. H. Moore</w:t>
      </w:r>
    </w:p>
    <w:p w:rsidR="002B7CB7" w:rsidRPr="00ED3C03" w:rsidRDefault="007662F5" w:rsidP="007662F5">
      <w:pPr>
        <w:pStyle w:val="Page"/>
      </w:pPr>
      <w:r>
        <w:rPr>
          <w:rFonts w:cs="Arial"/>
          <w:szCs w:val="24"/>
        </w:rPr>
        <w:t xml:space="preserve">[Page </w:t>
      </w:r>
      <w:r w:rsidR="002B7CB7" w:rsidRPr="00ED3C03">
        <w:rPr>
          <w:rFonts w:cs="Arial"/>
          <w:szCs w:val="24"/>
        </w:rPr>
        <w:t>534]</w:t>
      </w:r>
    </w:p>
    <w:p w:rsidR="002B7CB7" w:rsidRPr="00ED3C03" w:rsidRDefault="002B7CB7" w:rsidP="00F81F6A">
      <w:pPr>
        <w:pStyle w:val="History"/>
        <w:ind w:firstLine="0"/>
        <w:rPr>
          <w:rFonts w:cs="Arial"/>
          <w:szCs w:val="24"/>
        </w:rPr>
      </w:pPr>
      <w:r w:rsidRPr="00ED3C03">
        <w:rPr>
          <w:rFonts w:cs="Arial"/>
          <w:szCs w:val="24"/>
        </w:rPr>
        <w:t>recovered judgment against H. E. Moore for upward of $15,000 and an execution was forthwith issued and placed in the sheriff's hands. Apparently the assignment was afterwards treated as void for under the execution a levy upon and sale were made of the goods of H. E. Moore. The books of account and book debts due to H. E. Moore were levied upon under the execution and a sale of the same took place on the 22nd April, 1897. The execution was returned satisfied for the amount realized from the goods, book debts, etc. Before this sale, namely, on the 22nd February, 1897, W. H. Moore himself had assigned for the benefit of creditors to one Treen and Treen, at the sheriff's sale, as such trustee bid in these books and book debts, which included the claim against the defendant. He took possession of the books, notified debtors, and for several months, indeed until the 22nd June, 1898, he was collecting under the supervision of H. E. Moore these debts. On that date Treen re-conveyed back to W. H. Moore, who had compounded with his creditors. On the 24th October, 1898, a decree was made at the suit of a creditor of H. E. Moore setting aside as contrary to the Statute of Elizabeth, the assignment made by H. E. Moore. Apparently it contained some of the clauses condemned by the Supreme Court of Canada.</w:t>
      </w:r>
    </w:p>
    <w:p w:rsidR="002B7CB7" w:rsidRPr="00ED3C03" w:rsidRDefault="002B7CB7" w:rsidP="00F81F6A">
      <w:pPr>
        <w:pStyle w:val="History"/>
        <w:rPr>
          <w:rFonts w:cs="Arial"/>
          <w:szCs w:val="24"/>
        </w:rPr>
      </w:pPr>
      <w:r w:rsidRPr="00ED3C03">
        <w:rPr>
          <w:rFonts w:cs="Arial"/>
          <w:szCs w:val="24"/>
        </w:rPr>
        <w:t xml:space="preserve">"Recently an action has been brought to recover the claim against the defendant and every person who has any possible interest has been joined as plaintiff. The Statute of Limitations is pleaded and the plaintiffs are obliged to rely upon an acknowledgment in writing and a payment made during the period when Treen, trustee of W. H. Moore, was believed to be the owner of the chose in action. The payment was made by a shipment of fish to be sold and the proceeds credited on account of the debt. H. E. Moore was concerned in conducting the business and he was cognizant of the </w:t>
      </w:r>
    </w:p>
    <w:p w:rsidR="002B7CB7" w:rsidRPr="00ED3C03" w:rsidRDefault="007662F5" w:rsidP="007662F5">
      <w:pPr>
        <w:pStyle w:val="Page"/>
      </w:pPr>
      <w:r>
        <w:rPr>
          <w:rFonts w:cs="Arial"/>
          <w:szCs w:val="24"/>
        </w:rPr>
        <w:t xml:space="preserve">[Page </w:t>
      </w:r>
      <w:r w:rsidR="002B7CB7" w:rsidRPr="00ED3C03">
        <w:rPr>
          <w:rFonts w:cs="Arial"/>
          <w:caps/>
          <w:szCs w:val="24"/>
        </w:rPr>
        <w:t>535]</w:t>
      </w:r>
    </w:p>
    <w:p w:rsidR="002B7CB7" w:rsidRPr="00ED3C03" w:rsidRDefault="002B7CB7" w:rsidP="00F81F6A">
      <w:pPr>
        <w:pStyle w:val="History"/>
        <w:ind w:firstLine="0"/>
        <w:rPr>
          <w:rFonts w:cs="Arial"/>
          <w:szCs w:val="24"/>
        </w:rPr>
      </w:pPr>
      <w:r w:rsidRPr="00ED3C03">
        <w:rPr>
          <w:rFonts w:cs="Arial"/>
          <w:szCs w:val="24"/>
        </w:rPr>
        <w:t>collection and its payment. The amount was credited in the original account in the book of H. E. Moore. The defendant in evidence says: 'After that I shipped the fish to Mr. William Ross for Mr. H. E. Moore in payment of the claim he had against me.' He had already received from Treen, as trustee, a statement of the account and a notification and his letter advising of the shipment of the fish was addressed to Treen."</w:t>
      </w:r>
    </w:p>
    <w:p w:rsidR="002B7CB7" w:rsidRPr="00ED3C03" w:rsidRDefault="002B7CB7" w:rsidP="00F81F6A">
      <w:pPr>
        <w:pStyle w:val="History"/>
        <w:rPr>
          <w:rFonts w:cs="Arial"/>
          <w:szCs w:val="24"/>
        </w:rPr>
      </w:pPr>
      <w:r w:rsidRPr="00ED3C03">
        <w:rPr>
          <w:rFonts w:cs="Arial"/>
          <w:szCs w:val="24"/>
        </w:rPr>
        <w:t>The learned judge held that this transaction was capable of being, and was ratified by H. E. Moore and took the case out of the statute. He gave judgment for the plaintiffs for the sum claimed which judgment was reversed by the full court.</w:t>
      </w:r>
    </w:p>
    <w:p w:rsidR="002B7CB7" w:rsidRPr="00ED3C03" w:rsidRDefault="002B7CB7" w:rsidP="00F81F6A">
      <w:pPr>
        <w:pStyle w:val="History"/>
        <w:rPr>
          <w:rFonts w:cs="Arial"/>
          <w:szCs w:val="24"/>
        </w:rPr>
      </w:pPr>
      <w:r w:rsidRPr="00ED3C03">
        <w:rPr>
          <w:rFonts w:cs="Arial"/>
          <w:i/>
          <w:iCs/>
          <w:szCs w:val="24"/>
        </w:rPr>
        <w:t xml:space="preserve">New combe K.C. </w:t>
      </w:r>
      <w:r w:rsidRPr="00ED3C03">
        <w:rPr>
          <w:rFonts w:cs="Arial"/>
          <w:szCs w:val="24"/>
        </w:rPr>
        <w:t xml:space="preserve">for the appellants. The decision of the learned trial judge was right. The assignment having been for the benefit of creditors solely, and having been set aside as void as against creditors, is completely out of the way. Such assignments stand on a different footing from others which stand good </w:t>
      </w:r>
      <w:r w:rsidRPr="00ED3C03">
        <w:rPr>
          <w:rFonts w:cs="Arial"/>
          <w:i/>
          <w:iCs/>
          <w:szCs w:val="24"/>
        </w:rPr>
        <w:t xml:space="preserve">inter </w:t>
      </w:r>
      <w:r w:rsidRPr="00ED3C03">
        <w:rPr>
          <w:rFonts w:cs="Arial"/>
          <w:szCs w:val="24"/>
        </w:rPr>
        <w:t xml:space="preserve">parties. If the assignment </w:t>
      </w:r>
      <w:r w:rsidRPr="00ED3C03">
        <w:rPr>
          <w:rFonts w:cs="Arial"/>
          <w:szCs w:val="24"/>
        </w:rPr>
        <w:lastRenderedPageBreak/>
        <w:t>be regarded as out of the way and the payment be regarded as having been made to Treen or to H. E. Moore, it was properly made; Treen and H. E. Moore were, it is submitted, in privity. Again, there has been ratification. The payment made has been adopted and is credited in the statement of claim herein. See Warren on Choses in Action, pp. 64, 78, 79 and 82.</w:t>
      </w:r>
    </w:p>
    <w:p w:rsidR="002B7CB7" w:rsidRPr="00ED3C03" w:rsidRDefault="002B7CB7" w:rsidP="00F81F6A">
      <w:pPr>
        <w:pStyle w:val="History"/>
        <w:rPr>
          <w:rFonts w:cs="Arial"/>
          <w:szCs w:val="24"/>
        </w:rPr>
      </w:pPr>
      <w:r w:rsidRPr="00ED3C03">
        <w:rPr>
          <w:rFonts w:cs="Arial"/>
          <w:szCs w:val="24"/>
        </w:rPr>
        <w:t xml:space="preserve">If the assignment is out of the way and book debts cannot be seized and sold by the sheriff and if seized and sold such action cannot be ratified, then appellant H. E. Moore would be the creditor to whom the respondent in his evidence testified he made the payment through Ross, and the debt could be garnished by creditors. If the assignment be good and the book debts not leviable by the sheriff, even in this case H. E. Moore would be </w:t>
      </w:r>
      <w:r w:rsidRPr="00ED3C03">
        <w:rPr>
          <w:rFonts w:cs="Arial"/>
          <w:i/>
          <w:iCs/>
          <w:szCs w:val="24"/>
        </w:rPr>
        <w:t xml:space="preserve">cestui que trust, </w:t>
      </w:r>
      <w:r w:rsidRPr="00ED3C03">
        <w:rPr>
          <w:rFonts w:cs="Arial"/>
          <w:szCs w:val="24"/>
        </w:rPr>
        <w:t>and a payment</w:t>
      </w:r>
    </w:p>
    <w:p w:rsidR="002B7CB7" w:rsidRPr="00ED3C03" w:rsidRDefault="007662F5" w:rsidP="007662F5">
      <w:pPr>
        <w:pStyle w:val="Page"/>
      </w:pPr>
      <w:r>
        <w:rPr>
          <w:rFonts w:cs="Arial"/>
          <w:szCs w:val="24"/>
        </w:rPr>
        <w:t xml:space="preserve">[Page </w:t>
      </w:r>
      <w:r w:rsidR="002B7CB7" w:rsidRPr="00ED3C03">
        <w:rPr>
          <w:rFonts w:cs="Arial"/>
          <w:szCs w:val="24"/>
        </w:rPr>
        <w:t>536]</w:t>
      </w:r>
    </w:p>
    <w:p w:rsidR="002B7CB7" w:rsidRPr="00ED3C03" w:rsidRDefault="002B7CB7" w:rsidP="00F81F6A">
      <w:pPr>
        <w:pStyle w:val="History"/>
        <w:ind w:firstLine="0"/>
        <w:rPr>
          <w:rFonts w:cs="Arial"/>
          <w:szCs w:val="24"/>
        </w:rPr>
      </w:pPr>
      <w:r w:rsidRPr="00ED3C03">
        <w:rPr>
          <w:rFonts w:cs="Arial"/>
          <w:szCs w:val="24"/>
        </w:rPr>
        <w:t xml:space="preserve">made to him can be taken advantage of by the assignees to bar the Statute of Limitations. </w:t>
      </w:r>
      <w:r w:rsidRPr="00ED3C03">
        <w:rPr>
          <w:rFonts w:cs="Arial"/>
          <w:i/>
          <w:iCs/>
          <w:szCs w:val="24"/>
        </w:rPr>
        <w:t xml:space="preserve">Megginson </w:t>
      </w:r>
      <w:r w:rsidRPr="00ED3C03">
        <w:rPr>
          <w:rFonts w:cs="Arial"/>
          <w:szCs w:val="24"/>
        </w:rPr>
        <w:t xml:space="preserve">v. </w:t>
      </w:r>
      <w:r w:rsidRPr="00ED3C03">
        <w:rPr>
          <w:rFonts w:cs="Arial"/>
          <w:i/>
          <w:iCs/>
          <w:szCs w:val="24"/>
        </w:rPr>
        <w:t>Harper</w:t>
      </w:r>
      <w:r w:rsidR="00ED3C03" w:rsidRPr="00ED3C03">
        <w:rPr>
          <w:rStyle w:val="FootnoteReference"/>
          <w:rFonts w:cs="Arial"/>
          <w:i/>
          <w:iCs/>
          <w:szCs w:val="24"/>
        </w:rPr>
        <w:footnoteReference w:id="2"/>
      </w:r>
      <w:r w:rsidRPr="00ED3C03">
        <w:rPr>
          <w:rFonts w:cs="Arial"/>
          <w:szCs w:val="24"/>
        </w:rPr>
        <w:t>. Darby &amp; Bosanquet on Limitations of Actions (2 ed.) 114, 115, 116.</w:t>
      </w:r>
    </w:p>
    <w:p w:rsidR="002B7CB7" w:rsidRPr="00ED3C03" w:rsidRDefault="002B7CB7" w:rsidP="00F81F6A">
      <w:pPr>
        <w:pStyle w:val="History"/>
        <w:rPr>
          <w:rFonts w:cs="Arial"/>
          <w:szCs w:val="24"/>
        </w:rPr>
      </w:pPr>
      <w:r w:rsidRPr="00ED3C03">
        <w:rPr>
          <w:rFonts w:cs="Arial"/>
          <w:szCs w:val="24"/>
        </w:rPr>
        <w:t xml:space="preserve">Both of the exceptions referred to in the case of </w:t>
      </w:r>
      <w:r w:rsidRPr="00ED3C03">
        <w:rPr>
          <w:rFonts w:cs="Arial"/>
          <w:i/>
          <w:iCs/>
          <w:szCs w:val="24"/>
        </w:rPr>
        <w:t xml:space="preserve">Stamford Spalding and Boston Banking Co. </w:t>
      </w:r>
      <w:r w:rsidRPr="00ED3C03">
        <w:rPr>
          <w:rFonts w:cs="Arial"/>
          <w:szCs w:val="24"/>
        </w:rPr>
        <w:t xml:space="preserve">v. </w:t>
      </w:r>
      <w:r w:rsidRPr="00ED3C03">
        <w:rPr>
          <w:rFonts w:cs="Arial"/>
          <w:i/>
          <w:iCs/>
          <w:szCs w:val="24"/>
        </w:rPr>
        <w:t>Smith</w:t>
      </w:r>
      <w:r w:rsidR="00ED3C03" w:rsidRPr="00ED3C03">
        <w:rPr>
          <w:rStyle w:val="FootnoteReference"/>
          <w:rFonts w:cs="Arial"/>
          <w:i/>
          <w:iCs/>
          <w:szCs w:val="24"/>
        </w:rPr>
        <w:footnoteReference w:id="3"/>
      </w:r>
      <w:r w:rsidRPr="00ED3C03">
        <w:rPr>
          <w:rFonts w:cs="Arial"/>
          <w:szCs w:val="24"/>
        </w:rPr>
        <w:t>, occur here:—1. A payment to a person erroneously believed to fill a representative capacity which payment will enure to the benefit of the person entitled to receive payment. 2. A mistake made by both parties, which mistake will not prevent the payment having the effect it was intended to have.</w:t>
      </w:r>
    </w:p>
    <w:p w:rsidR="002B7CB7" w:rsidRPr="00ED3C03" w:rsidRDefault="002B7CB7" w:rsidP="00F81F6A">
      <w:pPr>
        <w:pStyle w:val="History"/>
        <w:rPr>
          <w:rFonts w:cs="Arial"/>
          <w:szCs w:val="24"/>
        </w:rPr>
      </w:pPr>
      <w:r w:rsidRPr="00ED3C03">
        <w:rPr>
          <w:rFonts w:cs="Arial"/>
          <w:szCs w:val="24"/>
        </w:rPr>
        <w:t xml:space="preserve">In support of the exceptions referred to in </w:t>
      </w:r>
      <w:r w:rsidRPr="00ED3C03">
        <w:rPr>
          <w:rFonts w:cs="Arial"/>
          <w:i/>
          <w:iCs/>
          <w:szCs w:val="24"/>
        </w:rPr>
        <w:t xml:space="preserve">Stamford Spaulding and Boston Banking Co. </w:t>
      </w:r>
      <w:r w:rsidRPr="00ED3C03">
        <w:rPr>
          <w:rFonts w:cs="Arial"/>
          <w:szCs w:val="24"/>
        </w:rPr>
        <w:t xml:space="preserve">v. </w:t>
      </w:r>
      <w:r w:rsidRPr="00ED3C03">
        <w:rPr>
          <w:rFonts w:cs="Arial"/>
          <w:i/>
          <w:iCs/>
          <w:szCs w:val="24"/>
        </w:rPr>
        <w:t xml:space="preserve">Smith </w:t>
      </w:r>
      <w:r w:rsidRPr="00ED3C03">
        <w:rPr>
          <w:rFonts w:cs="Arial"/>
          <w:szCs w:val="24"/>
        </w:rPr>
        <w:t xml:space="preserve">(2) we refer to Wood on Limitations of Actions, p. 231: </w:t>
      </w:r>
      <w:r w:rsidRPr="00ED3C03">
        <w:rPr>
          <w:rFonts w:cs="Arial"/>
          <w:i/>
          <w:iCs/>
          <w:szCs w:val="24"/>
        </w:rPr>
        <w:t xml:space="preserve">Hart </w:t>
      </w:r>
      <w:r w:rsidRPr="00ED3C03">
        <w:rPr>
          <w:rFonts w:cs="Arial"/>
          <w:szCs w:val="24"/>
        </w:rPr>
        <w:t xml:space="preserve">v. </w:t>
      </w:r>
      <w:r w:rsidRPr="00ED3C03">
        <w:rPr>
          <w:rFonts w:cs="Arial"/>
          <w:i/>
          <w:iCs/>
          <w:szCs w:val="24"/>
        </w:rPr>
        <w:t>Stephens</w:t>
      </w:r>
      <w:r w:rsidR="00ED3C03" w:rsidRPr="00ED3C03">
        <w:rPr>
          <w:rStyle w:val="FootnoteReference"/>
          <w:rFonts w:cs="Arial"/>
          <w:i/>
          <w:iCs/>
          <w:szCs w:val="24"/>
        </w:rPr>
        <w:footnoteReference w:id="4"/>
      </w:r>
      <w:r w:rsidRPr="00ED3C03">
        <w:rPr>
          <w:rFonts w:cs="Arial"/>
          <w:szCs w:val="24"/>
        </w:rPr>
        <w:t xml:space="preserve">; </w:t>
      </w:r>
      <w:r w:rsidRPr="00ED3C03">
        <w:rPr>
          <w:rFonts w:cs="Arial"/>
          <w:i/>
          <w:iCs/>
          <w:szCs w:val="24"/>
        </w:rPr>
        <w:t xml:space="preserve">Trulock </w:t>
      </w:r>
      <w:r w:rsidRPr="00ED3C03">
        <w:rPr>
          <w:rFonts w:cs="Arial"/>
          <w:szCs w:val="24"/>
        </w:rPr>
        <w:t xml:space="preserve">v. </w:t>
      </w:r>
      <w:r w:rsidRPr="00ED3C03">
        <w:rPr>
          <w:rFonts w:cs="Arial"/>
          <w:i/>
          <w:iCs/>
          <w:szCs w:val="24"/>
        </w:rPr>
        <w:t>Robey</w:t>
      </w:r>
      <w:r w:rsidR="00ED3C03" w:rsidRPr="00ED3C03">
        <w:rPr>
          <w:rStyle w:val="FootnoteReference"/>
          <w:rFonts w:cs="Arial"/>
          <w:i/>
          <w:iCs/>
          <w:szCs w:val="24"/>
        </w:rPr>
        <w:footnoteReference w:id="5"/>
      </w:r>
      <w:r w:rsidRPr="00ED3C03">
        <w:rPr>
          <w:rFonts w:cs="Arial"/>
          <w:szCs w:val="24"/>
        </w:rPr>
        <w:t xml:space="preserve">; </w:t>
      </w:r>
      <w:r w:rsidRPr="00ED3C03">
        <w:rPr>
          <w:rFonts w:cs="Arial"/>
          <w:i/>
          <w:iCs/>
          <w:szCs w:val="24"/>
        </w:rPr>
        <w:t xml:space="preserve">McAuliffe </w:t>
      </w:r>
      <w:r w:rsidRPr="00ED3C03">
        <w:rPr>
          <w:rFonts w:cs="Arial"/>
          <w:szCs w:val="24"/>
        </w:rPr>
        <w:t xml:space="preserve">v. </w:t>
      </w:r>
      <w:r w:rsidRPr="00ED3C03">
        <w:rPr>
          <w:rFonts w:cs="Arial"/>
          <w:i/>
          <w:iCs/>
          <w:szCs w:val="24"/>
        </w:rPr>
        <w:t>Filzsimons</w:t>
      </w:r>
      <w:r w:rsidR="00ED3C03" w:rsidRPr="00ED3C03">
        <w:rPr>
          <w:rStyle w:val="FootnoteReference"/>
          <w:rFonts w:cs="Arial"/>
          <w:i/>
          <w:iCs/>
          <w:szCs w:val="24"/>
        </w:rPr>
        <w:footnoteReference w:id="6"/>
      </w:r>
      <w:r w:rsidRPr="00ED3C03">
        <w:rPr>
          <w:rFonts w:cs="Arial"/>
          <w:szCs w:val="24"/>
        </w:rPr>
        <w:t xml:space="preserve">; </w:t>
      </w:r>
      <w:r w:rsidRPr="00ED3C03">
        <w:rPr>
          <w:rFonts w:cs="Arial"/>
          <w:i/>
          <w:iCs/>
          <w:szCs w:val="24"/>
        </w:rPr>
        <w:t xml:space="preserve">Clark </w:t>
      </w:r>
      <w:r w:rsidRPr="00ED3C03">
        <w:rPr>
          <w:rFonts w:cs="Arial"/>
          <w:szCs w:val="24"/>
        </w:rPr>
        <w:t xml:space="preserve">v. </w:t>
      </w:r>
      <w:r w:rsidRPr="00ED3C03">
        <w:rPr>
          <w:rFonts w:cs="Arial"/>
          <w:i/>
          <w:iCs/>
          <w:szCs w:val="24"/>
        </w:rPr>
        <w:t>Hooper</w:t>
      </w:r>
      <w:r w:rsidR="00ED3C03" w:rsidRPr="00ED3C03">
        <w:rPr>
          <w:rStyle w:val="FootnoteReference"/>
          <w:rFonts w:cs="Arial"/>
          <w:i/>
          <w:iCs/>
          <w:szCs w:val="24"/>
        </w:rPr>
        <w:footnoteReference w:id="7"/>
      </w:r>
      <w:r w:rsidRPr="00ED3C03">
        <w:rPr>
          <w:rFonts w:cs="Arial"/>
          <w:szCs w:val="24"/>
        </w:rPr>
        <w:t xml:space="preserve">; </w:t>
      </w:r>
      <w:r w:rsidRPr="00ED3C03">
        <w:rPr>
          <w:rFonts w:cs="Arial"/>
          <w:i/>
          <w:iCs/>
          <w:szCs w:val="24"/>
        </w:rPr>
        <w:t xml:space="preserve">Lyell </w:t>
      </w:r>
      <w:r w:rsidRPr="00ED3C03">
        <w:rPr>
          <w:rFonts w:cs="Arial"/>
          <w:szCs w:val="24"/>
        </w:rPr>
        <w:t xml:space="preserve">v. </w:t>
      </w:r>
      <w:r w:rsidRPr="00ED3C03">
        <w:rPr>
          <w:rFonts w:cs="Arial"/>
          <w:i/>
          <w:iCs/>
          <w:szCs w:val="24"/>
        </w:rPr>
        <w:t>Kennedy</w:t>
      </w:r>
      <w:r w:rsidR="00ED3C03" w:rsidRPr="00ED3C03">
        <w:rPr>
          <w:rStyle w:val="FootnoteReference"/>
          <w:rFonts w:cs="Arial"/>
          <w:i/>
          <w:iCs/>
          <w:szCs w:val="24"/>
        </w:rPr>
        <w:footnoteReference w:id="8"/>
      </w:r>
      <w:r w:rsidRPr="00ED3C03">
        <w:rPr>
          <w:rFonts w:cs="Arial"/>
          <w:szCs w:val="24"/>
        </w:rPr>
        <w:t xml:space="preserve">; </w:t>
      </w:r>
      <w:r w:rsidRPr="00ED3C03">
        <w:rPr>
          <w:rFonts w:cs="Arial"/>
          <w:i/>
          <w:iCs/>
          <w:szCs w:val="24"/>
        </w:rPr>
        <w:t xml:space="preserve">Worlhington </w:t>
      </w:r>
      <w:r w:rsidRPr="00ED3C03">
        <w:rPr>
          <w:rFonts w:cs="Arial"/>
          <w:szCs w:val="24"/>
        </w:rPr>
        <w:t xml:space="preserve">v. </w:t>
      </w:r>
      <w:r w:rsidRPr="00ED3C03">
        <w:rPr>
          <w:rFonts w:cs="Arial"/>
          <w:i/>
          <w:iCs/>
          <w:szCs w:val="24"/>
        </w:rPr>
        <w:t>Grimsditch</w:t>
      </w:r>
      <w:r w:rsidR="00ED3C03" w:rsidRPr="00ED3C03">
        <w:rPr>
          <w:rStyle w:val="FootnoteReference"/>
          <w:rFonts w:cs="Arial"/>
          <w:i/>
          <w:iCs/>
          <w:szCs w:val="24"/>
        </w:rPr>
        <w:footnoteReference w:id="9"/>
      </w:r>
      <w:r w:rsidRPr="00ED3C03">
        <w:rPr>
          <w:rFonts w:cs="Arial"/>
          <w:szCs w:val="24"/>
        </w:rPr>
        <w:t>; Hewett on Statutes of Limitations, p. 32, s. 8.</w:t>
      </w:r>
    </w:p>
    <w:p w:rsidR="002B7CB7" w:rsidRPr="00ED3C03" w:rsidRDefault="002B7CB7" w:rsidP="00F81F6A">
      <w:pPr>
        <w:pStyle w:val="History"/>
        <w:rPr>
          <w:rFonts w:cs="Arial"/>
          <w:szCs w:val="24"/>
        </w:rPr>
      </w:pPr>
      <w:r w:rsidRPr="00ED3C03">
        <w:rPr>
          <w:rFonts w:cs="Arial"/>
          <w:szCs w:val="24"/>
        </w:rPr>
        <w:t xml:space="preserve">Treen was, by implication of law, agent for the assignee of H. E. Moore and a payment made to him either in error as to his capacity or otherwise enured to the assignee's benefit. Freeman on Executions, p. 262. A </w:t>
      </w:r>
      <w:r w:rsidRPr="00ED3C03">
        <w:rPr>
          <w:rFonts w:cs="Arial"/>
          <w:i/>
          <w:iCs/>
          <w:szCs w:val="24"/>
        </w:rPr>
        <w:t xml:space="preserve">fortiori </w:t>
      </w:r>
      <w:r w:rsidRPr="00ED3C03">
        <w:rPr>
          <w:rFonts w:cs="Arial"/>
          <w:szCs w:val="24"/>
        </w:rPr>
        <w:t>the debtor or his assignee could recover the amounts by suit unless ratification of payment was permissible and exercised.</w:t>
      </w:r>
    </w:p>
    <w:p w:rsidR="002B7CB7" w:rsidRPr="00ED3C03" w:rsidRDefault="002B7CB7" w:rsidP="00F81F6A">
      <w:pPr>
        <w:pStyle w:val="History"/>
        <w:rPr>
          <w:rFonts w:cs="Arial"/>
          <w:szCs w:val="24"/>
        </w:rPr>
      </w:pPr>
      <w:r w:rsidRPr="00ED3C03">
        <w:rPr>
          <w:rFonts w:cs="Arial"/>
          <w:i/>
          <w:iCs/>
          <w:spacing w:val="30"/>
          <w:szCs w:val="24"/>
        </w:rPr>
        <w:t>W.</w:t>
      </w:r>
      <w:r w:rsidRPr="00ED3C03">
        <w:rPr>
          <w:rFonts w:cs="Arial"/>
          <w:i/>
          <w:iCs/>
          <w:szCs w:val="24"/>
        </w:rPr>
        <w:t xml:space="preserve"> B. A. Ritchie K.C. </w:t>
      </w:r>
      <w:r w:rsidRPr="00ED3C03">
        <w:rPr>
          <w:rFonts w:cs="Arial"/>
          <w:szCs w:val="24"/>
        </w:rPr>
        <w:t xml:space="preserve">for the respondent. In order to take the case out of the Statute of Limitations, the payment must be made to the creditor or his agent The respondent never understood that Treen was in any sense the agent of H. E. Moore; </w:t>
      </w:r>
      <w:r w:rsidRPr="00ED3C03">
        <w:rPr>
          <w:rFonts w:cs="Arial"/>
          <w:i/>
          <w:iCs/>
          <w:szCs w:val="24"/>
        </w:rPr>
        <w:lastRenderedPageBreak/>
        <w:t xml:space="preserve">Stamford Spalding and Boston Banking Co. </w:t>
      </w:r>
      <w:r w:rsidRPr="00ED3C03">
        <w:rPr>
          <w:rFonts w:cs="Arial"/>
          <w:szCs w:val="24"/>
        </w:rPr>
        <w:t xml:space="preserve">v. </w:t>
      </w:r>
      <w:r w:rsidRPr="00ED3C03">
        <w:rPr>
          <w:rFonts w:cs="Arial"/>
          <w:i/>
          <w:iCs/>
          <w:szCs w:val="24"/>
        </w:rPr>
        <w:t xml:space="preserve">Smith </w:t>
      </w:r>
      <w:r w:rsidRPr="00ED3C03">
        <w:rPr>
          <w:rFonts w:cs="Arial"/>
          <w:szCs w:val="24"/>
        </w:rPr>
        <w:t xml:space="preserve">(2). See also </w:t>
      </w:r>
      <w:r w:rsidRPr="00ED3C03">
        <w:rPr>
          <w:rFonts w:cs="Arial"/>
          <w:i/>
          <w:iCs/>
          <w:szCs w:val="24"/>
        </w:rPr>
        <w:t>Keighly, Maxted &amp;</w:t>
      </w:r>
      <w:r w:rsidRPr="00ED3C03">
        <w:rPr>
          <w:rFonts w:cs="Arial"/>
          <w:i/>
          <w:iCs/>
          <w:spacing w:val="-10"/>
          <w:szCs w:val="24"/>
        </w:rPr>
        <w:t xml:space="preserve"> </w:t>
      </w:r>
      <w:r w:rsidRPr="00ED3C03">
        <w:rPr>
          <w:rFonts w:cs="Arial"/>
          <w:i/>
          <w:iCs/>
          <w:szCs w:val="24"/>
        </w:rPr>
        <w:t xml:space="preserve">Co. </w:t>
      </w:r>
      <w:r w:rsidRPr="00ED3C03">
        <w:rPr>
          <w:rFonts w:cs="Arial"/>
          <w:szCs w:val="24"/>
        </w:rPr>
        <w:t xml:space="preserve">v. </w:t>
      </w:r>
      <w:r w:rsidRPr="00ED3C03">
        <w:rPr>
          <w:rFonts w:cs="Arial"/>
          <w:i/>
          <w:iCs/>
          <w:szCs w:val="24"/>
        </w:rPr>
        <w:t>Durant</w:t>
      </w:r>
      <w:r w:rsidR="00ED3C03" w:rsidRPr="00ED3C03">
        <w:rPr>
          <w:rStyle w:val="FootnoteReference"/>
          <w:rFonts w:cs="Arial"/>
          <w:i/>
          <w:iCs/>
          <w:szCs w:val="24"/>
        </w:rPr>
        <w:footnoteReference w:id="10"/>
      </w:r>
      <w:r w:rsidRPr="00ED3C03">
        <w:rPr>
          <w:rFonts w:cs="Arial"/>
          <w:szCs w:val="24"/>
        </w:rPr>
        <w:t xml:space="preserve">; </w:t>
      </w:r>
      <w:r w:rsidRPr="00ED3C03">
        <w:rPr>
          <w:rFonts w:cs="Arial"/>
          <w:i/>
          <w:iCs/>
          <w:szCs w:val="24"/>
        </w:rPr>
        <w:t xml:space="preserve">Fraser </w:t>
      </w:r>
      <w:r w:rsidRPr="00ED3C03">
        <w:rPr>
          <w:rFonts w:cs="Arial"/>
          <w:szCs w:val="24"/>
        </w:rPr>
        <w:t xml:space="preserve">v. </w:t>
      </w:r>
      <w:r w:rsidRPr="00ED3C03">
        <w:rPr>
          <w:rFonts w:cs="Arial"/>
          <w:i/>
          <w:iCs/>
          <w:szCs w:val="24"/>
        </w:rPr>
        <w:t>Sweet</w:t>
      </w:r>
      <w:r w:rsidR="00ED3C03" w:rsidRPr="00ED3C03">
        <w:rPr>
          <w:rStyle w:val="FootnoteReference"/>
          <w:rFonts w:cs="Arial"/>
          <w:i/>
          <w:iCs/>
          <w:szCs w:val="24"/>
        </w:rPr>
        <w:footnoteReference w:id="11"/>
      </w:r>
      <w:r w:rsidRPr="00ED3C03">
        <w:rPr>
          <w:rFonts w:cs="Arial"/>
          <w:szCs w:val="24"/>
        </w:rPr>
        <w:t>.</w:t>
      </w:r>
    </w:p>
    <w:p w:rsidR="002B7CB7" w:rsidRPr="00ED3C03" w:rsidRDefault="007662F5" w:rsidP="007662F5">
      <w:pPr>
        <w:pStyle w:val="Page"/>
      </w:pPr>
      <w:r>
        <w:rPr>
          <w:rFonts w:cs="Arial"/>
          <w:szCs w:val="24"/>
        </w:rPr>
        <w:t xml:space="preserve">[Page </w:t>
      </w:r>
      <w:r w:rsidR="002B7CB7" w:rsidRPr="00ED3C03">
        <w:rPr>
          <w:rFonts w:cs="Arial"/>
          <w:szCs w:val="24"/>
        </w:rPr>
        <w:t>537]</w:t>
      </w:r>
    </w:p>
    <w:p w:rsidR="002B7CB7" w:rsidRPr="00ED3C03" w:rsidRDefault="002B7CB7" w:rsidP="00F81F6A">
      <w:pPr>
        <w:pStyle w:val="History"/>
        <w:rPr>
          <w:rFonts w:cs="Arial"/>
          <w:szCs w:val="24"/>
        </w:rPr>
      </w:pPr>
      <w:r w:rsidRPr="00ED3C03">
        <w:rPr>
          <w:rFonts w:cs="Arial"/>
          <w:szCs w:val="24"/>
        </w:rPr>
        <w:t xml:space="preserve">The sheriff in selling under an execution does not act as agent of the judgment creditor, much less of the judgment debtor; he acts for himself, executing the law. </w:t>
      </w:r>
      <w:r w:rsidRPr="00ED3C03">
        <w:rPr>
          <w:rFonts w:cs="Arial"/>
          <w:i/>
          <w:iCs/>
          <w:szCs w:val="24"/>
        </w:rPr>
        <w:t xml:space="preserve">Wilson </w:t>
      </w:r>
      <w:r w:rsidRPr="00ED3C03">
        <w:rPr>
          <w:rFonts w:cs="Arial"/>
          <w:szCs w:val="24"/>
        </w:rPr>
        <w:t xml:space="preserve">v. </w:t>
      </w:r>
      <w:r w:rsidRPr="00ED3C03">
        <w:rPr>
          <w:rFonts w:cs="Arial"/>
          <w:i/>
          <w:iCs/>
          <w:szCs w:val="24"/>
        </w:rPr>
        <w:t>Tumman</w:t>
      </w:r>
      <w:r w:rsidR="00ED3C03" w:rsidRPr="00ED3C03">
        <w:rPr>
          <w:rStyle w:val="FootnoteReference"/>
          <w:rFonts w:cs="Arial"/>
          <w:i/>
          <w:iCs/>
          <w:szCs w:val="24"/>
        </w:rPr>
        <w:footnoteReference w:id="12"/>
      </w:r>
      <w:r w:rsidRPr="00ED3C03">
        <w:rPr>
          <w:rFonts w:cs="Arial"/>
          <w:szCs w:val="24"/>
        </w:rPr>
        <w:t xml:space="preserve">. H. E. Moore could not ratify the sale, having assigned all his book debts for the benefit of his creditors before the sale took place. There can be no ratification without full knowledge. It does not appear that H. E. Moore had notice or knowledge of the invalidity of the sheriff's sale and he no doubt supposed it valid. He cannot be said to have acquiesced in the sale, because, not knowing it was invalid, he took no steps to question it. Leake on Contracts, (4 ed.) page 311; </w:t>
      </w:r>
      <w:r w:rsidRPr="00ED3C03">
        <w:rPr>
          <w:rFonts w:cs="Arial"/>
          <w:i/>
          <w:iCs/>
          <w:szCs w:val="24"/>
        </w:rPr>
        <w:t xml:space="preserve">Lewis </w:t>
      </w:r>
      <w:r w:rsidRPr="00ED3C03">
        <w:rPr>
          <w:rFonts w:cs="Arial"/>
          <w:szCs w:val="24"/>
        </w:rPr>
        <w:t xml:space="preserve">v. </w:t>
      </w:r>
      <w:r w:rsidRPr="00ED3C03">
        <w:rPr>
          <w:rFonts w:cs="Arial"/>
          <w:i/>
          <w:iCs/>
          <w:szCs w:val="24"/>
        </w:rPr>
        <w:t>Read</w:t>
      </w:r>
      <w:r w:rsidR="00ED3C03" w:rsidRPr="00ED3C03">
        <w:rPr>
          <w:rStyle w:val="FootnoteReference"/>
          <w:rFonts w:cs="Arial"/>
          <w:i/>
          <w:iCs/>
          <w:szCs w:val="24"/>
        </w:rPr>
        <w:footnoteReference w:id="13"/>
      </w:r>
      <w:r w:rsidRPr="00ED3C03">
        <w:rPr>
          <w:rFonts w:cs="Arial"/>
          <w:szCs w:val="24"/>
        </w:rPr>
        <w:t xml:space="preserve">; </w:t>
      </w:r>
      <w:r w:rsidRPr="00ED3C03">
        <w:rPr>
          <w:rFonts w:cs="Arial"/>
          <w:i/>
          <w:iCs/>
          <w:szCs w:val="24"/>
        </w:rPr>
        <w:t xml:space="preserve">La Banque Jacques Carlier </w:t>
      </w:r>
      <w:r w:rsidRPr="00ED3C03">
        <w:rPr>
          <w:rFonts w:cs="Arial"/>
          <w:szCs w:val="24"/>
        </w:rPr>
        <w:t xml:space="preserve">v. </w:t>
      </w:r>
      <w:r w:rsidRPr="00ED3C03">
        <w:rPr>
          <w:rFonts w:cs="Arial"/>
          <w:i/>
          <w:iCs/>
          <w:szCs w:val="24"/>
        </w:rPr>
        <w:t>La Banque D'Epargne, &amp;c. de Montreal</w:t>
      </w:r>
      <w:r w:rsidR="00ED3C03" w:rsidRPr="00ED3C03">
        <w:rPr>
          <w:rStyle w:val="FootnoteReference"/>
          <w:rFonts w:cs="Arial"/>
          <w:i/>
          <w:iCs/>
          <w:szCs w:val="24"/>
        </w:rPr>
        <w:footnoteReference w:id="14"/>
      </w:r>
      <w:r w:rsidRPr="00ED3C03">
        <w:rPr>
          <w:rFonts w:cs="Arial"/>
          <w:szCs w:val="24"/>
        </w:rPr>
        <w:t xml:space="preserve">; </w:t>
      </w:r>
      <w:r w:rsidRPr="00ED3C03">
        <w:rPr>
          <w:rFonts w:cs="Arial"/>
          <w:i/>
          <w:iCs/>
          <w:szCs w:val="24"/>
        </w:rPr>
        <w:t xml:space="preserve">Marsh </w:t>
      </w:r>
      <w:r w:rsidRPr="00ED3C03">
        <w:rPr>
          <w:rFonts w:cs="Arial"/>
          <w:szCs w:val="24"/>
        </w:rPr>
        <w:t xml:space="preserve">v. </w:t>
      </w:r>
      <w:r w:rsidRPr="00ED3C03">
        <w:rPr>
          <w:rFonts w:cs="Arial"/>
          <w:i/>
          <w:iCs/>
          <w:szCs w:val="24"/>
        </w:rPr>
        <w:t>Joseph</w:t>
      </w:r>
      <w:r w:rsidR="00ED3C03" w:rsidRPr="00ED3C03">
        <w:rPr>
          <w:rStyle w:val="FootnoteReference"/>
          <w:rFonts w:cs="Arial"/>
          <w:i/>
          <w:iCs/>
          <w:szCs w:val="24"/>
        </w:rPr>
        <w:footnoteReference w:id="15"/>
      </w:r>
      <w:r w:rsidRPr="00ED3C03">
        <w:rPr>
          <w:rFonts w:cs="Arial"/>
          <w:szCs w:val="24"/>
        </w:rPr>
        <w:t xml:space="preserve"> at page 246. Mere failure to give notice of invalidity is not acquiescence or ratification. "We also refer to </w:t>
      </w:r>
      <w:r w:rsidRPr="00ED3C03">
        <w:rPr>
          <w:rFonts w:cs="Arial"/>
          <w:i/>
          <w:iCs/>
          <w:szCs w:val="24"/>
        </w:rPr>
        <w:t xml:space="preserve">Boultbee </w:t>
      </w:r>
      <w:r w:rsidRPr="00ED3C03">
        <w:rPr>
          <w:rFonts w:cs="Arial"/>
          <w:szCs w:val="24"/>
        </w:rPr>
        <w:t xml:space="preserve">v. </w:t>
      </w:r>
      <w:r w:rsidRPr="00ED3C03">
        <w:rPr>
          <w:rFonts w:cs="Arial"/>
          <w:i/>
          <w:iCs/>
          <w:szCs w:val="24"/>
        </w:rPr>
        <w:t>Burke</w:t>
      </w:r>
      <w:r w:rsidR="00ED3C03" w:rsidRPr="00ED3C03">
        <w:rPr>
          <w:rStyle w:val="FootnoteReference"/>
          <w:rFonts w:cs="Arial"/>
          <w:i/>
          <w:iCs/>
          <w:szCs w:val="24"/>
        </w:rPr>
        <w:footnoteReference w:id="16"/>
      </w:r>
      <w:r w:rsidRPr="00ED3C03">
        <w:rPr>
          <w:rFonts w:cs="Arial"/>
          <w:szCs w:val="24"/>
        </w:rPr>
        <w:t xml:space="preserve">; </w:t>
      </w:r>
      <w:r w:rsidRPr="00ED3C03">
        <w:rPr>
          <w:rFonts w:cs="Arial"/>
          <w:i/>
          <w:iCs/>
          <w:szCs w:val="24"/>
        </w:rPr>
        <w:t xml:space="preserve">Tanner </w:t>
      </w:r>
      <w:r w:rsidRPr="00ED3C03">
        <w:rPr>
          <w:rFonts w:cs="Arial"/>
          <w:szCs w:val="24"/>
        </w:rPr>
        <w:t xml:space="preserve">v. </w:t>
      </w:r>
      <w:r w:rsidRPr="00ED3C03">
        <w:rPr>
          <w:rFonts w:cs="Arial"/>
          <w:i/>
          <w:iCs/>
          <w:szCs w:val="24"/>
        </w:rPr>
        <w:t>Smart</w:t>
      </w:r>
      <w:r w:rsidR="00ED3C03" w:rsidRPr="00ED3C03">
        <w:rPr>
          <w:rStyle w:val="FootnoteReference"/>
          <w:rFonts w:cs="Arial"/>
          <w:i/>
          <w:iCs/>
          <w:szCs w:val="24"/>
        </w:rPr>
        <w:footnoteReference w:id="17"/>
      </w:r>
      <w:r w:rsidRPr="00ED3C03">
        <w:rPr>
          <w:rFonts w:cs="Arial"/>
          <w:szCs w:val="24"/>
        </w:rPr>
        <w:t xml:space="preserve">; </w:t>
      </w:r>
      <w:r w:rsidRPr="00ED3C03">
        <w:rPr>
          <w:rFonts w:cs="Arial"/>
          <w:i/>
          <w:iCs/>
          <w:szCs w:val="24"/>
        </w:rPr>
        <w:t xml:space="preserve">Grenfell </w:t>
      </w:r>
      <w:r w:rsidRPr="00ED3C03">
        <w:rPr>
          <w:rFonts w:cs="Arial"/>
          <w:szCs w:val="24"/>
        </w:rPr>
        <w:t xml:space="preserve">v. </w:t>
      </w:r>
      <w:r w:rsidRPr="00ED3C03">
        <w:rPr>
          <w:rFonts w:cs="Arial"/>
          <w:i/>
          <w:iCs/>
          <w:szCs w:val="24"/>
        </w:rPr>
        <w:t>Girdle-stone</w:t>
      </w:r>
      <w:r w:rsidR="00ED3C03" w:rsidRPr="00ED3C03">
        <w:rPr>
          <w:rStyle w:val="FootnoteReference"/>
          <w:rFonts w:cs="Arial"/>
          <w:i/>
          <w:iCs/>
          <w:szCs w:val="24"/>
        </w:rPr>
        <w:footnoteReference w:id="18"/>
      </w:r>
      <w:r w:rsidRPr="00ED3C03">
        <w:rPr>
          <w:rFonts w:cs="Arial"/>
          <w:szCs w:val="24"/>
        </w:rPr>
        <w:t xml:space="preserve"> at p. 676; </w:t>
      </w:r>
      <w:r w:rsidRPr="00ED3C03">
        <w:rPr>
          <w:rFonts w:cs="Arial"/>
          <w:i/>
          <w:iCs/>
          <w:szCs w:val="24"/>
        </w:rPr>
        <w:t xml:space="preserve">Howcutt </w:t>
      </w:r>
      <w:r w:rsidRPr="00ED3C03">
        <w:rPr>
          <w:rFonts w:cs="Arial"/>
          <w:szCs w:val="24"/>
        </w:rPr>
        <w:t xml:space="preserve">v. </w:t>
      </w:r>
      <w:r w:rsidRPr="00ED3C03">
        <w:rPr>
          <w:rFonts w:cs="Arial"/>
          <w:i/>
          <w:iCs/>
          <w:szCs w:val="24"/>
        </w:rPr>
        <w:t>Bonser</w:t>
      </w:r>
      <w:r w:rsidR="00ED3C03" w:rsidRPr="00ED3C03">
        <w:rPr>
          <w:rStyle w:val="FootnoteReference"/>
          <w:rFonts w:cs="Arial"/>
          <w:i/>
          <w:iCs/>
          <w:szCs w:val="24"/>
        </w:rPr>
        <w:footnoteReference w:id="19"/>
      </w:r>
      <w:r w:rsidRPr="00ED3C03">
        <w:rPr>
          <w:rFonts w:cs="Arial"/>
          <w:szCs w:val="24"/>
        </w:rPr>
        <w:t>.</w:t>
      </w:r>
    </w:p>
    <w:p w:rsidR="002B7CB7" w:rsidRPr="00ED3C03" w:rsidRDefault="002B7CB7" w:rsidP="00F81F6A">
      <w:pPr>
        <w:pStyle w:val="Reasons"/>
      </w:pPr>
      <w:r w:rsidRPr="00ED3C03">
        <w:t>The judgment of the court was delivered by:</w:t>
      </w:r>
    </w:p>
    <w:p w:rsidR="002B7CB7" w:rsidRPr="00ED3C03" w:rsidRDefault="002B7CB7" w:rsidP="00F81F6A">
      <w:pPr>
        <w:pStyle w:val="Reasons"/>
        <w:rPr>
          <w:rFonts w:cs="Arial"/>
          <w:szCs w:val="24"/>
        </w:rPr>
      </w:pPr>
      <w:r w:rsidRPr="00ED3C03">
        <w:rPr>
          <w:rFonts w:cs="Arial"/>
          <w:caps/>
          <w:szCs w:val="24"/>
        </w:rPr>
        <w:t>Killam J.</w:t>
      </w:r>
      <w:r w:rsidRPr="00ED3C03">
        <w:rPr>
          <w:rFonts w:cs="Arial"/>
          <w:szCs w:val="24"/>
        </w:rPr>
        <w:t>—We are all of opinion that the judgment in this case should be affirmed on the ground stated by Townshend J., to which I will add but a few words upon one or two points raised before us.</w:t>
      </w:r>
    </w:p>
    <w:p w:rsidR="002B7CB7" w:rsidRPr="00ED3C03" w:rsidRDefault="002B7CB7" w:rsidP="00F81F6A">
      <w:pPr>
        <w:pStyle w:val="Reasons"/>
        <w:rPr>
          <w:rFonts w:cs="Arial"/>
          <w:szCs w:val="24"/>
        </w:rPr>
      </w:pPr>
      <w:r w:rsidRPr="00ED3C03">
        <w:rPr>
          <w:rFonts w:cs="Arial"/>
          <w:szCs w:val="24"/>
        </w:rPr>
        <w:t>It has been suggested that there was an equitable assignment by H. E. Moore to Treen. It does not appear to me that there were either words or acts amounting to such an assignment. Moore did nothing more than stand by and allow the sheriff's vendee to collect the debts, probably supposing that the sheriff's sale was good. While he might possibly have been</w:t>
      </w:r>
    </w:p>
    <w:p w:rsidR="002B7CB7" w:rsidRPr="00ED3C03" w:rsidRDefault="007662F5" w:rsidP="007662F5">
      <w:pPr>
        <w:pStyle w:val="Page"/>
      </w:pPr>
      <w:r>
        <w:rPr>
          <w:rFonts w:cs="Arial"/>
          <w:szCs w:val="24"/>
        </w:rPr>
        <w:t xml:space="preserve">[Page </w:t>
      </w:r>
      <w:r w:rsidR="002B7CB7" w:rsidRPr="00ED3C03">
        <w:rPr>
          <w:rFonts w:cs="Arial"/>
          <w:szCs w:val="24"/>
        </w:rPr>
        <w:t>538]</w:t>
      </w:r>
    </w:p>
    <w:p w:rsidR="002B7CB7" w:rsidRPr="00ED3C03" w:rsidRDefault="002B7CB7" w:rsidP="00F81F6A">
      <w:pPr>
        <w:pStyle w:val="Reasons"/>
        <w:rPr>
          <w:rFonts w:cs="Arial"/>
          <w:szCs w:val="24"/>
        </w:rPr>
      </w:pPr>
      <w:r w:rsidRPr="00ED3C03">
        <w:rPr>
          <w:rFonts w:cs="Arial"/>
          <w:szCs w:val="24"/>
        </w:rPr>
        <w:t xml:space="preserve">estopped from denying the validity of a payment to Treen, he cannot adopt it so as to </w:t>
      </w:r>
      <w:r w:rsidRPr="00ED3C03">
        <w:rPr>
          <w:rFonts w:cs="Arial"/>
          <w:szCs w:val="24"/>
        </w:rPr>
        <w:lastRenderedPageBreak/>
        <w:t>give himself a right of action under it.</w:t>
      </w:r>
    </w:p>
    <w:p w:rsidR="002B7CB7" w:rsidRPr="00ED3C03" w:rsidRDefault="002B7CB7" w:rsidP="00F81F6A">
      <w:pPr>
        <w:pStyle w:val="Reasons"/>
        <w:rPr>
          <w:rFonts w:cs="Arial"/>
          <w:szCs w:val="24"/>
        </w:rPr>
      </w:pPr>
      <w:r w:rsidRPr="00ED3C03">
        <w:rPr>
          <w:rFonts w:cs="Arial"/>
          <w:szCs w:val="24"/>
        </w:rPr>
        <w:t xml:space="preserve">Treen did not assume to act as the agent of Moore, and therefore, upon the principle laid down in </w:t>
      </w:r>
      <w:r w:rsidRPr="00ED3C03">
        <w:rPr>
          <w:rFonts w:cs="Arial"/>
          <w:i/>
          <w:iCs/>
          <w:szCs w:val="24"/>
        </w:rPr>
        <w:t xml:space="preserve">Keighley, Maxsted &amp; Co. </w:t>
      </w:r>
      <w:r w:rsidRPr="00ED3C03">
        <w:rPr>
          <w:rFonts w:cs="Arial"/>
          <w:szCs w:val="24"/>
        </w:rPr>
        <w:t xml:space="preserve">v. </w:t>
      </w:r>
      <w:r w:rsidRPr="00ED3C03">
        <w:rPr>
          <w:rFonts w:cs="Arial"/>
          <w:i/>
          <w:iCs/>
          <w:szCs w:val="24"/>
          <w:lang w:val="fr-FR"/>
        </w:rPr>
        <w:t>Durant</w:t>
      </w:r>
      <w:r w:rsidR="00ED3C03" w:rsidRPr="00ED3C03">
        <w:rPr>
          <w:rStyle w:val="FootnoteReference"/>
          <w:rFonts w:cs="Arial"/>
          <w:i/>
          <w:iCs/>
          <w:szCs w:val="24"/>
          <w:lang w:val="fr-FR"/>
        </w:rPr>
        <w:footnoteReference w:id="20"/>
      </w:r>
      <w:r w:rsidRPr="00ED3C03">
        <w:rPr>
          <w:rFonts w:cs="Arial"/>
          <w:szCs w:val="24"/>
        </w:rPr>
        <w:t>, Moore could not make the transaction his own by ratification.</w:t>
      </w:r>
    </w:p>
    <w:p w:rsidR="002B7CB7" w:rsidRPr="00ED3C03" w:rsidRDefault="002B7CB7" w:rsidP="00F81F6A">
      <w:pPr>
        <w:pStyle w:val="Reasons"/>
        <w:rPr>
          <w:rFonts w:cs="Arial"/>
          <w:szCs w:val="24"/>
        </w:rPr>
      </w:pPr>
      <w:r w:rsidRPr="00ED3C03">
        <w:rPr>
          <w:rFonts w:cs="Arial"/>
          <w:szCs w:val="24"/>
        </w:rPr>
        <w:t>The appeal should be dismissed with costs.</w:t>
      </w:r>
    </w:p>
    <w:p w:rsidR="002B7CB7" w:rsidRPr="00ED3C03" w:rsidRDefault="002B7CB7" w:rsidP="00F81F6A">
      <w:pPr>
        <w:pStyle w:val="Reasons"/>
      </w:pPr>
      <w:r w:rsidRPr="00ED3C03">
        <w:t>Appeal dismissed with costs.</w:t>
      </w:r>
    </w:p>
    <w:p w:rsidR="002B7CB7" w:rsidRPr="00ED3C03" w:rsidRDefault="002B7CB7" w:rsidP="00F81F6A">
      <w:pPr>
        <w:pStyle w:val="Sollicitors"/>
        <w:rPr>
          <w:iCs/>
        </w:rPr>
      </w:pPr>
      <w:r w:rsidRPr="00ED3C03">
        <w:t xml:space="preserve">Solicitor for the appellants: </w:t>
      </w:r>
      <w:r w:rsidRPr="00ED3C03">
        <w:rPr>
          <w:iCs/>
          <w:lang w:val="fr-FR"/>
        </w:rPr>
        <w:t xml:space="preserve">R. </w:t>
      </w:r>
      <w:r w:rsidRPr="00ED3C03">
        <w:rPr>
          <w:iCs/>
          <w:spacing w:val="30"/>
        </w:rPr>
        <w:t>F.</w:t>
      </w:r>
      <w:r w:rsidRPr="00ED3C03">
        <w:rPr>
          <w:iCs/>
        </w:rPr>
        <w:t xml:space="preserve"> Phalen.</w:t>
      </w:r>
    </w:p>
    <w:p w:rsidR="002B7CB7" w:rsidRPr="006B08FA" w:rsidRDefault="002B7CB7" w:rsidP="00F81F6A">
      <w:pPr>
        <w:pStyle w:val="Sollicitors"/>
        <w:rPr>
          <w:iCs/>
        </w:rPr>
      </w:pPr>
      <w:r w:rsidRPr="00ED3C03">
        <w:t xml:space="preserve">Solicitor for the respondent: </w:t>
      </w:r>
      <w:r w:rsidRPr="00ED3C03">
        <w:rPr>
          <w:iCs/>
        </w:rPr>
        <w:t>Hugh Ross.</w:t>
      </w:r>
    </w:p>
    <w:sectPr w:rsidR="002B7CB7" w:rsidRPr="006B08FA" w:rsidSect="00DD2D9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9AC" w:rsidRDefault="005719AC" w:rsidP="00DD2D98">
      <w:r>
        <w:separator/>
      </w:r>
    </w:p>
  </w:endnote>
  <w:endnote w:type="continuationSeparator" w:id="1">
    <w:p w:rsidR="005719AC" w:rsidRDefault="005719AC" w:rsidP="00DD2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9AC" w:rsidRDefault="005719AC" w:rsidP="00DD2D98">
      <w:r>
        <w:separator/>
      </w:r>
    </w:p>
  </w:footnote>
  <w:footnote w:type="continuationSeparator" w:id="1">
    <w:p w:rsidR="005719AC" w:rsidRDefault="005719AC" w:rsidP="00DD2D98">
      <w:r>
        <w:continuationSeparator/>
      </w:r>
    </w:p>
  </w:footnote>
  <w:footnote w:id="2">
    <w:p w:rsidR="00ED3C03" w:rsidRPr="00ED3C03" w:rsidRDefault="00ED3C03">
      <w:pPr>
        <w:pStyle w:val="FootnoteText"/>
        <w:rPr>
          <w:lang w:val="en-US"/>
        </w:rPr>
      </w:pPr>
      <w:r>
        <w:rPr>
          <w:rStyle w:val="FootnoteReference"/>
        </w:rPr>
        <w:footnoteRef/>
      </w:r>
      <w:r>
        <w:t xml:space="preserve"> </w:t>
      </w:r>
      <w:r w:rsidRPr="006B08FA">
        <w:rPr>
          <w:rFonts w:cs="Arial"/>
          <w:szCs w:val="24"/>
        </w:rPr>
        <w:t>2 C. &amp; M. 322.</w:t>
      </w:r>
    </w:p>
  </w:footnote>
  <w:footnote w:id="3">
    <w:p w:rsidR="00ED3C03" w:rsidRPr="00ED3C03" w:rsidRDefault="00ED3C03">
      <w:pPr>
        <w:pStyle w:val="FootnoteText"/>
        <w:rPr>
          <w:lang w:val="en-US"/>
        </w:rPr>
      </w:pPr>
      <w:r>
        <w:rPr>
          <w:rStyle w:val="FootnoteReference"/>
        </w:rPr>
        <w:footnoteRef/>
      </w:r>
      <w:r>
        <w:t xml:space="preserve"> </w:t>
      </w:r>
      <w:r w:rsidRPr="006B08FA">
        <w:rPr>
          <w:rFonts w:cs="Arial"/>
          <w:szCs w:val="24"/>
        </w:rPr>
        <w:t>[1892] 1 Q. B. 765.</w:t>
      </w:r>
    </w:p>
  </w:footnote>
  <w:footnote w:id="4">
    <w:p w:rsidR="00ED3C03" w:rsidRPr="00ED3C03" w:rsidRDefault="00ED3C03">
      <w:pPr>
        <w:pStyle w:val="FootnoteText"/>
        <w:rPr>
          <w:lang w:val="en-US"/>
        </w:rPr>
      </w:pPr>
      <w:r>
        <w:rPr>
          <w:rStyle w:val="FootnoteReference"/>
        </w:rPr>
        <w:footnoteRef/>
      </w:r>
      <w:r>
        <w:t xml:space="preserve"> </w:t>
      </w:r>
      <w:r w:rsidRPr="006B08FA">
        <w:rPr>
          <w:rFonts w:cs="Arial"/>
          <w:szCs w:val="24"/>
        </w:rPr>
        <w:t>6 Q. B. 937.</w:t>
      </w:r>
    </w:p>
  </w:footnote>
  <w:footnote w:id="5">
    <w:p w:rsidR="00ED3C03" w:rsidRPr="00ED3C03" w:rsidRDefault="00ED3C03">
      <w:pPr>
        <w:pStyle w:val="FootnoteText"/>
        <w:rPr>
          <w:lang w:val="en-US"/>
        </w:rPr>
      </w:pPr>
      <w:r>
        <w:rPr>
          <w:rStyle w:val="FootnoteReference"/>
        </w:rPr>
        <w:footnoteRef/>
      </w:r>
      <w:r>
        <w:t xml:space="preserve"> </w:t>
      </w:r>
      <w:r w:rsidRPr="006B08FA">
        <w:rPr>
          <w:rFonts w:cs="Arial"/>
          <w:szCs w:val="24"/>
        </w:rPr>
        <w:t>12 Sim. 402.</w:t>
      </w:r>
    </w:p>
  </w:footnote>
  <w:footnote w:id="6">
    <w:p w:rsidR="00ED3C03" w:rsidRPr="00ED3C03" w:rsidRDefault="00ED3C03">
      <w:pPr>
        <w:pStyle w:val="FootnoteText"/>
        <w:rPr>
          <w:lang w:val="en-US"/>
        </w:rPr>
      </w:pPr>
      <w:r>
        <w:rPr>
          <w:rStyle w:val="FootnoteReference"/>
        </w:rPr>
        <w:footnoteRef/>
      </w:r>
      <w:r>
        <w:t xml:space="preserve"> </w:t>
      </w:r>
      <w:r w:rsidRPr="006B08FA">
        <w:rPr>
          <w:rFonts w:cs="Arial"/>
          <w:szCs w:val="24"/>
        </w:rPr>
        <w:t>26 L. R. Ir. 29.</w:t>
      </w:r>
    </w:p>
  </w:footnote>
  <w:footnote w:id="7">
    <w:p w:rsidR="00ED3C03" w:rsidRPr="00ED3C03" w:rsidRDefault="00ED3C03">
      <w:pPr>
        <w:pStyle w:val="FootnoteText"/>
        <w:rPr>
          <w:lang w:val="en-US"/>
        </w:rPr>
      </w:pPr>
      <w:r>
        <w:rPr>
          <w:rStyle w:val="FootnoteReference"/>
        </w:rPr>
        <w:footnoteRef/>
      </w:r>
      <w:r>
        <w:t xml:space="preserve"> </w:t>
      </w:r>
      <w:r w:rsidRPr="006B08FA">
        <w:rPr>
          <w:rFonts w:cs="Arial"/>
          <w:szCs w:val="24"/>
        </w:rPr>
        <w:t>10 Bing. 480.</w:t>
      </w:r>
    </w:p>
  </w:footnote>
  <w:footnote w:id="8">
    <w:p w:rsidR="00ED3C03" w:rsidRPr="00ED3C03" w:rsidRDefault="00ED3C03">
      <w:pPr>
        <w:pStyle w:val="FootnoteText"/>
        <w:rPr>
          <w:lang w:val="en-US"/>
        </w:rPr>
      </w:pPr>
      <w:r>
        <w:rPr>
          <w:rStyle w:val="FootnoteReference"/>
        </w:rPr>
        <w:footnoteRef/>
      </w:r>
      <w:r>
        <w:t xml:space="preserve"> </w:t>
      </w:r>
      <w:r w:rsidRPr="006B08FA">
        <w:rPr>
          <w:rFonts w:cs="Arial"/>
          <w:szCs w:val="24"/>
        </w:rPr>
        <w:t>14 App. Cas. 437.</w:t>
      </w:r>
    </w:p>
  </w:footnote>
  <w:footnote w:id="9">
    <w:p w:rsidR="00ED3C03" w:rsidRPr="00ED3C03" w:rsidRDefault="00ED3C03">
      <w:pPr>
        <w:pStyle w:val="FootnoteText"/>
        <w:rPr>
          <w:lang w:val="en-US"/>
        </w:rPr>
      </w:pPr>
      <w:r>
        <w:rPr>
          <w:rStyle w:val="FootnoteReference"/>
        </w:rPr>
        <w:footnoteRef/>
      </w:r>
      <w:r>
        <w:t xml:space="preserve"> </w:t>
      </w:r>
      <w:r w:rsidRPr="006B08FA">
        <w:rPr>
          <w:rFonts w:cs="Arial"/>
          <w:szCs w:val="24"/>
        </w:rPr>
        <w:t>7 Q. B. 479.</w:t>
      </w:r>
    </w:p>
  </w:footnote>
  <w:footnote w:id="10">
    <w:p w:rsidR="00ED3C03" w:rsidRPr="00ED3C03" w:rsidRDefault="00ED3C03">
      <w:pPr>
        <w:pStyle w:val="FootnoteText"/>
        <w:rPr>
          <w:lang w:val="en-US"/>
        </w:rPr>
      </w:pPr>
      <w:r>
        <w:rPr>
          <w:rStyle w:val="FootnoteReference"/>
        </w:rPr>
        <w:footnoteRef/>
      </w:r>
      <w:r>
        <w:t xml:space="preserve"> </w:t>
      </w:r>
      <w:r w:rsidRPr="006B08FA">
        <w:rPr>
          <w:rFonts w:cs="Arial"/>
          <w:szCs w:val="24"/>
        </w:rPr>
        <w:t>[1901] A. C. 240.</w:t>
      </w:r>
    </w:p>
  </w:footnote>
  <w:footnote w:id="11">
    <w:p w:rsidR="00ED3C03" w:rsidRPr="00ED3C03" w:rsidRDefault="00ED3C03">
      <w:pPr>
        <w:pStyle w:val="FootnoteText"/>
        <w:rPr>
          <w:lang w:val="en-US"/>
        </w:rPr>
      </w:pPr>
      <w:r>
        <w:rPr>
          <w:rStyle w:val="FootnoteReference"/>
        </w:rPr>
        <w:footnoteRef/>
      </w:r>
      <w:r>
        <w:t xml:space="preserve"> </w:t>
      </w:r>
      <w:r w:rsidRPr="006B08FA">
        <w:rPr>
          <w:rFonts w:cs="Arial"/>
          <w:szCs w:val="24"/>
        </w:rPr>
        <w:t>13 Man. Rep. 147.</w:t>
      </w:r>
    </w:p>
  </w:footnote>
  <w:footnote w:id="12">
    <w:p w:rsidR="00ED3C03" w:rsidRPr="00ED3C03" w:rsidRDefault="00ED3C03">
      <w:pPr>
        <w:pStyle w:val="FootnoteText"/>
        <w:rPr>
          <w:lang w:val="en-US"/>
        </w:rPr>
      </w:pPr>
      <w:r>
        <w:rPr>
          <w:rStyle w:val="FootnoteReference"/>
        </w:rPr>
        <w:footnoteRef/>
      </w:r>
      <w:r>
        <w:t xml:space="preserve"> </w:t>
      </w:r>
      <w:r w:rsidRPr="006B08FA">
        <w:rPr>
          <w:rFonts w:cs="Arial"/>
          <w:szCs w:val="24"/>
        </w:rPr>
        <w:t>6 M. &amp; G. 236.</w:t>
      </w:r>
    </w:p>
  </w:footnote>
  <w:footnote w:id="13">
    <w:p w:rsidR="00ED3C03" w:rsidRPr="00ED3C03" w:rsidRDefault="00ED3C03">
      <w:pPr>
        <w:pStyle w:val="FootnoteText"/>
        <w:rPr>
          <w:lang w:val="en-US"/>
        </w:rPr>
      </w:pPr>
      <w:r>
        <w:rPr>
          <w:rStyle w:val="FootnoteReference"/>
        </w:rPr>
        <w:footnoteRef/>
      </w:r>
      <w:r>
        <w:t xml:space="preserve"> </w:t>
      </w:r>
      <w:r w:rsidRPr="006B08FA">
        <w:rPr>
          <w:rFonts w:cs="Arial"/>
          <w:szCs w:val="24"/>
        </w:rPr>
        <w:t>13 M. &amp; W. 834.</w:t>
      </w:r>
    </w:p>
  </w:footnote>
  <w:footnote w:id="14">
    <w:p w:rsidR="00ED3C03" w:rsidRPr="00ED3C03" w:rsidRDefault="00ED3C03">
      <w:pPr>
        <w:pStyle w:val="FootnoteText"/>
        <w:rPr>
          <w:lang w:val="en-US"/>
        </w:rPr>
      </w:pPr>
      <w:r>
        <w:rPr>
          <w:rStyle w:val="FootnoteReference"/>
        </w:rPr>
        <w:footnoteRef/>
      </w:r>
      <w:r>
        <w:t xml:space="preserve"> </w:t>
      </w:r>
      <w:r w:rsidRPr="006B08FA">
        <w:rPr>
          <w:rFonts w:cs="Arial"/>
          <w:szCs w:val="24"/>
        </w:rPr>
        <w:t>13 App. Cas. 111.</w:t>
      </w:r>
    </w:p>
  </w:footnote>
  <w:footnote w:id="15">
    <w:p w:rsidR="00ED3C03" w:rsidRPr="00ED3C03" w:rsidRDefault="00ED3C03">
      <w:pPr>
        <w:pStyle w:val="FootnoteText"/>
        <w:rPr>
          <w:lang w:val="en-US"/>
        </w:rPr>
      </w:pPr>
      <w:r>
        <w:rPr>
          <w:rStyle w:val="FootnoteReference"/>
        </w:rPr>
        <w:footnoteRef/>
      </w:r>
      <w:r>
        <w:t xml:space="preserve"> </w:t>
      </w:r>
      <w:r w:rsidRPr="006B08FA">
        <w:rPr>
          <w:rFonts w:cs="Arial"/>
          <w:szCs w:val="24"/>
        </w:rPr>
        <w:t>[1897] 1 Ch. 213.</w:t>
      </w:r>
    </w:p>
  </w:footnote>
  <w:footnote w:id="16">
    <w:p w:rsidR="00ED3C03" w:rsidRPr="00ED3C03" w:rsidRDefault="00ED3C03">
      <w:pPr>
        <w:pStyle w:val="FootnoteText"/>
        <w:rPr>
          <w:lang w:val="en-US"/>
        </w:rPr>
      </w:pPr>
      <w:r>
        <w:rPr>
          <w:rStyle w:val="FootnoteReference"/>
        </w:rPr>
        <w:footnoteRef/>
      </w:r>
      <w:r>
        <w:t xml:space="preserve"> </w:t>
      </w:r>
      <w:r w:rsidRPr="006B08FA">
        <w:rPr>
          <w:rFonts w:cs="Arial"/>
          <w:szCs w:val="24"/>
        </w:rPr>
        <w:t>9 O. R. 80.</w:t>
      </w:r>
    </w:p>
  </w:footnote>
  <w:footnote w:id="17">
    <w:p w:rsidR="00ED3C03" w:rsidRPr="00ED3C03" w:rsidRDefault="00ED3C03">
      <w:pPr>
        <w:pStyle w:val="FootnoteText"/>
        <w:rPr>
          <w:lang w:val="en-US"/>
        </w:rPr>
      </w:pPr>
      <w:r>
        <w:rPr>
          <w:rStyle w:val="FootnoteReference"/>
        </w:rPr>
        <w:footnoteRef/>
      </w:r>
      <w:r>
        <w:t xml:space="preserve"> </w:t>
      </w:r>
      <w:r w:rsidRPr="006B08FA">
        <w:rPr>
          <w:rFonts w:cs="Arial"/>
          <w:szCs w:val="24"/>
        </w:rPr>
        <w:t>6 B. &amp; C. 603.</w:t>
      </w:r>
    </w:p>
  </w:footnote>
  <w:footnote w:id="18">
    <w:p w:rsidR="00ED3C03" w:rsidRPr="00ED3C03" w:rsidRDefault="00ED3C03">
      <w:pPr>
        <w:pStyle w:val="FootnoteText"/>
        <w:rPr>
          <w:lang w:val="en-US"/>
        </w:rPr>
      </w:pPr>
      <w:r>
        <w:rPr>
          <w:rStyle w:val="FootnoteReference"/>
        </w:rPr>
        <w:footnoteRef/>
      </w:r>
      <w:r>
        <w:t xml:space="preserve"> </w:t>
      </w:r>
      <w:r w:rsidRPr="006B08FA">
        <w:rPr>
          <w:rFonts w:cs="Arial"/>
          <w:szCs w:val="24"/>
        </w:rPr>
        <w:t>2 Y. &amp; C. (Fx.) 662.</w:t>
      </w:r>
    </w:p>
  </w:footnote>
  <w:footnote w:id="19">
    <w:p w:rsidR="00ED3C03" w:rsidRPr="00ED3C03" w:rsidRDefault="00ED3C03">
      <w:pPr>
        <w:pStyle w:val="FootnoteText"/>
        <w:rPr>
          <w:lang w:val="en-US"/>
        </w:rPr>
      </w:pPr>
      <w:r>
        <w:rPr>
          <w:rStyle w:val="FootnoteReference"/>
        </w:rPr>
        <w:footnoteRef/>
      </w:r>
      <w:r>
        <w:t xml:space="preserve"> </w:t>
      </w:r>
      <w:r w:rsidRPr="006B08FA">
        <w:rPr>
          <w:rFonts w:cs="Arial"/>
          <w:szCs w:val="24"/>
        </w:rPr>
        <w:t>3 Ex. 491.</w:t>
      </w:r>
    </w:p>
  </w:footnote>
  <w:footnote w:id="20">
    <w:p w:rsidR="00ED3C03" w:rsidRPr="00ED3C03" w:rsidRDefault="00ED3C03">
      <w:pPr>
        <w:pStyle w:val="FootnoteText"/>
        <w:rPr>
          <w:lang w:val="en-US"/>
        </w:rPr>
      </w:pPr>
      <w:r>
        <w:rPr>
          <w:rStyle w:val="FootnoteReference"/>
        </w:rPr>
        <w:footnoteRef/>
      </w:r>
      <w:r>
        <w:t xml:space="preserve"> </w:t>
      </w:r>
      <w:r w:rsidRPr="006B08FA">
        <w:rPr>
          <w:rFonts w:cs="Arial"/>
          <w:szCs w:val="24"/>
        </w:rPr>
        <w:t>[1901] A. C. 240.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98" w:rsidRDefault="00DD2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9688BD4">
      <w:start w:val="1"/>
      <w:numFmt w:val="decimal"/>
      <w:pStyle w:val="ParagNum"/>
      <w:lvlText w:val="[%1]"/>
      <w:lvlJc w:val="left"/>
      <w:pPr>
        <w:tabs>
          <w:tab w:val="num" w:pos="369"/>
        </w:tabs>
        <w:ind w:left="369" w:hanging="369"/>
      </w:pPr>
    </w:lvl>
    <w:lvl w:ilvl="1" w:tplc="C3D09062" w:tentative="1">
      <w:start w:val="1"/>
      <w:numFmt w:val="lowerLetter"/>
      <w:lvlText w:val="%2."/>
      <w:lvlJc w:val="left"/>
      <w:pPr>
        <w:tabs>
          <w:tab w:val="num" w:pos="1440"/>
        </w:tabs>
        <w:ind w:left="1440" w:hanging="360"/>
      </w:pPr>
    </w:lvl>
    <w:lvl w:ilvl="2" w:tplc="A4FE1E30" w:tentative="1">
      <w:start w:val="1"/>
      <w:numFmt w:val="lowerRoman"/>
      <w:lvlText w:val="%3."/>
      <w:lvlJc w:val="right"/>
      <w:pPr>
        <w:tabs>
          <w:tab w:val="num" w:pos="2160"/>
        </w:tabs>
        <w:ind w:left="2160" w:hanging="180"/>
      </w:pPr>
    </w:lvl>
    <w:lvl w:ilvl="3" w:tplc="59BE39BE" w:tentative="1">
      <w:start w:val="1"/>
      <w:numFmt w:val="decimal"/>
      <w:lvlText w:val="%4."/>
      <w:lvlJc w:val="left"/>
      <w:pPr>
        <w:tabs>
          <w:tab w:val="num" w:pos="2880"/>
        </w:tabs>
        <w:ind w:left="2880" w:hanging="360"/>
      </w:pPr>
    </w:lvl>
    <w:lvl w:ilvl="4" w:tplc="B2E8F798" w:tentative="1">
      <w:start w:val="1"/>
      <w:numFmt w:val="lowerLetter"/>
      <w:lvlText w:val="%5."/>
      <w:lvlJc w:val="left"/>
      <w:pPr>
        <w:tabs>
          <w:tab w:val="num" w:pos="3600"/>
        </w:tabs>
        <w:ind w:left="3600" w:hanging="360"/>
      </w:pPr>
    </w:lvl>
    <w:lvl w:ilvl="5" w:tplc="12C8DF3E" w:tentative="1">
      <w:start w:val="1"/>
      <w:numFmt w:val="lowerRoman"/>
      <w:lvlText w:val="%6."/>
      <w:lvlJc w:val="right"/>
      <w:pPr>
        <w:tabs>
          <w:tab w:val="num" w:pos="4320"/>
        </w:tabs>
        <w:ind w:left="4320" w:hanging="180"/>
      </w:pPr>
    </w:lvl>
    <w:lvl w:ilvl="6" w:tplc="FC480A82" w:tentative="1">
      <w:start w:val="1"/>
      <w:numFmt w:val="decimal"/>
      <w:lvlText w:val="%7."/>
      <w:lvlJc w:val="left"/>
      <w:pPr>
        <w:tabs>
          <w:tab w:val="num" w:pos="5040"/>
        </w:tabs>
        <w:ind w:left="5040" w:hanging="360"/>
      </w:pPr>
    </w:lvl>
    <w:lvl w:ilvl="7" w:tplc="5D0C099E" w:tentative="1">
      <w:start w:val="1"/>
      <w:numFmt w:val="lowerLetter"/>
      <w:lvlText w:val="%8."/>
      <w:lvlJc w:val="left"/>
      <w:pPr>
        <w:tabs>
          <w:tab w:val="num" w:pos="5760"/>
        </w:tabs>
        <w:ind w:left="5760" w:hanging="360"/>
      </w:pPr>
    </w:lvl>
    <w:lvl w:ilvl="8" w:tplc="2E5C08E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7CB7"/>
    <w:rsid w:val="00013FDA"/>
    <w:rsid w:val="000173FB"/>
    <w:rsid w:val="000655EC"/>
    <w:rsid w:val="00077D2F"/>
    <w:rsid w:val="000B6688"/>
    <w:rsid w:val="000C3415"/>
    <w:rsid w:val="000F575A"/>
    <w:rsid w:val="00121409"/>
    <w:rsid w:val="001248B1"/>
    <w:rsid w:val="00125F0C"/>
    <w:rsid w:val="00126A8E"/>
    <w:rsid w:val="001837F3"/>
    <w:rsid w:val="001D0D42"/>
    <w:rsid w:val="001D5C4A"/>
    <w:rsid w:val="001F6A76"/>
    <w:rsid w:val="002209AC"/>
    <w:rsid w:val="002428EB"/>
    <w:rsid w:val="002A74DD"/>
    <w:rsid w:val="002B30C5"/>
    <w:rsid w:val="002B7CB7"/>
    <w:rsid w:val="002C186C"/>
    <w:rsid w:val="002D5E01"/>
    <w:rsid w:val="002E7971"/>
    <w:rsid w:val="002F4F64"/>
    <w:rsid w:val="002F7D00"/>
    <w:rsid w:val="00361108"/>
    <w:rsid w:val="0037183D"/>
    <w:rsid w:val="003824D9"/>
    <w:rsid w:val="003A7C74"/>
    <w:rsid w:val="003E5AF5"/>
    <w:rsid w:val="003F602F"/>
    <w:rsid w:val="004277EE"/>
    <w:rsid w:val="0043543D"/>
    <w:rsid w:val="00442713"/>
    <w:rsid w:val="00457BC5"/>
    <w:rsid w:val="00463F5F"/>
    <w:rsid w:val="004806C3"/>
    <w:rsid w:val="00482CDC"/>
    <w:rsid w:val="004B54CA"/>
    <w:rsid w:val="004C7ED4"/>
    <w:rsid w:val="004D3BF3"/>
    <w:rsid w:val="00511D93"/>
    <w:rsid w:val="00514003"/>
    <w:rsid w:val="00537980"/>
    <w:rsid w:val="00563767"/>
    <w:rsid w:val="005667DA"/>
    <w:rsid w:val="005719AC"/>
    <w:rsid w:val="00593C8B"/>
    <w:rsid w:val="005F0299"/>
    <w:rsid w:val="00644967"/>
    <w:rsid w:val="006A4988"/>
    <w:rsid w:val="006D2BED"/>
    <w:rsid w:val="006D3096"/>
    <w:rsid w:val="006D6F42"/>
    <w:rsid w:val="006E5FEA"/>
    <w:rsid w:val="00747F2C"/>
    <w:rsid w:val="00751F7D"/>
    <w:rsid w:val="007662F5"/>
    <w:rsid w:val="007969C4"/>
    <w:rsid w:val="007B3A90"/>
    <w:rsid w:val="007D6DD5"/>
    <w:rsid w:val="008027F3"/>
    <w:rsid w:val="008433A9"/>
    <w:rsid w:val="008550EF"/>
    <w:rsid w:val="00872F75"/>
    <w:rsid w:val="00880FBB"/>
    <w:rsid w:val="008B0B7A"/>
    <w:rsid w:val="008F56DE"/>
    <w:rsid w:val="00926406"/>
    <w:rsid w:val="009A7B1B"/>
    <w:rsid w:val="009D37B6"/>
    <w:rsid w:val="009E64DC"/>
    <w:rsid w:val="00A42830"/>
    <w:rsid w:val="00A4371F"/>
    <w:rsid w:val="00A54E5B"/>
    <w:rsid w:val="00A61128"/>
    <w:rsid w:val="00A85E0F"/>
    <w:rsid w:val="00A94C52"/>
    <w:rsid w:val="00AB09B8"/>
    <w:rsid w:val="00AD5A1C"/>
    <w:rsid w:val="00AE5E49"/>
    <w:rsid w:val="00B007EC"/>
    <w:rsid w:val="00B177F7"/>
    <w:rsid w:val="00B30652"/>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D2D98"/>
    <w:rsid w:val="00DE30DC"/>
    <w:rsid w:val="00E1124B"/>
    <w:rsid w:val="00E114A9"/>
    <w:rsid w:val="00E117BD"/>
    <w:rsid w:val="00E30F5A"/>
    <w:rsid w:val="00E40016"/>
    <w:rsid w:val="00E407E4"/>
    <w:rsid w:val="00E43349"/>
    <w:rsid w:val="00E50D3F"/>
    <w:rsid w:val="00E51D18"/>
    <w:rsid w:val="00E86DF4"/>
    <w:rsid w:val="00EB3437"/>
    <w:rsid w:val="00ED3C03"/>
    <w:rsid w:val="00EF2358"/>
    <w:rsid w:val="00EF367C"/>
    <w:rsid w:val="00F13669"/>
    <w:rsid w:val="00F177D8"/>
    <w:rsid w:val="00F60320"/>
    <w:rsid w:val="00F64D86"/>
    <w:rsid w:val="00F7626E"/>
    <w:rsid w:val="00F81F6A"/>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83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7183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7183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7183D"/>
  </w:style>
  <w:style w:type="paragraph" w:styleId="Header">
    <w:name w:val="header"/>
    <w:basedOn w:val="Normal"/>
    <w:link w:val="HeaderChar"/>
    <w:uiPriority w:val="99"/>
    <w:unhideWhenUsed/>
    <w:rsid w:val="0037183D"/>
    <w:pPr>
      <w:tabs>
        <w:tab w:val="center" w:pos="4680"/>
        <w:tab w:val="right" w:pos="9360"/>
      </w:tabs>
    </w:pPr>
    <w:rPr>
      <w:rFonts w:ascii="Times New Roman" w:hAnsi="Times New Roman"/>
    </w:rPr>
  </w:style>
  <w:style w:type="character" w:customStyle="1" w:styleId="HeaderChar">
    <w:name w:val="Header Char"/>
    <w:link w:val="Header"/>
    <w:uiPriority w:val="99"/>
    <w:rsid w:val="0037183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7183D"/>
    <w:pPr>
      <w:tabs>
        <w:tab w:val="center" w:pos="4680"/>
        <w:tab w:val="right" w:pos="9360"/>
      </w:tabs>
    </w:pPr>
    <w:rPr>
      <w:rFonts w:ascii="Times New Roman" w:hAnsi="Times New Roman"/>
    </w:rPr>
  </w:style>
  <w:style w:type="character" w:customStyle="1" w:styleId="FooterChar">
    <w:name w:val="Footer Char"/>
    <w:link w:val="Footer"/>
    <w:uiPriority w:val="99"/>
    <w:rsid w:val="0037183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806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7183D"/>
    <w:pPr>
      <w:spacing w:before="100" w:beforeAutospacing="1"/>
      <w:ind w:left="567"/>
      <w:jc w:val="both"/>
    </w:pPr>
  </w:style>
  <w:style w:type="paragraph" w:customStyle="1" w:styleId="Metadata">
    <w:name w:val="Metadata"/>
    <w:basedOn w:val="Normal"/>
    <w:rsid w:val="0037183D"/>
    <w:pPr>
      <w:spacing w:before="100" w:beforeAutospacing="1" w:after="100" w:afterAutospacing="1"/>
    </w:pPr>
    <w:rPr>
      <w:rFonts w:cs="Arial"/>
      <w:szCs w:val="24"/>
    </w:rPr>
  </w:style>
  <w:style w:type="paragraph" w:customStyle="1" w:styleId="Page">
    <w:name w:val="Page"/>
    <w:basedOn w:val="Normal"/>
    <w:link w:val="PageChar"/>
    <w:rsid w:val="0037183D"/>
    <w:pPr>
      <w:spacing w:before="100" w:beforeAutospacing="1" w:after="100" w:afterAutospacing="1"/>
    </w:pPr>
    <w:rPr>
      <w:i/>
    </w:rPr>
  </w:style>
  <w:style w:type="paragraph" w:styleId="FootnoteText">
    <w:name w:val="footnote text"/>
    <w:basedOn w:val="Normal"/>
    <w:link w:val="FootnoteTextChar"/>
    <w:autoRedefine/>
    <w:semiHidden/>
    <w:rsid w:val="0037183D"/>
    <w:rPr>
      <w:sz w:val="16"/>
      <w:szCs w:val="20"/>
    </w:rPr>
  </w:style>
  <w:style w:type="character" w:customStyle="1" w:styleId="FootnoteTextChar">
    <w:name w:val="Footnote Text Char"/>
    <w:link w:val="FootnoteText"/>
    <w:semiHidden/>
    <w:rsid w:val="0037183D"/>
    <w:rPr>
      <w:rFonts w:ascii="Arial" w:eastAsia="MS Mincho" w:hAnsi="Arial" w:cs="Times New Roman"/>
      <w:sz w:val="16"/>
      <w:szCs w:val="20"/>
      <w:lang w:val="en-CA" w:eastAsia="ja-JP"/>
    </w:rPr>
  </w:style>
  <w:style w:type="character" w:styleId="FootnoteReference">
    <w:name w:val="footnote reference"/>
    <w:semiHidden/>
    <w:rsid w:val="0037183D"/>
    <w:rPr>
      <w:vertAlign w:val="superscript"/>
    </w:rPr>
  </w:style>
  <w:style w:type="paragraph" w:customStyle="1" w:styleId="ParagNum">
    <w:name w:val="ParagNum"/>
    <w:basedOn w:val="Normal"/>
    <w:rsid w:val="0037183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7183D"/>
    <w:pPr>
      <w:spacing w:before="100" w:beforeAutospacing="1" w:after="100" w:afterAutospacing="1" w:line="360" w:lineRule="auto"/>
    </w:pPr>
  </w:style>
  <w:style w:type="paragraph" w:customStyle="1" w:styleId="Indent2">
    <w:name w:val="Indent 2"/>
    <w:basedOn w:val="Indent1"/>
    <w:rsid w:val="0037183D"/>
    <w:pPr>
      <w:ind w:left="1134"/>
    </w:pPr>
  </w:style>
  <w:style w:type="paragraph" w:customStyle="1" w:styleId="Indent3">
    <w:name w:val="Indent 3"/>
    <w:basedOn w:val="Indent1"/>
    <w:rsid w:val="0037183D"/>
    <w:pPr>
      <w:ind w:left="1701"/>
    </w:pPr>
  </w:style>
  <w:style w:type="paragraph" w:customStyle="1" w:styleId="Indent4">
    <w:name w:val="Indent 4"/>
    <w:basedOn w:val="Indent1"/>
    <w:rsid w:val="0037183D"/>
    <w:pPr>
      <w:ind w:left="2268"/>
    </w:pPr>
  </w:style>
  <w:style w:type="paragraph" w:customStyle="1" w:styleId="Indent10">
    <w:name w:val="Indent1"/>
    <w:basedOn w:val="Reasons"/>
    <w:rsid w:val="0037183D"/>
    <w:pPr>
      <w:ind w:left="567"/>
    </w:pPr>
  </w:style>
  <w:style w:type="paragraph" w:customStyle="1" w:styleId="Indent20">
    <w:name w:val="Indent2"/>
    <w:basedOn w:val="Indent10"/>
    <w:rsid w:val="0037183D"/>
    <w:pPr>
      <w:ind w:left="1134"/>
    </w:pPr>
  </w:style>
  <w:style w:type="paragraph" w:customStyle="1" w:styleId="Indent30">
    <w:name w:val="Indent3"/>
    <w:basedOn w:val="Indent10"/>
    <w:rsid w:val="0037183D"/>
    <w:pPr>
      <w:ind w:left="1701"/>
    </w:pPr>
  </w:style>
  <w:style w:type="paragraph" w:customStyle="1" w:styleId="Indent40">
    <w:name w:val="Indent4"/>
    <w:basedOn w:val="Indent10"/>
    <w:rsid w:val="0037183D"/>
    <w:pPr>
      <w:ind w:left="2268"/>
    </w:pPr>
  </w:style>
  <w:style w:type="paragraph" w:customStyle="1" w:styleId="Keywords">
    <w:name w:val="Keywords"/>
    <w:basedOn w:val="Normal"/>
    <w:rsid w:val="0037183D"/>
    <w:pPr>
      <w:spacing w:before="100" w:beforeAutospacing="1" w:after="100" w:afterAutospacing="1"/>
    </w:pPr>
    <w:rPr>
      <w:rFonts w:cs="Arial"/>
      <w:i/>
      <w:szCs w:val="24"/>
    </w:rPr>
  </w:style>
  <w:style w:type="paragraph" w:customStyle="1" w:styleId="Summary">
    <w:name w:val="Summary"/>
    <w:basedOn w:val="Normal"/>
    <w:autoRedefine/>
    <w:rsid w:val="0037183D"/>
    <w:pPr>
      <w:spacing w:before="100" w:beforeAutospacing="1" w:after="100" w:afterAutospacing="1"/>
      <w:ind w:left="562" w:hanging="562"/>
    </w:pPr>
    <w:rPr>
      <w:rFonts w:cs="Arial"/>
    </w:rPr>
  </w:style>
  <w:style w:type="paragraph" w:customStyle="1" w:styleId="History">
    <w:name w:val="History"/>
    <w:basedOn w:val="Normal"/>
    <w:rsid w:val="0037183D"/>
    <w:pPr>
      <w:spacing w:before="100" w:beforeAutospacing="1" w:after="100" w:afterAutospacing="1"/>
      <w:ind w:firstLine="567"/>
    </w:pPr>
  </w:style>
  <w:style w:type="paragraph" w:customStyle="1" w:styleId="T1">
    <w:name w:val="T1"/>
    <w:basedOn w:val="Normal"/>
    <w:rsid w:val="0037183D"/>
    <w:pPr>
      <w:spacing w:before="240" w:after="100" w:afterAutospacing="1"/>
    </w:pPr>
    <w:rPr>
      <w:b/>
    </w:rPr>
  </w:style>
  <w:style w:type="paragraph" w:customStyle="1" w:styleId="T2">
    <w:name w:val="T2"/>
    <w:basedOn w:val="Normal"/>
    <w:rsid w:val="0037183D"/>
    <w:pPr>
      <w:spacing w:before="240" w:after="100" w:afterAutospacing="1"/>
    </w:pPr>
  </w:style>
  <w:style w:type="paragraph" w:customStyle="1" w:styleId="Sollicitors">
    <w:name w:val="Sollicitors"/>
    <w:basedOn w:val="Normal"/>
    <w:rsid w:val="0037183D"/>
    <w:pPr>
      <w:spacing w:before="100" w:beforeAutospacing="1" w:after="100" w:afterAutospacing="1"/>
    </w:pPr>
    <w:rPr>
      <w:i/>
    </w:rPr>
  </w:style>
  <w:style w:type="paragraph" w:customStyle="1" w:styleId="Court">
    <w:name w:val="Court"/>
    <w:basedOn w:val="Normal"/>
    <w:rsid w:val="0037183D"/>
    <w:rPr>
      <w:rFonts w:cs="Arial"/>
      <w:b/>
      <w:szCs w:val="24"/>
    </w:rPr>
  </w:style>
  <w:style w:type="character" w:customStyle="1" w:styleId="PageChar">
    <w:name w:val="Page Char"/>
    <w:link w:val="Page"/>
    <w:rsid w:val="0037183D"/>
    <w:rPr>
      <w:rFonts w:ascii="Arial" w:eastAsia="MS Mincho" w:hAnsi="Arial" w:cs="Times New Roman"/>
      <w:i/>
      <w:sz w:val="24"/>
      <w:szCs w:val="28"/>
      <w:lang w:val="en-CA" w:eastAsia="ja-JP"/>
    </w:rPr>
  </w:style>
  <w:style w:type="character" w:customStyle="1" w:styleId="ReasonsCar">
    <w:name w:val="Reasons Car"/>
    <w:link w:val="Reasons"/>
    <w:rsid w:val="0037183D"/>
    <w:rPr>
      <w:rFonts w:ascii="Arial" w:eastAsia="MS Mincho" w:hAnsi="Arial" w:cs="Times New Roman"/>
      <w:sz w:val="24"/>
      <w:szCs w:val="28"/>
      <w:lang w:val="en-CA" w:eastAsia="ja-JP"/>
    </w:rPr>
  </w:style>
  <w:style w:type="paragraph" w:customStyle="1" w:styleId="CitationLine">
    <w:name w:val="CitationLine"/>
    <w:basedOn w:val="Court"/>
    <w:rsid w:val="0037183D"/>
  </w:style>
  <w:style w:type="paragraph" w:customStyle="1" w:styleId="DateISO">
    <w:name w:val="DateISO"/>
    <w:basedOn w:val="Court"/>
    <w:rsid w:val="003718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5</Pages>
  <Words>1373</Words>
  <Characters>7830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2015-03-17T14:39:00Z</dcterms:created>
  <dcterms:modified xsi:type="dcterms:W3CDTF">2015-03-23T04:52:00Z</dcterms:modified>
</cp:coreProperties>
</file>