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02BF" w:rsidRDefault="00B402BF" w:rsidP="00B402BF">
      <w:pPr>
        <w:pStyle w:val="Court"/>
      </w:pPr>
      <w:r>
        <w:t>Supreme Court of Canada</w:t>
      </w:r>
    </w:p>
    <w:p w:rsidR="00B402BF" w:rsidRDefault="00B402BF" w:rsidP="00B402BF">
      <w:pPr>
        <w:pStyle w:val="CitationLine"/>
      </w:pPr>
      <w:r w:rsidRPr="00B402BF">
        <w:rPr>
          <w:lang w:val="fr-FR"/>
        </w:rPr>
        <w:t xml:space="preserve">Williams </w:t>
      </w:r>
      <w:r w:rsidRPr="00B402BF">
        <w:rPr>
          <w:i/>
          <w:iCs/>
        </w:rPr>
        <w:t xml:space="preserve">v. </w:t>
      </w:r>
      <w:r w:rsidRPr="00B402BF">
        <w:rPr>
          <w:lang w:val="fr-FR"/>
        </w:rPr>
        <w:t xml:space="preserve">Grand </w:t>
      </w:r>
      <w:r w:rsidRPr="00B402BF">
        <w:t xml:space="preserve">Trunk </w:t>
      </w:r>
      <w:r>
        <w:t>R</w:t>
      </w:r>
      <w:r w:rsidRPr="00B402BF">
        <w:t>y. Co.</w:t>
      </w:r>
      <w:r>
        <w:t xml:space="preserve"> (1905) 36 SCR 321</w:t>
      </w:r>
    </w:p>
    <w:p w:rsidR="00B402BF" w:rsidRDefault="00B402BF" w:rsidP="00B402BF">
      <w:pPr>
        <w:pStyle w:val="DateISO"/>
      </w:pPr>
      <w:r>
        <w:t>Date: 1905-05-30</w:t>
      </w:r>
    </w:p>
    <w:p w:rsidR="00014D39" w:rsidRPr="00B402BF" w:rsidRDefault="00B402BF" w:rsidP="00B402BF">
      <w:pPr>
        <w:pStyle w:val="Metadata"/>
      </w:pPr>
      <w:r w:rsidRPr="00B402BF">
        <w:t>A. R. Williams</w:t>
      </w:r>
    </w:p>
    <w:p w:rsidR="00014D39" w:rsidRPr="00B402BF" w:rsidRDefault="00B402BF" w:rsidP="00B402BF">
      <w:pPr>
        <w:pStyle w:val="Metadata"/>
      </w:pPr>
      <w:r w:rsidRPr="00B402BF">
        <w:t>Appellant</w:t>
      </w:r>
    </w:p>
    <w:p w:rsidR="00014D39" w:rsidRPr="00B402BF" w:rsidRDefault="00B402BF" w:rsidP="00B402BF">
      <w:pPr>
        <w:pStyle w:val="Metadata"/>
      </w:pPr>
      <w:r w:rsidRPr="00B402BF">
        <w:t>And</w:t>
      </w:r>
    </w:p>
    <w:p w:rsidR="00014D39" w:rsidRPr="00B402BF" w:rsidRDefault="00B402BF" w:rsidP="00B402BF">
      <w:pPr>
        <w:pStyle w:val="Metadata"/>
      </w:pPr>
      <w:r w:rsidRPr="00B402BF">
        <w:t xml:space="preserve">The Grand Trunk Railway Company </w:t>
      </w:r>
      <w:r w:rsidR="007B6628">
        <w:t>o</w:t>
      </w:r>
      <w:r>
        <w:t>f</w:t>
      </w:r>
      <w:r w:rsidRPr="00B402BF">
        <w:t xml:space="preserve"> Canada</w:t>
      </w:r>
    </w:p>
    <w:p w:rsidR="00014D39" w:rsidRPr="00B402BF" w:rsidRDefault="00B402BF" w:rsidP="00B402BF">
      <w:pPr>
        <w:pStyle w:val="Metadata"/>
      </w:pPr>
      <w:r w:rsidRPr="00B402BF">
        <w:t>Respondents</w:t>
      </w:r>
    </w:p>
    <w:p w:rsidR="00B402BF" w:rsidRDefault="00B402BF" w:rsidP="00B402BF">
      <w:pPr>
        <w:pStyle w:val="Metadata"/>
      </w:pPr>
      <w:r>
        <w:t>1905: May 29; 1905: May 30.</w:t>
      </w:r>
    </w:p>
    <w:p w:rsidR="00B402BF" w:rsidRDefault="00B402BF" w:rsidP="00B402BF">
      <w:pPr>
        <w:pStyle w:val="Metadata"/>
      </w:pPr>
      <w:r w:rsidRPr="00B402BF">
        <w:t>Present</w:t>
      </w:r>
      <w:r>
        <w:t>:—Sir Elzéar Taschereau C.J. and Girouard, Davies, and Idington JJ.</w:t>
      </w:r>
    </w:p>
    <w:p w:rsidR="00014D39" w:rsidRDefault="00014D39" w:rsidP="00B402BF">
      <w:pPr>
        <w:pStyle w:val="Metadata"/>
      </w:pPr>
      <w:r>
        <w:t>ON APPEAL FROM HIS LORDSHIP MR. JUSTICE SEDGEWICK, IN CHAMBERS.</w:t>
      </w:r>
    </w:p>
    <w:p w:rsidR="00014D39" w:rsidRDefault="00014D39" w:rsidP="00B402BF">
      <w:pPr>
        <w:pStyle w:val="Keywords"/>
      </w:pPr>
      <w:r>
        <w:t>Appeal—Special leave—Judge in chambers—Appeal to full court— Jurisdiction.</w:t>
      </w:r>
    </w:p>
    <w:p w:rsidR="00014D39" w:rsidRDefault="00014D39" w:rsidP="00B402BF">
      <w:pPr>
        <w:pStyle w:val="Summary"/>
      </w:pPr>
      <w:r>
        <w:t>No appeal lies to the Supreme Court of Canada from an order of a judge of that court in chambers granting or refusing leave to appeal from a decision of the Board of Railway Commissioners under sec. 44(3) of the Railway Act, 1903.</w:t>
      </w:r>
    </w:p>
    <w:p w:rsidR="00014D39" w:rsidRDefault="00014D39" w:rsidP="00B402BF">
      <w:pPr>
        <w:pStyle w:val="History"/>
      </w:pPr>
      <w:r w:rsidRPr="00B402BF">
        <w:t>Appeal</w:t>
      </w:r>
      <w:r>
        <w:rPr>
          <w:smallCaps/>
        </w:rPr>
        <w:t xml:space="preserve"> </w:t>
      </w:r>
      <w:r>
        <w:t>from an order made by Mr. Justice Sedgewick, in chambers, refusing leave to appeal from a decision of the Board of Railway Commissioners on a question of jurisdiction.</w:t>
      </w:r>
    </w:p>
    <w:p w:rsidR="00014D39" w:rsidRDefault="00014D39" w:rsidP="00B402BF">
      <w:pPr>
        <w:pStyle w:val="History"/>
        <w:rPr>
          <w:rFonts w:cs="Arial"/>
          <w:szCs w:val="24"/>
        </w:rPr>
      </w:pPr>
      <w:r>
        <w:rPr>
          <w:rFonts w:cs="Arial"/>
          <w:szCs w:val="24"/>
        </w:rPr>
        <w:t>The application was made to the judge in chambers under sec. 44, sub-sec. 3 of the Railway Act, 1903, which provides that an appeal shall lie from the Board on a question of jurisdiction, but leave therefor must be obtained from a judge.</w:t>
      </w:r>
    </w:p>
    <w:p w:rsidR="00014D39" w:rsidRDefault="00014D39" w:rsidP="00B402BF">
      <w:pPr>
        <w:pStyle w:val="History"/>
        <w:rPr>
          <w:rFonts w:cs="Arial"/>
          <w:szCs w:val="24"/>
        </w:rPr>
      </w:pPr>
      <w:r>
        <w:rPr>
          <w:rFonts w:cs="Arial"/>
          <w:szCs w:val="24"/>
        </w:rPr>
        <w:t>Counsel having opened the court raised the question of its jurisdiction to entertain an appeal from the order of Mr. Justice Sedgewick.</w:t>
      </w:r>
    </w:p>
    <w:p w:rsidR="00014D39" w:rsidRDefault="00014D39" w:rsidP="00B402BF">
      <w:pPr>
        <w:pStyle w:val="History"/>
        <w:rPr>
          <w:rFonts w:cs="Arial"/>
          <w:szCs w:val="24"/>
        </w:rPr>
      </w:pPr>
      <w:r>
        <w:rPr>
          <w:rFonts w:cs="Arial"/>
          <w:i/>
          <w:iCs/>
          <w:szCs w:val="24"/>
        </w:rPr>
        <w:t xml:space="preserve">Shepley K.C. </w:t>
      </w:r>
      <w:r>
        <w:rPr>
          <w:rFonts w:cs="Arial"/>
          <w:szCs w:val="24"/>
        </w:rPr>
        <w:t xml:space="preserve">for the appellant cited the provision of the Railway Act authorizing the appeal on leave and </w:t>
      </w:r>
      <w:r>
        <w:rPr>
          <w:rFonts w:cs="Arial"/>
          <w:i/>
          <w:iCs/>
          <w:szCs w:val="24"/>
        </w:rPr>
        <w:t>Ex parte Stevenson</w:t>
      </w:r>
      <w:r w:rsidR="00DA16A2">
        <w:rPr>
          <w:rStyle w:val="FootnoteReference"/>
          <w:rFonts w:cs="Arial"/>
          <w:i/>
          <w:iCs/>
          <w:szCs w:val="24"/>
        </w:rPr>
        <w:footnoteReference w:id="2"/>
      </w:r>
      <w:r>
        <w:rPr>
          <w:rFonts w:cs="Arial"/>
          <w:szCs w:val="24"/>
        </w:rPr>
        <w:t>.</w:t>
      </w:r>
    </w:p>
    <w:p w:rsidR="00014D39" w:rsidRDefault="00340E7D" w:rsidP="00340E7D">
      <w:pPr>
        <w:pStyle w:val="Page"/>
      </w:pPr>
      <w:r>
        <w:rPr>
          <w:rFonts w:cs="Arial"/>
          <w:szCs w:val="24"/>
        </w:rPr>
        <w:t xml:space="preserve">[Page </w:t>
      </w:r>
      <w:r w:rsidR="00014D39">
        <w:rPr>
          <w:rFonts w:cs="Arial"/>
          <w:szCs w:val="24"/>
        </w:rPr>
        <w:t>322]</w:t>
      </w:r>
    </w:p>
    <w:p w:rsidR="00014D39" w:rsidRDefault="00014D39" w:rsidP="00B402BF">
      <w:pPr>
        <w:pStyle w:val="History"/>
        <w:rPr>
          <w:rFonts w:cs="Arial"/>
          <w:i/>
          <w:iCs/>
          <w:szCs w:val="24"/>
        </w:rPr>
      </w:pPr>
      <w:r>
        <w:rPr>
          <w:rFonts w:cs="Arial"/>
          <w:i/>
          <w:iCs/>
          <w:szCs w:val="24"/>
        </w:rPr>
        <w:t xml:space="preserve">Ewart K.C. </w:t>
      </w:r>
      <w:r>
        <w:rPr>
          <w:rFonts w:cs="Arial"/>
          <w:szCs w:val="24"/>
        </w:rPr>
        <w:t xml:space="preserve">and </w:t>
      </w:r>
      <w:r>
        <w:rPr>
          <w:rFonts w:cs="Arial"/>
          <w:i/>
          <w:iCs/>
          <w:szCs w:val="24"/>
        </w:rPr>
        <w:t xml:space="preserve">Cowan K.C. </w:t>
      </w:r>
      <w:r>
        <w:rPr>
          <w:rFonts w:cs="Arial"/>
          <w:szCs w:val="24"/>
        </w:rPr>
        <w:t xml:space="preserve">for the respondents referred to </w:t>
      </w:r>
      <w:r>
        <w:rPr>
          <w:rFonts w:cs="Arial"/>
          <w:i/>
          <w:iCs/>
          <w:szCs w:val="24"/>
        </w:rPr>
        <w:t xml:space="preserve">Lane </w:t>
      </w:r>
      <w:r>
        <w:rPr>
          <w:rFonts w:cs="Arial"/>
          <w:szCs w:val="24"/>
        </w:rPr>
        <w:t xml:space="preserve">v. </w:t>
      </w:r>
      <w:r>
        <w:rPr>
          <w:rFonts w:cs="Arial"/>
          <w:i/>
          <w:iCs/>
          <w:szCs w:val="24"/>
        </w:rPr>
        <w:t>Esdaile</w:t>
      </w:r>
      <w:r w:rsidR="00DA16A2">
        <w:rPr>
          <w:rStyle w:val="FootnoteReference"/>
          <w:rFonts w:cs="Arial"/>
          <w:i/>
          <w:iCs/>
          <w:szCs w:val="24"/>
        </w:rPr>
        <w:footnoteReference w:id="3"/>
      </w:r>
      <w:r>
        <w:rPr>
          <w:rFonts w:cs="Arial"/>
          <w:i/>
          <w:iCs/>
          <w:szCs w:val="24"/>
        </w:rPr>
        <w:t xml:space="preserve">; In re </w:t>
      </w:r>
      <w:r>
        <w:rPr>
          <w:rFonts w:cs="Arial"/>
          <w:i/>
          <w:iCs/>
          <w:szCs w:val="24"/>
        </w:rPr>
        <w:lastRenderedPageBreak/>
        <w:t>Central Bank</w:t>
      </w:r>
      <w:r w:rsidR="00DA16A2">
        <w:rPr>
          <w:rStyle w:val="FootnoteReference"/>
          <w:rFonts w:cs="Arial"/>
          <w:i/>
          <w:iCs/>
          <w:szCs w:val="24"/>
        </w:rPr>
        <w:footnoteReference w:id="4"/>
      </w:r>
      <w:r>
        <w:rPr>
          <w:rFonts w:cs="Arial"/>
          <w:szCs w:val="24"/>
        </w:rPr>
        <w:t xml:space="preserve">; </w:t>
      </w:r>
      <w:r>
        <w:rPr>
          <w:rFonts w:cs="Arial"/>
          <w:i/>
          <w:iCs/>
          <w:szCs w:val="24"/>
        </w:rPr>
        <w:t xml:space="preserve">Brown </w:t>
      </w:r>
      <w:r>
        <w:rPr>
          <w:rFonts w:cs="Arial"/>
          <w:szCs w:val="24"/>
        </w:rPr>
        <w:t xml:space="preserve">v. </w:t>
      </w:r>
      <w:r>
        <w:rPr>
          <w:rFonts w:cs="Arial"/>
          <w:i/>
          <w:iCs/>
          <w:szCs w:val="24"/>
        </w:rPr>
        <w:t>Bamford</w:t>
      </w:r>
      <w:r w:rsidR="00DA16A2">
        <w:rPr>
          <w:rStyle w:val="FootnoteReference"/>
          <w:rFonts w:cs="Arial"/>
          <w:i/>
          <w:iCs/>
          <w:szCs w:val="24"/>
        </w:rPr>
        <w:footnoteReference w:id="5"/>
      </w:r>
      <w:r>
        <w:rPr>
          <w:rFonts w:cs="Arial"/>
          <w:i/>
          <w:iCs/>
          <w:szCs w:val="24"/>
        </w:rPr>
        <w:t>.</w:t>
      </w:r>
    </w:p>
    <w:p w:rsidR="00014D39" w:rsidRDefault="00014D39" w:rsidP="00B402BF">
      <w:pPr>
        <w:pStyle w:val="History"/>
        <w:rPr>
          <w:rFonts w:cs="Arial"/>
          <w:szCs w:val="24"/>
        </w:rPr>
      </w:pPr>
      <w:r>
        <w:rPr>
          <w:rFonts w:cs="Arial"/>
          <w:i/>
          <w:iCs/>
          <w:szCs w:val="24"/>
        </w:rPr>
        <w:t xml:space="preserve">Glynn Osier </w:t>
      </w:r>
      <w:r>
        <w:rPr>
          <w:rFonts w:cs="Arial"/>
          <w:szCs w:val="24"/>
        </w:rPr>
        <w:t xml:space="preserve">for the City of Toronto and </w:t>
      </w:r>
      <w:r>
        <w:rPr>
          <w:rFonts w:cs="Arial"/>
          <w:i/>
          <w:iCs/>
          <w:szCs w:val="24"/>
        </w:rPr>
        <w:t xml:space="preserve">A. G. Blair </w:t>
      </w:r>
      <w:r>
        <w:rPr>
          <w:rFonts w:cs="Arial"/>
          <w:szCs w:val="24"/>
        </w:rPr>
        <w:t>for the Board of Railway Commissioners, submitted the case to the court without argument.</w:t>
      </w:r>
    </w:p>
    <w:p w:rsidR="00014D39" w:rsidRDefault="00014D39" w:rsidP="00B402BF">
      <w:pPr>
        <w:pStyle w:val="Reasons"/>
      </w:pPr>
      <w:r>
        <w:t>The judgment of the court was delivered by</w:t>
      </w:r>
    </w:p>
    <w:p w:rsidR="00014D39" w:rsidRDefault="00B402BF" w:rsidP="00B402BF">
      <w:pPr>
        <w:pStyle w:val="Reasons"/>
        <w:rPr>
          <w:rFonts w:cs="Arial"/>
          <w:szCs w:val="24"/>
        </w:rPr>
      </w:pPr>
      <w:r w:rsidRPr="00B402BF">
        <w:rPr>
          <w:rFonts w:cs="Arial"/>
          <w:szCs w:val="24"/>
        </w:rPr>
        <w:t>THE CHIEF JUSTICE</w:t>
      </w:r>
      <w:r w:rsidR="00014D39">
        <w:rPr>
          <w:rFonts w:cs="Arial"/>
          <w:szCs w:val="24"/>
        </w:rPr>
        <w:t>.—By sub-sec. 3 of sec. 44 of the "Railway Act, 1903," it is provided that:</w:t>
      </w:r>
    </w:p>
    <w:p w:rsidR="00014D39" w:rsidRDefault="00014D39" w:rsidP="00500434">
      <w:pPr>
        <w:pStyle w:val="Indent1"/>
      </w:pPr>
      <w:r>
        <w:t>An appeal shall lie from the Board to the Supreme Court of Canada upon a question of jurisdiction, but such appeal shall not lie unless the same is allowed by a judge of the said court upon application and hearing the parties and the Board.</w:t>
      </w:r>
    </w:p>
    <w:p w:rsidR="00014D39" w:rsidRDefault="00014D39" w:rsidP="00B402BF">
      <w:pPr>
        <w:pStyle w:val="Reasons"/>
        <w:rPr>
          <w:rFonts w:cs="Arial"/>
          <w:szCs w:val="24"/>
        </w:rPr>
      </w:pPr>
      <w:r>
        <w:rPr>
          <w:rFonts w:cs="Arial"/>
          <w:szCs w:val="24"/>
        </w:rPr>
        <w:t>Under that section an application was made before Mr. justice Sedgewick by Williams &amp; Co. for leave to appeal to this court from an order of the Board of Railway Commissioners upon the question of the jurisdiction of the said Board, which had been raised by the said applicants. Mr. Justice Sedgewick, after hearing the parties, refused the leave asked for. The applicants now move for leave to appeal from that refusal.</w:t>
      </w:r>
    </w:p>
    <w:p w:rsidR="00014D39" w:rsidRDefault="00014D39" w:rsidP="00B402BF">
      <w:pPr>
        <w:pStyle w:val="Reasons"/>
        <w:rPr>
          <w:rFonts w:cs="Arial"/>
          <w:szCs w:val="24"/>
        </w:rPr>
      </w:pPr>
      <w:r>
        <w:rPr>
          <w:rFonts w:cs="Arial"/>
          <w:szCs w:val="24"/>
        </w:rPr>
        <w:t>This application is opposed on the part of the Grand Trunk Railway Company on the ground that no appeal lies from Mr. Justice Sedgewick's order.</w:t>
      </w:r>
    </w:p>
    <w:p w:rsidR="00014D39" w:rsidRDefault="00014D39" w:rsidP="00B402BF">
      <w:pPr>
        <w:pStyle w:val="Reasons"/>
        <w:rPr>
          <w:rFonts w:cs="Arial"/>
          <w:i/>
          <w:iCs/>
          <w:szCs w:val="24"/>
        </w:rPr>
      </w:pPr>
      <w:r>
        <w:rPr>
          <w:rFonts w:cs="Arial"/>
          <w:szCs w:val="24"/>
        </w:rPr>
        <w:t xml:space="preserve">We are of the opinion that this contention must prevail and the application must be refused. The judge to whom the application is made would not have the power to refer it to this court. A statutory enactment of this nature cannot be extended by interpretation. Jurisdiction is conferred upon a judge to grant or refuse the leave to appeal, as a </w:t>
      </w:r>
      <w:r>
        <w:rPr>
          <w:rFonts w:cs="Arial"/>
          <w:i/>
          <w:iCs/>
          <w:szCs w:val="24"/>
        </w:rPr>
        <w:t>persona</w:t>
      </w:r>
    </w:p>
    <w:p w:rsidR="00014D39" w:rsidRDefault="00340E7D" w:rsidP="00340E7D">
      <w:pPr>
        <w:pStyle w:val="Page"/>
      </w:pPr>
      <w:r>
        <w:rPr>
          <w:rFonts w:cs="Arial"/>
          <w:szCs w:val="24"/>
        </w:rPr>
        <w:t xml:space="preserve">[Page </w:t>
      </w:r>
      <w:r w:rsidR="00014D39">
        <w:rPr>
          <w:rFonts w:cs="Arial"/>
          <w:szCs w:val="24"/>
        </w:rPr>
        <w:t>323]</w:t>
      </w:r>
    </w:p>
    <w:p w:rsidR="00014D39" w:rsidRDefault="00014D39" w:rsidP="00500434">
      <w:pPr>
        <w:pStyle w:val="Reasons"/>
        <w:rPr>
          <w:rFonts w:cs="Arial"/>
          <w:szCs w:val="24"/>
        </w:rPr>
      </w:pPr>
      <w:r>
        <w:rPr>
          <w:rFonts w:cs="Arial"/>
          <w:i/>
          <w:iCs/>
          <w:szCs w:val="24"/>
        </w:rPr>
        <w:t xml:space="preserve">designata, </w:t>
      </w:r>
      <w:r>
        <w:rPr>
          <w:rFonts w:cs="Arial"/>
          <w:szCs w:val="24"/>
        </w:rPr>
        <w:t xml:space="preserve">but not to the court. Whether he gives leave or refuses it, the right to apply for leave is exhausted. The right of appeal is a statutory right, and when given under conditions, it does not exist, if not falling exactly under these conditions or in conformity </w:t>
      </w:r>
      <w:r>
        <w:rPr>
          <w:rFonts w:cs="Arial"/>
          <w:szCs w:val="24"/>
        </w:rPr>
        <w:lastRenderedPageBreak/>
        <w:t>with it.</w:t>
      </w:r>
    </w:p>
    <w:p w:rsidR="00014D39" w:rsidRDefault="00014D39" w:rsidP="00500434">
      <w:pPr>
        <w:pStyle w:val="Reasons"/>
        <w:rPr>
          <w:rFonts w:cs="Arial"/>
          <w:szCs w:val="24"/>
        </w:rPr>
      </w:pPr>
      <w:r>
        <w:rPr>
          <w:rFonts w:cs="Arial"/>
          <w:szCs w:val="24"/>
        </w:rPr>
        <w:t xml:space="preserve">I refer to </w:t>
      </w:r>
      <w:r>
        <w:rPr>
          <w:rFonts w:cs="Arial"/>
          <w:i/>
          <w:iCs/>
          <w:szCs w:val="24"/>
        </w:rPr>
        <w:t>Ex parte Stevenson</w:t>
      </w:r>
      <w:r w:rsidR="00DA16A2">
        <w:rPr>
          <w:rStyle w:val="FootnoteReference"/>
          <w:rFonts w:cs="Arial"/>
          <w:i/>
          <w:iCs/>
          <w:szCs w:val="24"/>
        </w:rPr>
        <w:footnoteReference w:id="6"/>
      </w:r>
      <w:r>
        <w:rPr>
          <w:rFonts w:cs="Arial"/>
          <w:szCs w:val="24"/>
        </w:rPr>
        <w:t xml:space="preserve">; </w:t>
      </w:r>
      <w:r>
        <w:rPr>
          <w:rFonts w:cs="Arial"/>
          <w:i/>
          <w:iCs/>
          <w:szCs w:val="24"/>
        </w:rPr>
        <w:t xml:space="preserve">Lane </w:t>
      </w:r>
      <w:r>
        <w:rPr>
          <w:rFonts w:cs="Arial"/>
          <w:szCs w:val="24"/>
        </w:rPr>
        <w:t xml:space="preserve">v. </w:t>
      </w:r>
      <w:r>
        <w:rPr>
          <w:rFonts w:cs="Arial"/>
          <w:i/>
          <w:iCs/>
          <w:szCs w:val="24"/>
        </w:rPr>
        <w:t>Esdaile</w:t>
      </w:r>
      <w:r w:rsidR="00DA16A2">
        <w:rPr>
          <w:rStyle w:val="FootnoteReference"/>
          <w:rFonts w:cs="Arial"/>
          <w:i/>
          <w:iCs/>
          <w:szCs w:val="24"/>
        </w:rPr>
        <w:footnoteReference w:id="7"/>
      </w:r>
      <w:r>
        <w:rPr>
          <w:rFonts w:cs="Arial"/>
          <w:szCs w:val="24"/>
        </w:rPr>
        <w:t xml:space="preserve">; </w:t>
      </w:r>
      <w:r>
        <w:rPr>
          <w:rFonts w:cs="Arial"/>
          <w:i/>
          <w:iCs/>
          <w:szCs w:val="24"/>
        </w:rPr>
        <w:t xml:space="preserve">Farquharson </w:t>
      </w:r>
      <w:r>
        <w:rPr>
          <w:rFonts w:cs="Arial"/>
          <w:szCs w:val="24"/>
        </w:rPr>
        <w:t xml:space="preserve">v. </w:t>
      </w:r>
      <w:r>
        <w:rPr>
          <w:rFonts w:cs="Arial"/>
          <w:i/>
          <w:iCs/>
          <w:szCs w:val="24"/>
        </w:rPr>
        <w:t>The Imperial Oil Co</w:t>
      </w:r>
      <w:r>
        <w:rPr>
          <w:rFonts w:cs="Arial"/>
          <w:szCs w:val="24"/>
        </w:rPr>
        <w:t>.</w:t>
      </w:r>
      <w:r w:rsidR="00DA16A2">
        <w:rPr>
          <w:rStyle w:val="FootnoteReference"/>
          <w:rFonts w:cs="Arial"/>
          <w:szCs w:val="24"/>
        </w:rPr>
        <w:footnoteReference w:id="8"/>
      </w:r>
      <w:r>
        <w:rPr>
          <w:rFonts w:cs="Arial"/>
          <w:szCs w:val="24"/>
        </w:rPr>
        <w:t xml:space="preserve">; </w:t>
      </w:r>
      <w:r>
        <w:rPr>
          <w:rFonts w:cs="Arial"/>
          <w:i/>
          <w:iCs/>
          <w:szCs w:val="24"/>
        </w:rPr>
        <w:t xml:space="preserve">The Canadian Pacific Railway Co. </w:t>
      </w:r>
      <w:r>
        <w:rPr>
          <w:rFonts w:cs="Arial"/>
          <w:szCs w:val="24"/>
        </w:rPr>
        <w:t xml:space="preserve">v. </w:t>
      </w:r>
      <w:r>
        <w:rPr>
          <w:rFonts w:cs="Arial"/>
          <w:i/>
          <w:iCs/>
          <w:szCs w:val="24"/>
        </w:rPr>
        <w:t>The Little Seminary of Ste. Th</w:t>
      </w:r>
      <w:r>
        <w:rPr>
          <w:rFonts w:cs="Arial"/>
          <w:szCs w:val="24"/>
        </w:rPr>
        <w:t>é</w:t>
      </w:r>
      <w:r>
        <w:rPr>
          <w:rFonts w:cs="Arial"/>
          <w:i/>
          <w:iCs/>
          <w:szCs w:val="24"/>
        </w:rPr>
        <w:t>r</w:t>
      </w:r>
      <w:r>
        <w:rPr>
          <w:rFonts w:cs="Arial"/>
          <w:szCs w:val="24"/>
        </w:rPr>
        <w:t>è</w:t>
      </w:r>
      <w:r>
        <w:rPr>
          <w:rFonts w:cs="Arial"/>
          <w:i/>
          <w:iCs/>
          <w:szCs w:val="24"/>
        </w:rPr>
        <w:t>se</w:t>
      </w:r>
      <w:r w:rsidR="00DA16A2">
        <w:rPr>
          <w:rStyle w:val="FootnoteReference"/>
          <w:rFonts w:cs="Arial"/>
          <w:i/>
          <w:iCs/>
          <w:szCs w:val="24"/>
        </w:rPr>
        <w:footnoteReference w:id="9"/>
      </w:r>
      <w:r>
        <w:rPr>
          <w:rFonts w:cs="Arial"/>
          <w:szCs w:val="24"/>
        </w:rPr>
        <w:t xml:space="preserve">; </w:t>
      </w:r>
      <w:r>
        <w:rPr>
          <w:rFonts w:cs="Arial"/>
          <w:i/>
          <w:iCs/>
          <w:szCs w:val="24"/>
        </w:rPr>
        <w:t xml:space="preserve">Birely </w:t>
      </w:r>
      <w:r>
        <w:rPr>
          <w:rFonts w:cs="Arial"/>
          <w:szCs w:val="24"/>
        </w:rPr>
        <w:t xml:space="preserve">v. </w:t>
      </w:r>
      <w:r>
        <w:rPr>
          <w:rFonts w:cs="Arial"/>
          <w:i/>
          <w:iCs/>
          <w:szCs w:val="24"/>
        </w:rPr>
        <w:t>Toronto, etc., Railway Co.</w:t>
      </w:r>
      <w:r w:rsidR="00DA16A2">
        <w:rPr>
          <w:rStyle w:val="FootnoteReference"/>
          <w:rFonts w:cs="Arial"/>
          <w:i/>
          <w:iCs/>
          <w:szCs w:val="24"/>
        </w:rPr>
        <w:footnoteReference w:id="10"/>
      </w:r>
      <w:r>
        <w:rPr>
          <w:rFonts w:cs="Arial"/>
          <w:szCs w:val="24"/>
        </w:rPr>
        <w:t>.</w:t>
      </w:r>
    </w:p>
    <w:p w:rsidR="00014D39" w:rsidRDefault="00014D39" w:rsidP="00500434">
      <w:pPr>
        <w:pStyle w:val="Reasons"/>
        <w:rPr>
          <w:rFonts w:cs="Arial"/>
          <w:szCs w:val="24"/>
        </w:rPr>
      </w:pPr>
      <w:r>
        <w:rPr>
          <w:rFonts w:cs="Arial"/>
          <w:szCs w:val="24"/>
        </w:rPr>
        <w:t>The application is dismissed with costs.</w:t>
      </w:r>
    </w:p>
    <w:p w:rsidR="00014D39" w:rsidRPr="00500434" w:rsidRDefault="00014D39" w:rsidP="00500434">
      <w:pPr>
        <w:pStyle w:val="Reasons"/>
      </w:pPr>
      <w:r w:rsidRPr="00500434">
        <w:t>Appeal dismissed with costs.</w:t>
      </w:r>
      <w:r w:rsidR="00500434">
        <w:rPr>
          <w:rStyle w:val="FootnoteReference"/>
        </w:rPr>
        <w:footnoteReference w:customMarkFollows="1" w:id="11"/>
        <w:t>*</w:t>
      </w:r>
    </w:p>
    <w:p w:rsidR="00014D39" w:rsidRDefault="00014D39" w:rsidP="00C24161">
      <w:pPr>
        <w:pStyle w:val="Sollicitors"/>
      </w:pPr>
      <w:r>
        <w:t>Solicitors for the appellant: Macdonald, Shepley, Middleton &amp; Donald.</w:t>
      </w:r>
    </w:p>
    <w:p w:rsidR="00014D39" w:rsidRDefault="00014D39" w:rsidP="00C24161">
      <w:pPr>
        <w:pStyle w:val="Sollicitors"/>
      </w:pPr>
      <w:r>
        <w:t>Solicitor for the respondents: W. H. Biggar.</w:t>
      </w:r>
    </w:p>
    <w:sectPr w:rsidR="00014D39" w:rsidSect="00014D39">
      <w:headerReference w:type="even" r:id="rId7"/>
      <w:headerReference w:type="default" r:id="rId8"/>
      <w:footerReference w:type="even" r:id="rId9"/>
      <w:footerReference w:type="default" r:id="rId10"/>
      <w:headerReference w:type="first" r:id="rId11"/>
      <w:footerReference w:type="first" r:id="rId12"/>
      <w:pgSz w:w="12240" w:h="15840"/>
      <w:pgMar w:top="1440" w:right="1008" w:bottom="1440" w:left="1872" w:header="1440" w:footer="79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11C1" w:rsidRDefault="006211C1" w:rsidP="00014D39">
      <w:r>
        <w:separator/>
      </w:r>
    </w:p>
  </w:endnote>
  <w:endnote w:type="continuationSeparator" w:id="1">
    <w:p w:rsidR="006211C1" w:rsidRDefault="006211C1" w:rsidP="00014D3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l?r ??fc"/>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4D39" w:rsidRDefault="00014D3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4D39" w:rsidRDefault="00014D3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4D39" w:rsidRDefault="00014D3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11C1" w:rsidRDefault="006211C1" w:rsidP="00014D39">
      <w:r>
        <w:separator/>
      </w:r>
    </w:p>
  </w:footnote>
  <w:footnote w:type="continuationSeparator" w:id="1">
    <w:p w:rsidR="006211C1" w:rsidRDefault="006211C1" w:rsidP="00014D39">
      <w:r>
        <w:continuationSeparator/>
      </w:r>
    </w:p>
  </w:footnote>
  <w:footnote w:id="2">
    <w:p w:rsidR="00DA16A2" w:rsidRPr="00DA16A2" w:rsidRDefault="00DA16A2">
      <w:pPr>
        <w:pStyle w:val="FootnoteText"/>
        <w:rPr>
          <w:lang w:val="en-US"/>
        </w:rPr>
      </w:pPr>
      <w:r>
        <w:rPr>
          <w:rStyle w:val="FootnoteReference"/>
        </w:rPr>
        <w:footnoteRef/>
      </w:r>
      <w:r>
        <w:t xml:space="preserve"> </w:t>
      </w:r>
      <w:r>
        <w:rPr>
          <w:rFonts w:cs="Arial"/>
          <w:szCs w:val="24"/>
        </w:rPr>
        <w:t>[1892] 1 Q.B. 394, 609.</w:t>
      </w:r>
    </w:p>
  </w:footnote>
  <w:footnote w:id="3">
    <w:p w:rsidR="00DA16A2" w:rsidRPr="00DA16A2" w:rsidRDefault="00DA16A2">
      <w:pPr>
        <w:pStyle w:val="FootnoteText"/>
        <w:rPr>
          <w:lang w:val="en-US"/>
        </w:rPr>
      </w:pPr>
      <w:r>
        <w:rPr>
          <w:rStyle w:val="FootnoteReference"/>
        </w:rPr>
        <w:footnoteRef/>
      </w:r>
      <w:r>
        <w:t xml:space="preserve"> </w:t>
      </w:r>
      <w:r>
        <w:rPr>
          <w:rFonts w:cs="Arial"/>
          <w:szCs w:val="24"/>
        </w:rPr>
        <w:t>[1891] A.C. 210.</w:t>
      </w:r>
    </w:p>
  </w:footnote>
  <w:footnote w:id="4">
    <w:p w:rsidR="00DA16A2" w:rsidRPr="00DA16A2" w:rsidRDefault="00DA16A2">
      <w:pPr>
        <w:pStyle w:val="FootnoteText"/>
        <w:rPr>
          <w:lang w:val="en-US"/>
        </w:rPr>
      </w:pPr>
      <w:r>
        <w:rPr>
          <w:rStyle w:val="FootnoteReference"/>
        </w:rPr>
        <w:footnoteRef/>
      </w:r>
      <w:r>
        <w:t xml:space="preserve"> </w:t>
      </w:r>
      <w:r>
        <w:rPr>
          <w:rFonts w:cs="Arial"/>
          <w:szCs w:val="24"/>
        </w:rPr>
        <w:t>17 Ont. P.R. 370, 395.</w:t>
      </w:r>
    </w:p>
  </w:footnote>
  <w:footnote w:id="5">
    <w:p w:rsidR="00DA16A2" w:rsidRPr="00DA16A2" w:rsidRDefault="00DA16A2">
      <w:pPr>
        <w:pStyle w:val="FootnoteText"/>
        <w:rPr>
          <w:lang w:val="en-US"/>
        </w:rPr>
      </w:pPr>
      <w:r>
        <w:rPr>
          <w:rStyle w:val="FootnoteReference"/>
        </w:rPr>
        <w:footnoteRef/>
      </w:r>
      <w:r>
        <w:t xml:space="preserve"> </w:t>
      </w:r>
      <w:r>
        <w:rPr>
          <w:rFonts w:cs="Arial"/>
          <w:szCs w:val="24"/>
        </w:rPr>
        <w:t>9 M. &amp; W. 42.</w:t>
      </w:r>
    </w:p>
  </w:footnote>
  <w:footnote w:id="6">
    <w:p w:rsidR="00DA16A2" w:rsidRPr="00DA16A2" w:rsidRDefault="00DA16A2">
      <w:pPr>
        <w:pStyle w:val="FootnoteText"/>
        <w:rPr>
          <w:lang w:val="en-US"/>
        </w:rPr>
      </w:pPr>
      <w:r>
        <w:rPr>
          <w:rStyle w:val="FootnoteReference"/>
        </w:rPr>
        <w:footnoteRef/>
      </w:r>
      <w:r>
        <w:t xml:space="preserve"> </w:t>
      </w:r>
      <w:r>
        <w:rPr>
          <w:rFonts w:cs="Arial"/>
          <w:szCs w:val="24"/>
        </w:rPr>
        <w:t>(1892) 1 Q.B. 394, 609.</w:t>
      </w:r>
    </w:p>
  </w:footnote>
  <w:footnote w:id="7">
    <w:p w:rsidR="00DA16A2" w:rsidRPr="00DA16A2" w:rsidRDefault="00DA16A2">
      <w:pPr>
        <w:pStyle w:val="FootnoteText"/>
        <w:rPr>
          <w:lang w:val="en-US"/>
        </w:rPr>
      </w:pPr>
      <w:r>
        <w:rPr>
          <w:rStyle w:val="FootnoteReference"/>
        </w:rPr>
        <w:footnoteRef/>
      </w:r>
      <w:r>
        <w:t xml:space="preserve"> </w:t>
      </w:r>
      <w:r>
        <w:rPr>
          <w:rFonts w:cs="Arial"/>
          <w:szCs w:val="24"/>
        </w:rPr>
        <w:t>(1891) A.C. 210.</w:t>
      </w:r>
    </w:p>
  </w:footnote>
  <w:footnote w:id="8">
    <w:p w:rsidR="00DA16A2" w:rsidRPr="00DA16A2" w:rsidRDefault="00DA16A2">
      <w:pPr>
        <w:pStyle w:val="FootnoteText"/>
        <w:rPr>
          <w:lang w:val="en-US"/>
        </w:rPr>
      </w:pPr>
      <w:r>
        <w:rPr>
          <w:rStyle w:val="FootnoteReference"/>
        </w:rPr>
        <w:footnoteRef/>
      </w:r>
      <w:r>
        <w:t xml:space="preserve"> </w:t>
      </w:r>
      <w:r>
        <w:rPr>
          <w:rFonts w:cs="Arial"/>
          <w:szCs w:val="24"/>
        </w:rPr>
        <w:t>30 Can. S.C.R. 188.</w:t>
      </w:r>
    </w:p>
  </w:footnote>
  <w:footnote w:id="9">
    <w:p w:rsidR="00DA16A2" w:rsidRPr="00DA16A2" w:rsidRDefault="00DA16A2">
      <w:pPr>
        <w:pStyle w:val="FootnoteText"/>
        <w:rPr>
          <w:lang w:val="en-US"/>
        </w:rPr>
      </w:pPr>
      <w:r>
        <w:rPr>
          <w:rStyle w:val="FootnoteReference"/>
        </w:rPr>
        <w:footnoteRef/>
      </w:r>
      <w:r>
        <w:t xml:space="preserve"> </w:t>
      </w:r>
      <w:r>
        <w:rPr>
          <w:rFonts w:cs="Arial"/>
          <w:szCs w:val="24"/>
        </w:rPr>
        <w:t>16 Can. S.C.R. 606.</w:t>
      </w:r>
    </w:p>
  </w:footnote>
  <w:footnote w:id="10">
    <w:p w:rsidR="00DA16A2" w:rsidRPr="00DA16A2" w:rsidRDefault="00DA16A2">
      <w:pPr>
        <w:pStyle w:val="FootnoteText"/>
        <w:rPr>
          <w:lang w:val="en-US"/>
        </w:rPr>
      </w:pPr>
      <w:r>
        <w:rPr>
          <w:rStyle w:val="FootnoteReference"/>
        </w:rPr>
        <w:footnoteRef/>
      </w:r>
      <w:r>
        <w:t xml:space="preserve"> </w:t>
      </w:r>
      <w:r>
        <w:rPr>
          <w:rFonts w:cs="Arial"/>
          <w:szCs w:val="24"/>
        </w:rPr>
        <w:t>25 Ont. App. R. 88.</w:t>
      </w:r>
    </w:p>
  </w:footnote>
  <w:footnote w:id="11">
    <w:p w:rsidR="00500434" w:rsidRPr="00500434" w:rsidRDefault="00500434">
      <w:pPr>
        <w:pStyle w:val="FootnoteText"/>
        <w:rPr>
          <w:lang w:val="en-US"/>
        </w:rPr>
      </w:pPr>
      <w:r>
        <w:rPr>
          <w:rStyle w:val="FootnoteReference"/>
        </w:rPr>
        <w:t>*</w:t>
      </w:r>
      <w:r>
        <w:t xml:space="preserve"> </w:t>
      </w:r>
      <w:r>
        <w:rPr>
          <w:rFonts w:cs="Arial"/>
          <w:szCs w:val="24"/>
        </w:rPr>
        <w:t>Leave to appeal to the Privy Council was refused, 2nd August, 1905.</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4D39" w:rsidRDefault="00014D3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4D39" w:rsidRDefault="00014D3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4D39" w:rsidRDefault="00014D3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9D6F752"/>
    <w:lvl w:ilvl="0">
      <w:start w:val="1"/>
      <w:numFmt w:val="decimal"/>
      <w:lvlText w:val="%1."/>
      <w:lvlJc w:val="left"/>
      <w:pPr>
        <w:tabs>
          <w:tab w:val="num" w:pos="1800"/>
        </w:tabs>
        <w:ind w:left="1800" w:hanging="360"/>
      </w:pPr>
    </w:lvl>
  </w:abstractNum>
  <w:abstractNum w:abstractNumId="1">
    <w:nsid w:val="FFFFFF7D"/>
    <w:multiLevelType w:val="singleLevel"/>
    <w:tmpl w:val="2FBA3B56"/>
    <w:lvl w:ilvl="0">
      <w:start w:val="1"/>
      <w:numFmt w:val="decimal"/>
      <w:lvlText w:val="%1."/>
      <w:lvlJc w:val="left"/>
      <w:pPr>
        <w:tabs>
          <w:tab w:val="num" w:pos="1440"/>
        </w:tabs>
        <w:ind w:left="1440" w:hanging="360"/>
      </w:pPr>
    </w:lvl>
  </w:abstractNum>
  <w:abstractNum w:abstractNumId="2">
    <w:nsid w:val="FFFFFF7E"/>
    <w:multiLevelType w:val="singleLevel"/>
    <w:tmpl w:val="9D041D52"/>
    <w:lvl w:ilvl="0">
      <w:start w:val="1"/>
      <w:numFmt w:val="decimal"/>
      <w:lvlText w:val="%1."/>
      <w:lvlJc w:val="left"/>
      <w:pPr>
        <w:tabs>
          <w:tab w:val="num" w:pos="1080"/>
        </w:tabs>
        <w:ind w:left="1080" w:hanging="360"/>
      </w:pPr>
    </w:lvl>
  </w:abstractNum>
  <w:abstractNum w:abstractNumId="3">
    <w:nsid w:val="FFFFFF7F"/>
    <w:multiLevelType w:val="singleLevel"/>
    <w:tmpl w:val="8C9E05CC"/>
    <w:lvl w:ilvl="0">
      <w:start w:val="1"/>
      <w:numFmt w:val="decimal"/>
      <w:lvlText w:val="%1."/>
      <w:lvlJc w:val="left"/>
      <w:pPr>
        <w:tabs>
          <w:tab w:val="num" w:pos="720"/>
        </w:tabs>
        <w:ind w:left="720" w:hanging="360"/>
      </w:pPr>
    </w:lvl>
  </w:abstractNum>
  <w:abstractNum w:abstractNumId="4">
    <w:nsid w:val="FFFFFF80"/>
    <w:multiLevelType w:val="singleLevel"/>
    <w:tmpl w:val="1DC0969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FB4E68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8F230B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6FED87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B3E5956"/>
    <w:lvl w:ilvl="0">
      <w:start w:val="1"/>
      <w:numFmt w:val="decimal"/>
      <w:lvlText w:val="%1."/>
      <w:lvlJc w:val="left"/>
      <w:pPr>
        <w:tabs>
          <w:tab w:val="num" w:pos="360"/>
        </w:tabs>
        <w:ind w:left="360" w:hanging="360"/>
      </w:pPr>
    </w:lvl>
  </w:abstractNum>
  <w:abstractNum w:abstractNumId="9">
    <w:nsid w:val="FFFFFF89"/>
    <w:multiLevelType w:val="singleLevel"/>
    <w:tmpl w:val="821AC5CC"/>
    <w:lvl w:ilvl="0">
      <w:start w:val="1"/>
      <w:numFmt w:val="bullet"/>
      <w:lvlText w:val=""/>
      <w:lvlJc w:val="left"/>
      <w:pPr>
        <w:tabs>
          <w:tab w:val="num" w:pos="360"/>
        </w:tabs>
        <w:ind w:left="360" w:hanging="360"/>
      </w:pPr>
      <w:rPr>
        <w:rFonts w:ascii="Symbol" w:hAnsi="Symbol" w:hint="default"/>
      </w:rPr>
    </w:lvl>
  </w:abstractNum>
  <w:abstractNum w:abstractNumId="10">
    <w:nsid w:val="11806412"/>
    <w:multiLevelType w:val="singleLevel"/>
    <w:tmpl w:val="01C95598"/>
    <w:lvl w:ilvl="0">
      <w:start w:val="1"/>
      <w:numFmt w:val="lowerLetter"/>
      <w:lvlText w:val="(%1)"/>
      <w:lvlJc w:val="left"/>
      <w:pPr>
        <w:tabs>
          <w:tab w:val="num" w:pos="648"/>
        </w:tabs>
        <w:ind w:left="648" w:hanging="288"/>
      </w:pPr>
      <w:rPr>
        <w:color w:val="000000"/>
      </w:rPr>
    </w:lvl>
  </w:abstractNum>
  <w:abstractNum w:abstractNumId="11">
    <w:nsid w:val="52473A74"/>
    <w:multiLevelType w:val="singleLevel"/>
    <w:tmpl w:val="38E69D1B"/>
    <w:lvl w:ilvl="0">
      <w:start w:val="1"/>
      <w:numFmt w:val="lowerLetter"/>
      <w:lvlText w:val="(%1)"/>
      <w:lvlJc w:val="left"/>
      <w:pPr>
        <w:tabs>
          <w:tab w:val="num" w:pos="648"/>
        </w:tabs>
        <w:ind w:left="648" w:hanging="288"/>
      </w:pPr>
      <w:rPr>
        <w:color w:val="000000"/>
      </w:rPr>
    </w:lvl>
  </w:abstractNum>
  <w:abstractNum w:abstractNumId="12">
    <w:nsid w:val="577436C1"/>
    <w:multiLevelType w:val="hybridMultilevel"/>
    <w:tmpl w:val="75187CF6"/>
    <w:lvl w:ilvl="0" w:tplc="550AE9F4">
      <w:start w:val="1"/>
      <w:numFmt w:val="decimal"/>
      <w:pStyle w:val="ParagNum"/>
      <w:lvlText w:val="[%1]"/>
      <w:lvlJc w:val="left"/>
      <w:pPr>
        <w:tabs>
          <w:tab w:val="num" w:pos="369"/>
        </w:tabs>
        <w:ind w:left="369" w:hanging="369"/>
      </w:pPr>
    </w:lvl>
    <w:lvl w:ilvl="1" w:tplc="CCA6AF80" w:tentative="1">
      <w:start w:val="1"/>
      <w:numFmt w:val="lowerLetter"/>
      <w:lvlText w:val="%2."/>
      <w:lvlJc w:val="left"/>
      <w:pPr>
        <w:tabs>
          <w:tab w:val="num" w:pos="1440"/>
        </w:tabs>
        <w:ind w:left="1440" w:hanging="360"/>
      </w:pPr>
    </w:lvl>
    <w:lvl w:ilvl="2" w:tplc="785CEA52" w:tentative="1">
      <w:start w:val="1"/>
      <w:numFmt w:val="lowerRoman"/>
      <w:lvlText w:val="%3."/>
      <w:lvlJc w:val="right"/>
      <w:pPr>
        <w:tabs>
          <w:tab w:val="num" w:pos="2160"/>
        </w:tabs>
        <w:ind w:left="2160" w:hanging="180"/>
      </w:pPr>
    </w:lvl>
    <w:lvl w:ilvl="3" w:tplc="E182C3BE" w:tentative="1">
      <w:start w:val="1"/>
      <w:numFmt w:val="decimal"/>
      <w:lvlText w:val="%4."/>
      <w:lvlJc w:val="left"/>
      <w:pPr>
        <w:tabs>
          <w:tab w:val="num" w:pos="2880"/>
        </w:tabs>
        <w:ind w:left="2880" w:hanging="360"/>
      </w:pPr>
    </w:lvl>
    <w:lvl w:ilvl="4" w:tplc="019E42AC" w:tentative="1">
      <w:start w:val="1"/>
      <w:numFmt w:val="lowerLetter"/>
      <w:lvlText w:val="%5."/>
      <w:lvlJc w:val="left"/>
      <w:pPr>
        <w:tabs>
          <w:tab w:val="num" w:pos="3600"/>
        </w:tabs>
        <w:ind w:left="3600" w:hanging="360"/>
      </w:pPr>
    </w:lvl>
    <w:lvl w:ilvl="5" w:tplc="309428C2" w:tentative="1">
      <w:start w:val="1"/>
      <w:numFmt w:val="lowerRoman"/>
      <w:lvlText w:val="%6."/>
      <w:lvlJc w:val="right"/>
      <w:pPr>
        <w:tabs>
          <w:tab w:val="num" w:pos="4320"/>
        </w:tabs>
        <w:ind w:left="4320" w:hanging="180"/>
      </w:pPr>
    </w:lvl>
    <w:lvl w:ilvl="6" w:tplc="F1EEFE28" w:tentative="1">
      <w:start w:val="1"/>
      <w:numFmt w:val="decimal"/>
      <w:lvlText w:val="%7."/>
      <w:lvlJc w:val="left"/>
      <w:pPr>
        <w:tabs>
          <w:tab w:val="num" w:pos="5040"/>
        </w:tabs>
        <w:ind w:left="5040" w:hanging="360"/>
      </w:pPr>
    </w:lvl>
    <w:lvl w:ilvl="7" w:tplc="F91ADC0A" w:tentative="1">
      <w:start w:val="1"/>
      <w:numFmt w:val="lowerLetter"/>
      <w:lvlText w:val="%8."/>
      <w:lvlJc w:val="left"/>
      <w:pPr>
        <w:tabs>
          <w:tab w:val="num" w:pos="5760"/>
        </w:tabs>
        <w:ind w:left="5760" w:hanging="360"/>
      </w:pPr>
    </w:lvl>
    <w:lvl w:ilvl="8" w:tplc="28303FC4" w:tentative="1">
      <w:start w:val="1"/>
      <w:numFmt w:val="lowerRoman"/>
      <w:lvlText w:val="%9."/>
      <w:lvlJc w:val="right"/>
      <w:pPr>
        <w:tabs>
          <w:tab w:val="num" w:pos="6480"/>
        </w:tabs>
        <w:ind w:left="6480" w:hanging="180"/>
      </w:p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ttachedTemplate r:id="rId1"/>
  <w:linkStyle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014D39"/>
    <w:rsid w:val="00013FDA"/>
    <w:rsid w:val="00014D39"/>
    <w:rsid w:val="000173FB"/>
    <w:rsid w:val="000655EC"/>
    <w:rsid w:val="00077D2F"/>
    <w:rsid w:val="0008547A"/>
    <w:rsid w:val="000B6688"/>
    <w:rsid w:val="000C3415"/>
    <w:rsid w:val="0010195C"/>
    <w:rsid w:val="00107B22"/>
    <w:rsid w:val="00121409"/>
    <w:rsid w:val="00125F0C"/>
    <w:rsid w:val="00126A8E"/>
    <w:rsid w:val="001837F3"/>
    <w:rsid w:val="001D0D42"/>
    <w:rsid w:val="001D5C4A"/>
    <w:rsid w:val="001F6A76"/>
    <w:rsid w:val="002209AC"/>
    <w:rsid w:val="002428EB"/>
    <w:rsid w:val="00295FD2"/>
    <w:rsid w:val="002A74DD"/>
    <w:rsid w:val="002B30C5"/>
    <w:rsid w:val="002C186C"/>
    <w:rsid w:val="002D5E01"/>
    <w:rsid w:val="002F4F64"/>
    <w:rsid w:val="002F7D00"/>
    <w:rsid w:val="003144C1"/>
    <w:rsid w:val="00340E7D"/>
    <w:rsid w:val="00361108"/>
    <w:rsid w:val="003824D9"/>
    <w:rsid w:val="003E5AF5"/>
    <w:rsid w:val="003F602F"/>
    <w:rsid w:val="004165A4"/>
    <w:rsid w:val="004277EE"/>
    <w:rsid w:val="0043543D"/>
    <w:rsid w:val="00442713"/>
    <w:rsid w:val="00457BC5"/>
    <w:rsid w:val="00463F5F"/>
    <w:rsid w:val="00482CDC"/>
    <w:rsid w:val="004C7ED4"/>
    <w:rsid w:val="004E2361"/>
    <w:rsid w:val="00500434"/>
    <w:rsid w:val="00511D93"/>
    <w:rsid w:val="00514003"/>
    <w:rsid w:val="00537980"/>
    <w:rsid w:val="00563767"/>
    <w:rsid w:val="005667DA"/>
    <w:rsid w:val="00593C8B"/>
    <w:rsid w:val="006211C1"/>
    <w:rsid w:val="00644967"/>
    <w:rsid w:val="00686CAD"/>
    <w:rsid w:val="006D2BED"/>
    <w:rsid w:val="006D6F42"/>
    <w:rsid w:val="006E5FEA"/>
    <w:rsid w:val="00747F2C"/>
    <w:rsid w:val="00751F7D"/>
    <w:rsid w:val="007969C4"/>
    <w:rsid w:val="007B3A90"/>
    <w:rsid w:val="007B6628"/>
    <w:rsid w:val="007C002C"/>
    <w:rsid w:val="007D6DD5"/>
    <w:rsid w:val="008027F3"/>
    <w:rsid w:val="008433A9"/>
    <w:rsid w:val="008550EF"/>
    <w:rsid w:val="00872F75"/>
    <w:rsid w:val="00873B38"/>
    <w:rsid w:val="00880FBB"/>
    <w:rsid w:val="008A7CAF"/>
    <w:rsid w:val="008B0B7A"/>
    <w:rsid w:val="00926406"/>
    <w:rsid w:val="009A18C6"/>
    <w:rsid w:val="009A7B1B"/>
    <w:rsid w:val="009D37B6"/>
    <w:rsid w:val="009E64DC"/>
    <w:rsid w:val="009F346B"/>
    <w:rsid w:val="00A42830"/>
    <w:rsid w:val="00A4371F"/>
    <w:rsid w:val="00A54E5B"/>
    <w:rsid w:val="00A61128"/>
    <w:rsid w:val="00A94C52"/>
    <w:rsid w:val="00AB09B8"/>
    <w:rsid w:val="00AB18F7"/>
    <w:rsid w:val="00B007EC"/>
    <w:rsid w:val="00B177F7"/>
    <w:rsid w:val="00B402BF"/>
    <w:rsid w:val="00B41B49"/>
    <w:rsid w:val="00B532F0"/>
    <w:rsid w:val="00B639A4"/>
    <w:rsid w:val="00B772A6"/>
    <w:rsid w:val="00BC4595"/>
    <w:rsid w:val="00C24161"/>
    <w:rsid w:val="00C372DF"/>
    <w:rsid w:val="00C45FBD"/>
    <w:rsid w:val="00C54EB9"/>
    <w:rsid w:val="00C7016B"/>
    <w:rsid w:val="00C93FA5"/>
    <w:rsid w:val="00CB726B"/>
    <w:rsid w:val="00CC50DD"/>
    <w:rsid w:val="00CD1289"/>
    <w:rsid w:val="00CD1F09"/>
    <w:rsid w:val="00CD50FC"/>
    <w:rsid w:val="00CE2A11"/>
    <w:rsid w:val="00CF1E48"/>
    <w:rsid w:val="00D00550"/>
    <w:rsid w:val="00D306D2"/>
    <w:rsid w:val="00D45866"/>
    <w:rsid w:val="00D9036C"/>
    <w:rsid w:val="00DA16A2"/>
    <w:rsid w:val="00DC4119"/>
    <w:rsid w:val="00DE30DC"/>
    <w:rsid w:val="00E1124B"/>
    <w:rsid w:val="00E114A9"/>
    <w:rsid w:val="00E117BD"/>
    <w:rsid w:val="00E30F5A"/>
    <w:rsid w:val="00E40016"/>
    <w:rsid w:val="00E407E4"/>
    <w:rsid w:val="00E43349"/>
    <w:rsid w:val="00E51D18"/>
    <w:rsid w:val="00E86DF4"/>
    <w:rsid w:val="00EB3437"/>
    <w:rsid w:val="00EF2358"/>
    <w:rsid w:val="00F13669"/>
    <w:rsid w:val="00F177D8"/>
    <w:rsid w:val="00F35E8A"/>
    <w:rsid w:val="00F60320"/>
    <w:rsid w:val="00F64D86"/>
    <w:rsid w:val="00FA66A7"/>
    <w:rsid w:val="00FF04C7"/>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B6628"/>
    <w:pPr>
      <w:widowControl w:val="0"/>
      <w:autoSpaceDE w:val="0"/>
      <w:autoSpaceDN w:val="0"/>
      <w:adjustRightInd w:val="0"/>
      <w:spacing w:after="0" w:line="240" w:lineRule="auto"/>
    </w:pPr>
    <w:rPr>
      <w:rFonts w:ascii="Arial" w:eastAsia="MS Mincho" w:hAnsi="Arial" w:cs="Times New Roman"/>
      <w:sz w:val="24"/>
      <w:szCs w:val="28"/>
      <w:lang w:val="en-CA" w:eastAsia="ja-JP"/>
    </w:rPr>
  </w:style>
  <w:style w:type="paragraph" w:styleId="Heading1">
    <w:name w:val="heading 1"/>
    <w:basedOn w:val="Normal"/>
    <w:next w:val="Normal"/>
    <w:link w:val="Heading1Char"/>
    <w:qFormat/>
    <w:rsid w:val="007B6628"/>
    <w:pPr>
      <w:keepNext/>
      <w:spacing w:before="240" w:after="60"/>
      <w:outlineLvl w:val="0"/>
    </w:pPr>
    <w:rPr>
      <w:rFonts w:cs="Arial"/>
      <w:b/>
      <w:bCs/>
      <w:noProof/>
      <w:kern w:val="32"/>
      <w:sz w:val="28"/>
      <w:szCs w:val="32"/>
    </w:rPr>
  </w:style>
  <w:style w:type="character" w:default="1" w:styleId="DefaultParagraphFont">
    <w:name w:val="Default Paragraph Font"/>
    <w:uiPriority w:val="1"/>
    <w:semiHidden/>
    <w:unhideWhenUsed/>
    <w:rsid w:val="007B6628"/>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7B6628"/>
  </w:style>
  <w:style w:type="paragraph" w:styleId="Header">
    <w:name w:val="header"/>
    <w:basedOn w:val="Normal"/>
    <w:link w:val="HeaderChar"/>
    <w:uiPriority w:val="99"/>
    <w:unhideWhenUsed/>
    <w:rsid w:val="007B6628"/>
    <w:pPr>
      <w:tabs>
        <w:tab w:val="center" w:pos="4680"/>
        <w:tab w:val="right" w:pos="9360"/>
      </w:tabs>
    </w:pPr>
    <w:rPr>
      <w:rFonts w:ascii="Times New Roman" w:hAnsi="Times New Roman"/>
    </w:rPr>
  </w:style>
  <w:style w:type="character" w:customStyle="1" w:styleId="HeaderChar">
    <w:name w:val="Header Char"/>
    <w:link w:val="Header"/>
    <w:uiPriority w:val="99"/>
    <w:rsid w:val="007B6628"/>
    <w:rPr>
      <w:rFonts w:ascii="Times New Roman" w:eastAsia="MS Mincho" w:hAnsi="Times New Roman" w:cs="Times New Roman"/>
      <w:sz w:val="24"/>
      <w:szCs w:val="28"/>
      <w:lang w:val="en-CA" w:eastAsia="ja-JP"/>
    </w:rPr>
  </w:style>
  <w:style w:type="paragraph" w:styleId="Footer">
    <w:name w:val="footer"/>
    <w:basedOn w:val="Normal"/>
    <w:link w:val="FooterChar"/>
    <w:uiPriority w:val="99"/>
    <w:unhideWhenUsed/>
    <w:rsid w:val="007B6628"/>
    <w:pPr>
      <w:tabs>
        <w:tab w:val="center" w:pos="4680"/>
        <w:tab w:val="right" w:pos="9360"/>
      </w:tabs>
    </w:pPr>
    <w:rPr>
      <w:rFonts w:ascii="Times New Roman" w:hAnsi="Times New Roman"/>
    </w:rPr>
  </w:style>
  <w:style w:type="character" w:customStyle="1" w:styleId="FooterChar">
    <w:name w:val="Footer Char"/>
    <w:link w:val="Footer"/>
    <w:uiPriority w:val="99"/>
    <w:rsid w:val="007B6628"/>
    <w:rPr>
      <w:rFonts w:ascii="Times New Roman" w:eastAsia="MS Mincho" w:hAnsi="Times New Roman" w:cs="Times New Roman"/>
      <w:sz w:val="24"/>
      <w:szCs w:val="28"/>
      <w:lang w:val="en-CA" w:eastAsia="ja-JP"/>
    </w:rPr>
  </w:style>
  <w:style w:type="character" w:customStyle="1" w:styleId="Heading1Char">
    <w:name w:val="Heading 1 Char"/>
    <w:basedOn w:val="DefaultParagraphFont"/>
    <w:link w:val="Heading1"/>
    <w:rsid w:val="007C002C"/>
    <w:rPr>
      <w:rFonts w:ascii="Arial" w:eastAsia="MS Mincho" w:hAnsi="Arial" w:cs="Arial"/>
      <w:b/>
      <w:bCs/>
      <w:noProof/>
      <w:kern w:val="32"/>
      <w:sz w:val="28"/>
      <w:szCs w:val="32"/>
      <w:lang w:val="en-CA" w:eastAsia="ja-JP"/>
    </w:rPr>
  </w:style>
  <w:style w:type="paragraph" w:customStyle="1" w:styleId="Indent1">
    <w:name w:val="Indent 1"/>
    <w:basedOn w:val="Normal"/>
    <w:next w:val="Normal"/>
    <w:rsid w:val="007B6628"/>
    <w:pPr>
      <w:spacing w:before="100" w:beforeAutospacing="1"/>
      <w:ind w:left="567"/>
      <w:jc w:val="both"/>
    </w:pPr>
  </w:style>
  <w:style w:type="paragraph" w:customStyle="1" w:styleId="Metadata">
    <w:name w:val="Metadata"/>
    <w:basedOn w:val="Normal"/>
    <w:rsid w:val="007B6628"/>
    <w:pPr>
      <w:spacing w:before="100" w:beforeAutospacing="1" w:after="100" w:afterAutospacing="1"/>
    </w:pPr>
    <w:rPr>
      <w:rFonts w:cs="Arial"/>
      <w:szCs w:val="24"/>
    </w:rPr>
  </w:style>
  <w:style w:type="paragraph" w:customStyle="1" w:styleId="Page">
    <w:name w:val="Page"/>
    <w:basedOn w:val="Normal"/>
    <w:link w:val="PageChar"/>
    <w:rsid w:val="007B6628"/>
    <w:pPr>
      <w:spacing w:before="100" w:beforeAutospacing="1" w:after="100" w:afterAutospacing="1"/>
    </w:pPr>
    <w:rPr>
      <w:i/>
    </w:rPr>
  </w:style>
  <w:style w:type="paragraph" w:styleId="FootnoteText">
    <w:name w:val="footnote text"/>
    <w:basedOn w:val="Normal"/>
    <w:link w:val="FootnoteTextChar"/>
    <w:autoRedefine/>
    <w:semiHidden/>
    <w:rsid w:val="007B6628"/>
    <w:rPr>
      <w:sz w:val="16"/>
      <w:szCs w:val="20"/>
    </w:rPr>
  </w:style>
  <w:style w:type="character" w:customStyle="1" w:styleId="FootnoteTextChar">
    <w:name w:val="Footnote Text Char"/>
    <w:link w:val="FootnoteText"/>
    <w:semiHidden/>
    <w:rsid w:val="007B6628"/>
    <w:rPr>
      <w:rFonts w:ascii="Arial" w:eastAsia="MS Mincho" w:hAnsi="Arial" w:cs="Times New Roman"/>
      <w:sz w:val="16"/>
      <w:szCs w:val="20"/>
      <w:lang w:val="en-CA" w:eastAsia="ja-JP"/>
    </w:rPr>
  </w:style>
  <w:style w:type="character" w:styleId="FootnoteReference">
    <w:name w:val="footnote reference"/>
    <w:semiHidden/>
    <w:rsid w:val="007B6628"/>
    <w:rPr>
      <w:vertAlign w:val="superscript"/>
    </w:rPr>
  </w:style>
  <w:style w:type="paragraph" w:customStyle="1" w:styleId="ParagNum">
    <w:name w:val="ParagNum"/>
    <w:basedOn w:val="Normal"/>
    <w:rsid w:val="007B6628"/>
    <w:pPr>
      <w:numPr>
        <w:numId w:val="1"/>
      </w:numPr>
      <w:tabs>
        <w:tab w:val="clear" w:pos="369"/>
        <w:tab w:val="num" w:pos="360"/>
        <w:tab w:val="left" w:pos="720"/>
      </w:tabs>
      <w:spacing w:before="240"/>
      <w:ind w:left="0" w:firstLine="0"/>
      <w:jc w:val="both"/>
    </w:pPr>
    <w:rPr>
      <w:szCs w:val="24"/>
      <w:lang w:eastAsia="fr-FR"/>
    </w:rPr>
  </w:style>
  <w:style w:type="paragraph" w:customStyle="1" w:styleId="Reasons">
    <w:name w:val="Reasons"/>
    <w:basedOn w:val="Normal"/>
    <w:link w:val="ReasonsCar"/>
    <w:rsid w:val="007B6628"/>
    <w:pPr>
      <w:spacing w:before="100" w:beforeAutospacing="1" w:after="100" w:afterAutospacing="1" w:line="360" w:lineRule="auto"/>
    </w:pPr>
  </w:style>
  <w:style w:type="paragraph" w:customStyle="1" w:styleId="Indent2">
    <w:name w:val="Indent 2"/>
    <w:basedOn w:val="Indent1"/>
    <w:rsid w:val="007B6628"/>
    <w:pPr>
      <w:ind w:left="1134"/>
    </w:pPr>
  </w:style>
  <w:style w:type="paragraph" w:customStyle="1" w:styleId="Indent3">
    <w:name w:val="Indent 3"/>
    <w:basedOn w:val="Indent1"/>
    <w:rsid w:val="007B6628"/>
    <w:pPr>
      <w:ind w:left="1701"/>
    </w:pPr>
  </w:style>
  <w:style w:type="paragraph" w:customStyle="1" w:styleId="Indent4">
    <w:name w:val="Indent 4"/>
    <w:basedOn w:val="Indent1"/>
    <w:rsid w:val="007B6628"/>
    <w:pPr>
      <w:ind w:left="2268"/>
    </w:pPr>
  </w:style>
  <w:style w:type="paragraph" w:customStyle="1" w:styleId="Indent10">
    <w:name w:val="Indent1"/>
    <w:basedOn w:val="Reasons"/>
    <w:rsid w:val="007B6628"/>
    <w:pPr>
      <w:ind w:left="567"/>
    </w:pPr>
  </w:style>
  <w:style w:type="paragraph" w:customStyle="1" w:styleId="Indent20">
    <w:name w:val="Indent2"/>
    <w:basedOn w:val="Indent10"/>
    <w:rsid w:val="007B6628"/>
    <w:pPr>
      <w:ind w:left="1134"/>
    </w:pPr>
  </w:style>
  <w:style w:type="paragraph" w:customStyle="1" w:styleId="Indent30">
    <w:name w:val="Indent3"/>
    <w:basedOn w:val="Indent10"/>
    <w:rsid w:val="007B6628"/>
    <w:pPr>
      <w:ind w:left="1701"/>
    </w:pPr>
  </w:style>
  <w:style w:type="paragraph" w:customStyle="1" w:styleId="Indent40">
    <w:name w:val="Indent4"/>
    <w:basedOn w:val="Indent10"/>
    <w:rsid w:val="007B6628"/>
    <w:pPr>
      <w:ind w:left="2268"/>
    </w:pPr>
  </w:style>
  <w:style w:type="paragraph" w:customStyle="1" w:styleId="Keywords">
    <w:name w:val="Keywords"/>
    <w:basedOn w:val="Normal"/>
    <w:rsid w:val="007B6628"/>
    <w:pPr>
      <w:spacing w:before="100" w:beforeAutospacing="1" w:after="100" w:afterAutospacing="1"/>
    </w:pPr>
    <w:rPr>
      <w:rFonts w:cs="Arial"/>
      <w:i/>
      <w:szCs w:val="24"/>
    </w:rPr>
  </w:style>
  <w:style w:type="paragraph" w:customStyle="1" w:styleId="Summary">
    <w:name w:val="Summary"/>
    <w:basedOn w:val="Normal"/>
    <w:autoRedefine/>
    <w:rsid w:val="007B6628"/>
    <w:pPr>
      <w:spacing w:before="100" w:beforeAutospacing="1" w:after="100" w:afterAutospacing="1"/>
      <w:ind w:left="562" w:hanging="562"/>
    </w:pPr>
    <w:rPr>
      <w:rFonts w:cs="Arial"/>
    </w:rPr>
  </w:style>
  <w:style w:type="paragraph" w:customStyle="1" w:styleId="History">
    <w:name w:val="History"/>
    <w:basedOn w:val="Normal"/>
    <w:rsid w:val="007B6628"/>
    <w:pPr>
      <w:spacing w:before="100" w:beforeAutospacing="1" w:after="100" w:afterAutospacing="1"/>
      <w:ind w:firstLine="567"/>
    </w:pPr>
  </w:style>
  <w:style w:type="paragraph" w:customStyle="1" w:styleId="T1">
    <w:name w:val="T1"/>
    <w:basedOn w:val="Normal"/>
    <w:rsid w:val="007B6628"/>
    <w:pPr>
      <w:spacing w:before="240" w:after="100" w:afterAutospacing="1"/>
    </w:pPr>
    <w:rPr>
      <w:b/>
    </w:rPr>
  </w:style>
  <w:style w:type="paragraph" w:customStyle="1" w:styleId="T2">
    <w:name w:val="T2"/>
    <w:basedOn w:val="Normal"/>
    <w:rsid w:val="007B6628"/>
    <w:pPr>
      <w:spacing w:before="240" w:after="100" w:afterAutospacing="1"/>
    </w:pPr>
  </w:style>
  <w:style w:type="paragraph" w:customStyle="1" w:styleId="Sollicitors">
    <w:name w:val="Sollicitors"/>
    <w:basedOn w:val="Normal"/>
    <w:rsid w:val="007B6628"/>
    <w:pPr>
      <w:spacing w:before="100" w:beforeAutospacing="1" w:after="100" w:afterAutospacing="1"/>
    </w:pPr>
    <w:rPr>
      <w:i/>
    </w:rPr>
  </w:style>
  <w:style w:type="paragraph" w:customStyle="1" w:styleId="Court">
    <w:name w:val="Court"/>
    <w:basedOn w:val="Normal"/>
    <w:rsid w:val="007B6628"/>
    <w:rPr>
      <w:rFonts w:cs="Arial"/>
      <w:b/>
      <w:szCs w:val="24"/>
    </w:rPr>
  </w:style>
  <w:style w:type="character" w:customStyle="1" w:styleId="PageChar">
    <w:name w:val="Page Char"/>
    <w:link w:val="Page"/>
    <w:rsid w:val="007B6628"/>
    <w:rPr>
      <w:rFonts w:ascii="Arial" w:eastAsia="MS Mincho" w:hAnsi="Arial" w:cs="Times New Roman"/>
      <w:i/>
      <w:sz w:val="24"/>
      <w:szCs w:val="28"/>
      <w:lang w:val="en-CA" w:eastAsia="ja-JP"/>
    </w:rPr>
  </w:style>
  <w:style w:type="character" w:customStyle="1" w:styleId="ReasonsCar">
    <w:name w:val="Reasons Car"/>
    <w:link w:val="Reasons"/>
    <w:rsid w:val="007B6628"/>
    <w:rPr>
      <w:rFonts w:ascii="Arial" w:eastAsia="MS Mincho" w:hAnsi="Arial" w:cs="Times New Roman"/>
      <w:sz w:val="24"/>
      <w:szCs w:val="28"/>
      <w:lang w:val="en-CA" w:eastAsia="ja-JP"/>
    </w:rPr>
  </w:style>
  <w:style w:type="paragraph" w:customStyle="1" w:styleId="CitationLine">
    <w:name w:val="CitationLine"/>
    <w:basedOn w:val="Court"/>
    <w:rsid w:val="007B6628"/>
  </w:style>
  <w:style w:type="paragraph" w:customStyle="1" w:styleId="DateISO">
    <w:name w:val="DateISO"/>
    <w:basedOn w:val="Court"/>
    <w:rsid w:val="007B662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LX-109_CSC_1876-1906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LX-109_CSC_1876-1906_Template</Template>
  <TotalTime>4</TotalTime>
  <Pages>3</Pages>
  <Words>532</Words>
  <Characters>3035</Characters>
  <Application>Microsoft Office Word</Application>
  <DocSecurity>0</DocSecurity>
  <Lines>25</Lines>
  <Paragraphs>7</Paragraphs>
  <ScaleCrop>false</ScaleCrop>
  <Company/>
  <LinksUpToDate>false</LinksUpToDate>
  <CharactersWithSpaces>3560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User101</dc:creator>
  <cp:lastModifiedBy>User111</cp:lastModifiedBy>
  <cp:revision>8</cp:revision>
  <dcterms:created xsi:type="dcterms:W3CDTF">2015-03-19T12:48:00Z</dcterms:created>
  <dcterms:modified xsi:type="dcterms:W3CDTF">2015-03-23T05:27:00Z</dcterms:modified>
</cp:coreProperties>
</file>