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C3" w:rsidRDefault="00070DC3" w:rsidP="00070DC3">
      <w:pPr>
        <w:pStyle w:val="Court"/>
      </w:pPr>
      <w:r>
        <w:t>Supreme Court of Canada</w:t>
      </w:r>
    </w:p>
    <w:p w:rsidR="00070DC3" w:rsidRDefault="00070DC3" w:rsidP="00070DC3">
      <w:pPr>
        <w:pStyle w:val="CitationLine"/>
      </w:pPr>
      <w:r w:rsidRPr="00070DC3">
        <w:t xml:space="preserve">Carstens et al. </w:t>
      </w:r>
      <w:r w:rsidRPr="00070DC3">
        <w:rPr>
          <w:i/>
        </w:rPr>
        <w:t>v</w:t>
      </w:r>
      <w:r w:rsidRPr="00070DC3">
        <w:t>. Muggah</w:t>
      </w:r>
      <w:r>
        <w:t xml:space="preserve"> (1905) 36 SCR 612</w:t>
      </w:r>
    </w:p>
    <w:p w:rsidR="00070DC3" w:rsidRDefault="00070DC3" w:rsidP="00070DC3">
      <w:pPr>
        <w:pStyle w:val="DateISO"/>
      </w:pPr>
      <w:r>
        <w:t>Date: 1905-05-15</w:t>
      </w:r>
    </w:p>
    <w:p w:rsidR="00A62FFC" w:rsidRDefault="00070DC3" w:rsidP="00070DC3">
      <w:pPr>
        <w:pStyle w:val="Metadata"/>
      </w:pPr>
      <w:r w:rsidRPr="00070DC3">
        <w:t xml:space="preserve">Carstens </w:t>
      </w:r>
      <w:r w:rsidR="00A62FFC" w:rsidRPr="00070DC3">
        <w:t xml:space="preserve">et al. v. </w:t>
      </w:r>
      <w:r w:rsidRPr="00070DC3">
        <w:t>Muggah</w:t>
      </w:r>
      <w:r w:rsidR="00A62FFC" w:rsidRPr="00070DC3">
        <w:t>.</w:t>
      </w:r>
    </w:p>
    <w:p w:rsidR="00070DC3" w:rsidRDefault="00070DC3" w:rsidP="00070DC3">
      <w:pPr>
        <w:pStyle w:val="Metadata"/>
      </w:pPr>
      <w:r w:rsidRPr="00070DC3">
        <w:t>Present</w:t>
      </w:r>
      <w:r>
        <w:t>:—Sir Elzéar Taschereau C.J. and Girouard, Davies, Nesbitt and Idington JJ.</w:t>
      </w:r>
    </w:p>
    <w:p w:rsidR="00070DC3" w:rsidRPr="00070DC3" w:rsidRDefault="00070DC3" w:rsidP="00070DC3">
      <w:pPr>
        <w:pStyle w:val="Metadata"/>
      </w:pPr>
      <w:r w:rsidRPr="00070DC3">
        <w:t xml:space="preserve">1905: </w:t>
      </w:r>
      <w:r>
        <w:t>May 5; 1905: May 15.</w:t>
      </w:r>
    </w:p>
    <w:p w:rsidR="00A62FFC" w:rsidRDefault="00A62FFC" w:rsidP="00070DC3">
      <w:pPr>
        <w:pStyle w:val="Keywords"/>
      </w:pPr>
      <w:r>
        <w:t>Evidence—Admissibility—Harmless error—New trial.</w:t>
      </w:r>
    </w:p>
    <w:p w:rsidR="00A62FFC" w:rsidRDefault="00A62FFC" w:rsidP="00070DC3">
      <w:pPr>
        <w:pStyle w:val="History"/>
      </w:pPr>
      <w:r w:rsidRPr="00070DC3">
        <w:t>Appeal</w:t>
      </w:r>
      <w:r>
        <w:rPr>
          <w:smallCaps/>
        </w:rPr>
        <w:t xml:space="preserve"> </w:t>
      </w:r>
      <w:r>
        <w:t>from a judgment of the Supreme Court of Nova Scotia</w:t>
      </w:r>
      <w:r w:rsidR="000676CF">
        <w:rPr>
          <w:rStyle w:val="FootnoteReference"/>
        </w:rPr>
        <w:footnoteReference w:id="2"/>
      </w:r>
      <w:r>
        <w:t xml:space="preserve"> setting aside a verdict at the trial in favour of the plaintiffs and ordering a new trial.</w:t>
      </w:r>
    </w:p>
    <w:p w:rsidR="00A62FFC" w:rsidRDefault="00A62FFC" w:rsidP="00070DC3">
      <w:pPr>
        <w:pStyle w:val="History"/>
        <w:rPr>
          <w:rFonts w:cs="Arial"/>
          <w:szCs w:val="24"/>
        </w:rPr>
      </w:pPr>
      <w:r>
        <w:rPr>
          <w:rFonts w:cs="Arial"/>
          <w:szCs w:val="24"/>
        </w:rPr>
        <w:t>The action was for the price of goods sold and delivered, and the defence that the goods were received by defendant as plaintiffs' manager and not otherwise. The ground on which the new trial was ordered was that plaintiffs' books of account were improperly received in evidence against the defendant.</w:t>
      </w:r>
    </w:p>
    <w:p w:rsidR="00A62FFC" w:rsidRDefault="00A62FFC" w:rsidP="00070DC3">
      <w:pPr>
        <w:pStyle w:val="Reasons"/>
      </w:pPr>
      <w:r>
        <w:t>The Supreme Court of Canada reversed the judgment appealed from and restored the verdict at the trial holding that the books were received on the taking of evidence under commission by the express consent of both parties, and their reception could not afterwards be objected to on the general ground that they were irrevelant and immaterial to the issue.</w:t>
      </w:r>
    </w:p>
    <w:p w:rsidR="00A62FFC" w:rsidRDefault="00A62FFC" w:rsidP="00070DC3">
      <w:pPr>
        <w:pStyle w:val="Reasons"/>
      </w:pPr>
      <w:r>
        <w:t>Appeal allowed with costs.</w:t>
      </w:r>
    </w:p>
    <w:p w:rsidR="00A62FFC" w:rsidRDefault="00A62FFC" w:rsidP="00070DC3">
      <w:pPr>
        <w:pStyle w:val="Sollicitors"/>
      </w:pPr>
      <w:r>
        <w:t>Newcombe K.C. and W. F. O'Connor, for the appellants.</w:t>
      </w:r>
    </w:p>
    <w:p w:rsidR="00A62FFC" w:rsidRDefault="00A62FFC" w:rsidP="00070DC3">
      <w:pPr>
        <w:pStyle w:val="Sollicitors"/>
      </w:pPr>
      <w:r>
        <w:t>J. J. Ritchie K.C., for the respondent.</w:t>
      </w:r>
    </w:p>
    <w:sectPr w:rsidR="00A62FFC" w:rsidSect="0089703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A49" w:rsidRDefault="00E11A49" w:rsidP="0089703C">
      <w:r>
        <w:separator/>
      </w:r>
    </w:p>
  </w:endnote>
  <w:endnote w:type="continuationSeparator" w:id="1">
    <w:p w:rsidR="00E11A49" w:rsidRDefault="00E11A49" w:rsidP="00897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A49" w:rsidRDefault="00E11A49" w:rsidP="0089703C">
      <w:r>
        <w:separator/>
      </w:r>
    </w:p>
  </w:footnote>
  <w:footnote w:type="continuationSeparator" w:id="1">
    <w:p w:rsidR="00E11A49" w:rsidRDefault="00E11A49" w:rsidP="0089703C">
      <w:r>
        <w:continuationSeparator/>
      </w:r>
    </w:p>
  </w:footnote>
  <w:footnote w:id="2">
    <w:p w:rsidR="000676CF" w:rsidRPr="000676CF" w:rsidRDefault="000676CF">
      <w:pPr>
        <w:pStyle w:val="FootnoteText"/>
        <w:rPr>
          <w:lang w:val="en-US"/>
        </w:rPr>
      </w:pPr>
      <w:r>
        <w:rPr>
          <w:rStyle w:val="FootnoteReference"/>
        </w:rPr>
        <w:footnoteRef/>
      </w:r>
      <w:r>
        <w:t xml:space="preserve"> </w:t>
      </w:r>
      <w:r>
        <w:rPr>
          <w:rFonts w:cs="Arial"/>
          <w:szCs w:val="24"/>
        </w:rPr>
        <w:t>37 N.S. Rep. 361.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3C" w:rsidRDefault="008970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B4C3468">
      <w:start w:val="1"/>
      <w:numFmt w:val="decimal"/>
      <w:pStyle w:val="ParagNum"/>
      <w:lvlText w:val="[%1]"/>
      <w:lvlJc w:val="left"/>
      <w:pPr>
        <w:tabs>
          <w:tab w:val="num" w:pos="369"/>
        </w:tabs>
        <w:ind w:left="369" w:hanging="369"/>
      </w:pPr>
    </w:lvl>
    <w:lvl w:ilvl="1" w:tplc="C6122B8A" w:tentative="1">
      <w:start w:val="1"/>
      <w:numFmt w:val="lowerLetter"/>
      <w:lvlText w:val="%2."/>
      <w:lvlJc w:val="left"/>
      <w:pPr>
        <w:tabs>
          <w:tab w:val="num" w:pos="1440"/>
        </w:tabs>
        <w:ind w:left="1440" w:hanging="360"/>
      </w:pPr>
    </w:lvl>
    <w:lvl w:ilvl="2" w:tplc="A9B04FF0" w:tentative="1">
      <w:start w:val="1"/>
      <w:numFmt w:val="lowerRoman"/>
      <w:lvlText w:val="%3."/>
      <w:lvlJc w:val="right"/>
      <w:pPr>
        <w:tabs>
          <w:tab w:val="num" w:pos="2160"/>
        </w:tabs>
        <w:ind w:left="2160" w:hanging="180"/>
      </w:pPr>
    </w:lvl>
    <w:lvl w:ilvl="3" w:tplc="18387602" w:tentative="1">
      <w:start w:val="1"/>
      <w:numFmt w:val="decimal"/>
      <w:lvlText w:val="%4."/>
      <w:lvlJc w:val="left"/>
      <w:pPr>
        <w:tabs>
          <w:tab w:val="num" w:pos="2880"/>
        </w:tabs>
        <w:ind w:left="2880" w:hanging="360"/>
      </w:pPr>
    </w:lvl>
    <w:lvl w:ilvl="4" w:tplc="8A0C80E4" w:tentative="1">
      <w:start w:val="1"/>
      <w:numFmt w:val="lowerLetter"/>
      <w:lvlText w:val="%5."/>
      <w:lvlJc w:val="left"/>
      <w:pPr>
        <w:tabs>
          <w:tab w:val="num" w:pos="3600"/>
        </w:tabs>
        <w:ind w:left="3600" w:hanging="360"/>
      </w:pPr>
    </w:lvl>
    <w:lvl w:ilvl="5" w:tplc="320A08FA" w:tentative="1">
      <w:start w:val="1"/>
      <w:numFmt w:val="lowerRoman"/>
      <w:lvlText w:val="%6."/>
      <w:lvlJc w:val="right"/>
      <w:pPr>
        <w:tabs>
          <w:tab w:val="num" w:pos="4320"/>
        </w:tabs>
        <w:ind w:left="4320" w:hanging="180"/>
      </w:pPr>
    </w:lvl>
    <w:lvl w:ilvl="6" w:tplc="E3AE11C6" w:tentative="1">
      <w:start w:val="1"/>
      <w:numFmt w:val="decimal"/>
      <w:lvlText w:val="%7."/>
      <w:lvlJc w:val="left"/>
      <w:pPr>
        <w:tabs>
          <w:tab w:val="num" w:pos="5040"/>
        </w:tabs>
        <w:ind w:left="5040" w:hanging="360"/>
      </w:pPr>
    </w:lvl>
    <w:lvl w:ilvl="7" w:tplc="2D7415BA" w:tentative="1">
      <w:start w:val="1"/>
      <w:numFmt w:val="lowerLetter"/>
      <w:lvlText w:val="%8."/>
      <w:lvlJc w:val="left"/>
      <w:pPr>
        <w:tabs>
          <w:tab w:val="num" w:pos="5760"/>
        </w:tabs>
        <w:ind w:left="5760" w:hanging="360"/>
      </w:pPr>
    </w:lvl>
    <w:lvl w:ilvl="8" w:tplc="F17499A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2FFC"/>
    <w:rsid w:val="00013FDA"/>
    <w:rsid w:val="000173FB"/>
    <w:rsid w:val="000655EC"/>
    <w:rsid w:val="000676CF"/>
    <w:rsid w:val="00070DC3"/>
    <w:rsid w:val="00077D2F"/>
    <w:rsid w:val="0008547A"/>
    <w:rsid w:val="000B6688"/>
    <w:rsid w:val="000C3415"/>
    <w:rsid w:val="00121409"/>
    <w:rsid w:val="00125F0C"/>
    <w:rsid w:val="00126A8E"/>
    <w:rsid w:val="001837F3"/>
    <w:rsid w:val="001A74B5"/>
    <w:rsid w:val="001D0D42"/>
    <w:rsid w:val="001D5C4A"/>
    <w:rsid w:val="001F6A76"/>
    <w:rsid w:val="002209AC"/>
    <w:rsid w:val="002428EB"/>
    <w:rsid w:val="002A74DD"/>
    <w:rsid w:val="002B30C5"/>
    <w:rsid w:val="002C186C"/>
    <w:rsid w:val="002D5E01"/>
    <w:rsid w:val="002F4F64"/>
    <w:rsid w:val="002F7D00"/>
    <w:rsid w:val="00361108"/>
    <w:rsid w:val="003824D9"/>
    <w:rsid w:val="00387A13"/>
    <w:rsid w:val="003B6FE2"/>
    <w:rsid w:val="003E5AF5"/>
    <w:rsid w:val="003F602F"/>
    <w:rsid w:val="004277EE"/>
    <w:rsid w:val="004326B7"/>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9703C"/>
    <w:rsid w:val="008B0B7A"/>
    <w:rsid w:val="00926406"/>
    <w:rsid w:val="00930C1D"/>
    <w:rsid w:val="009A7B1B"/>
    <w:rsid w:val="009D37B6"/>
    <w:rsid w:val="009E64DC"/>
    <w:rsid w:val="00A42830"/>
    <w:rsid w:val="00A4371F"/>
    <w:rsid w:val="00A54E5B"/>
    <w:rsid w:val="00A61128"/>
    <w:rsid w:val="00A62FFC"/>
    <w:rsid w:val="00A94C52"/>
    <w:rsid w:val="00AB09B8"/>
    <w:rsid w:val="00B007EC"/>
    <w:rsid w:val="00B02728"/>
    <w:rsid w:val="00B177F7"/>
    <w:rsid w:val="00B41B49"/>
    <w:rsid w:val="00B532F0"/>
    <w:rsid w:val="00B639A4"/>
    <w:rsid w:val="00B772A6"/>
    <w:rsid w:val="00B87CA5"/>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01ECC"/>
    <w:rsid w:val="00E1124B"/>
    <w:rsid w:val="00E114A9"/>
    <w:rsid w:val="00E117BD"/>
    <w:rsid w:val="00E11A49"/>
    <w:rsid w:val="00E30F5A"/>
    <w:rsid w:val="00E40016"/>
    <w:rsid w:val="00E407E4"/>
    <w:rsid w:val="00E43349"/>
    <w:rsid w:val="00E51D18"/>
    <w:rsid w:val="00E6106E"/>
    <w:rsid w:val="00E86DF4"/>
    <w:rsid w:val="00EB3437"/>
    <w:rsid w:val="00EF2358"/>
    <w:rsid w:val="00EF2833"/>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74B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A74B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A74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A74B5"/>
  </w:style>
  <w:style w:type="paragraph" w:styleId="Header">
    <w:name w:val="header"/>
    <w:basedOn w:val="Normal"/>
    <w:link w:val="HeaderChar"/>
    <w:uiPriority w:val="99"/>
    <w:unhideWhenUsed/>
    <w:rsid w:val="001A74B5"/>
    <w:pPr>
      <w:tabs>
        <w:tab w:val="center" w:pos="4680"/>
        <w:tab w:val="right" w:pos="9360"/>
      </w:tabs>
    </w:pPr>
    <w:rPr>
      <w:rFonts w:ascii="Times New Roman" w:hAnsi="Times New Roman"/>
    </w:rPr>
  </w:style>
  <w:style w:type="character" w:customStyle="1" w:styleId="HeaderChar">
    <w:name w:val="Header Char"/>
    <w:link w:val="Header"/>
    <w:uiPriority w:val="99"/>
    <w:rsid w:val="001A74B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A74B5"/>
    <w:pPr>
      <w:tabs>
        <w:tab w:val="center" w:pos="4680"/>
        <w:tab w:val="right" w:pos="9360"/>
      </w:tabs>
    </w:pPr>
    <w:rPr>
      <w:rFonts w:ascii="Times New Roman" w:hAnsi="Times New Roman"/>
    </w:rPr>
  </w:style>
  <w:style w:type="character" w:customStyle="1" w:styleId="FooterChar">
    <w:name w:val="Footer Char"/>
    <w:link w:val="Footer"/>
    <w:uiPriority w:val="99"/>
    <w:rsid w:val="001A74B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30C1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A74B5"/>
    <w:pPr>
      <w:spacing w:before="100" w:beforeAutospacing="1"/>
      <w:ind w:left="567"/>
      <w:jc w:val="both"/>
    </w:pPr>
  </w:style>
  <w:style w:type="paragraph" w:customStyle="1" w:styleId="Metadata">
    <w:name w:val="Metadata"/>
    <w:basedOn w:val="Normal"/>
    <w:rsid w:val="001A74B5"/>
    <w:pPr>
      <w:spacing w:before="100" w:beforeAutospacing="1" w:after="100" w:afterAutospacing="1"/>
    </w:pPr>
    <w:rPr>
      <w:rFonts w:cs="Arial"/>
      <w:szCs w:val="24"/>
    </w:rPr>
  </w:style>
  <w:style w:type="paragraph" w:customStyle="1" w:styleId="Page">
    <w:name w:val="Page"/>
    <w:basedOn w:val="Normal"/>
    <w:link w:val="PageChar"/>
    <w:rsid w:val="001A74B5"/>
    <w:pPr>
      <w:spacing w:before="100" w:beforeAutospacing="1" w:after="100" w:afterAutospacing="1"/>
    </w:pPr>
    <w:rPr>
      <w:i/>
    </w:rPr>
  </w:style>
  <w:style w:type="paragraph" w:styleId="FootnoteText">
    <w:name w:val="footnote text"/>
    <w:basedOn w:val="Normal"/>
    <w:link w:val="FootnoteTextChar"/>
    <w:autoRedefine/>
    <w:semiHidden/>
    <w:rsid w:val="001A74B5"/>
    <w:rPr>
      <w:sz w:val="16"/>
      <w:szCs w:val="20"/>
    </w:rPr>
  </w:style>
  <w:style w:type="character" w:customStyle="1" w:styleId="FootnoteTextChar">
    <w:name w:val="Footnote Text Char"/>
    <w:link w:val="FootnoteText"/>
    <w:semiHidden/>
    <w:rsid w:val="001A74B5"/>
    <w:rPr>
      <w:rFonts w:ascii="Arial" w:eastAsia="MS Mincho" w:hAnsi="Arial" w:cs="Times New Roman"/>
      <w:sz w:val="16"/>
      <w:szCs w:val="20"/>
      <w:lang w:val="en-CA" w:eastAsia="ja-JP"/>
    </w:rPr>
  </w:style>
  <w:style w:type="character" w:styleId="FootnoteReference">
    <w:name w:val="footnote reference"/>
    <w:semiHidden/>
    <w:rsid w:val="001A74B5"/>
    <w:rPr>
      <w:vertAlign w:val="superscript"/>
    </w:rPr>
  </w:style>
  <w:style w:type="paragraph" w:customStyle="1" w:styleId="ParagNum">
    <w:name w:val="ParagNum"/>
    <w:basedOn w:val="Normal"/>
    <w:rsid w:val="001A74B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A74B5"/>
    <w:pPr>
      <w:spacing w:before="100" w:beforeAutospacing="1" w:after="100" w:afterAutospacing="1" w:line="360" w:lineRule="auto"/>
    </w:pPr>
  </w:style>
  <w:style w:type="paragraph" w:customStyle="1" w:styleId="Indent2">
    <w:name w:val="Indent 2"/>
    <w:basedOn w:val="Indent1"/>
    <w:rsid w:val="001A74B5"/>
    <w:pPr>
      <w:ind w:left="1134"/>
    </w:pPr>
  </w:style>
  <w:style w:type="paragraph" w:customStyle="1" w:styleId="Indent3">
    <w:name w:val="Indent 3"/>
    <w:basedOn w:val="Indent1"/>
    <w:rsid w:val="001A74B5"/>
    <w:pPr>
      <w:ind w:left="1701"/>
    </w:pPr>
  </w:style>
  <w:style w:type="paragraph" w:customStyle="1" w:styleId="Indent4">
    <w:name w:val="Indent 4"/>
    <w:basedOn w:val="Indent1"/>
    <w:rsid w:val="001A74B5"/>
    <w:pPr>
      <w:ind w:left="2268"/>
    </w:pPr>
  </w:style>
  <w:style w:type="paragraph" w:customStyle="1" w:styleId="Indent10">
    <w:name w:val="Indent1"/>
    <w:basedOn w:val="Reasons"/>
    <w:rsid w:val="001A74B5"/>
    <w:pPr>
      <w:ind w:left="567"/>
    </w:pPr>
  </w:style>
  <w:style w:type="paragraph" w:customStyle="1" w:styleId="Indent20">
    <w:name w:val="Indent2"/>
    <w:basedOn w:val="Indent10"/>
    <w:rsid w:val="001A74B5"/>
    <w:pPr>
      <w:ind w:left="1134"/>
    </w:pPr>
  </w:style>
  <w:style w:type="paragraph" w:customStyle="1" w:styleId="Indent30">
    <w:name w:val="Indent3"/>
    <w:basedOn w:val="Indent10"/>
    <w:rsid w:val="001A74B5"/>
    <w:pPr>
      <w:ind w:left="1701"/>
    </w:pPr>
  </w:style>
  <w:style w:type="paragraph" w:customStyle="1" w:styleId="Indent40">
    <w:name w:val="Indent4"/>
    <w:basedOn w:val="Indent10"/>
    <w:rsid w:val="001A74B5"/>
    <w:pPr>
      <w:ind w:left="2268"/>
    </w:pPr>
  </w:style>
  <w:style w:type="paragraph" w:customStyle="1" w:styleId="Keywords">
    <w:name w:val="Keywords"/>
    <w:basedOn w:val="Normal"/>
    <w:rsid w:val="001A74B5"/>
    <w:pPr>
      <w:spacing w:before="100" w:beforeAutospacing="1" w:after="100" w:afterAutospacing="1"/>
    </w:pPr>
    <w:rPr>
      <w:rFonts w:cs="Arial"/>
      <w:i/>
      <w:szCs w:val="24"/>
    </w:rPr>
  </w:style>
  <w:style w:type="paragraph" w:customStyle="1" w:styleId="Summary">
    <w:name w:val="Summary"/>
    <w:basedOn w:val="Normal"/>
    <w:autoRedefine/>
    <w:rsid w:val="001A74B5"/>
    <w:pPr>
      <w:spacing w:before="100" w:beforeAutospacing="1" w:after="100" w:afterAutospacing="1"/>
      <w:ind w:left="562" w:hanging="562"/>
    </w:pPr>
    <w:rPr>
      <w:rFonts w:cs="Arial"/>
    </w:rPr>
  </w:style>
  <w:style w:type="paragraph" w:customStyle="1" w:styleId="History">
    <w:name w:val="History"/>
    <w:basedOn w:val="Normal"/>
    <w:rsid w:val="001A74B5"/>
    <w:pPr>
      <w:spacing w:before="100" w:beforeAutospacing="1" w:after="100" w:afterAutospacing="1"/>
      <w:ind w:firstLine="567"/>
    </w:pPr>
  </w:style>
  <w:style w:type="paragraph" w:customStyle="1" w:styleId="T1">
    <w:name w:val="T1"/>
    <w:basedOn w:val="Normal"/>
    <w:rsid w:val="001A74B5"/>
    <w:pPr>
      <w:spacing w:before="240" w:after="100" w:afterAutospacing="1"/>
    </w:pPr>
    <w:rPr>
      <w:b/>
    </w:rPr>
  </w:style>
  <w:style w:type="paragraph" w:customStyle="1" w:styleId="T2">
    <w:name w:val="T2"/>
    <w:basedOn w:val="Normal"/>
    <w:rsid w:val="001A74B5"/>
    <w:pPr>
      <w:spacing w:before="240" w:after="100" w:afterAutospacing="1"/>
    </w:pPr>
  </w:style>
  <w:style w:type="paragraph" w:customStyle="1" w:styleId="Sollicitors">
    <w:name w:val="Sollicitors"/>
    <w:basedOn w:val="Normal"/>
    <w:rsid w:val="001A74B5"/>
    <w:pPr>
      <w:spacing w:before="100" w:beforeAutospacing="1" w:after="100" w:afterAutospacing="1"/>
    </w:pPr>
    <w:rPr>
      <w:i/>
    </w:rPr>
  </w:style>
  <w:style w:type="paragraph" w:customStyle="1" w:styleId="Court">
    <w:name w:val="Court"/>
    <w:basedOn w:val="Normal"/>
    <w:rsid w:val="001A74B5"/>
    <w:rPr>
      <w:rFonts w:cs="Arial"/>
      <w:b/>
      <w:szCs w:val="24"/>
    </w:rPr>
  </w:style>
  <w:style w:type="character" w:customStyle="1" w:styleId="PageChar">
    <w:name w:val="Page Char"/>
    <w:link w:val="Page"/>
    <w:rsid w:val="001A74B5"/>
    <w:rPr>
      <w:rFonts w:ascii="Arial" w:eastAsia="MS Mincho" w:hAnsi="Arial" w:cs="Times New Roman"/>
      <w:i/>
      <w:sz w:val="24"/>
      <w:szCs w:val="28"/>
      <w:lang w:val="en-CA" w:eastAsia="ja-JP"/>
    </w:rPr>
  </w:style>
  <w:style w:type="character" w:customStyle="1" w:styleId="ReasonsCar">
    <w:name w:val="Reasons Car"/>
    <w:link w:val="Reasons"/>
    <w:rsid w:val="001A74B5"/>
    <w:rPr>
      <w:rFonts w:ascii="Arial" w:eastAsia="MS Mincho" w:hAnsi="Arial" w:cs="Times New Roman"/>
      <w:sz w:val="24"/>
      <w:szCs w:val="28"/>
      <w:lang w:val="en-CA" w:eastAsia="ja-JP"/>
    </w:rPr>
  </w:style>
  <w:style w:type="paragraph" w:customStyle="1" w:styleId="CitationLine">
    <w:name w:val="CitationLine"/>
    <w:basedOn w:val="Court"/>
    <w:rsid w:val="001A74B5"/>
  </w:style>
  <w:style w:type="paragraph" w:customStyle="1" w:styleId="DateISO">
    <w:name w:val="DateISO"/>
    <w:basedOn w:val="Court"/>
    <w:rsid w:val="001A74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2015-03-20T14:34:00Z</dcterms:created>
  <dcterms:modified xsi:type="dcterms:W3CDTF">2015-03-23T10:54:00Z</dcterms:modified>
</cp:coreProperties>
</file>