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CB" w:rsidRDefault="001044CB" w:rsidP="001044CB">
      <w:pPr>
        <w:pStyle w:val="Court"/>
      </w:pPr>
      <w:r>
        <w:t>Supreme Court of Canada</w:t>
      </w:r>
    </w:p>
    <w:p w:rsidR="001044CB" w:rsidRDefault="001044CB" w:rsidP="001044CB">
      <w:pPr>
        <w:pStyle w:val="CitationLine"/>
      </w:pPr>
      <w:r w:rsidRPr="001044CB">
        <w:t>Cushing Sulphite-Fibre Co.</w:t>
      </w:r>
      <w:r>
        <w:t xml:space="preserve"> (1906) 37 SCR 427</w:t>
      </w:r>
    </w:p>
    <w:p w:rsidR="001044CB" w:rsidRDefault="001044CB" w:rsidP="001044CB">
      <w:pPr>
        <w:pStyle w:val="DateISO"/>
      </w:pPr>
      <w:r>
        <w:t>Date: 1906-05-08</w:t>
      </w:r>
    </w:p>
    <w:p w:rsidR="00131482" w:rsidRPr="001044CB" w:rsidRDefault="001044CB" w:rsidP="001044CB">
      <w:pPr>
        <w:pStyle w:val="Metadata"/>
      </w:pPr>
      <w:r w:rsidRPr="001044CB">
        <w:t xml:space="preserve">The Cushing Sulphite-Fibre Company </w:t>
      </w:r>
      <w:r>
        <w:t>a</w:t>
      </w:r>
      <w:r w:rsidRPr="001044CB">
        <w:t>nd Others</w:t>
      </w:r>
    </w:p>
    <w:p w:rsidR="00131482" w:rsidRPr="001044CB" w:rsidRDefault="001044CB" w:rsidP="001044CB">
      <w:pPr>
        <w:pStyle w:val="Metadata"/>
      </w:pPr>
      <w:r w:rsidRPr="001044CB">
        <w:t>Appellants</w:t>
      </w:r>
    </w:p>
    <w:p w:rsidR="00131482" w:rsidRPr="001044CB" w:rsidRDefault="001044CB" w:rsidP="001044CB">
      <w:pPr>
        <w:pStyle w:val="Metadata"/>
      </w:pPr>
      <w:r w:rsidRPr="001044CB">
        <w:t>And</w:t>
      </w:r>
    </w:p>
    <w:p w:rsidR="00131482" w:rsidRPr="001044CB" w:rsidRDefault="001044CB" w:rsidP="001044CB">
      <w:pPr>
        <w:pStyle w:val="Metadata"/>
      </w:pPr>
      <w:r w:rsidRPr="001044CB">
        <w:t xml:space="preserve">George S. Cushing </w:t>
      </w:r>
      <w:r>
        <w:t>a</w:t>
      </w:r>
      <w:r w:rsidRPr="001044CB">
        <w:t>nd Others Liquidators</w:t>
      </w:r>
    </w:p>
    <w:p w:rsidR="00131482" w:rsidRPr="001044CB" w:rsidRDefault="001044CB" w:rsidP="001044CB">
      <w:pPr>
        <w:pStyle w:val="Metadata"/>
      </w:pPr>
      <w:r w:rsidRPr="001044CB">
        <w:t>Respondents</w:t>
      </w:r>
    </w:p>
    <w:p w:rsidR="001044CB" w:rsidRDefault="001044CB" w:rsidP="001044CB">
      <w:pPr>
        <w:pStyle w:val="Metadata"/>
        <w:rPr>
          <w:smallCaps/>
        </w:rPr>
      </w:pPr>
      <w:r>
        <w:t>1906: May 8.</w:t>
      </w:r>
    </w:p>
    <w:p w:rsidR="001044CB" w:rsidRDefault="001044CB" w:rsidP="001044CB">
      <w:pPr>
        <w:pStyle w:val="Metadata"/>
      </w:pPr>
      <w:r w:rsidRPr="001044CB">
        <w:t>Present</w:t>
      </w:r>
      <w:r>
        <w:t>:—Sedgewick, Girouard, Davies, Idington and Maclennan JJ.</w:t>
      </w:r>
    </w:p>
    <w:p w:rsidR="00131482" w:rsidRPr="001044CB" w:rsidRDefault="001044CB" w:rsidP="001044CB">
      <w:pPr>
        <w:pStyle w:val="Metadata"/>
      </w:pPr>
      <w:r w:rsidRPr="001044CB">
        <w:t>ON APPEAL FROM THE SUPREME COURT OF NEW BRUNSWICK</w:t>
      </w:r>
    </w:p>
    <w:p w:rsidR="00131482" w:rsidRDefault="00131482" w:rsidP="001044CB">
      <w:pPr>
        <w:pStyle w:val="Keywords"/>
      </w:pPr>
      <w:r>
        <w:t>Appeal—Jurisdiction—Winding-up order—Leave to appeal—Amount involved—R.S.C. c. 129, s. 76.</w:t>
      </w:r>
    </w:p>
    <w:p w:rsidR="00131482" w:rsidRDefault="00131482" w:rsidP="001044CB">
      <w:pPr>
        <w:pStyle w:val="Summary"/>
      </w:pPr>
      <w:r>
        <w:t>In a case under the Winding-up Act (R.S.C. ch. 129) an appeal may be taken to the Supreme Court of Canada by leave of a judge thereof if the amount involved exceeds $2,000.</w:t>
      </w:r>
    </w:p>
    <w:p w:rsidR="00131482" w:rsidRDefault="00131482" w:rsidP="001044CB">
      <w:pPr>
        <w:pStyle w:val="Summary"/>
        <w:rPr>
          <w:szCs w:val="24"/>
        </w:rPr>
      </w:pPr>
      <w:r>
        <w:rPr>
          <w:i/>
          <w:iCs/>
          <w:szCs w:val="24"/>
        </w:rPr>
        <w:t xml:space="preserve">Held, </w:t>
      </w:r>
      <w:r>
        <w:rPr>
          <w:szCs w:val="24"/>
        </w:rPr>
        <w:t>that a judgment refusing to set aside a winding-up order does not involve any amount and leave to appeal therefrom cannot be granted.</w:t>
      </w:r>
    </w:p>
    <w:p w:rsidR="00131482" w:rsidRDefault="00131482" w:rsidP="001044CB">
      <w:pPr>
        <w:pStyle w:val="History"/>
      </w:pPr>
      <w:r w:rsidRPr="001044CB">
        <w:t>Appeal</w:t>
      </w:r>
      <w:r>
        <w:rPr>
          <w:smallCaps/>
        </w:rPr>
        <w:t xml:space="preserve"> </w:t>
      </w:r>
      <w:r>
        <w:t>by leave of a judge from a judgment of the Supreme Court of New Brunswick dismissing an appeal from the order made by Mr. Justice McLeod to wind-up the dishing Sulphite-Fibre Company, Limited.</w:t>
      </w:r>
    </w:p>
    <w:p w:rsidR="00131482" w:rsidRDefault="00131482" w:rsidP="001044CB">
      <w:pPr>
        <w:pStyle w:val="History"/>
        <w:rPr>
          <w:rFonts w:cs="Arial"/>
          <w:szCs w:val="24"/>
        </w:rPr>
      </w:pPr>
      <w:r>
        <w:rPr>
          <w:rFonts w:cs="Arial"/>
          <w:szCs w:val="24"/>
        </w:rPr>
        <w:t xml:space="preserve">Respondents' counsel moved to quash the appeal on the ground that it should have been brought within 14 days from the date of the order of such further time as might have been allowed by a judge of the Supreme Court of New Brunswick if application therefor had been made. The court overruled this objection to its jurisdiction, but </w:t>
      </w:r>
      <w:r>
        <w:rPr>
          <w:rFonts w:cs="Arial"/>
          <w:i/>
          <w:iCs/>
          <w:szCs w:val="24"/>
        </w:rPr>
        <w:t xml:space="preserve">suo motu </w:t>
      </w:r>
      <w:r>
        <w:rPr>
          <w:rFonts w:cs="Arial"/>
          <w:szCs w:val="24"/>
        </w:rPr>
        <w:t>raised the question as to whether or not $2,000 was involved in</w:t>
      </w:r>
    </w:p>
    <w:p w:rsidR="00131482" w:rsidRDefault="00E12888" w:rsidP="00E12888">
      <w:pPr>
        <w:pStyle w:val="Page"/>
      </w:pPr>
      <w:r>
        <w:rPr>
          <w:rFonts w:cs="Arial"/>
          <w:szCs w:val="24"/>
        </w:rPr>
        <w:t xml:space="preserve">[Page </w:t>
      </w:r>
      <w:r w:rsidR="00131482">
        <w:rPr>
          <w:rFonts w:cs="Arial"/>
          <w:smallCaps/>
          <w:szCs w:val="24"/>
        </w:rPr>
        <w:t>428]</w:t>
      </w:r>
    </w:p>
    <w:p w:rsidR="00131482" w:rsidRDefault="00131482" w:rsidP="00CA0E51">
      <w:pPr>
        <w:pStyle w:val="History"/>
        <w:ind w:firstLine="0"/>
        <w:rPr>
          <w:rFonts w:cs="Arial"/>
          <w:szCs w:val="24"/>
        </w:rPr>
      </w:pPr>
      <w:r>
        <w:rPr>
          <w:rFonts w:cs="Arial"/>
          <w:szCs w:val="24"/>
        </w:rPr>
        <w:t>the appeal and called upon counsel for the appellants to support their right to appeal in that respect.</w:t>
      </w:r>
    </w:p>
    <w:p w:rsidR="00131482" w:rsidRDefault="00131482" w:rsidP="001044CB">
      <w:pPr>
        <w:pStyle w:val="Sollicitors"/>
      </w:pPr>
      <w:r>
        <w:rPr>
          <w:iCs/>
        </w:rPr>
        <w:lastRenderedPageBreak/>
        <w:t xml:space="preserve">Powell </w:t>
      </w:r>
      <w:r>
        <w:t xml:space="preserve">K.C., and </w:t>
      </w:r>
      <w:r>
        <w:rPr>
          <w:iCs/>
        </w:rPr>
        <w:t xml:space="preserve">Eanington </w:t>
      </w:r>
      <w:r>
        <w:t>K.C., for the appellants.</w:t>
      </w:r>
    </w:p>
    <w:p w:rsidR="00131482" w:rsidRDefault="00131482" w:rsidP="001044CB">
      <w:pPr>
        <w:pStyle w:val="Sollicitors"/>
      </w:pPr>
      <w:r>
        <w:rPr>
          <w:iCs/>
        </w:rPr>
        <w:t xml:space="preserve">Pugsley </w:t>
      </w:r>
      <w:r>
        <w:t xml:space="preserve">K.C., </w:t>
      </w:r>
      <w:r>
        <w:rPr>
          <w:iCs/>
        </w:rPr>
        <w:t xml:space="preserve">Hazen </w:t>
      </w:r>
      <w:r>
        <w:t xml:space="preserve">K.C., </w:t>
      </w:r>
      <w:r>
        <w:rPr>
          <w:iCs/>
        </w:rPr>
        <w:t xml:space="preserve">Currey </w:t>
      </w:r>
      <w:r>
        <w:t xml:space="preserve">K.C., and </w:t>
      </w:r>
      <w:r>
        <w:rPr>
          <w:iCs/>
        </w:rPr>
        <w:t xml:space="preserve">Ewing, </w:t>
      </w:r>
      <w:r>
        <w:t>for the respondents.</w:t>
      </w:r>
    </w:p>
    <w:p w:rsidR="00131482" w:rsidRDefault="00131482" w:rsidP="001044CB">
      <w:pPr>
        <w:pStyle w:val="Reasons"/>
      </w:pPr>
      <w:r>
        <w:t>The judgment of the court was delivered by</w:t>
      </w:r>
    </w:p>
    <w:p w:rsidR="00131482" w:rsidRDefault="001044CB" w:rsidP="001044CB">
      <w:pPr>
        <w:pStyle w:val="Reasons"/>
        <w:rPr>
          <w:rFonts w:cs="Arial"/>
          <w:szCs w:val="24"/>
        </w:rPr>
      </w:pPr>
      <w:r w:rsidRPr="001044CB">
        <w:t>SEDGEWICK</w:t>
      </w:r>
      <w:r>
        <w:rPr>
          <w:rFonts w:cs="Arial"/>
          <w:smallCaps/>
          <w:szCs w:val="24"/>
        </w:rPr>
        <w:t xml:space="preserve"> </w:t>
      </w:r>
      <w:r w:rsidR="00131482">
        <w:rPr>
          <w:rFonts w:cs="Arial"/>
          <w:szCs w:val="24"/>
        </w:rPr>
        <w:t>J.—The only statutory provision by virtue of which we have jurisdiction to hear this appeal is contained in the Winding-up Act. R.S.C. ch. 129, sec. 76, which is as follows:—</w:t>
      </w:r>
    </w:p>
    <w:p w:rsidR="00131482" w:rsidRDefault="00131482" w:rsidP="001044CB">
      <w:pPr>
        <w:pStyle w:val="Reasons"/>
        <w:rPr>
          <w:rFonts w:cs="Arial"/>
          <w:szCs w:val="24"/>
        </w:rPr>
      </w:pPr>
      <w:r>
        <w:rPr>
          <w:rFonts w:cs="Arial"/>
          <w:szCs w:val="24"/>
        </w:rPr>
        <w:t>An appeal shall lie to the Supreme Court of Canada by leave of a judge of the said Supreme Court (from a judgment under the Act in any province) if the "amount involved" in the appeal exceeds two thousand dollars.</w:t>
      </w:r>
    </w:p>
    <w:p w:rsidR="00131482" w:rsidRDefault="00131482" w:rsidP="001044CB">
      <w:pPr>
        <w:pStyle w:val="Reasons"/>
        <w:rPr>
          <w:rFonts w:cs="Arial"/>
          <w:szCs w:val="24"/>
        </w:rPr>
      </w:pPr>
      <w:r>
        <w:rPr>
          <w:rFonts w:cs="Arial"/>
          <w:szCs w:val="24"/>
        </w:rPr>
        <w:t xml:space="preserve">We are, I think, all of opinion that in the present case there is no </w:t>
      </w:r>
      <w:r>
        <w:rPr>
          <w:rFonts w:cs="Arial"/>
          <w:i/>
          <w:iCs/>
          <w:szCs w:val="24"/>
        </w:rPr>
        <w:t xml:space="preserve">amount </w:t>
      </w:r>
      <w:r>
        <w:rPr>
          <w:rFonts w:cs="Arial"/>
          <w:szCs w:val="24"/>
        </w:rPr>
        <w:t>involved, and, therefore, that we have no jurisdiction. This view is rendered, it seems to me, perfectly clear from the phraseology of section 74 of the Act which gives an appeal from the order or decision of a single judge. In that case, if the question to be raised on the appeal involves future rights, or if the order or decision is likely to affect other cases of a similar nature, or if the amount involved in the appeal exceeds $500, an appeal shall lie.</w:t>
      </w:r>
    </w:p>
    <w:p w:rsidR="00131482" w:rsidRDefault="00131482" w:rsidP="001044CB">
      <w:pPr>
        <w:pStyle w:val="Reasons"/>
        <w:rPr>
          <w:rFonts w:cs="Arial"/>
          <w:szCs w:val="24"/>
        </w:rPr>
      </w:pPr>
      <w:r>
        <w:rPr>
          <w:rFonts w:cs="Arial"/>
          <w:szCs w:val="24"/>
        </w:rPr>
        <w:t xml:space="preserve">This shews conclusively that there is an appeal to this court only in cases where monetary questions are to be considered, as for instance, where the question is as to whether any one should be placed upon the list of contributories or should be held liable or not liable </w:t>
      </w:r>
      <w:r>
        <w:rPr>
          <w:rFonts w:cs="Arial"/>
          <w:i/>
          <w:iCs/>
          <w:szCs w:val="24"/>
        </w:rPr>
        <w:t xml:space="preserve">quoad </w:t>
      </w:r>
      <w:r>
        <w:rPr>
          <w:rFonts w:cs="Arial"/>
          <w:szCs w:val="24"/>
        </w:rPr>
        <w:t>his character as a shareholder or where some such similar matter is in controversy.</w:t>
      </w:r>
    </w:p>
    <w:p w:rsidR="00131482" w:rsidRDefault="00E12888" w:rsidP="00E12888">
      <w:pPr>
        <w:pStyle w:val="Page"/>
      </w:pPr>
      <w:r>
        <w:rPr>
          <w:rFonts w:cs="Arial"/>
          <w:szCs w:val="24"/>
        </w:rPr>
        <w:t xml:space="preserve">[Page </w:t>
      </w:r>
      <w:r w:rsidR="00131482">
        <w:rPr>
          <w:rFonts w:cs="Arial"/>
          <w:szCs w:val="24"/>
        </w:rPr>
        <w:t>429]</w:t>
      </w:r>
    </w:p>
    <w:p w:rsidR="00131482" w:rsidRDefault="00131482" w:rsidP="00CA0E51">
      <w:pPr>
        <w:pStyle w:val="Reasons"/>
        <w:rPr>
          <w:rFonts w:cs="Arial"/>
          <w:szCs w:val="24"/>
        </w:rPr>
      </w:pPr>
      <w:r>
        <w:rPr>
          <w:rFonts w:cs="Arial"/>
          <w:szCs w:val="24"/>
        </w:rPr>
        <w:t xml:space="preserve">The following decisions of this court may be usefully referred to upon the point in question: </w:t>
      </w:r>
      <w:r>
        <w:rPr>
          <w:rFonts w:cs="Arial"/>
          <w:i/>
          <w:iCs/>
          <w:szCs w:val="24"/>
        </w:rPr>
        <w:t xml:space="preserve">Stephens </w:t>
      </w:r>
      <w:r>
        <w:rPr>
          <w:rFonts w:cs="Arial"/>
          <w:szCs w:val="24"/>
        </w:rPr>
        <w:t xml:space="preserve">v. </w:t>
      </w:r>
      <w:r>
        <w:rPr>
          <w:rFonts w:cs="Arial"/>
          <w:i/>
          <w:iCs/>
          <w:szCs w:val="24"/>
        </w:rPr>
        <w:t>Gerth</w:t>
      </w:r>
      <w:r w:rsidR="0080098C">
        <w:rPr>
          <w:rStyle w:val="FootnoteReference"/>
          <w:rFonts w:cs="Arial"/>
          <w:i/>
          <w:iCs/>
          <w:szCs w:val="24"/>
        </w:rPr>
        <w:footnoteReference w:id="2"/>
      </w:r>
      <w:r>
        <w:rPr>
          <w:rFonts w:cs="Arial"/>
          <w:szCs w:val="24"/>
        </w:rPr>
        <w:t>;</w:t>
      </w:r>
      <w:r>
        <w:rPr>
          <w:rFonts w:cs="Arial"/>
          <w:i/>
          <w:iCs/>
          <w:szCs w:val="24"/>
        </w:rPr>
        <w:t xml:space="preserve"> O'Dell </w:t>
      </w:r>
      <w:r>
        <w:rPr>
          <w:rFonts w:cs="Arial"/>
          <w:szCs w:val="24"/>
        </w:rPr>
        <w:t xml:space="preserve">v. </w:t>
      </w:r>
      <w:r>
        <w:rPr>
          <w:rFonts w:cs="Arial"/>
          <w:i/>
          <w:iCs/>
          <w:szCs w:val="24"/>
        </w:rPr>
        <w:t>Gregory</w:t>
      </w:r>
      <w:r w:rsidR="0080098C">
        <w:rPr>
          <w:rStyle w:val="FootnoteReference"/>
          <w:rFonts w:cs="Arial"/>
          <w:i/>
          <w:iCs/>
          <w:szCs w:val="24"/>
        </w:rPr>
        <w:footnoteReference w:id="3"/>
      </w:r>
      <w:r>
        <w:rPr>
          <w:rFonts w:cs="Arial"/>
          <w:szCs w:val="24"/>
        </w:rPr>
        <w:t xml:space="preserve">; </w:t>
      </w:r>
      <w:r>
        <w:rPr>
          <w:rFonts w:cs="Arial"/>
          <w:i/>
          <w:iCs/>
          <w:szCs w:val="24"/>
        </w:rPr>
        <w:t xml:space="preserve">Lachance </w:t>
      </w:r>
      <w:r>
        <w:rPr>
          <w:rFonts w:cs="Arial"/>
          <w:szCs w:val="24"/>
        </w:rPr>
        <w:t xml:space="preserve">v. </w:t>
      </w:r>
      <w:r>
        <w:rPr>
          <w:rFonts w:cs="Arial"/>
          <w:i/>
          <w:iCs/>
          <w:szCs w:val="24"/>
          <w:lang w:val="fr-FR"/>
        </w:rPr>
        <w:t>La Société de Prêts et de Placements de Québec</w:t>
      </w:r>
      <w:r w:rsidR="0080098C">
        <w:rPr>
          <w:rStyle w:val="FootnoteReference"/>
          <w:rFonts w:cs="Arial"/>
          <w:i/>
          <w:iCs/>
          <w:szCs w:val="24"/>
          <w:lang w:val="fr-FR"/>
        </w:rPr>
        <w:footnoteReference w:id="4"/>
      </w:r>
      <w:r>
        <w:rPr>
          <w:rFonts w:cs="Arial"/>
          <w:szCs w:val="24"/>
          <w:lang w:val="fr-FR"/>
        </w:rPr>
        <w:t>;</w:t>
      </w:r>
      <w:r>
        <w:rPr>
          <w:rFonts w:cs="Arial"/>
          <w:szCs w:val="24"/>
        </w:rPr>
        <w:t xml:space="preserve"> </w:t>
      </w:r>
      <w:r>
        <w:rPr>
          <w:rFonts w:cs="Arial"/>
          <w:i/>
          <w:iCs/>
          <w:szCs w:val="24"/>
        </w:rPr>
        <w:t xml:space="preserve">Noel </w:t>
      </w:r>
      <w:r>
        <w:rPr>
          <w:rFonts w:cs="Arial"/>
          <w:szCs w:val="24"/>
          <w:lang w:val="fr-FR"/>
        </w:rPr>
        <w:t xml:space="preserve">v. </w:t>
      </w:r>
      <w:r>
        <w:rPr>
          <w:rFonts w:cs="Arial"/>
          <w:i/>
          <w:iCs/>
          <w:szCs w:val="24"/>
          <w:lang w:val="fr-FR"/>
        </w:rPr>
        <w:t>Ghevrefils</w:t>
      </w:r>
      <w:r w:rsidR="0080098C">
        <w:rPr>
          <w:rStyle w:val="FootnoteReference"/>
          <w:rFonts w:cs="Arial"/>
          <w:i/>
          <w:iCs/>
          <w:szCs w:val="24"/>
          <w:lang w:val="fr-FR"/>
        </w:rPr>
        <w:footnoteReference w:id="5"/>
      </w:r>
      <w:r>
        <w:rPr>
          <w:rFonts w:cs="Arial"/>
          <w:szCs w:val="24"/>
        </w:rPr>
        <w:t xml:space="preserve">; </w:t>
      </w:r>
      <w:r>
        <w:rPr>
          <w:rFonts w:cs="Arial"/>
          <w:i/>
          <w:iCs/>
          <w:szCs w:val="24"/>
        </w:rPr>
        <w:t xml:space="preserve">Talbot </w:t>
      </w:r>
      <w:r>
        <w:rPr>
          <w:rFonts w:cs="Arial"/>
          <w:i/>
          <w:iCs/>
          <w:szCs w:val="24"/>
          <w:lang w:val="fr-FR"/>
        </w:rPr>
        <w:t>v.</w:t>
      </w:r>
      <w:r>
        <w:rPr>
          <w:rFonts w:cs="Arial"/>
          <w:i/>
          <w:iCs/>
          <w:szCs w:val="24"/>
        </w:rPr>
        <w:t xml:space="preserve"> </w:t>
      </w:r>
      <w:r>
        <w:rPr>
          <w:rFonts w:cs="Arial"/>
          <w:i/>
          <w:iCs/>
          <w:szCs w:val="24"/>
          <w:lang w:val="fr-FR"/>
        </w:rPr>
        <w:t>Guilmartin</w:t>
      </w:r>
      <w:r w:rsidR="0080098C">
        <w:rPr>
          <w:rStyle w:val="FootnoteReference"/>
          <w:rFonts w:cs="Arial"/>
          <w:i/>
          <w:iCs/>
          <w:szCs w:val="24"/>
          <w:lang w:val="fr-FR"/>
        </w:rPr>
        <w:footnoteReference w:id="6"/>
      </w:r>
      <w:r>
        <w:rPr>
          <w:rFonts w:cs="Arial"/>
          <w:szCs w:val="24"/>
          <w:lang w:val="fr-FR"/>
        </w:rPr>
        <w:t>;</w:t>
      </w:r>
      <w:r>
        <w:rPr>
          <w:rFonts w:cs="Arial"/>
          <w:szCs w:val="24"/>
        </w:rPr>
        <w:t xml:space="preserve"> </w:t>
      </w:r>
      <w:r>
        <w:rPr>
          <w:rFonts w:cs="Arial"/>
          <w:i/>
          <w:iCs/>
          <w:szCs w:val="24"/>
          <w:lang w:val="fr-FR"/>
        </w:rPr>
        <w:t xml:space="preserve">Bell </w:t>
      </w:r>
      <w:r>
        <w:rPr>
          <w:rFonts w:cs="Arial"/>
          <w:szCs w:val="24"/>
          <w:lang w:val="fr-FR"/>
        </w:rPr>
        <w:t xml:space="preserve">v. </w:t>
      </w:r>
      <w:r>
        <w:rPr>
          <w:rFonts w:cs="Arial"/>
          <w:i/>
          <w:iCs/>
          <w:szCs w:val="24"/>
          <w:lang w:val="fr-FR"/>
        </w:rPr>
        <w:t>Vipond</w:t>
      </w:r>
      <w:r w:rsidR="0080098C">
        <w:rPr>
          <w:rStyle w:val="FootnoteReference"/>
          <w:rFonts w:cs="Arial"/>
          <w:i/>
          <w:iCs/>
          <w:szCs w:val="24"/>
          <w:lang w:val="fr-FR"/>
        </w:rPr>
        <w:footnoteReference w:id="7"/>
      </w:r>
      <w:r>
        <w:rPr>
          <w:rFonts w:cs="Arial"/>
          <w:szCs w:val="24"/>
        </w:rPr>
        <w:t>;</w:t>
      </w:r>
      <w:r>
        <w:rPr>
          <w:rFonts w:cs="Arial"/>
          <w:i/>
          <w:iCs/>
          <w:szCs w:val="24"/>
        </w:rPr>
        <w:t xml:space="preserve"> </w:t>
      </w:r>
      <w:r>
        <w:rPr>
          <w:rFonts w:cs="Arial"/>
          <w:i/>
          <w:iCs/>
          <w:szCs w:val="24"/>
          <w:lang w:val="fr-FR"/>
        </w:rPr>
        <w:lastRenderedPageBreak/>
        <w:t xml:space="preserve">Donohue </w:t>
      </w:r>
      <w:r>
        <w:rPr>
          <w:rFonts w:cs="Arial"/>
          <w:szCs w:val="24"/>
          <w:lang w:val="fr-FR"/>
        </w:rPr>
        <w:t xml:space="preserve">v. </w:t>
      </w:r>
      <w:r>
        <w:rPr>
          <w:rFonts w:cs="Arial"/>
          <w:i/>
          <w:iCs/>
          <w:szCs w:val="24"/>
          <w:lang w:val="fr-FR"/>
        </w:rPr>
        <w:t>Donohue</w:t>
      </w:r>
      <w:r w:rsidR="0080098C">
        <w:rPr>
          <w:rStyle w:val="FootnoteReference"/>
          <w:rFonts w:cs="Arial"/>
          <w:i/>
          <w:iCs/>
          <w:szCs w:val="24"/>
          <w:lang w:val="fr-FR"/>
        </w:rPr>
        <w:footnoteReference w:id="8"/>
      </w:r>
      <w:r>
        <w:rPr>
          <w:rFonts w:cs="Arial"/>
          <w:szCs w:val="24"/>
        </w:rPr>
        <w:t xml:space="preserve">; </w:t>
      </w:r>
      <w:r>
        <w:rPr>
          <w:rFonts w:cs="Arial"/>
          <w:i/>
          <w:iCs/>
          <w:szCs w:val="24"/>
          <w:lang w:val="fr-FR"/>
        </w:rPr>
        <w:t xml:space="preserve">Winteler </w:t>
      </w:r>
      <w:r>
        <w:rPr>
          <w:rFonts w:cs="Arial"/>
          <w:szCs w:val="24"/>
          <w:lang w:val="fr-FR"/>
        </w:rPr>
        <w:t xml:space="preserve">v. </w:t>
      </w:r>
      <w:r>
        <w:rPr>
          <w:rFonts w:cs="Arial"/>
          <w:i/>
          <w:iCs/>
          <w:szCs w:val="24"/>
          <w:lang w:val="fr-FR"/>
        </w:rPr>
        <w:t>Davidson</w:t>
      </w:r>
      <w:r w:rsidR="0080098C">
        <w:rPr>
          <w:rStyle w:val="FootnoteReference"/>
          <w:rFonts w:cs="Arial"/>
          <w:i/>
          <w:iCs/>
          <w:szCs w:val="24"/>
          <w:lang w:val="fr-FR"/>
        </w:rPr>
        <w:footnoteReference w:id="9"/>
      </w:r>
      <w:r>
        <w:rPr>
          <w:rFonts w:cs="Arial"/>
          <w:szCs w:val="24"/>
        </w:rPr>
        <w:t xml:space="preserve">; </w:t>
      </w:r>
      <w:r>
        <w:rPr>
          <w:rFonts w:cs="Arial"/>
          <w:i/>
          <w:iCs/>
          <w:szCs w:val="24"/>
          <w:lang w:val="fr-FR"/>
        </w:rPr>
        <w:t xml:space="preserve">Tousignant </w:t>
      </w:r>
      <w:r>
        <w:rPr>
          <w:rFonts w:cs="Arial"/>
          <w:szCs w:val="24"/>
        </w:rPr>
        <w:t xml:space="preserve">v. </w:t>
      </w:r>
      <w:r>
        <w:rPr>
          <w:rFonts w:cs="Arial"/>
          <w:i/>
          <w:iCs/>
          <w:szCs w:val="24"/>
        </w:rPr>
        <w:t xml:space="preserve">County of </w:t>
      </w:r>
      <w:r>
        <w:rPr>
          <w:rFonts w:cs="Arial"/>
          <w:i/>
          <w:iCs/>
          <w:szCs w:val="24"/>
          <w:lang w:val="fr-FR"/>
        </w:rPr>
        <w:t>Nicolet</w:t>
      </w:r>
      <w:r w:rsidR="0080098C">
        <w:rPr>
          <w:rStyle w:val="FootnoteReference"/>
          <w:rFonts w:cs="Arial"/>
          <w:i/>
          <w:iCs/>
          <w:szCs w:val="24"/>
          <w:lang w:val="fr-FR"/>
        </w:rPr>
        <w:footnoteReference w:id="10"/>
      </w:r>
      <w:r>
        <w:rPr>
          <w:rFonts w:cs="Arial"/>
          <w:szCs w:val="24"/>
          <w:lang w:val="fr-FR"/>
        </w:rPr>
        <w:t>;</w:t>
      </w:r>
      <w:r>
        <w:rPr>
          <w:rFonts w:cs="Arial"/>
          <w:szCs w:val="24"/>
        </w:rPr>
        <w:t xml:space="preserve"> followed </w:t>
      </w:r>
      <w:r>
        <w:rPr>
          <w:rFonts w:cs="Arial"/>
          <w:szCs w:val="24"/>
          <w:lang w:val="fr-FR"/>
        </w:rPr>
        <w:t xml:space="preserve">in </w:t>
      </w:r>
      <w:r>
        <w:rPr>
          <w:rFonts w:cs="Arial"/>
          <w:i/>
          <w:iCs/>
          <w:szCs w:val="24"/>
          <w:lang w:val="fr-FR"/>
        </w:rPr>
        <w:t xml:space="preserve">Leroux </w:t>
      </w:r>
      <w:r>
        <w:rPr>
          <w:rFonts w:cs="Arial"/>
          <w:szCs w:val="24"/>
        </w:rPr>
        <w:t xml:space="preserve">v. </w:t>
      </w:r>
      <w:r>
        <w:rPr>
          <w:rFonts w:cs="Arial"/>
          <w:i/>
          <w:iCs/>
          <w:szCs w:val="24"/>
        </w:rPr>
        <w:t xml:space="preserve">Parish of </w:t>
      </w:r>
      <w:r>
        <w:rPr>
          <w:rFonts w:cs="Arial"/>
          <w:i/>
          <w:iCs/>
          <w:szCs w:val="24"/>
          <w:lang w:val="fr-FR"/>
        </w:rPr>
        <w:t xml:space="preserve">Ste. </w:t>
      </w:r>
      <w:r>
        <w:rPr>
          <w:rFonts w:cs="Arial"/>
          <w:i/>
          <w:iCs/>
          <w:szCs w:val="24"/>
        </w:rPr>
        <w:t xml:space="preserve">Justine </w:t>
      </w:r>
      <w:r>
        <w:rPr>
          <w:rFonts w:cs="Arial"/>
          <w:i/>
          <w:iCs/>
          <w:szCs w:val="24"/>
          <w:lang w:val="fr-FR"/>
        </w:rPr>
        <w:t xml:space="preserve">de </w:t>
      </w:r>
      <w:r>
        <w:rPr>
          <w:rFonts w:cs="Arial"/>
          <w:i/>
          <w:iCs/>
          <w:szCs w:val="24"/>
        </w:rPr>
        <w:t>Newton</w:t>
      </w:r>
      <w:r w:rsidR="0080098C">
        <w:rPr>
          <w:rStyle w:val="FootnoteReference"/>
          <w:rFonts w:cs="Arial"/>
          <w:i/>
          <w:iCs/>
          <w:szCs w:val="24"/>
        </w:rPr>
        <w:footnoteReference w:id="11"/>
      </w:r>
      <w:r>
        <w:rPr>
          <w:rFonts w:cs="Arial"/>
          <w:szCs w:val="24"/>
        </w:rPr>
        <w:t>.</w:t>
      </w:r>
    </w:p>
    <w:p w:rsidR="00131482" w:rsidRDefault="00131482" w:rsidP="00CA0E51">
      <w:pPr>
        <w:pStyle w:val="Reasons"/>
        <w:rPr>
          <w:rFonts w:cs="Arial"/>
          <w:szCs w:val="24"/>
        </w:rPr>
      </w:pPr>
      <w:r>
        <w:rPr>
          <w:rFonts w:cs="Arial"/>
          <w:szCs w:val="24"/>
        </w:rPr>
        <w:t>It perhaps may be a matter of regret that there should not be an appeal to this court upon all matters under the Winding-up Act, so that there might be a tribunal by which the practice in all the provincial courts should be made uniform. That is, however, a matter for Parliament to deal with and not for us.</w:t>
      </w:r>
    </w:p>
    <w:p w:rsidR="00131482" w:rsidRDefault="00131482" w:rsidP="00CA0E51">
      <w:pPr>
        <w:pStyle w:val="Reasons"/>
        <w:rPr>
          <w:rFonts w:cs="Arial"/>
          <w:szCs w:val="24"/>
        </w:rPr>
      </w:pPr>
      <w:r>
        <w:rPr>
          <w:rFonts w:cs="Arial"/>
          <w:szCs w:val="24"/>
        </w:rPr>
        <w:t>The appeal is quashed without costs.</w:t>
      </w:r>
    </w:p>
    <w:p w:rsidR="00131482" w:rsidRPr="00CA0E51" w:rsidRDefault="00131482" w:rsidP="00CA0E51">
      <w:pPr>
        <w:pStyle w:val="Reasons"/>
        <w:rPr>
          <w:rFonts w:cs="Arial"/>
          <w:szCs w:val="24"/>
        </w:rPr>
      </w:pPr>
      <w:r w:rsidRPr="00CA0E51">
        <w:rPr>
          <w:rFonts w:cs="Arial"/>
          <w:szCs w:val="24"/>
        </w:rPr>
        <w:t>Appeal quashed without costs.</w:t>
      </w:r>
    </w:p>
    <w:p w:rsidR="00131482" w:rsidRDefault="00131482" w:rsidP="00CA0E51">
      <w:pPr>
        <w:pStyle w:val="Sollicitors"/>
        <w:rPr>
          <w:iCs/>
        </w:rPr>
      </w:pPr>
      <w:r>
        <w:t xml:space="preserve">Solicitor for the appellants: </w:t>
      </w:r>
      <w:r>
        <w:rPr>
          <w:iCs/>
        </w:rPr>
        <w:t>A. H. Hanington.</w:t>
      </w:r>
    </w:p>
    <w:p w:rsidR="00131482" w:rsidRDefault="00131482" w:rsidP="00CA0E51">
      <w:pPr>
        <w:pStyle w:val="Sollicitors"/>
        <w:rPr>
          <w:iCs/>
        </w:rPr>
      </w:pPr>
      <w:r>
        <w:t xml:space="preserve">Solicitor for the respondent Cushing: </w:t>
      </w:r>
      <w:r>
        <w:rPr>
          <w:iCs/>
        </w:rPr>
        <w:t>Barnhill, Ewing &amp; Sanford.</w:t>
      </w:r>
    </w:p>
    <w:p w:rsidR="00131482" w:rsidRDefault="00131482" w:rsidP="00CA0E51">
      <w:pPr>
        <w:pStyle w:val="Sollicitors"/>
        <w:rPr>
          <w:iCs/>
        </w:rPr>
      </w:pPr>
      <w:r>
        <w:t xml:space="preserve">Solicitor for the respondents, Liquidators: </w:t>
      </w:r>
      <w:r>
        <w:rPr>
          <w:iCs/>
        </w:rPr>
        <w:t>J. Douglas Hazen.</w:t>
      </w:r>
    </w:p>
    <w:sectPr w:rsidR="00131482" w:rsidSect="00532D5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759" w:rsidRDefault="00936759" w:rsidP="00532D55">
      <w:r>
        <w:separator/>
      </w:r>
    </w:p>
  </w:endnote>
  <w:endnote w:type="continuationSeparator" w:id="1">
    <w:p w:rsidR="00936759" w:rsidRDefault="00936759" w:rsidP="00532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5" w:rsidRDefault="00532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5" w:rsidRDefault="00532D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5" w:rsidRDefault="00532D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759" w:rsidRDefault="00936759" w:rsidP="00532D55">
      <w:r>
        <w:separator/>
      </w:r>
    </w:p>
  </w:footnote>
  <w:footnote w:type="continuationSeparator" w:id="1">
    <w:p w:rsidR="00936759" w:rsidRDefault="00936759" w:rsidP="00532D55">
      <w:r>
        <w:continuationSeparator/>
      </w:r>
    </w:p>
  </w:footnote>
  <w:footnote w:id="2">
    <w:p w:rsidR="0080098C" w:rsidRPr="0080098C" w:rsidRDefault="0080098C">
      <w:pPr>
        <w:pStyle w:val="FootnoteText"/>
        <w:rPr>
          <w:lang w:val="en-US"/>
        </w:rPr>
      </w:pPr>
      <w:r>
        <w:rPr>
          <w:rStyle w:val="FootnoteReference"/>
        </w:rPr>
        <w:footnoteRef/>
      </w:r>
      <w:r>
        <w:t xml:space="preserve"> </w:t>
      </w:r>
      <w:r>
        <w:rPr>
          <w:rFonts w:cs="Arial"/>
          <w:szCs w:val="24"/>
        </w:rPr>
        <w:t>24 Can. S.C.R. 716.</w:t>
      </w:r>
    </w:p>
  </w:footnote>
  <w:footnote w:id="3">
    <w:p w:rsidR="0080098C" w:rsidRPr="0080098C" w:rsidRDefault="0080098C">
      <w:pPr>
        <w:pStyle w:val="FootnoteText"/>
        <w:rPr>
          <w:lang w:val="en-US"/>
        </w:rPr>
      </w:pPr>
      <w:r>
        <w:rPr>
          <w:rStyle w:val="FootnoteReference"/>
        </w:rPr>
        <w:footnoteRef/>
      </w:r>
      <w:r>
        <w:t xml:space="preserve"> </w:t>
      </w:r>
      <w:r>
        <w:rPr>
          <w:rFonts w:cs="Arial"/>
          <w:szCs w:val="24"/>
        </w:rPr>
        <w:t>24 Can. S.C.R. 661.</w:t>
      </w:r>
    </w:p>
  </w:footnote>
  <w:footnote w:id="4">
    <w:p w:rsidR="0080098C" w:rsidRPr="0080098C" w:rsidRDefault="0080098C">
      <w:pPr>
        <w:pStyle w:val="FootnoteText"/>
        <w:rPr>
          <w:lang w:val="en-US"/>
        </w:rPr>
      </w:pPr>
      <w:r>
        <w:rPr>
          <w:rStyle w:val="FootnoteReference"/>
        </w:rPr>
        <w:footnoteRef/>
      </w:r>
      <w:r>
        <w:t xml:space="preserve"> </w:t>
      </w:r>
      <w:r>
        <w:rPr>
          <w:rFonts w:cs="Arial"/>
          <w:szCs w:val="24"/>
        </w:rPr>
        <w:t>26 Can. S.C.R. 200.</w:t>
      </w:r>
    </w:p>
  </w:footnote>
  <w:footnote w:id="5">
    <w:p w:rsidR="0080098C" w:rsidRPr="0080098C" w:rsidRDefault="0080098C">
      <w:pPr>
        <w:pStyle w:val="FootnoteText"/>
        <w:rPr>
          <w:lang w:val="en-US"/>
        </w:rPr>
      </w:pPr>
      <w:r>
        <w:rPr>
          <w:rStyle w:val="FootnoteReference"/>
        </w:rPr>
        <w:footnoteRef/>
      </w:r>
      <w:r>
        <w:t xml:space="preserve"> </w:t>
      </w:r>
      <w:r>
        <w:rPr>
          <w:rFonts w:cs="Arial"/>
          <w:szCs w:val="24"/>
        </w:rPr>
        <w:t>30 Can. S.C.R. 327.</w:t>
      </w:r>
    </w:p>
  </w:footnote>
  <w:footnote w:id="6">
    <w:p w:rsidR="0080098C" w:rsidRPr="0080098C" w:rsidRDefault="0080098C">
      <w:pPr>
        <w:pStyle w:val="FootnoteText"/>
        <w:rPr>
          <w:lang w:val="en-US"/>
        </w:rPr>
      </w:pPr>
      <w:r>
        <w:rPr>
          <w:rStyle w:val="FootnoteReference"/>
        </w:rPr>
        <w:footnoteRef/>
      </w:r>
      <w:r>
        <w:t xml:space="preserve"> </w:t>
      </w:r>
      <w:r>
        <w:rPr>
          <w:rFonts w:cs="Arial"/>
          <w:szCs w:val="24"/>
        </w:rPr>
        <w:t>30 Can. S.C.R. 482.</w:t>
      </w:r>
    </w:p>
  </w:footnote>
  <w:footnote w:id="7">
    <w:p w:rsidR="0080098C" w:rsidRPr="0080098C" w:rsidRDefault="0080098C">
      <w:pPr>
        <w:pStyle w:val="FootnoteText"/>
        <w:rPr>
          <w:lang w:val="en-US"/>
        </w:rPr>
      </w:pPr>
      <w:r>
        <w:rPr>
          <w:rStyle w:val="FootnoteReference"/>
        </w:rPr>
        <w:footnoteRef/>
      </w:r>
      <w:r>
        <w:t xml:space="preserve"> </w:t>
      </w:r>
      <w:r>
        <w:rPr>
          <w:rFonts w:cs="Arial"/>
          <w:szCs w:val="24"/>
        </w:rPr>
        <w:t>31 Can. S.C.R. 175.</w:t>
      </w:r>
    </w:p>
  </w:footnote>
  <w:footnote w:id="8">
    <w:p w:rsidR="0080098C" w:rsidRPr="0080098C" w:rsidRDefault="0080098C">
      <w:pPr>
        <w:pStyle w:val="FootnoteText"/>
        <w:rPr>
          <w:lang w:val="en-US"/>
        </w:rPr>
      </w:pPr>
      <w:r>
        <w:rPr>
          <w:rStyle w:val="FootnoteReference"/>
        </w:rPr>
        <w:footnoteRef/>
      </w:r>
      <w:r>
        <w:t xml:space="preserve"> </w:t>
      </w:r>
      <w:r>
        <w:rPr>
          <w:rFonts w:cs="Arial"/>
          <w:szCs w:val="24"/>
        </w:rPr>
        <w:t>33 Can. s.c.R. 134.</w:t>
      </w:r>
    </w:p>
  </w:footnote>
  <w:footnote w:id="9">
    <w:p w:rsidR="0080098C" w:rsidRPr="0080098C" w:rsidRDefault="0080098C">
      <w:pPr>
        <w:pStyle w:val="FootnoteText"/>
        <w:rPr>
          <w:lang w:val="en-US"/>
        </w:rPr>
      </w:pPr>
      <w:r>
        <w:rPr>
          <w:rStyle w:val="FootnoteReference"/>
        </w:rPr>
        <w:footnoteRef/>
      </w:r>
      <w:r>
        <w:t xml:space="preserve"> </w:t>
      </w:r>
      <w:r>
        <w:rPr>
          <w:rFonts w:cs="Arial"/>
          <w:szCs w:val="24"/>
        </w:rPr>
        <w:t>34 Can. S.C.R. 274.</w:t>
      </w:r>
    </w:p>
  </w:footnote>
  <w:footnote w:id="10">
    <w:p w:rsidR="0080098C" w:rsidRPr="0080098C" w:rsidRDefault="0080098C">
      <w:pPr>
        <w:pStyle w:val="FootnoteText"/>
        <w:rPr>
          <w:lang w:val="en-US"/>
        </w:rPr>
      </w:pPr>
      <w:r>
        <w:rPr>
          <w:rStyle w:val="FootnoteReference"/>
        </w:rPr>
        <w:footnoteRef/>
      </w:r>
      <w:r>
        <w:t xml:space="preserve"> </w:t>
      </w:r>
      <w:r>
        <w:rPr>
          <w:rFonts w:cs="Arial"/>
          <w:szCs w:val="24"/>
        </w:rPr>
        <w:t>32 Can. S.C.R. 353.</w:t>
      </w:r>
    </w:p>
  </w:footnote>
  <w:footnote w:id="11">
    <w:p w:rsidR="0080098C" w:rsidRPr="0080098C" w:rsidRDefault="0080098C">
      <w:pPr>
        <w:pStyle w:val="FootnoteText"/>
        <w:rPr>
          <w:lang w:val="en-US"/>
        </w:rPr>
      </w:pPr>
      <w:r>
        <w:rPr>
          <w:rStyle w:val="FootnoteReference"/>
        </w:rPr>
        <w:footnoteRef/>
      </w:r>
      <w:r>
        <w:t xml:space="preserve"> </w:t>
      </w:r>
      <w:r>
        <w:rPr>
          <w:rFonts w:cs="Arial"/>
          <w:szCs w:val="24"/>
        </w:rPr>
        <w:t>37 Can. S.C.R. 321.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5" w:rsidRDefault="00532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5" w:rsidRDefault="00532D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5" w:rsidRDefault="00532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4A1328">
      <w:start w:val="1"/>
      <w:numFmt w:val="decimal"/>
      <w:pStyle w:val="ParagNum"/>
      <w:lvlText w:val="[%1]"/>
      <w:lvlJc w:val="left"/>
      <w:pPr>
        <w:tabs>
          <w:tab w:val="num" w:pos="369"/>
        </w:tabs>
        <w:ind w:left="369" w:hanging="369"/>
      </w:pPr>
    </w:lvl>
    <w:lvl w:ilvl="1" w:tplc="2E3E776C" w:tentative="1">
      <w:start w:val="1"/>
      <w:numFmt w:val="lowerLetter"/>
      <w:lvlText w:val="%2."/>
      <w:lvlJc w:val="left"/>
      <w:pPr>
        <w:tabs>
          <w:tab w:val="num" w:pos="1440"/>
        </w:tabs>
        <w:ind w:left="1440" w:hanging="360"/>
      </w:pPr>
    </w:lvl>
    <w:lvl w:ilvl="2" w:tplc="D6C0054E" w:tentative="1">
      <w:start w:val="1"/>
      <w:numFmt w:val="lowerRoman"/>
      <w:lvlText w:val="%3."/>
      <w:lvlJc w:val="right"/>
      <w:pPr>
        <w:tabs>
          <w:tab w:val="num" w:pos="2160"/>
        </w:tabs>
        <w:ind w:left="2160" w:hanging="180"/>
      </w:pPr>
    </w:lvl>
    <w:lvl w:ilvl="3" w:tplc="02DAE84E" w:tentative="1">
      <w:start w:val="1"/>
      <w:numFmt w:val="decimal"/>
      <w:lvlText w:val="%4."/>
      <w:lvlJc w:val="left"/>
      <w:pPr>
        <w:tabs>
          <w:tab w:val="num" w:pos="2880"/>
        </w:tabs>
        <w:ind w:left="2880" w:hanging="360"/>
      </w:pPr>
    </w:lvl>
    <w:lvl w:ilvl="4" w:tplc="82A67A68" w:tentative="1">
      <w:start w:val="1"/>
      <w:numFmt w:val="lowerLetter"/>
      <w:lvlText w:val="%5."/>
      <w:lvlJc w:val="left"/>
      <w:pPr>
        <w:tabs>
          <w:tab w:val="num" w:pos="3600"/>
        </w:tabs>
        <w:ind w:left="3600" w:hanging="360"/>
      </w:pPr>
    </w:lvl>
    <w:lvl w:ilvl="5" w:tplc="493E60A8" w:tentative="1">
      <w:start w:val="1"/>
      <w:numFmt w:val="lowerRoman"/>
      <w:lvlText w:val="%6."/>
      <w:lvlJc w:val="right"/>
      <w:pPr>
        <w:tabs>
          <w:tab w:val="num" w:pos="4320"/>
        </w:tabs>
        <w:ind w:left="4320" w:hanging="180"/>
      </w:pPr>
    </w:lvl>
    <w:lvl w:ilvl="6" w:tplc="630C3A7A" w:tentative="1">
      <w:start w:val="1"/>
      <w:numFmt w:val="decimal"/>
      <w:lvlText w:val="%7."/>
      <w:lvlJc w:val="left"/>
      <w:pPr>
        <w:tabs>
          <w:tab w:val="num" w:pos="5040"/>
        </w:tabs>
        <w:ind w:left="5040" w:hanging="360"/>
      </w:pPr>
    </w:lvl>
    <w:lvl w:ilvl="7" w:tplc="AA120E96" w:tentative="1">
      <w:start w:val="1"/>
      <w:numFmt w:val="lowerLetter"/>
      <w:lvlText w:val="%8."/>
      <w:lvlJc w:val="left"/>
      <w:pPr>
        <w:tabs>
          <w:tab w:val="num" w:pos="5760"/>
        </w:tabs>
        <w:ind w:left="5760" w:hanging="360"/>
      </w:pPr>
    </w:lvl>
    <w:lvl w:ilvl="8" w:tplc="F08A9B5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1482"/>
    <w:rsid w:val="00013FDA"/>
    <w:rsid w:val="000173FB"/>
    <w:rsid w:val="000655EC"/>
    <w:rsid w:val="00077D2F"/>
    <w:rsid w:val="0008547A"/>
    <w:rsid w:val="000B6688"/>
    <w:rsid w:val="000C3415"/>
    <w:rsid w:val="001044CB"/>
    <w:rsid w:val="00121409"/>
    <w:rsid w:val="00125F0C"/>
    <w:rsid w:val="00126A8E"/>
    <w:rsid w:val="00131482"/>
    <w:rsid w:val="001837F3"/>
    <w:rsid w:val="001D0D42"/>
    <w:rsid w:val="001D35B6"/>
    <w:rsid w:val="001D5C4A"/>
    <w:rsid w:val="001F6A76"/>
    <w:rsid w:val="00216790"/>
    <w:rsid w:val="002209AC"/>
    <w:rsid w:val="002428EB"/>
    <w:rsid w:val="00286646"/>
    <w:rsid w:val="002A74DD"/>
    <w:rsid w:val="002B30C5"/>
    <w:rsid w:val="002C186C"/>
    <w:rsid w:val="002D5E01"/>
    <w:rsid w:val="002F4F64"/>
    <w:rsid w:val="002F7D00"/>
    <w:rsid w:val="003441FB"/>
    <w:rsid w:val="00361108"/>
    <w:rsid w:val="003824D9"/>
    <w:rsid w:val="003E5AF5"/>
    <w:rsid w:val="003F602F"/>
    <w:rsid w:val="004277EE"/>
    <w:rsid w:val="0043543D"/>
    <w:rsid w:val="00442713"/>
    <w:rsid w:val="00457BC5"/>
    <w:rsid w:val="00463F5F"/>
    <w:rsid w:val="00471133"/>
    <w:rsid w:val="00482CDC"/>
    <w:rsid w:val="004C7ED4"/>
    <w:rsid w:val="00511D93"/>
    <w:rsid w:val="00514003"/>
    <w:rsid w:val="00532D55"/>
    <w:rsid w:val="00537980"/>
    <w:rsid w:val="00563767"/>
    <w:rsid w:val="005667DA"/>
    <w:rsid w:val="00593C8B"/>
    <w:rsid w:val="00634B39"/>
    <w:rsid w:val="00644967"/>
    <w:rsid w:val="006534E7"/>
    <w:rsid w:val="006A5795"/>
    <w:rsid w:val="006D2BED"/>
    <w:rsid w:val="006D6F42"/>
    <w:rsid w:val="006E5FEA"/>
    <w:rsid w:val="00747F2C"/>
    <w:rsid w:val="00751F7D"/>
    <w:rsid w:val="007969C4"/>
    <w:rsid w:val="007B3A90"/>
    <w:rsid w:val="007D6DD5"/>
    <w:rsid w:val="0080098C"/>
    <w:rsid w:val="008027F3"/>
    <w:rsid w:val="008433A9"/>
    <w:rsid w:val="008550EF"/>
    <w:rsid w:val="00872F75"/>
    <w:rsid w:val="00880FBB"/>
    <w:rsid w:val="008B0B7A"/>
    <w:rsid w:val="00926406"/>
    <w:rsid w:val="00936759"/>
    <w:rsid w:val="009469EE"/>
    <w:rsid w:val="009A7B1B"/>
    <w:rsid w:val="009D37B6"/>
    <w:rsid w:val="009E64DC"/>
    <w:rsid w:val="00A42830"/>
    <w:rsid w:val="00A4371F"/>
    <w:rsid w:val="00A54E5B"/>
    <w:rsid w:val="00A61128"/>
    <w:rsid w:val="00A94C52"/>
    <w:rsid w:val="00AB09B8"/>
    <w:rsid w:val="00AB551D"/>
    <w:rsid w:val="00B007EC"/>
    <w:rsid w:val="00B177F7"/>
    <w:rsid w:val="00B41B49"/>
    <w:rsid w:val="00B532F0"/>
    <w:rsid w:val="00B639A4"/>
    <w:rsid w:val="00B772A6"/>
    <w:rsid w:val="00BC4595"/>
    <w:rsid w:val="00C372DF"/>
    <w:rsid w:val="00C45FBD"/>
    <w:rsid w:val="00C54EB9"/>
    <w:rsid w:val="00C7016B"/>
    <w:rsid w:val="00C870D8"/>
    <w:rsid w:val="00C93FA5"/>
    <w:rsid w:val="00CA0E51"/>
    <w:rsid w:val="00CB726B"/>
    <w:rsid w:val="00CC50DD"/>
    <w:rsid w:val="00CD1289"/>
    <w:rsid w:val="00CD1F09"/>
    <w:rsid w:val="00CD50FC"/>
    <w:rsid w:val="00CE2A11"/>
    <w:rsid w:val="00CF1E48"/>
    <w:rsid w:val="00D00550"/>
    <w:rsid w:val="00D306D2"/>
    <w:rsid w:val="00D45866"/>
    <w:rsid w:val="00D63BB8"/>
    <w:rsid w:val="00D9036C"/>
    <w:rsid w:val="00DC4119"/>
    <w:rsid w:val="00DE30DC"/>
    <w:rsid w:val="00E1124B"/>
    <w:rsid w:val="00E114A9"/>
    <w:rsid w:val="00E117BD"/>
    <w:rsid w:val="00E12888"/>
    <w:rsid w:val="00E30F5A"/>
    <w:rsid w:val="00E40016"/>
    <w:rsid w:val="00E407E4"/>
    <w:rsid w:val="00E43349"/>
    <w:rsid w:val="00E51D18"/>
    <w:rsid w:val="00E86DF4"/>
    <w:rsid w:val="00E86E9F"/>
    <w:rsid w:val="00E87E2F"/>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288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1288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1288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12888"/>
  </w:style>
  <w:style w:type="paragraph" w:styleId="Header">
    <w:name w:val="header"/>
    <w:basedOn w:val="Normal"/>
    <w:link w:val="HeaderChar"/>
    <w:uiPriority w:val="99"/>
    <w:unhideWhenUsed/>
    <w:rsid w:val="00E12888"/>
    <w:pPr>
      <w:tabs>
        <w:tab w:val="center" w:pos="4680"/>
        <w:tab w:val="right" w:pos="9360"/>
      </w:tabs>
    </w:pPr>
    <w:rPr>
      <w:rFonts w:ascii="Times New Roman" w:hAnsi="Times New Roman"/>
    </w:rPr>
  </w:style>
  <w:style w:type="character" w:customStyle="1" w:styleId="HeaderChar">
    <w:name w:val="Header Char"/>
    <w:link w:val="Header"/>
    <w:uiPriority w:val="99"/>
    <w:rsid w:val="00E1288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12888"/>
    <w:pPr>
      <w:tabs>
        <w:tab w:val="center" w:pos="4680"/>
        <w:tab w:val="right" w:pos="9360"/>
      </w:tabs>
    </w:pPr>
    <w:rPr>
      <w:rFonts w:ascii="Times New Roman" w:hAnsi="Times New Roman"/>
    </w:rPr>
  </w:style>
  <w:style w:type="character" w:customStyle="1" w:styleId="FooterChar">
    <w:name w:val="Footer Char"/>
    <w:link w:val="Footer"/>
    <w:uiPriority w:val="99"/>
    <w:rsid w:val="00E1288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63BB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12888"/>
    <w:pPr>
      <w:spacing w:before="100" w:beforeAutospacing="1"/>
      <w:ind w:left="567"/>
      <w:jc w:val="both"/>
    </w:pPr>
  </w:style>
  <w:style w:type="paragraph" w:customStyle="1" w:styleId="Metadata">
    <w:name w:val="Metadata"/>
    <w:basedOn w:val="Normal"/>
    <w:rsid w:val="00E12888"/>
    <w:pPr>
      <w:spacing w:before="100" w:beforeAutospacing="1" w:after="100" w:afterAutospacing="1"/>
    </w:pPr>
    <w:rPr>
      <w:rFonts w:cs="Arial"/>
      <w:szCs w:val="24"/>
    </w:rPr>
  </w:style>
  <w:style w:type="paragraph" w:customStyle="1" w:styleId="Page">
    <w:name w:val="Page"/>
    <w:basedOn w:val="Normal"/>
    <w:link w:val="PageChar"/>
    <w:rsid w:val="00E12888"/>
    <w:pPr>
      <w:spacing w:before="100" w:beforeAutospacing="1" w:after="100" w:afterAutospacing="1"/>
    </w:pPr>
    <w:rPr>
      <w:i/>
    </w:rPr>
  </w:style>
  <w:style w:type="paragraph" w:styleId="FootnoteText">
    <w:name w:val="footnote text"/>
    <w:basedOn w:val="Normal"/>
    <w:link w:val="FootnoteTextChar"/>
    <w:autoRedefine/>
    <w:semiHidden/>
    <w:rsid w:val="00E12888"/>
    <w:rPr>
      <w:sz w:val="16"/>
      <w:szCs w:val="20"/>
    </w:rPr>
  </w:style>
  <w:style w:type="character" w:customStyle="1" w:styleId="FootnoteTextChar">
    <w:name w:val="Footnote Text Char"/>
    <w:link w:val="FootnoteText"/>
    <w:semiHidden/>
    <w:rsid w:val="00E12888"/>
    <w:rPr>
      <w:rFonts w:ascii="Arial" w:eastAsia="MS Mincho" w:hAnsi="Arial" w:cs="Times New Roman"/>
      <w:sz w:val="16"/>
      <w:szCs w:val="20"/>
      <w:lang w:val="en-CA" w:eastAsia="ja-JP"/>
    </w:rPr>
  </w:style>
  <w:style w:type="character" w:styleId="FootnoteReference">
    <w:name w:val="footnote reference"/>
    <w:semiHidden/>
    <w:rsid w:val="00E12888"/>
    <w:rPr>
      <w:vertAlign w:val="superscript"/>
    </w:rPr>
  </w:style>
  <w:style w:type="paragraph" w:customStyle="1" w:styleId="ParagNum">
    <w:name w:val="ParagNum"/>
    <w:basedOn w:val="Normal"/>
    <w:rsid w:val="00E1288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12888"/>
    <w:pPr>
      <w:spacing w:before="100" w:beforeAutospacing="1" w:after="100" w:afterAutospacing="1" w:line="360" w:lineRule="auto"/>
    </w:pPr>
  </w:style>
  <w:style w:type="paragraph" w:customStyle="1" w:styleId="Indent2">
    <w:name w:val="Indent 2"/>
    <w:basedOn w:val="Indent1"/>
    <w:rsid w:val="00E12888"/>
    <w:pPr>
      <w:ind w:left="1134"/>
    </w:pPr>
  </w:style>
  <w:style w:type="paragraph" w:customStyle="1" w:styleId="Indent3">
    <w:name w:val="Indent 3"/>
    <w:basedOn w:val="Indent1"/>
    <w:rsid w:val="00E12888"/>
    <w:pPr>
      <w:ind w:left="1701"/>
    </w:pPr>
  </w:style>
  <w:style w:type="paragraph" w:customStyle="1" w:styleId="Indent4">
    <w:name w:val="Indent 4"/>
    <w:basedOn w:val="Indent1"/>
    <w:rsid w:val="00E12888"/>
    <w:pPr>
      <w:ind w:left="2268"/>
    </w:pPr>
  </w:style>
  <w:style w:type="paragraph" w:customStyle="1" w:styleId="Indent10">
    <w:name w:val="Indent1"/>
    <w:basedOn w:val="Reasons"/>
    <w:rsid w:val="00E12888"/>
    <w:pPr>
      <w:ind w:left="567"/>
    </w:pPr>
  </w:style>
  <w:style w:type="paragraph" w:customStyle="1" w:styleId="Indent20">
    <w:name w:val="Indent2"/>
    <w:basedOn w:val="Indent10"/>
    <w:rsid w:val="00E12888"/>
    <w:pPr>
      <w:ind w:left="1134"/>
    </w:pPr>
  </w:style>
  <w:style w:type="paragraph" w:customStyle="1" w:styleId="Indent30">
    <w:name w:val="Indent3"/>
    <w:basedOn w:val="Indent10"/>
    <w:rsid w:val="00E12888"/>
    <w:pPr>
      <w:ind w:left="1701"/>
    </w:pPr>
  </w:style>
  <w:style w:type="paragraph" w:customStyle="1" w:styleId="Indent40">
    <w:name w:val="Indent4"/>
    <w:basedOn w:val="Indent10"/>
    <w:rsid w:val="00E12888"/>
    <w:pPr>
      <w:ind w:left="2268"/>
    </w:pPr>
  </w:style>
  <w:style w:type="paragraph" w:customStyle="1" w:styleId="Keywords">
    <w:name w:val="Keywords"/>
    <w:basedOn w:val="Normal"/>
    <w:rsid w:val="00E12888"/>
    <w:pPr>
      <w:spacing w:before="100" w:beforeAutospacing="1" w:after="100" w:afterAutospacing="1"/>
    </w:pPr>
    <w:rPr>
      <w:rFonts w:cs="Arial"/>
      <w:i/>
      <w:szCs w:val="24"/>
    </w:rPr>
  </w:style>
  <w:style w:type="paragraph" w:customStyle="1" w:styleId="Summary">
    <w:name w:val="Summary"/>
    <w:basedOn w:val="Normal"/>
    <w:autoRedefine/>
    <w:rsid w:val="00E12888"/>
    <w:pPr>
      <w:spacing w:before="100" w:beforeAutospacing="1" w:after="100" w:afterAutospacing="1"/>
      <w:ind w:left="562" w:hanging="562"/>
    </w:pPr>
    <w:rPr>
      <w:rFonts w:cs="Arial"/>
    </w:rPr>
  </w:style>
  <w:style w:type="paragraph" w:customStyle="1" w:styleId="History">
    <w:name w:val="History"/>
    <w:basedOn w:val="Normal"/>
    <w:rsid w:val="00E12888"/>
    <w:pPr>
      <w:spacing w:before="100" w:beforeAutospacing="1" w:after="100" w:afterAutospacing="1"/>
      <w:ind w:firstLine="567"/>
    </w:pPr>
  </w:style>
  <w:style w:type="paragraph" w:customStyle="1" w:styleId="T1">
    <w:name w:val="T1"/>
    <w:basedOn w:val="Normal"/>
    <w:rsid w:val="00E12888"/>
    <w:pPr>
      <w:spacing w:before="240" w:after="100" w:afterAutospacing="1"/>
    </w:pPr>
    <w:rPr>
      <w:b/>
    </w:rPr>
  </w:style>
  <w:style w:type="paragraph" w:customStyle="1" w:styleId="T2">
    <w:name w:val="T2"/>
    <w:basedOn w:val="Normal"/>
    <w:rsid w:val="00E12888"/>
    <w:pPr>
      <w:spacing w:before="240" w:after="100" w:afterAutospacing="1"/>
    </w:pPr>
  </w:style>
  <w:style w:type="paragraph" w:customStyle="1" w:styleId="Sollicitors">
    <w:name w:val="Sollicitors"/>
    <w:basedOn w:val="Normal"/>
    <w:rsid w:val="00E12888"/>
    <w:pPr>
      <w:spacing w:before="100" w:beforeAutospacing="1" w:after="100" w:afterAutospacing="1"/>
    </w:pPr>
    <w:rPr>
      <w:i/>
    </w:rPr>
  </w:style>
  <w:style w:type="paragraph" w:customStyle="1" w:styleId="Court">
    <w:name w:val="Court"/>
    <w:basedOn w:val="Normal"/>
    <w:rsid w:val="00E12888"/>
    <w:rPr>
      <w:rFonts w:cs="Arial"/>
      <w:b/>
      <w:szCs w:val="24"/>
    </w:rPr>
  </w:style>
  <w:style w:type="character" w:customStyle="1" w:styleId="PageChar">
    <w:name w:val="Page Char"/>
    <w:link w:val="Page"/>
    <w:rsid w:val="00E12888"/>
    <w:rPr>
      <w:rFonts w:ascii="Arial" w:eastAsia="MS Mincho" w:hAnsi="Arial" w:cs="Times New Roman"/>
      <w:i/>
      <w:sz w:val="24"/>
      <w:szCs w:val="28"/>
      <w:lang w:val="en-CA" w:eastAsia="ja-JP"/>
    </w:rPr>
  </w:style>
  <w:style w:type="character" w:customStyle="1" w:styleId="ReasonsCar">
    <w:name w:val="Reasons Car"/>
    <w:link w:val="Reasons"/>
    <w:rsid w:val="00E12888"/>
    <w:rPr>
      <w:rFonts w:ascii="Arial" w:eastAsia="MS Mincho" w:hAnsi="Arial" w:cs="Times New Roman"/>
      <w:sz w:val="24"/>
      <w:szCs w:val="28"/>
      <w:lang w:val="en-CA" w:eastAsia="ja-JP"/>
    </w:rPr>
  </w:style>
  <w:style w:type="paragraph" w:customStyle="1" w:styleId="CitationLine">
    <w:name w:val="CitationLine"/>
    <w:basedOn w:val="Court"/>
    <w:rsid w:val="00E12888"/>
  </w:style>
  <w:style w:type="paragraph" w:customStyle="1" w:styleId="DateISO">
    <w:name w:val="DateISO"/>
    <w:basedOn w:val="Court"/>
    <w:rsid w:val="00E128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3</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2015-03-22T10:40:00Z</dcterms:created>
  <dcterms:modified xsi:type="dcterms:W3CDTF">2015-03-23T10:30:00Z</dcterms:modified>
</cp:coreProperties>
</file>