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2D" w:rsidRDefault="00560D2D" w:rsidP="00560D2D">
      <w:pPr>
        <w:pStyle w:val="Court"/>
      </w:pPr>
      <w:r>
        <w:t>Supreme Court of Canada</w:t>
      </w:r>
    </w:p>
    <w:p w:rsidR="00560D2D" w:rsidRDefault="00560D2D" w:rsidP="00560D2D">
      <w:pPr>
        <w:pStyle w:val="CitationLine"/>
      </w:pPr>
      <w:r w:rsidRPr="00560D2D">
        <w:t xml:space="preserve">Canadian Breweries Co. </w:t>
      </w:r>
      <w:r w:rsidRPr="00560D2D">
        <w:rPr>
          <w:i/>
          <w:iCs/>
        </w:rPr>
        <w:t xml:space="preserve">v. </w:t>
      </w:r>
      <w:r w:rsidRPr="00560D2D">
        <w:t>Gariépy</w:t>
      </w:r>
      <w:r>
        <w:t xml:space="preserve"> (190</w:t>
      </w:r>
      <w:r w:rsidR="00EC24E4">
        <w:t>7</w:t>
      </w:r>
      <w:r>
        <w:t>) 38 SCR 236</w:t>
      </w:r>
    </w:p>
    <w:p w:rsidR="00560D2D" w:rsidRDefault="00560D2D" w:rsidP="00560D2D">
      <w:pPr>
        <w:pStyle w:val="DateISO"/>
      </w:pPr>
      <w:r>
        <w:t>Date: 1907-02-21</w:t>
      </w:r>
    </w:p>
    <w:p w:rsidR="0035118E" w:rsidRPr="00560D2D" w:rsidRDefault="00560D2D" w:rsidP="00560D2D">
      <w:pPr>
        <w:pStyle w:val="Metadata"/>
      </w:pPr>
      <w:r w:rsidRPr="00560D2D">
        <w:t>The Canadian Breweries Company (Opposants)</w:t>
      </w:r>
    </w:p>
    <w:p w:rsidR="0035118E" w:rsidRPr="00560D2D" w:rsidRDefault="00560D2D" w:rsidP="00560D2D">
      <w:pPr>
        <w:pStyle w:val="Metadata"/>
      </w:pPr>
      <w:r w:rsidRPr="00560D2D">
        <w:t>Appellants;</w:t>
      </w:r>
    </w:p>
    <w:p w:rsidR="0035118E" w:rsidRPr="00560D2D" w:rsidRDefault="00560D2D" w:rsidP="00560D2D">
      <w:pPr>
        <w:pStyle w:val="Metadata"/>
      </w:pPr>
      <w:r w:rsidRPr="00560D2D">
        <w:t>And</w:t>
      </w:r>
    </w:p>
    <w:p w:rsidR="0035118E" w:rsidRPr="00560D2D" w:rsidRDefault="00560D2D" w:rsidP="00560D2D">
      <w:pPr>
        <w:pStyle w:val="Metadata"/>
      </w:pPr>
      <w:r w:rsidRPr="00560D2D">
        <w:t>On</w:t>
      </w:r>
      <w:r w:rsidRPr="00560D2D">
        <w:rPr>
          <w:lang w:val="es-ES_tradnl"/>
        </w:rPr>
        <w:t>é</w:t>
      </w:r>
      <w:r w:rsidRPr="00560D2D">
        <w:t xml:space="preserve">sime </w:t>
      </w:r>
      <w:r w:rsidRPr="00560D2D">
        <w:rPr>
          <w:lang w:val="es-ES_tradnl"/>
        </w:rPr>
        <w:t xml:space="preserve">Gariépy </w:t>
      </w:r>
      <w:r w:rsidRPr="00560D2D">
        <w:t>(Petitioner)</w:t>
      </w:r>
    </w:p>
    <w:p w:rsidR="0035118E" w:rsidRPr="00560D2D" w:rsidRDefault="00560D2D" w:rsidP="00560D2D">
      <w:pPr>
        <w:pStyle w:val="Metadata"/>
      </w:pPr>
      <w:r w:rsidRPr="00560D2D">
        <w:t>Respondent.</w:t>
      </w:r>
    </w:p>
    <w:p w:rsidR="00560D2D" w:rsidRDefault="00560D2D" w:rsidP="00560D2D">
      <w:pPr>
        <w:pStyle w:val="Metadata"/>
      </w:pPr>
      <w:r>
        <w:t>1907: Feb. 19; 1907: Feb. 21.</w:t>
      </w:r>
    </w:p>
    <w:p w:rsidR="00560D2D" w:rsidRDefault="00560D2D" w:rsidP="00560D2D">
      <w:pPr>
        <w:pStyle w:val="Metadata"/>
      </w:pPr>
      <w:r w:rsidRPr="00560D2D">
        <w:t>Present</w:t>
      </w:r>
      <w:r>
        <w:t>:—Fitzpatrick C.J. and Girouard, Davies, Idington, Maclennan and Duff JJ.</w:t>
      </w:r>
    </w:p>
    <w:p w:rsidR="0035118E" w:rsidRDefault="0035118E" w:rsidP="00560D2D">
      <w:pPr>
        <w:pStyle w:val="Metadata"/>
      </w:pPr>
      <w:r>
        <w:t>ON APPEAL FROM THE COURT OF KING'S BENCH, APPEAL SIDE, PROVINCE OF QUEBEC.</w:t>
      </w:r>
    </w:p>
    <w:p w:rsidR="0035118E" w:rsidRDefault="0035118E" w:rsidP="00560D2D">
      <w:pPr>
        <w:pStyle w:val="Keywords"/>
      </w:pPr>
      <w:r>
        <w:t>Vacating judgment—Appeal—Jurisdiction—Matter in controversy— Tierce opposition—Arts. 1185-1188 C.P.Q.—R.S.C. c. 135, s. 29.</w:t>
      </w:r>
    </w:p>
    <w:p w:rsidR="0035118E" w:rsidRDefault="0035118E" w:rsidP="00560D2D">
      <w:pPr>
        <w:pStyle w:val="Summary"/>
      </w:pPr>
      <w:r>
        <w:t xml:space="preserve">A creditor of an insolvent with a claim for $600 filed a </w:t>
      </w:r>
      <w:r>
        <w:rPr>
          <w:i/>
          <w:iCs/>
        </w:rPr>
        <w:t xml:space="preserve">tierce opposition </w:t>
      </w:r>
      <w:r>
        <w:t xml:space="preserve">to vacate a judgment declaring the respondent to be the owner of the business of a restaurant and the liquor license accessory thereto, alleged to be worth over $5,000. The opposition was dismissed on the ground that, under the circumstances of the case, the company had no </w:t>
      </w:r>
      <w:r>
        <w:rPr>
          <w:i/>
          <w:iCs/>
        </w:rPr>
        <w:t xml:space="preserve">locus standi </w:t>
      </w:r>
      <w:r>
        <w:t>to contest the judgment. On motion to quash an appeal to the Supreme Court of Canada,</w:t>
      </w:r>
    </w:p>
    <w:p w:rsidR="0035118E" w:rsidRDefault="0035118E" w:rsidP="00560D2D">
      <w:pPr>
        <w:pStyle w:val="Summary"/>
        <w:rPr>
          <w:szCs w:val="24"/>
        </w:rPr>
      </w:pPr>
      <w:r>
        <w:rPr>
          <w:i/>
          <w:iCs/>
          <w:szCs w:val="24"/>
        </w:rPr>
        <w:t xml:space="preserve">Held, </w:t>
      </w:r>
      <w:r>
        <w:rPr>
          <w:szCs w:val="24"/>
        </w:rPr>
        <w:t xml:space="preserve">that as there was no pecuniary amount in controversy an appeal would not lie. </w:t>
      </w:r>
      <w:r>
        <w:rPr>
          <w:i/>
          <w:iCs/>
          <w:szCs w:val="24"/>
        </w:rPr>
        <w:t xml:space="preserve">Coté </w:t>
      </w:r>
      <w:r>
        <w:rPr>
          <w:szCs w:val="24"/>
        </w:rPr>
        <w:t xml:space="preserve">v. </w:t>
      </w:r>
      <w:r>
        <w:rPr>
          <w:i/>
          <w:iCs/>
          <w:szCs w:val="24"/>
        </w:rPr>
        <w:t xml:space="preserve">The James Richardson Co. </w:t>
      </w:r>
      <w:r>
        <w:rPr>
          <w:szCs w:val="24"/>
        </w:rPr>
        <w:t>(38 Can. S.C.R 41, distinguished.</w:t>
      </w:r>
    </w:p>
    <w:p w:rsidR="0035118E" w:rsidRDefault="0035118E" w:rsidP="00560D2D">
      <w:pPr>
        <w:pStyle w:val="History"/>
      </w:pPr>
      <w:r w:rsidRPr="00560D2D">
        <w:t>Motion</w:t>
      </w:r>
      <w:r>
        <w:rPr>
          <w:smallCaps/>
        </w:rPr>
        <w:t xml:space="preserve"> </w:t>
      </w:r>
      <w:r>
        <w:t xml:space="preserve">to quash an appeal from the judgment of the Court of King's Bench, appeal side, affirming the judgment of the Superior Court, District of Montreal (Archibald J.), which dismissed the company's </w:t>
      </w:r>
      <w:r>
        <w:rPr>
          <w:i/>
          <w:iCs/>
        </w:rPr>
        <w:t xml:space="preserve">tierce opposition </w:t>
      </w:r>
      <w:r>
        <w:t>with costs.</w:t>
      </w:r>
    </w:p>
    <w:p w:rsidR="0035118E" w:rsidRDefault="0035118E" w:rsidP="00560D2D">
      <w:pPr>
        <w:pStyle w:val="History"/>
        <w:rPr>
          <w:rFonts w:cs="Arial"/>
          <w:szCs w:val="24"/>
        </w:rPr>
      </w:pPr>
      <w:r>
        <w:rPr>
          <w:rFonts w:cs="Arial"/>
          <w:szCs w:val="24"/>
        </w:rPr>
        <w:t>On petition by the present respondent the curator of one Herschon, an insolvent, was, by judgment of the Superior Court, District of Montreal, on 29th June, 1905, ordered to transfer to the respondent the right to carry on the business of a restaurant with</w:t>
      </w:r>
    </w:p>
    <w:p w:rsidR="0035118E" w:rsidRDefault="00694145" w:rsidP="00694145">
      <w:pPr>
        <w:pStyle w:val="Page"/>
      </w:pPr>
      <w:r>
        <w:rPr>
          <w:rFonts w:cs="Arial"/>
          <w:szCs w:val="24"/>
        </w:rPr>
        <w:t xml:space="preserve">[Page </w:t>
      </w:r>
      <w:r w:rsidR="0035118E">
        <w:rPr>
          <w:rFonts w:cs="Arial"/>
          <w:szCs w:val="24"/>
        </w:rPr>
        <w:t>237]</w:t>
      </w:r>
    </w:p>
    <w:p w:rsidR="0035118E" w:rsidRDefault="0035118E" w:rsidP="0056142C">
      <w:pPr>
        <w:pStyle w:val="History"/>
        <w:ind w:firstLine="0"/>
      </w:pPr>
      <w:r>
        <w:lastRenderedPageBreak/>
        <w:t xml:space="preserve">the license to retail liquors in connection therewith, the said business being considered worth $5,000 or upwards. The appellants, being creditors of the insolvent to the amount of $600, filed a </w:t>
      </w:r>
      <w:r>
        <w:rPr>
          <w:i/>
          <w:iCs/>
        </w:rPr>
        <w:t xml:space="preserve">tierce opposition </w:t>
      </w:r>
      <w:r>
        <w:t>asking to have the license restored to the curator to be disposed of by him for the benefit of the creditors generally. In the Superior Court, Mr. Justice Archibald held that, under the circumstances of the case, the appellants were estopped and dismissed the opposition with costs. This decision was affirmed by the judgment now appealed from.</w:t>
      </w:r>
    </w:p>
    <w:p w:rsidR="0035118E" w:rsidRDefault="0035118E" w:rsidP="0056142C">
      <w:pPr>
        <w:pStyle w:val="Sollicitors"/>
      </w:pPr>
      <w:r>
        <w:rPr>
          <w:iCs/>
        </w:rPr>
        <w:t xml:space="preserve">Murphy </w:t>
      </w:r>
      <w:r>
        <w:t>for the motion.</w:t>
      </w:r>
    </w:p>
    <w:p w:rsidR="0035118E" w:rsidRDefault="0035118E" w:rsidP="0056142C">
      <w:pPr>
        <w:pStyle w:val="Sollicitors"/>
        <w:rPr>
          <w:iCs/>
        </w:rPr>
      </w:pPr>
      <w:r>
        <w:rPr>
          <w:iCs/>
        </w:rPr>
        <w:t>Atwater K.C. contra.</w:t>
      </w:r>
    </w:p>
    <w:p w:rsidR="0035118E" w:rsidRDefault="00560D2D" w:rsidP="0056142C">
      <w:pPr>
        <w:pStyle w:val="Reasons"/>
      </w:pPr>
      <w:r w:rsidRPr="00560D2D">
        <w:t>THE CHIEF JUSTICE</w:t>
      </w:r>
      <w:r w:rsidR="0035118E">
        <w:t xml:space="preserve">.—This case is easily distinguishable from </w:t>
      </w:r>
      <w:r w:rsidR="0035118E">
        <w:rPr>
          <w:i/>
          <w:iCs/>
        </w:rPr>
        <w:t xml:space="preserve">Cote </w:t>
      </w:r>
      <w:r w:rsidR="0035118E">
        <w:t xml:space="preserve">v. </w:t>
      </w:r>
      <w:r w:rsidR="0035118E">
        <w:rPr>
          <w:i/>
          <w:iCs/>
        </w:rPr>
        <w:t>The James Richardson Co.</w:t>
      </w:r>
      <w:r w:rsidR="00AB059E">
        <w:rPr>
          <w:rStyle w:val="FootnoteReference"/>
          <w:i/>
          <w:iCs/>
        </w:rPr>
        <w:footnoteReference w:id="2"/>
      </w:r>
      <w:r w:rsidR="0035118E">
        <w:t>, upon which the appellant chiefly relied to support his contention that this court has jurisdiction to hear this appeal. In that case the direct issue between the parties was as to the ownership of a certain quantity of spool wood admittedly of a value exceeding $2,000.</w:t>
      </w:r>
    </w:p>
    <w:p w:rsidR="0035118E" w:rsidRDefault="0035118E" w:rsidP="00560D2D">
      <w:pPr>
        <w:pStyle w:val="Reasons"/>
        <w:rPr>
          <w:rFonts w:cs="Arial"/>
          <w:i/>
          <w:iCs/>
          <w:szCs w:val="24"/>
        </w:rPr>
      </w:pPr>
      <w:r>
        <w:rPr>
          <w:rFonts w:cs="Arial"/>
          <w:szCs w:val="24"/>
        </w:rPr>
        <w:t xml:space="preserve">Here the appellant, a creditor of one Herschorn for the sum of $600, by a proceeding known under the Quebec Code of Procedure as a </w:t>
      </w:r>
      <w:r>
        <w:rPr>
          <w:rFonts w:cs="Arial"/>
          <w:i/>
          <w:iCs/>
          <w:szCs w:val="24"/>
        </w:rPr>
        <w:t xml:space="preserve">tierce opposition </w:t>
      </w:r>
      <w:r>
        <w:rPr>
          <w:rFonts w:cs="Arial"/>
          <w:szCs w:val="24"/>
        </w:rPr>
        <w:t xml:space="preserve">asked that a judgment rendered </w:t>
      </w:r>
      <w:r>
        <w:rPr>
          <w:rFonts w:cs="Arial"/>
          <w:i/>
          <w:iCs/>
          <w:szCs w:val="24"/>
        </w:rPr>
        <w:t xml:space="preserve">ex parte </w:t>
      </w:r>
      <w:r>
        <w:rPr>
          <w:rFonts w:cs="Arial"/>
          <w:szCs w:val="24"/>
        </w:rPr>
        <w:t xml:space="preserve">seven months before, and to which the curator to the estate was a party, be set aside. By the judgment to which this opposition was fyled the respondent was declared to be entitled to the possession as owner of certain property then in the hands of the curator to Herschorn's estate, and the question in issue on the </w:t>
      </w:r>
      <w:r>
        <w:rPr>
          <w:rFonts w:cs="Arial"/>
          <w:i/>
          <w:iCs/>
          <w:szCs w:val="24"/>
        </w:rPr>
        <w:t xml:space="preserve">tierce opposition </w:t>
      </w:r>
    </w:p>
    <w:p w:rsidR="0035118E" w:rsidRDefault="00694145" w:rsidP="00694145">
      <w:pPr>
        <w:pStyle w:val="Page"/>
      </w:pPr>
      <w:r>
        <w:rPr>
          <w:rFonts w:cs="Arial"/>
          <w:szCs w:val="24"/>
        </w:rPr>
        <w:t xml:space="preserve">[Page </w:t>
      </w:r>
      <w:r w:rsidR="0035118E">
        <w:rPr>
          <w:rFonts w:cs="Arial"/>
          <w:szCs w:val="24"/>
        </w:rPr>
        <w:t>238]</w:t>
      </w:r>
    </w:p>
    <w:p w:rsidR="0035118E" w:rsidRDefault="0035118E" w:rsidP="00560D2D">
      <w:pPr>
        <w:pStyle w:val="Reasons"/>
        <w:rPr>
          <w:rFonts w:cs="Arial"/>
          <w:szCs w:val="24"/>
        </w:rPr>
      </w:pPr>
      <w:r>
        <w:rPr>
          <w:rFonts w:cs="Arial"/>
          <w:szCs w:val="24"/>
        </w:rPr>
        <w:t xml:space="preserve">was the right of the present appellant to have the </w:t>
      </w:r>
      <w:r>
        <w:rPr>
          <w:rFonts w:cs="Arial"/>
          <w:i/>
          <w:iCs/>
          <w:szCs w:val="24"/>
        </w:rPr>
        <w:t xml:space="preserve">ex parte </w:t>
      </w:r>
      <w:r>
        <w:rPr>
          <w:rFonts w:cs="Arial"/>
          <w:szCs w:val="24"/>
        </w:rPr>
        <w:t>judgment rendered in favour of the respondent set aside. On that issue there was no matter in controversy involving directly a question of money and this court is without jurisdiction.</w:t>
      </w:r>
    </w:p>
    <w:p w:rsidR="0035118E" w:rsidRDefault="0035118E" w:rsidP="00560D2D">
      <w:pPr>
        <w:pStyle w:val="Reasons"/>
        <w:rPr>
          <w:rFonts w:cs="Arial"/>
          <w:szCs w:val="24"/>
        </w:rPr>
      </w:pPr>
      <w:r>
        <w:rPr>
          <w:rFonts w:cs="Arial"/>
          <w:szCs w:val="24"/>
        </w:rPr>
        <w:t xml:space="preserve">See </w:t>
      </w:r>
      <w:r>
        <w:rPr>
          <w:rFonts w:cs="Arial"/>
          <w:i/>
          <w:iCs/>
          <w:szCs w:val="24"/>
        </w:rPr>
        <w:t xml:space="preserve">Noel </w:t>
      </w:r>
      <w:r>
        <w:rPr>
          <w:rFonts w:cs="Arial"/>
          <w:szCs w:val="24"/>
        </w:rPr>
        <w:t xml:space="preserve">v. </w:t>
      </w:r>
      <w:r>
        <w:rPr>
          <w:rFonts w:cs="Arial"/>
          <w:i/>
          <w:iCs/>
          <w:szCs w:val="24"/>
        </w:rPr>
        <w:t>Chevrefils</w:t>
      </w:r>
      <w:r w:rsidR="00AB059E">
        <w:rPr>
          <w:rStyle w:val="FootnoteReference"/>
          <w:rFonts w:cs="Arial"/>
          <w:i/>
          <w:iCs/>
          <w:szCs w:val="24"/>
        </w:rPr>
        <w:footnoteReference w:id="3"/>
      </w:r>
      <w:r>
        <w:rPr>
          <w:rFonts w:cs="Arial"/>
          <w:szCs w:val="24"/>
        </w:rPr>
        <w:t>.</w:t>
      </w:r>
    </w:p>
    <w:p w:rsidR="0035118E" w:rsidRDefault="00560D2D" w:rsidP="0056142C">
      <w:pPr>
        <w:pStyle w:val="Reasons"/>
      </w:pPr>
      <w:r w:rsidRPr="00560D2D">
        <w:t>GIROUARD</w:t>
      </w:r>
      <w:r>
        <w:rPr>
          <w:smallCaps/>
        </w:rPr>
        <w:t xml:space="preserve"> </w:t>
      </w:r>
      <w:r w:rsidR="0035118E">
        <w:t xml:space="preserve">J.—Without agreeing that this case is distinguishable from </w:t>
      </w:r>
      <w:r w:rsidR="0035118E">
        <w:rPr>
          <w:i/>
          <w:iCs/>
        </w:rPr>
        <w:t xml:space="preserve">Coté v. The </w:t>
      </w:r>
      <w:r w:rsidR="0035118E">
        <w:rPr>
          <w:i/>
          <w:iCs/>
        </w:rPr>
        <w:lastRenderedPageBreak/>
        <w:t xml:space="preserve">James Richardson </w:t>
      </w:r>
      <w:r w:rsidR="0035118E">
        <w:t>Co.</w:t>
      </w:r>
      <w:r w:rsidR="00AB059E">
        <w:rPr>
          <w:rStyle w:val="FootnoteReference"/>
        </w:rPr>
        <w:footnoteReference w:id="4"/>
      </w:r>
      <w:r w:rsidR="0035118E">
        <w:t>, I concur in the result.</w:t>
      </w:r>
    </w:p>
    <w:p w:rsidR="0035118E" w:rsidRDefault="0056142C" w:rsidP="0056142C">
      <w:pPr>
        <w:pStyle w:val="Reasons"/>
        <w:rPr>
          <w:rFonts w:cs="Arial"/>
          <w:szCs w:val="24"/>
        </w:rPr>
      </w:pPr>
      <w:r w:rsidRPr="0056142C">
        <w:t>DAVIES, IDINGTON</w:t>
      </w:r>
      <w:r w:rsidR="0035118E" w:rsidRPr="0056142C">
        <w:t xml:space="preserve">, </w:t>
      </w:r>
      <w:r w:rsidRPr="0056142C">
        <w:t xml:space="preserve">MACLENNAN </w:t>
      </w:r>
      <w:r w:rsidR="0035118E" w:rsidRPr="0056142C">
        <w:t xml:space="preserve">and Duff </w:t>
      </w:r>
      <w:r w:rsidR="0035118E">
        <w:rPr>
          <w:rFonts w:cs="Arial"/>
          <w:szCs w:val="24"/>
        </w:rPr>
        <w:t>JJ. concurred with His Lordship the Chief Justice.</w:t>
      </w:r>
    </w:p>
    <w:p w:rsidR="0035118E" w:rsidRPr="0056142C" w:rsidRDefault="0035118E" w:rsidP="0056142C">
      <w:pPr>
        <w:pStyle w:val="Reasons"/>
      </w:pPr>
      <w:r w:rsidRPr="0056142C">
        <w:t>Appeal quashed with costs.</w:t>
      </w:r>
    </w:p>
    <w:p w:rsidR="0035118E" w:rsidRDefault="0035118E" w:rsidP="0056142C">
      <w:pPr>
        <w:pStyle w:val="Sollicitors"/>
        <w:rPr>
          <w:iCs/>
        </w:rPr>
      </w:pPr>
      <w:r>
        <w:t xml:space="preserve">Solicitors for the appellants: </w:t>
      </w:r>
      <w:r>
        <w:rPr>
          <w:iCs/>
        </w:rPr>
        <w:t>Archer, Perron &amp; Taschereau.</w:t>
      </w:r>
    </w:p>
    <w:p w:rsidR="0035118E" w:rsidRDefault="0035118E" w:rsidP="0056142C">
      <w:pPr>
        <w:pStyle w:val="Sollicitors"/>
        <w:rPr>
          <w:iCs/>
        </w:rPr>
      </w:pPr>
      <w:r>
        <w:t xml:space="preserve">Solicitors for the respondent: </w:t>
      </w:r>
      <w:r>
        <w:rPr>
          <w:iCs/>
        </w:rPr>
        <w:t>Murphy &amp; Roy.</w:t>
      </w:r>
    </w:p>
    <w:sectPr w:rsidR="0035118E" w:rsidSect="00853F0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267" w:rsidRDefault="00DE0267" w:rsidP="00853F0E">
      <w:r>
        <w:separator/>
      </w:r>
    </w:p>
  </w:endnote>
  <w:endnote w:type="continuationSeparator" w:id="1">
    <w:p w:rsidR="00DE0267" w:rsidRDefault="00DE0267" w:rsidP="00853F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0E" w:rsidRDefault="00853F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0E" w:rsidRDefault="00853F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0E" w:rsidRDefault="00853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267" w:rsidRDefault="00DE0267" w:rsidP="00853F0E">
      <w:r>
        <w:separator/>
      </w:r>
    </w:p>
  </w:footnote>
  <w:footnote w:type="continuationSeparator" w:id="1">
    <w:p w:rsidR="00DE0267" w:rsidRDefault="00DE0267" w:rsidP="00853F0E">
      <w:r>
        <w:continuationSeparator/>
      </w:r>
    </w:p>
  </w:footnote>
  <w:footnote w:id="2">
    <w:p w:rsidR="00AB059E" w:rsidRPr="00AB059E" w:rsidRDefault="00AB059E">
      <w:pPr>
        <w:pStyle w:val="FootnoteText"/>
        <w:rPr>
          <w:lang w:val="en-US"/>
        </w:rPr>
      </w:pPr>
      <w:r>
        <w:rPr>
          <w:rStyle w:val="FootnoteReference"/>
        </w:rPr>
        <w:footnoteRef/>
      </w:r>
      <w:r>
        <w:t xml:space="preserve"> </w:t>
      </w:r>
      <w:r>
        <w:rPr>
          <w:rFonts w:cs="Arial"/>
          <w:szCs w:val="24"/>
        </w:rPr>
        <w:t>38 Can. S.C.R. 41.</w:t>
      </w:r>
    </w:p>
  </w:footnote>
  <w:footnote w:id="3">
    <w:p w:rsidR="00AB059E" w:rsidRPr="00AB059E" w:rsidRDefault="00AB059E">
      <w:pPr>
        <w:pStyle w:val="FootnoteText"/>
        <w:rPr>
          <w:lang w:val="en-US"/>
        </w:rPr>
      </w:pPr>
      <w:r>
        <w:rPr>
          <w:rStyle w:val="FootnoteReference"/>
        </w:rPr>
        <w:footnoteRef/>
      </w:r>
      <w:r>
        <w:t xml:space="preserve"> </w:t>
      </w:r>
      <w:r>
        <w:rPr>
          <w:rFonts w:cs="Arial"/>
          <w:szCs w:val="24"/>
        </w:rPr>
        <w:t>30 Can. S.C.R. 327.</w:t>
      </w:r>
    </w:p>
  </w:footnote>
  <w:footnote w:id="4">
    <w:p w:rsidR="00AB059E" w:rsidRPr="00AB059E" w:rsidRDefault="00AB059E">
      <w:pPr>
        <w:pStyle w:val="FootnoteText"/>
        <w:rPr>
          <w:lang w:val="en-US"/>
        </w:rPr>
      </w:pPr>
      <w:r>
        <w:rPr>
          <w:rStyle w:val="FootnoteReference"/>
        </w:rPr>
        <w:footnoteRef/>
      </w:r>
      <w:r>
        <w:t xml:space="preserve"> </w:t>
      </w:r>
      <w:r>
        <w:rPr>
          <w:rFonts w:cs="Arial"/>
          <w:szCs w:val="24"/>
        </w:rPr>
        <w:t>38 Can. S.C.R.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0E" w:rsidRDefault="00853F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0E" w:rsidRDefault="00853F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0E" w:rsidRDefault="00853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1DAF280">
      <w:start w:val="1"/>
      <w:numFmt w:val="decimal"/>
      <w:pStyle w:val="ParagNum"/>
      <w:lvlText w:val="[%1]"/>
      <w:lvlJc w:val="left"/>
      <w:pPr>
        <w:tabs>
          <w:tab w:val="num" w:pos="369"/>
        </w:tabs>
        <w:ind w:left="369" w:hanging="369"/>
      </w:pPr>
    </w:lvl>
    <w:lvl w:ilvl="1" w:tplc="CA7EC0B4" w:tentative="1">
      <w:start w:val="1"/>
      <w:numFmt w:val="lowerLetter"/>
      <w:lvlText w:val="%2."/>
      <w:lvlJc w:val="left"/>
      <w:pPr>
        <w:tabs>
          <w:tab w:val="num" w:pos="1440"/>
        </w:tabs>
        <w:ind w:left="1440" w:hanging="360"/>
      </w:pPr>
    </w:lvl>
    <w:lvl w:ilvl="2" w:tplc="4A7ABBE8" w:tentative="1">
      <w:start w:val="1"/>
      <w:numFmt w:val="lowerRoman"/>
      <w:lvlText w:val="%3."/>
      <w:lvlJc w:val="right"/>
      <w:pPr>
        <w:tabs>
          <w:tab w:val="num" w:pos="2160"/>
        </w:tabs>
        <w:ind w:left="2160" w:hanging="180"/>
      </w:pPr>
    </w:lvl>
    <w:lvl w:ilvl="3" w:tplc="2208D112" w:tentative="1">
      <w:start w:val="1"/>
      <w:numFmt w:val="decimal"/>
      <w:lvlText w:val="%4."/>
      <w:lvlJc w:val="left"/>
      <w:pPr>
        <w:tabs>
          <w:tab w:val="num" w:pos="2880"/>
        </w:tabs>
        <w:ind w:left="2880" w:hanging="360"/>
      </w:pPr>
    </w:lvl>
    <w:lvl w:ilvl="4" w:tplc="20C8D8CC" w:tentative="1">
      <w:start w:val="1"/>
      <w:numFmt w:val="lowerLetter"/>
      <w:lvlText w:val="%5."/>
      <w:lvlJc w:val="left"/>
      <w:pPr>
        <w:tabs>
          <w:tab w:val="num" w:pos="3600"/>
        </w:tabs>
        <w:ind w:left="3600" w:hanging="360"/>
      </w:pPr>
    </w:lvl>
    <w:lvl w:ilvl="5" w:tplc="AAC4A8C2" w:tentative="1">
      <w:start w:val="1"/>
      <w:numFmt w:val="lowerRoman"/>
      <w:lvlText w:val="%6."/>
      <w:lvlJc w:val="right"/>
      <w:pPr>
        <w:tabs>
          <w:tab w:val="num" w:pos="4320"/>
        </w:tabs>
        <w:ind w:left="4320" w:hanging="180"/>
      </w:pPr>
    </w:lvl>
    <w:lvl w:ilvl="6" w:tplc="B4B65D80" w:tentative="1">
      <w:start w:val="1"/>
      <w:numFmt w:val="decimal"/>
      <w:lvlText w:val="%7."/>
      <w:lvlJc w:val="left"/>
      <w:pPr>
        <w:tabs>
          <w:tab w:val="num" w:pos="5040"/>
        </w:tabs>
        <w:ind w:left="5040" w:hanging="360"/>
      </w:pPr>
    </w:lvl>
    <w:lvl w:ilvl="7" w:tplc="6DDAE25C" w:tentative="1">
      <w:start w:val="1"/>
      <w:numFmt w:val="lowerLetter"/>
      <w:lvlText w:val="%8."/>
      <w:lvlJc w:val="left"/>
      <w:pPr>
        <w:tabs>
          <w:tab w:val="num" w:pos="5760"/>
        </w:tabs>
        <w:ind w:left="5760" w:hanging="360"/>
      </w:pPr>
    </w:lvl>
    <w:lvl w:ilvl="8" w:tplc="914EC61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118E"/>
    <w:rsid w:val="00013FDA"/>
    <w:rsid w:val="000173FB"/>
    <w:rsid w:val="000655EC"/>
    <w:rsid w:val="00077D2F"/>
    <w:rsid w:val="0008547A"/>
    <w:rsid w:val="000B6688"/>
    <w:rsid w:val="000C3415"/>
    <w:rsid w:val="000D6078"/>
    <w:rsid w:val="00121409"/>
    <w:rsid w:val="001252AE"/>
    <w:rsid w:val="00125F0C"/>
    <w:rsid w:val="00126A8E"/>
    <w:rsid w:val="001636C1"/>
    <w:rsid w:val="001837F3"/>
    <w:rsid w:val="001D0D42"/>
    <w:rsid w:val="001D5C4A"/>
    <w:rsid w:val="001F6A76"/>
    <w:rsid w:val="00216790"/>
    <w:rsid w:val="002209AC"/>
    <w:rsid w:val="002428EB"/>
    <w:rsid w:val="002A74DD"/>
    <w:rsid w:val="002B30C5"/>
    <w:rsid w:val="002C0EE9"/>
    <w:rsid w:val="002C186C"/>
    <w:rsid w:val="002C7A88"/>
    <w:rsid w:val="002D2AD1"/>
    <w:rsid w:val="002D5E01"/>
    <w:rsid w:val="002F4F64"/>
    <w:rsid w:val="002F7D00"/>
    <w:rsid w:val="0035118E"/>
    <w:rsid w:val="00361108"/>
    <w:rsid w:val="003824D9"/>
    <w:rsid w:val="003C6169"/>
    <w:rsid w:val="003E0B34"/>
    <w:rsid w:val="003E5AF5"/>
    <w:rsid w:val="003F602F"/>
    <w:rsid w:val="00423FF8"/>
    <w:rsid w:val="004277EE"/>
    <w:rsid w:val="0043543D"/>
    <w:rsid w:val="00442713"/>
    <w:rsid w:val="00457BC5"/>
    <w:rsid w:val="00463F5F"/>
    <w:rsid w:val="00482CDC"/>
    <w:rsid w:val="004C7ED4"/>
    <w:rsid w:val="00511D93"/>
    <w:rsid w:val="00514003"/>
    <w:rsid w:val="00537980"/>
    <w:rsid w:val="00560D2D"/>
    <w:rsid w:val="0056142C"/>
    <w:rsid w:val="00563767"/>
    <w:rsid w:val="005667DA"/>
    <w:rsid w:val="00593C8B"/>
    <w:rsid w:val="00634B39"/>
    <w:rsid w:val="00644967"/>
    <w:rsid w:val="00694145"/>
    <w:rsid w:val="006D2BED"/>
    <w:rsid w:val="006D6F42"/>
    <w:rsid w:val="006E5FEA"/>
    <w:rsid w:val="00723661"/>
    <w:rsid w:val="00747F2C"/>
    <w:rsid w:val="00751F7D"/>
    <w:rsid w:val="007969C4"/>
    <w:rsid w:val="007B3A90"/>
    <w:rsid w:val="007B5E1B"/>
    <w:rsid w:val="007D6DD5"/>
    <w:rsid w:val="008027F3"/>
    <w:rsid w:val="008145EC"/>
    <w:rsid w:val="008433A9"/>
    <w:rsid w:val="00853F0E"/>
    <w:rsid w:val="008550EF"/>
    <w:rsid w:val="00872F75"/>
    <w:rsid w:val="00880FBB"/>
    <w:rsid w:val="008B0B7A"/>
    <w:rsid w:val="00903464"/>
    <w:rsid w:val="00926406"/>
    <w:rsid w:val="009A7B1B"/>
    <w:rsid w:val="009D37B6"/>
    <w:rsid w:val="009E64DC"/>
    <w:rsid w:val="00A42830"/>
    <w:rsid w:val="00A4371F"/>
    <w:rsid w:val="00A54E5B"/>
    <w:rsid w:val="00A61128"/>
    <w:rsid w:val="00A94C52"/>
    <w:rsid w:val="00AB059E"/>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0267"/>
    <w:rsid w:val="00DE30DC"/>
    <w:rsid w:val="00E1124B"/>
    <w:rsid w:val="00E114A9"/>
    <w:rsid w:val="00E117BD"/>
    <w:rsid w:val="00E30F5A"/>
    <w:rsid w:val="00E40016"/>
    <w:rsid w:val="00E407E4"/>
    <w:rsid w:val="00E43349"/>
    <w:rsid w:val="00E51D18"/>
    <w:rsid w:val="00E86DF4"/>
    <w:rsid w:val="00EB3437"/>
    <w:rsid w:val="00EC24E4"/>
    <w:rsid w:val="00EF2358"/>
    <w:rsid w:val="00F13669"/>
    <w:rsid w:val="00F177D8"/>
    <w:rsid w:val="00F35E8A"/>
    <w:rsid w:val="00F60320"/>
    <w:rsid w:val="00F64D86"/>
    <w:rsid w:val="00F742E4"/>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24E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C24E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C24E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C24E4"/>
  </w:style>
  <w:style w:type="paragraph" w:styleId="Header">
    <w:name w:val="header"/>
    <w:basedOn w:val="Normal"/>
    <w:link w:val="HeaderChar"/>
    <w:uiPriority w:val="99"/>
    <w:unhideWhenUsed/>
    <w:rsid w:val="00EC24E4"/>
    <w:pPr>
      <w:tabs>
        <w:tab w:val="center" w:pos="4680"/>
        <w:tab w:val="right" w:pos="9360"/>
      </w:tabs>
    </w:pPr>
    <w:rPr>
      <w:rFonts w:ascii="Times New Roman" w:hAnsi="Times New Roman"/>
    </w:rPr>
  </w:style>
  <w:style w:type="character" w:customStyle="1" w:styleId="HeaderChar">
    <w:name w:val="Header Char"/>
    <w:link w:val="Header"/>
    <w:uiPriority w:val="99"/>
    <w:rsid w:val="00EC24E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C24E4"/>
    <w:pPr>
      <w:tabs>
        <w:tab w:val="center" w:pos="4680"/>
        <w:tab w:val="right" w:pos="9360"/>
      </w:tabs>
    </w:pPr>
    <w:rPr>
      <w:rFonts w:ascii="Times New Roman" w:hAnsi="Times New Roman"/>
    </w:rPr>
  </w:style>
  <w:style w:type="character" w:customStyle="1" w:styleId="FooterChar">
    <w:name w:val="Footer Char"/>
    <w:link w:val="Footer"/>
    <w:uiPriority w:val="99"/>
    <w:rsid w:val="00EC24E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23FF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C24E4"/>
    <w:pPr>
      <w:spacing w:before="100" w:beforeAutospacing="1"/>
      <w:ind w:left="567"/>
      <w:jc w:val="both"/>
    </w:pPr>
  </w:style>
  <w:style w:type="paragraph" w:customStyle="1" w:styleId="Metadata">
    <w:name w:val="Metadata"/>
    <w:basedOn w:val="Normal"/>
    <w:rsid w:val="00EC24E4"/>
    <w:pPr>
      <w:spacing w:before="100" w:beforeAutospacing="1" w:after="100" w:afterAutospacing="1"/>
    </w:pPr>
    <w:rPr>
      <w:rFonts w:cs="Arial"/>
      <w:szCs w:val="24"/>
    </w:rPr>
  </w:style>
  <w:style w:type="paragraph" w:customStyle="1" w:styleId="Page">
    <w:name w:val="Page"/>
    <w:basedOn w:val="Normal"/>
    <w:link w:val="PageChar"/>
    <w:rsid w:val="00EC24E4"/>
    <w:pPr>
      <w:spacing w:before="100" w:beforeAutospacing="1" w:after="100" w:afterAutospacing="1"/>
    </w:pPr>
    <w:rPr>
      <w:i/>
    </w:rPr>
  </w:style>
  <w:style w:type="paragraph" w:styleId="FootnoteText">
    <w:name w:val="footnote text"/>
    <w:basedOn w:val="Normal"/>
    <w:link w:val="FootnoteTextChar"/>
    <w:autoRedefine/>
    <w:semiHidden/>
    <w:rsid w:val="00EC24E4"/>
    <w:rPr>
      <w:sz w:val="16"/>
      <w:szCs w:val="20"/>
    </w:rPr>
  </w:style>
  <w:style w:type="character" w:customStyle="1" w:styleId="FootnoteTextChar">
    <w:name w:val="Footnote Text Char"/>
    <w:link w:val="FootnoteText"/>
    <w:semiHidden/>
    <w:rsid w:val="00EC24E4"/>
    <w:rPr>
      <w:rFonts w:ascii="Arial" w:eastAsia="MS Mincho" w:hAnsi="Arial" w:cs="Times New Roman"/>
      <w:sz w:val="16"/>
      <w:szCs w:val="20"/>
      <w:lang w:val="en-CA" w:eastAsia="ja-JP"/>
    </w:rPr>
  </w:style>
  <w:style w:type="character" w:styleId="FootnoteReference">
    <w:name w:val="footnote reference"/>
    <w:semiHidden/>
    <w:rsid w:val="00EC24E4"/>
    <w:rPr>
      <w:vertAlign w:val="superscript"/>
    </w:rPr>
  </w:style>
  <w:style w:type="paragraph" w:customStyle="1" w:styleId="ParagNum">
    <w:name w:val="ParagNum"/>
    <w:basedOn w:val="Normal"/>
    <w:rsid w:val="00EC24E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C24E4"/>
    <w:pPr>
      <w:spacing w:before="100" w:beforeAutospacing="1" w:after="100" w:afterAutospacing="1" w:line="360" w:lineRule="auto"/>
    </w:pPr>
  </w:style>
  <w:style w:type="paragraph" w:customStyle="1" w:styleId="Indent2">
    <w:name w:val="Indent 2"/>
    <w:basedOn w:val="Indent1"/>
    <w:rsid w:val="00EC24E4"/>
    <w:pPr>
      <w:ind w:left="1134"/>
    </w:pPr>
  </w:style>
  <w:style w:type="paragraph" w:customStyle="1" w:styleId="Indent3">
    <w:name w:val="Indent 3"/>
    <w:basedOn w:val="Indent1"/>
    <w:rsid w:val="00EC24E4"/>
    <w:pPr>
      <w:ind w:left="1701"/>
    </w:pPr>
  </w:style>
  <w:style w:type="paragraph" w:customStyle="1" w:styleId="Indent4">
    <w:name w:val="Indent 4"/>
    <w:basedOn w:val="Indent1"/>
    <w:rsid w:val="00EC24E4"/>
    <w:pPr>
      <w:ind w:left="2268"/>
    </w:pPr>
  </w:style>
  <w:style w:type="paragraph" w:customStyle="1" w:styleId="Indent10">
    <w:name w:val="Indent1"/>
    <w:basedOn w:val="Reasons"/>
    <w:rsid w:val="00EC24E4"/>
    <w:pPr>
      <w:ind w:left="567"/>
    </w:pPr>
  </w:style>
  <w:style w:type="paragraph" w:customStyle="1" w:styleId="Indent20">
    <w:name w:val="Indent2"/>
    <w:basedOn w:val="Indent10"/>
    <w:rsid w:val="00EC24E4"/>
    <w:pPr>
      <w:ind w:left="1134"/>
    </w:pPr>
  </w:style>
  <w:style w:type="paragraph" w:customStyle="1" w:styleId="Indent30">
    <w:name w:val="Indent3"/>
    <w:basedOn w:val="Indent10"/>
    <w:rsid w:val="00EC24E4"/>
    <w:pPr>
      <w:ind w:left="1701"/>
    </w:pPr>
  </w:style>
  <w:style w:type="paragraph" w:customStyle="1" w:styleId="Indent40">
    <w:name w:val="Indent4"/>
    <w:basedOn w:val="Indent10"/>
    <w:rsid w:val="00EC24E4"/>
    <w:pPr>
      <w:ind w:left="2268"/>
    </w:pPr>
  </w:style>
  <w:style w:type="paragraph" w:customStyle="1" w:styleId="Keywords">
    <w:name w:val="Keywords"/>
    <w:basedOn w:val="Normal"/>
    <w:rsid w:val="00EC24E4"/>
    <w:pPr>
      <w:spacing w:before="100" w:beforeAutospacing="1" w:after="100" w:afterAutospacing="1"/>
    </w:pPr>
    <w:rPr>
      <w:rFonts w:cs="Arial"/>
      <w:i/>
      <w:szCs w:val="24"/>
    </w:rPr>
  </w:style>
  <w:style w:type="paragraph" w:customStyle="1" w:styleId="Summary">
    <w:name w:val="Summary"/>
    <w:basedOn w:val="Normal"/>
    <w:autoRedefine/>
    <w:rsid w:val="00EC24E4"/>
    <w:pPr>
      <w:spacing w:before="100" w:beforeAutospacing="1" w:after="100" w:afterAutospacing="1"/>
      <w:ind w:left="562" w:hanging="562"/>
    </w:pPr>
    <w:rPr>
      <w:rFonts w:cs="Arial"/>
    </w:rPr>
  </w:style>
  <w:style w:type="paragraph" w:customStyle="1" w:styleId="History">
    <w:name w:val="History"/>
    <w:basedOn w:val="Normal"/>
    <w:rsid w:val="00EC24E4"/>
    <w:pPr>
      <w:spacing w:before="100" w:beforeAutospacing="1" w:after="100" w:afterAutospacing="1"/>
      <w:ind w:firstLine="567"/>
    </w:pPr>
  </w:style>
  <w:style w:type="paragraph" w:customStyle="1" w:styleId="T1">
    <w:name w:val="T1"/>
    <w:basedOn w:val="Normal"/>
    <w:rsid w:val="00EC24E4"/>
    <w:pPr>
      <w:spacing w:before="240" w:after="100" w:afterAutospacing="1"/>
    </w:pPr>
    <w:rPr>
      <w:b/>
    </w:rPr>
  </w:style>
  <w:style w:type="paragraph" w:customStyle="1" w:styleId="T2">
    <w:name w:val="T2"/>
    <w:basedOn w:val="Normal"/>
    <w:rsid w:val="00EC24E4"/>
    <w:pPr>
      <w:spacing w:before="240" w:after="100" w:afterAutospacing="1"/>
    </w:pPr>
  </w:style>
  <w:style w:type="paragraph" w:customStyle="1" w:styleId="Sollicitors">
    <w:name w:val="Sollicitors"/>
    <w:basedOn w:val="Normal"/>
    <w:rsid w:val="00EC24E4"/>
    <w:pPr>
      <w:spacing w:before="100" w:beforeAutospacing="1" w:after="100" w:afterAutospacing="1"/>
    </w:pPr>
    <w:rPr>
      <w:i/>
    </w:rPr>
  </w:style>
  <w:style w:type="paragraph" w:customStyle="1" w:styleId="Court">
    <w:name w:val="Court"/>
    <w:basedOn w:val="Normal"/>
    <w:rsid w:val="00EC24E4"/>
    <w:rPr>
      <w:rFonts w:cs="Arial"/>
      <w:b/>
      <w:szCs w:val="24"/>
    </w:rPr>
  </w:style>
  <w:style w:type="character" w:customStyle="1" w:styleId="PageChar">
    <w:name w:val="Page Char"/>
    <w:link w:val="Page"/>
    <w:rsid w:val="00EC24E4"/>
    <w:rPr>
      <w:rFonts w:ascii="Arial" w:eastAsia="MS Mincho" w:hAnsi="Arial" w:cs="Times New Roman"/>
      <w:i/>
      <w:sz w:val="24"/>
      <w:szCs w:val="28"/>
      <w:lang w:val="en-CA" w:eastAsia="ja-JP"/>
    </w:rPr>
  </w:style>
  <w:style w:type="character" w:customStyle="1" w:styleId="ReasonsCar">
    <w:name w:val="Reasons Car"/>
    <w:link w:val="Reasons"/>
    <w:rsid w:val="00EC24E4"/>
    <w:rPr>
      <w:rFonts w:ascii="Arial" w:eastAsia="MS Mincho" w:hAnsi="Arial" w:cs="Times New Roman"/>
      <w:sz w:val="24"/>
      <w:szCs w:val="28"/>
      <w:lang w:val="en-CA" w:eastAsia="ja-JP"/>
    </w:rPr>
  </w:style>
  <w:style w:type="paragraph" w:customStyle="1" w:styleId="CitationLine">
    <w:name w:val="CitationLine"/>
    <w:basedOn w:val="Court"/>
    <w:rsid w:val="00EC24E4"/>
  </w:style>
  <w:style w:type="paragraph" w:customStyle="1" w:styleId="DateISO">
    <w:name w:val="DateISO"/>
    <w:basedOn w:val="Court"/>
    <w:rsid w:val="00EC24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3</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2015-03-22T10:40:00Z</dcterms:created>
  <dcterms:modified xsi:type="dcterms:W3CDTF">2015-03-23T05:32:00Z</dcterms:modified>
</cp:coreProperties>
</file>