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A5" w:rsidRPr="003372A5" w:rsidRDefault="003372A5" w:rsidP="003372A5">
      <w:pPr>
        <w:pStyle w:val="Court"/>
        <w:rPr>
          <w:lang w:val="en-US"/>
        </w:rPr>
      </w:pPr>
      <w:r w:rsidRPr="003372A5">
        <w:rPr>
          <w:lang w:val="en-US"/>
        </w:rPr>
        <w:t>Supreme Court of Canada</w:t>
      </w:r>
    </w:p>
    <w:p w:rsidR="003372A5" w:rsidRPr="003372A5" w:rsidRDefault="003372A5" w:rsidP="003372A5">
      <w:pPr>
        <w:pStyle w:val="CitationLine"/>
        <w:rPr>
          <w:lang w:val="en-US"/>
        </w:rPr>
      </w:pPr>
      <w:r w:rsidRPr="003372A5">
        <w:rPr>
          <w:lang w:val="en-US"/>
        </w:rPr>
        <w:t xml:space="preserve">Copeland-Chatterson Co. </w:t>
      </w:r>
      <w:r w:rsidRPr="003372A5">
        <w:rPr>
          <w:i/>
          <w:iCs/>
          <w:lang w:val="en-US"/>
        </w:rPr>
        <w:t xml:space="preserve">v. </w:t>
      </w:r>
      <w:r w:rsidRPr="003372A5">
        <w:rPr>
          <w:lang w:val="en-US"/>
        </w:rPr>
        <w:t>Paquette (1907) 38 SCR 451</w:t>
      </w:r>
    </w:p>
    <w:p w:rsidR="003372A5" w:rsidRPr="003372A5" w:rsidRDefault="003372A5" w:rsidP="003372A5">
      <w:pPr>
        <w:pStyle w:val="DateISO"/>
        <w:rPr>
          <w:lang w:val="en-US"/>
        </w:rPr>
      </w:pPr>
      <w:r w:rsidRPr="003372A5">
        <w:rPr>
          <w:lang w:val="en-US"/>
        </w:rPr>
        <w:t>Date: 1907-04-02</w:t>
      </w:r>
    </w:p>
    <w:p w:rsidR="00A4714D" w:rsidRPr="003372A5" w:rsidRDefault="003372A5" w:rsidP="003372A5">
      <w:pPr>
        <w:pStyle w:val="Metadata"/>
        <w:rPr>
          <w:lang w:val="en-US"/>
        </w:rPr>
      </w:pPr>
      <w:r w:rsidRPr="003372A5">
        <w:rPr>
          <w:lang w:val="en-US"/>
        </w:rPr>
        <w:t>The Copeland-Chatterson Company</w:t>
      </w:r>
      <w:r w:rsidR="00A4714D" w:rsidRPr="003372A5">
        <w:rPr>
          <w:lang w:val="en-US"/>
        </w:rPr>
        <w:t xml:space="preserve"> (Plaintiffs)</w:t>
      </w:r>
    </w:p>
    <w:p w:rsidR="00A4714D" w:rsidRPr="003372A5" w:rsidRDefault="00A4714D" w:rsidP="003372A5">
      <w:pPr>
        <w:pStyle w:val="Metadata"/>
        <w:rPr>
          <w:lang w:val="en-US"/>
        </w:rPr>
      </w:pPr>
      <w:r w:rsidRPr="003372A5">
        <w:rPr>
          <w:lang w:val="en-US"/>
        </w:rPr>
        <w:t>Appellants</w:t>
      </w:r>
    </w:p>
    <w:p w:rsidR="00A4714D" w:rsidRPr="003372A5" w:rsidRDefault="003372A5" w:rsidP="003372A5">
      <w:pPr>
        <w:pStyle w:val="Metadata"/>
        <w:rPr>
          <w:lang w:val="en-US"/>
        </w:rPr>
      </w:pPr>
      <w:r w:rsidRPr="003372A5">
        <w:rPr>
          <w:lang w:val="en-US"/>
        </w:rPr>
        <w:t>A</w:t>
      </w:r>
      <w:r w:rsidR="00A4714D" w:rsidRPr="003372A5">
        <w:rPr>
          <w:lang w:val="en-US"/>
        </w:rPr>
        <w:t>nd</w:t>
      </w:r>
    </w:p>
    <w:p w:rsidR="00A4714D" w:rsidRPr="003372A5" w:rsidRDefault="003372A5" w:rsidP="003372A5">
      <w:pPr>
        <w:pStyle w:val="Metadata"/>
        <w:rPr>
          <w:lang w:val="en-US"/>
        </w:rPr>
      </w:pPr>
      <w:r w:rsidRPr="003372A5">
        <w:rPr>
          <w:lang w:val="en-US"/>
        </w:rPr>
        <w:t xml:space="preserve">Jean Paquette </w:t>
      </w:r>
      <w:r w:rsidR="00A4714D" w:rsidRPr="003372A5">
        <w:rPr>
          <w:lang w:val="en-US"/>
        </w:rPr>
        <w:t xml:space="preserve">and </w:t>
      </w:r>
      <w:r w:rsidRPr="003372A5">
        <w:rPr>
          <w:lang w:val="en-US"/>
        </w:rPr>
        <w:t>O</w:t>
      </w:r>
      <w:r w:rsidR="00A4714D" w:rsidRPr="003372A5">
        <w:rPr>
          <w:lang w:val="en-US"/>
        </w:rPr>
        <w:t>thers</w:t>
      </w:r>
    </w:p>
    <w:p w:rsidR="00A4714D" w:rsidRPr="003372A5" w:rsidRDefault="00A4714D" w:rsidP="003372A5">
      <w:pPr>
        <w:pStyle w:val="Metadata"/>
        <w:rPr>
          <w:lang w:val="en-US"/>
        </w:rPr>
      </w:pPr>
      <w:r w:rsidRPr="003372A5">
        <w:rPr>
          <w:lang w:val="en-US"/>
        </w:rPr>
        <w:t>(Defendants)</w:t>
      </w:r>
    </w:p>
    <w:p w:rsidR="00A4714D" w:rsidRPr="003372A5" w:rsidRDefault="00A4714D" w:rsidP="003372A5">
      <w:pPr>
        <w:pStyle w:val="Metadata"/>
        <w:rPr>
          <w:lang w:val="en-US"/>
        </w:rPr>
      </w:pPr>
      <w:r w:rsidRPr="003372A5">
        <w:rPr>
          <w:lang w:val="en-US"/>
        </w:rPr>
        <w:t>Respondents</w:t>
      </w:r>
    </w:p>
    <w:p w:rsidR="003372A5" w:rsidRPr="003372A5" w:rsidRDefault="003372A5" w:rsidP="003372A5">
      <w:pPr>
        <w:pStyle w:val="Metadata"/>
        <w:rPr>
          <w:lang w:val="en-US"/>
        </w:rPr>
      </w:pPr>
      <w:r w:rsidRPr="003372A5">
        <w:rPr>
          <w:lang w:val="en-US"/>
        </w:rPr>
        <w:t>1907: Feb. 28; 1907: April 2.</w:t>
      </w:r>
    </w:p>
    <w:p w:rsidR="003372A5" w:rsidRPr="003372A5" w:rsidRDefault="003372A5" w:rsidP="003372A5">
      <w:pPr>
        <w:pStyle w:val="Metadata"/>
        <w:rPr>
          <w:lang w:val="en-US"/>
        </w:rPr>
      </w:pPr>
      <w:r w:rsidRPr="003372A5">
        <w:rPr>
          <w:lang w:val="en-US"/>
        </w:rPr>
        <w:t>Present:—Fitzpatrick C.J. and Girouard, Davies, Idington and Maclennan JJ.</w:t>
      </w:r>
    </w:p>
    <w:p w:rsidR="00A4714D" w:rsidRPr="003372A5" w:rsidRDefault="003372A5" w:rsidP="003372A5">
      <w:pPr>
        <w:pStyle w:val="Metadata"/>
        <w:rPr>
          <w:lang w:val="en-US"/>
        </w:rPr>
      </w:pPr>
      <w:r w:rsidRPr="003372A5">
        <w:rPr>
          <w:lang w:val="en-US"/>
        </w:rPr>
        <w:t>ON APPEAL FROM THE EXCHEQUER COURT OF CANADA.</w:t>
      </w:r>
    </w:p>
    <w:p w:rsidR="00A4714D" w:rsidRPr="003372A5" w:rsidRDefault="00A4714D" w:rsidP="003372A5">
      <w:pPr>
        <w:pStyle w:val="Keywords"/>
        <w:rPr>
          <w:lang w:val="en-US"/>
        </w:rPr>
      </w:pPr>
      <w:r w:rsidRPr="003372A5">
        <w:rPr>
          <w:lang w:val="en-US"/>
        </w:rPr>
        <w:t>Patent of invention — Infringement — Want of novelty—New and beneficial results — Subject matter of invention — Purchase of patented device—Estoppel.</w:t>
      </w:r>
    </w:p>
    <w:p w:rsidR="00A4714D" w:rsidRPr="003372A5" w:rsidRDefault="00A4714D" w:rsidP="003372A5">
      <w:pPr>
        <w:pStyle w:val="Summary"/>
        <w:rPr>
          <w:lang w:val="en-US"/>
        </w:rPr>
      </w:pPr>
      <w:r w:rsidRPr="003372A5">
        <w:rPr>
          <w:lang w:val="en-US"/>
        </w:rPr>
        <w:t>The plaintiffs were patentees of a device intended to cheapen and simplify former methods of keeping and rendering statements of accounts by merchants and others, as was claimed, by providing for making entries and invoices by one and the same act on manifolding sheets so folded as to occupy the entire platen of standard typewriters and, at the same time, without waste, to provide a binding margin for the leaf with the book-keeping entry to utilize it as a page in a permanently bound book. The sheets manufactured and sold by the plaintiffs accomplished these ends through being folded so as to form two or three leaves, as required; with two-leaf sheets the upper leaf forming an original or invoice and the lower leaf the duplicate and bookkeeping entry; with three-leaf sheets, the third leaf serving either as a duplicate or to be used as an original duplicated on the reverse side of the centre leaf. In each case the leaves are connected together so as to form one integral sheet with vertical and transverse score lines enabling the invoices, etc., to be easily detached, leaving the permanently retained page and folded margin with perforations to fit binders. The specifications of the patented device succinctly described and illustrated various forms of folding the sheet to secure these advantages. An action for infringement by the defendants using, manufacturing and selling sheets similar to the above described device was dismissed in the Exchequer Court. On appeal to the Supreme Court of Canada:</w:t>
      </w:r>
    </w:p>
    <w:p w:rsidR="00A4714D" w:rsidRPr="003372A5" w:rsidRDefault="00A4714D" w:rsidP="003372A5">
      <w:pPr>
        <w:pStyle w:val="Summary"/>
        <w:rPr>
          <w:szCs w:val="24"/>
          <w:lang w:val="en-US"/>
        </w:rPr>
      </w:pPr>
      <w:r w:rsidRPr="003372A5">
        <w:rPr>
          <w:i/>
          <w:iCs/>
          <w:szCs w:val="24"/>
          <w:lang w:val="en-US"/>
        </w:rPr>
        <w:lastRenderedPageBreak/>
        <w:t xml:space="preserve">Held, </w:t>
      </w:r>
      <w:r w:rsidRPr="003372A5">
        <w:rPr>
          <w:szCs w:val="24"/>
          <w:lang w:val="en-US"/>
        </w:rPr>
        <w:t>affirming the judgment appealed from (10 Ex. C.R. 410) that there was neither subject matter nor novelty in the above device claimed as an invention and, consequently, that it was not patentable.</w:t>
      </w:r>
    </w:p>
    <w:p w:rsidR="00A4714D" w:rsidRPr="003372A5" w:rsidRDefault="003372A5" w:rsidP="003372A5">
      <w:pPr>
        <w:pStyle w:val="Page"/>
        <w:rPr>
          <w:szCs w:val="24"/>
        </w:rPr>
      </w:pPr>
      <w:r w:rsidRPr="003372A5">
        <w:rPr>
          <w:szCs w:val="24"/>
        </w:rPr>
        <w:t xml:space="preserve">[Page </w:t>
      </w:r>
      <w:r w:rsidR="00A4714D" w:rsidRPr="003372A5">
        <w:rPr>
          <w:szCs w:val="24"/>
        </w:rPr>
        <w:t>452]</w:t>
      </w:r>
    </w:p>
    <w:p w:rsidR="00A4714D" w:rsidRPr="003372A5" w:rsidRDefault="00A4714D" w:rsidP="003372A5">
      <w:pPr>
        <w:pStyle w:val="History"/>
        <w:rPr>
          <w:lang w:val="en-US"/>
        </w:rPr>
      </w:pPr>
      <w:r w:rsidRPr="003372A5">
        <w:rPr>
          <w:lang w:val="en-US"/>
        </w:rPr>
        <w:t>Appeal</w:t>
      </w:r>
      <w:r w:rsidRPr="003372A5">
        <w:rPr>
          <w:smallCaps/>
          <w:lang w:val="en-US"/>
        </w:rPr>
        <w:t xml:space="preserve"> </w:t>
      </w:r>
      <w:r w:rsidRPr="003372A5">
        <w:rPr>
          <w:lang w:val="en-US"/>
        </w:rPr>
        <w:t>from the judgment of the Exchequer Court of Canada</w:t>
      </w:r>
      <w:r w:rsidR="003372A5" w:rsidRPr="003372A5">
        <w:rPr>
          <w:rStyle w:val="FootnoteReference"/>
          <w:lang w:val="en-US"/>
        </w:rPr>
        <w:footnoteReference w:id="2"/>
      </w:r>
      <w:r w:rsidRPr="003372A5">
        <w:rPr>
          <w:lang w:val="en-US"/>
        </w:rPr>
        <w:t xml:space="preserve"> dismissing the plaintiffs' action with costs.</w:t>
      </w:r>
    </w:p>
    <w:p w:rsidR="00A4714D" w:rsidRPr="003372A5" w:rsidRDefault="00A4714D" w:rsidP="003372A5">
      <w:pPr>
        <w:pStyle w:val="History"/>
        <w:rPr>
          <w:rFonts w:cs="Arial"/>
          <w:szCs w:val="24"/>
          <w:lang w:val="en-US"/>
        </w:rPr>
      </w:pPr>
      <w:r w:rsidRPr="003372A5">
        <w:rPr>
          <w:rFonts w:cs="Arial"/>
          <w:szCs w:val="24"/>
          <w:lang w:val="en-US"/>
        </w:rPr>
        <w:t>The action was brought against Parquette, trading under the name of "The Montreal Plumbers' Supplies" and Victor Guertin and Henri Guertin, trading as "The Guertin Printing Co.,". to recover damages for infringement of the patent referred to in the head-note and for an injunction against their making, selling or using fold-over bill and charge blanks made on the principle of, or on any principle colourably only differing from, the plaintiffs' alleged inventions, unless the same were manufactured by the plaintiffs or by some person duly licensed by them. It was alleged that Paquette had purchased a quantity of the blanks and afterwards procured the other defendants to manufacture and supply him with blanks. manufactured according to said inventions or upon principles only colourably differing therefrom, at less cost than they could have been purchased from the plaintiffs and had used such infringements in his business to the prejudice and damage of the plaintiffs, although warned against doing so and with full knowledge of the existence of said patents; and that the other defendants had likewise infringed the patents and caused damages to the plaintiffs by so manufacturing and making sales of similar sheets for like purposes. On the issues joined, the judge of the Exchequer Court, by the judgment appealed from (1), dismissed the plaintiff's action with costs.</w:t>
      </w:r>
    </w:p>
    <w:p w:rsidR="00A4714D" w:rsidRPr="003372A5" w:rsidRDefault="00A4714D" w:rsidP="003372A5">
      <w:pPr>
        <w:pStyle w:val="History"/>
        <w:rPr>
          <w:rFonts w:cs="Arial"/>
          <w:szCs w:val="24"/>
          <w:lang w:val="en-US"/>
        </w:rPr>
      </w:pPr>
      <w:r w:rsidRPr="003372A5">
        <w:rPr>
          <w:rFonts w:cs="Arial"/>
          <w:i/>
          <w:iCs/>
          <w:szCs w:val="24"/>
          <w:lang w:val="en-US"/>
        </w:rPr>
        <w:t xml:space="preserve">Raney </w:t>
      </w:r>
      <w:r w:rsidRPr="003372A5">
        <w:rPr>
          <w:rFonts w:cs="Arial"/>
          <w:szCs w:val="24"/>
          <w:lang w:val="en-US"/>
        </w:rPr>
        <w:t>for the appellants. The judgment appealed from is erroneous in holding that there was lack of</w:t>
      </w:r>
    </w:p>
    <w:p w:rsidR="00A4714D" w:rsidRPr="003372A5" w:rsidRDefault="003372A5" w:rsidP="003372A5">
      <w:pPr>
        <w:pStyle w:val="Page"/>
        <w:rPr>
          <w:szCs w:val="24"/>
        </w:rPr>
      </w:pPr>
      <w:r w:rsidRPr="003372A5">
        <w:rPr>
          <w:szCs w:val="24"/>
        </w:rPr>
        <w:t xml:space="preserve">[Page </w:t>
      </w:r>
      <w:r w:rsidR="00A4714D" w:rsidRPr="003372A5">
        <w:rPr>
          <w:szCs w:val="24"/>
        </w:rPr>
        <w:t>453]</w:t>
      </w:r>
    </w:p>
    <w:p w:rsidR="00A4714D" w:rsidRPr="003372A5" w:rsidRDefault="00A4714D" w:rsidP="003372A5">
      <w:pPr>
        <w:pStyle w:val="History"/>
        <w:ind w:firstLine="0"/>
        <w:rPr>
          <w:rFonts w:cs="Arial"/>
          <w:szCs w:val="24"/>
          <w:lang w:val="en-US"/>
        </w:rPr>
      </w:pPr>
      <w:r w:rsidRPr="003372A5">
        <w:rPr>
          <w:rFonts w:cs="Arial"/>
          <w:szCs w:val="24"/>
          <w:lang w:val="en-US"/>
        </w:rPr>
        <w:t xml:space="preserve">subject matter and lack of invention and utility. The patent itself is </w:t>
      </w:r>
      <w:r w:rsidRPr="003372A5">
        <w:rPr>
          <w:rFonts w:cs="Arial"/>
          <w:i/>
          <w:iCs/>
          <w:szCs w:val="24"/>
          <w:lang w:val="en-US"/>
        </w:rPr>
        <w:t xml:space="preserve">prima facie </w:t>
      </w:r>
      <w:r w:rsidRPr="003372A5">
        <w:rPr>
          <w:rFonts w:cs="Arial"/>
          <w:szCs w:val="24"/>
          <w:lang w:val="en-US"/>
        </w:rPr>
        <w:t xml:space="preserve">proof of utility; </w:t>
      </w:r>
      <w:r w:rsidRPr="003372A5">
        <w:rPr>
          <w:rFonts w:cs="Arial"/>
          <w:i/>
          <w:iCs/>
          <w:szCs w:val="24"/>
          <w:lang w:val="en-US"/>
        </w:rPr>
        <w:t xml:space="preserve">Ehrlich </w:t>
      </w:r>
      <w:r w:rsidRPr="003372A5">
        <w:rPr>
          <w:rFonts w:cs="Arial"/>
          <w:szCs w:val="24"/>
          <w:lang w:val="en-US"/>
        </w:rPr>
        <w:t xml:space="preserve">v. </w:t>
      </w:r>
      <w:r w:rsidRPr="003372A5">
        <w:rPr>
          <w:rFonts w:cs="Arial"/>
          <w:i/>
          <w:iCs/>
          <w:szCs w:val="24"/>
          <w:lang w:val="en-US"/>
        </w:rPr>
        <w:t>Ihlee</w:t>
      </w:r>
      <w:r w:rsidR="003372A5" w:rsidRPr="003372A5">
        <w:rPr>
          <w:rStyle w:val="FootnoteReference"/>
          <w:rFonts w:cs="Arial"/>
          <w:i/>
          <w:iCs/>
          <w:szCs w:val="24"/>
          <w:lang w:val="en-US"/>
        </w:rPr>
        <w:footnoteReference w:id="3"/>
      </w:r>
      <w:r w:rsidRPr="003372A5">
        <w:rPr>
          <w:rFonts w:cs="Arial"/>
          <w:i/>
          <w:iCs/>
          <w:szCs w:val="24"/>
          <w:lang w:val="en-US"/>
        </w:rPr>
        <w:t xml:space="preserve"> </w:t>
      </w:r>
      <w:r w:rsidRPr="003372A5">
        <w:rPr>
          <w:rFonts w:cs="Arial"/>
          <w:szCs w:val="24"/>
          <w:lang w:val="en-US"/>
        </w:rPr>
        <w:t xml:space="preserve">at page 449, </w:t>
      </w:r>
      <w:r w:rsidRPr="003372A5">
        <w:rPr>
          <w:rFonts w:cs="Arial"/>
          <w:i/>
          <w:iCs/>
          <w:szCs w:val="24"/>
          <w:lang w:val="en-US"/>
        </w:rPr>
        <w:t xml:space="preserve">per </w:t>
      </w:r>
      <w:r w:rsidRPr="003372A5">
        <w:rPr>
          <w:rFonts w:cs="Arial"/>
          <w:szCs w:val="24"/>
          <w:lang w:val="en-US"/>
        </w:rPr>
        <w:t xml:space="preserve">Cotton L.J. And there is cogent evidence of substantive utility in the case. There is also novelty as the prior acts referred to do not cover the special matters constituting our inventions. Walker on Patents (4 ed.) pars. 56, 57, 64, 65, 66, 75, 76; </w:t>
      </w:r>
      <w:r w:rsidRPr="003372A5">
        <w:rPr>
          <w:rFonts w:cs="Arial"/>
          <w:i/>
          <w:iCs/>
          <w:szCs w:val="24"/>
          <w:lang w:val="en-US"/>
        </w:rPr>
        <w:t xml:space="preserve">Topliff </w:t>
      </w:r>
      <w:r w:rsidRPr="003372A5">
        <w:rPr>
          <w:rFonts w:cs="Arial"/>
          <w:szCs w:val="24"/>
          <w:lang w:val="en-US"/>
        </w:rPr>
        <w:t xml:space="preserve">v. </w:t>
      </w:r>
      <w:r w:rsidRPr="003372A5">
        <w:rPr>
          <w:rFonts w:cs="Arial"/>
          <w:i/>
          <w:iCs/>
          <w:szCs w:val="24"/>
          <w:lang w:val="en-US"/>
        </w:rPr>
        <w:t>Topliff</w:t>
      </w:r>
      <w:r w:rsidR="003372A5" w:rsidRPr="003372A5">
        <w:rPr>
          <w:rStyle w:val="FootnoteReference"/>
          <w:rFonts w:cs="Arial"/>
          <w:i/>
          <w:iCs/>
          <w:szCs w:val="24"/>
          <w:lang w:val="en-US"/>
        </w:rPr>
        <w:footnoteReference w:id="4"/>
      </w:r>
      <w:r w:rsidRPr="003372A5">
        <w:rPr>
          <w:rFonts w:cs="Arial"/>
          <w:szCs w:val="24"/>
          <w:lang w:val="en-US"/>
        </w:rPr>
        <w:t xml:space="preserve">; </w:t>
      </w:r>
      <w:r w:rsidRPr="003372A5">
        <w:rPr>
          <w:rFonts w:cs="Arial"/>
          <w:i/>
          <w:iCs/>
          <w:szCs w:val="24"/>
          <w:lang w:val="en-US"/>
        </w:rPr>
        <w:t>Fawcett v Homan</w:t>
      </w:r>
      <w:r w:rsidR="003372A5" w:rsidRPr="003372A5">
        <w:rPr>
          <w:rStyle w:val="FootnoteReference"/>
          <w:rFonts w:cs="Arial"/>
          <w:i/>
          <w:iCs/>
          <w:szCs w:val="24"/>
          <w:lang w:val="en-US"/>
        </w:rPr>
        <w:footnoteReference w:id="5"/>
      </w:r>
      <w:r w:rsidRPr="003372A5">
        <w:rPr>
          <w:rFonts w:cs="Arial"/>
          <w:szCs w:val="24"/>
          <w:lang w:val="en-US"/>
        </w:rPr>
        <w:t xml:space="preserve">, </w:t>
      </w:r>
      <w:r w:rsidRPr="003372A5">
        <w:rPr>
          <w:rFonts w:cs="Arial"/>
          <w:i/>
          <w:iCs/>
          <w:szCs w:val="24"/>
          <w:lang w:val="en-US"/>
        </w:rPr>
        <w:t xml:space="preserve">per </w:t>
      </w:r>
      <w:r w:rsidRPr="003372A5">
        <w:rPr>
          <w:rFonts w:cs="Arial"/>
          <w:szCs w:val="24"/>
          <w:lang w:val="en-US"/>
        </w:rPr>
        <w:t xml:space="preserve">Rigby L.J. at page 410; Terrell on Patents (4 ed.) page 99; </w:t>
      </w:r>
      <w:r w:rsidRPr="003372A5">
        <w:rPr>
          <w:rFonts w:cs="Arial"/>
          <w:i/>
          <w:iCs/>
          <w:szCs w:val="24"/>
          <w:lang w:val="en-US"/>
        </w:rPr>
        <w:t xml:space="preserve">Hoe </w:t>
      </w:r>
      <w:r w:rsidRPr="003372A5">
        <w:rPr>
          <w:rFonts w:cs="Arial"/>
          <w:szCs w:val="24"/>
          <w:lang w:val="en-US"/>
        </w:rPr>
        <w:t xml:space="preserve">v. </w:t>
      </w:r>
      <w:r w:rsidRPr="003372A5">
        <w:rPr>
          <w:rFonts w:cs="Arial"/>
          <w:i/>
          <w:iCs/>
          <w:szCs w:val="24"/>
          <w:lang w:val="en-US"/>
        </w:rPr>
        <w:t>Cottrell</w:t>
      </w:r>
      <w:r w:rsidR="003372A5" w:rsidRPr="003372A5">
        <w:rPr>
          <w:rStyle w:val="FootnoteReference"/>
          <w:rFonts w:cs="Arial"/>
          <w:i/>
          <w:iCs/>
          <w:szCs w:val="24"/>
          <w:lang w:val="en-US"/>
        </w:rPr>
        <w:footnoteReference w:id="6"/>
      </w:r>
      <w:r w:rsidRPr="003372A5">
        <w:rPr>
          <w:rFonts w:cs="Arial"/>
          <w:szCs w:val="24"/>
          <w:lang w:val="en-US"/>
        </w:rPr>
        <w:t xml:space="preserve">, at page 603; </w:t>
      </w:r>
      <w:r w:rsidRPr="003372A5">
        <w:rPr>
          <w:rFonts w:cs="Arial"/>
          <w:i/>
          <w:iCs/>
          <w:szCs w:val="24"/>
          <w:lang w:val="en-US"/>
        </w:rPr>
        <w:t xml:space="preserve">Potts </w:t>
      </w:r>
      <w:r w:rsidRPr="003372A5">
        <w:rPr>
          <w:rFonts w:cs="Arial"/>
          <w:szCs w:val="24"/>
          <w:lang w:val="en-US"/>
        </w:rPr>
        <w:t xml:space="preserve">v. </w:t>
      </w:r>
      <w:r w:rsidRPr="003372A5">
        <w:rPr>
          <w:rFonts w:cs="Arial"/>
          <w:i/>
          <w:iCs/>
          <w:szCs w:val="24"/>
          <w:lang w:val="en-US"/>
        </w:rPr>
        <w:t>Creager</w:t>
      </w:r>
      <w:r w:rsidR="003372A5" w:rsidRPr="003372A5">
        <w:rPr>
          <w:rStyle w:val="FootnoteReference"/>
          <w:rFonts w:cs="Arial"/>
          <w:i/>
          <w:iCs/>
          <w:szCs w:val="24"/>
          <w:lang w:val="en-US"/>
        </w:rPr>
        <w:footnoteReference w:id="7"/>
      </w:r>
      <w:r w:rsidRPr="003372A5">
        <w:rPr>
          <w:rFonts w:cs="Arial"/>
          <w:szCs w:val="24"/>
          <w:lang w:val="en-US"/>
        </w:rPr>
        <w:t xml:space="preserve">; </w:t>
      </w:r>
      <w:r w:rsidRPr="003372A5">
        <w:rPr>
          <w:rFonts w:cs="Arial"/>
          <w:i/>
          <w:iCs/>
          <w:szCs w:val="24"/>
          <w:lang w:val="en-US"/>
        </w:rPr>
        <w:t xml:space="preserve">Marvin </w:t>
      </w:r>
      <w:r w:rsidRPr="003372A5">
        <w:rPr>
          <w:rFonts w:cs="Arial"/>
          <w:szCs w:val="24"/>
          <w:lang w:val="en-US"/>
        </w:rPr>
        <w:t xml:space="preserve">v </w:t>
      </w:r>
      <w:r w:rsidRPr="003372A5">
        <w:rPr>
          <w:rFonts w:cs="Arial"/>
          <w:i/>
          <w:iCs/>
          <w:szCs w:val="24"/>
          <w:lang w:val="en-US"/>
        </w:rPr>
        <w:t>Cotshall</w:t>
      </w:r>
      <w:r w:rsidR="003372A5" w:rsidRPr="003372A5">
        <w:rPr>
          <w:rStyle w:val="FootnoteReference"/>
          <w:rFonts w:cs="Arial"/>
          <w:i/>
          <w:iCs/>
          <w:szCs w:val="24"/>
          <w:lang w:val="en-US"/>
        </w:rPr>
        <w:footnoteReference w:id="8"/>
      </w:r>
      <w:r w:rsidRPr="003372A5">
        <w:rPr>
          <w:rFonts w:cs="Arial"/>
          <w:szCs w:val="24"/>
          <w:lang w:val="en-US"/>
        </w:rPr>
        <w:t>. There is a presumption in favour of novelty which should not be disregarded in the absence of clear proof.</w:t>
      </w:r>
    </w:p>
    <w:p w:rsidR="00A4714D" w:rsidRPr="003372A5" w:rsidRDefault="00A4714D" w:rsidP="003372A5">
      <w:pPr>
        <w:pStyle w:val="History"/>
        <w:rPr>
          <w:rFonts w:cs="Arial"/>
          <w:szCs w:val="24"/>
          <w:lang w:val="en-US"/>
        </w:rPr>
      </w:pPr>
      <w:r w:rsidRPr="003372A5">
        <w:rPr>
          <w:rFonts w:cs="Arial"/>
          <w:szCs w:val="24"/>
          <w:lang w:val="en-US"/>
        </w:rPr>
        <w:lastRenderedPageBreak/>
        <w:t xml:space="preserve">There is no evidence to support the defence of want of novelty and want of subject matter of invention. The court should not, therefore, presume what are matters of fact requiring proof as such. </w:t>
      </w:r>
      <w:r w:rsidRPr="003372A5">
        <w:rPr>
          <w:rFonts w:cs="Arial"/>
          <w:i/>
          <w:iCs/>
          <w:szCs w:val="24"/>
          <w:lang w:val="en-US"/>
        </w:rPr>
        <w:t xml:space="preserve">Lancashire Explosives Co. </w:t>
      </w:r>
      <w:r w:rsidRPr="003372A5">
        <w:rPr>
          <w:rFonts w:cs="Arial"/>
          <w:szCs w:val="24"/>
          <w:lang w:val="en-US"/>
        </w:rPr>
        <w:t xml:space="preserve">v. </w:t>
      </w:r>
      <w:r w:rsidRPr="003372A5">
        <w:rPr>
          <w:rFonts w:cs="Arial"/>
          <w:i/>
          <w:iCs/>
          <w:szCs w:val="24"/>
          <w:lang w:val="en-US"/>
        </w:rPr>
        <w:t>Roburite Explosives Co.</w:t>
      </w:r>
      <w:r w:rsidR="003372A5" w:rsidRPr="003372A5">
        <w:rPr>
          <w:rStyle w:val="FootnoteReference"/>
          <w:rFonts w:cs="Arial"/>
          <w:i/>
          <w:iCs/>
          <w:szCs w:val="24"/>
          <w:lang w:val="en-US"/>
        </w:rPr>
        <w:footnoteReference w:id="9"/>
      </w:r>
      <w:r w:rsidRPr="003372A5">
        <w:rPr>
          <w:rFonts w:cs="Arial"/>
          <w:szCs w:val="24"/>
          <w:lang w:val="en-US"/>
        </w:rPr>
        <w:t xml:space="preserve">; </w:t>
      </w:r>
      <w:r w:rsidRPr="003372A5">
        <w:rPr>
          <w:rFonts w:cs="Arial"/>
          <w:i/>
          <w:iCs/>
          <w:szCs w:val="24"/>
          <w:lang w:val="en-US"/>
        </w:rPr>
        <w:t xml:space="preserve">Longbottom </w:t>
      </w:r>
      <w:r w:rsidRPr="003372A5">
        <w:rPr>
          <w:rFonts w:cs="Arial"/>
          <w:szCs w:val="24"/>
          <w:lang w:val="en-US"/>
        </w:rPr>
        <w:t xml:space="preserve">v. </w:t>
      </w:r>
      <w:r w:rsidRPr="003372A5">
        <w:rPr>
          <w:rFonts w:cs="Arial"/>
          <w:i/>
          <w:iCs/>
          <w:szCs w:val="24"/>
          <w:lang w:val="en-US"/>
        </w:rPr>
        <w:t>Shaw</w:t>
      </w:r>
      <w:r w:rsidR="003372A5" w:rsidRPr="003372A5">
        <w:rPr>
          <w:rStyle w:val="FootnoteReference"/>
          <w:rFonts w:cs="Arial"/>
          <w:i/>
          <w:iCs/>
          <w:szCs w:val="24"/>
          <w:lang w:val="en-US"/>
        </w:rPr>
        <w:footnoteReference w:id="10"/>
      </w:r>
      <w:r w:rsidRPr="003372A5">
        <w:rPr>
          <w:rFonts w:cs="Arial"/>
          <w:szCs w:val="24"/>
          <w:lang w:val="en-US"/>
        </w:rPr>
        <w:t xml:space="preserve">; </w:t>
      </w:r>
      <w:r w:rsidRPr="003372A5">
        <w:rPr>
          <w:rFonts w:cs="Arial"/>
          <w:i/>
          <w:iCs/>
          <w:szCs w:val="24"/>
          <w:lang w:val="en-US"/>
        </w:rPr>
        <w:t xml:space="preserve">Lyon </w:t>
      </w:r>
      <w:r w:rsidRPr="003372A5">
        <w:rPr>
          <w:rFonts w:cs="Arial"/>
          <w:szCs w:val="24"/>
          <w:lang w:val="en-US"/>
        </w:rPr>
        <w:t xml:space="preserve">v. </w:t>
      </w:r>
      <w:r w:rsidRPr="003372A5">
        <w:rPr>
          <w:rFonts w:cs="Arial"/>
          <w:i/>
          <w:iCs/>
          <w:szCs w:val="24"/>
          <w:lang w:val="en-US"/>
        </w:rPr>
        <w:t>Goddard</w:t>
      </w:r>
      <w:r w:rsidR="003372A5" w:rsidRPr="003372A5">
        <w:rPr>
          <w:rStyle w:val="FootnoteReference"/>
          <w:rFonts w:cs="Arial"/>
          <w:i/>
          <w:iCs/>
          <w:szCs w:val="24"/>
          <w:lang w:val="en-US"/>
        </w:rPr>
        <w:footnoteReference w:id="11"/>
      </w:r>
      <w:r w:rsidRPr="003372A5">
        <w:rPr>
          <w:rFonts w:cs="Arial"/>
          <w:szCs w:val="24"/>
          <w:lang w:val="en-US"/>
        </w:rPr>
        <w:t xml:space="preserve">; </w:t>
      </w:r>
      <w:r w:rsidRPr="003372A5">
        <w:rPr>
          <w:rFonts w:cs="Arial"/>
          <w:i/>
          <w:iCs/>
          <w:szCs w:val="24"/>
          <w:lang w:val="en-US"/>
        </w:rPr>
        <w:t xml:space="preserve">Reiter </w:t>
      </w:r>
      <w:r w:rsidRPr="003372A5">
        <w:rPr>
          <w:rFonts w:cs="Arial"/>
          <w:szCs w:val="24"/>
          <w:lang w:val="en-US"/>
        </w:rPr>
        <w:t xml:space="preserve">v. </w:t>
      </w:r>
      <w:r w:rsidRPr="003372A5">
        <w:rPr>
          <w:rFonts w:cs="Arial"/>
          <w:i/>
          <w:iCs/>
          <w:szCs w:val="24"/>
          <w:lang w:val="en-US"/>
        </w:rPr>
        <w:t>Jones</w:t>
      </w:r>
      <w:r w:rsidR="003372A5" w:rsidRPr="003372A5">
        <w:rPr>
          <w:rStyle w:val="FootnoteReference"/>
          <w:rFonts w:cs="Arial"/>
          <w:i/>
          <w:iCs/>
          <w:szCs w:val="24"/>
          <w:lang w:val="en-US"/>
        </w:rPr>
        <w:footnoteReference w:id="12"/>
      </w:r>
      <w:r w:rsidRPr="003372A5">
        <w:rPr>
          <w:rFonts w:cs="Arial"/>
          <w:szCs w:val="24"/>
          <w:lang w:val="en-US"/>
        </w:rPr>
        <w:t xml:space="preserve">; Simplicity is no objection; </w:t>
      </w:r>
      <w:r w:rsidRPr="003372A5">
        <w:rPr>
          <w:rFonts w:cs="Arial"/>
          <w:i/>
          <w:iCs/>
          <w:szCs w:val="24"/>
          <w:lang w:val="en-US"/>
        </w:rPr>
        <w:t xml:space="preserve">Vickers, Sons &amp; Co. </w:t>
      </w:r>
      <w:r w:rsidRPr="003372A5">
        <w:rPr>
          <w:rFonts w:cs="Arial"/>
          <w:szCs w:val="24"/>
          <w:lang w:val="en-US"/>
        </w:rPr>
        <w:t xml:space="preserve">v. </w:t>
      </w:r>
      <w:r w:rsidRPr="003372A5">
        <w:rPr>
          <w:rFonts w:cs="Arial"/>
          <w:i/>
          <w:iCs/>
          <w:szCs w:val="24"/>
          <w:lang w:val="en-US"/>
        </w:rPr>
        <w:t>Siddell</w:t>
      </w:r>
      <w:r w:rsidR="003372A5" w:rsidRPr="003372A5">
        <w:rPr>
          <w:rStyle w:val="FootnoteReference"/>
          <w:rFonts w:cs="Arial"/>
          <w:i/>
          <w:iCs/>
          <w:szCs w:val="24"/>
          <w:lang w:val="en-US"/>
        </w:rPr>
        <w:footnoteReference w:id="13"/>
      </w:r>
      <w:r w:rsidRPr="003372A5">
        <w:rPr>
          <w:rFonts w:cs="Arial"/>
          <w:szCs w:val="24"/>
          <w:lang w:val="en-US"/>
        </w:rPr>
        <w:t xml:space="preserve">; </w:t>
      </w:r>
      <w:r w:rsidRPr="003372A5">
        <w:rPr>
          <w:rFonts w:cs="Arial"/>
          <w:i/>
          <w:iCs/>
          <w:szCs w:val="24"/>
          <w:lang w:val="en-US"/>
        </w:rPr>
        <w:t xml:space="preserve">Hinks </w:t>
      </w:r>
      <w:r w:rsidRPr="003372A5">
        <w:rPr>
          <w:rFonts w:cs="Arial"/>
          <w:szCs w:val="24"/>
          <w:lang w:val="en-US"/>
        </w:rPr>
        <w:t xml:space="preserve">v. </w:t>
      </w:r>
      <w:r w:rsidRPr="003372A5">
        <w:rPr>
          <w:rFonts w:cs="Arial"/>
          <w:i/>
          <w:iCs/>
          <w:szCs w:val="24"/>
          <w:lang w:val="en-US"/>
        </w:rPr>
        <w:t>Safety Lighting Co.</w:t>
      </w:r>
      <w:r w:rsidR="003372A5" w:rsidRPr="003372A5">
        <w:rPr>
          <w:rStyle w:val="FootnoteReference"/>
          <w:rFonts w:cs="Arial"/>
          <w:i/>
          <w:iCs/>
          <w:szCs w:val="24"/>
          <w:lang w:val="en-US"/>
        </w:rPr>
        <w:footnoteReference w:id="14"/>
      </w:r>
      <w:r w:rsidRPr="003372A5">
        <w:rPr>
          <w:rFonts w:cs="Arial"/>
          <w:szCs w:val="24"/>
          <w:lang w:val="en-US"/>
        </w:rPr>
        <w:t xml:space="preserve">; </w:t>
      </w:r>
      <w:r w:rsidRPr="003372A5">
        <w:rPr>
          <w:rFonts w:cs="Arial"/>
          <w:i/>
          <w:iCs/>
          <w:szCs w:val="24"/>
          <w:lang w:val="en-US"/>
        </w:rPr>
        <w:t xml:space="preserve">Perry </w:t>
      </w:r>
      <w:r w:rsidRPr="003372A5">
        <w:rPr>
          <w:rFonts w:cs="Arial"/>
          <w:szCs w:val="24"/>
          <w:lang w:val="en-US"/>
        </w:rPr>
        <w:t xml:space="preserve">v. </w:t>
      </w:r>
      <w:r w:rsidRPr="003372A5">
        <w:rPr>
          <w:rFonts w:cs="Arial"/>
          <w:i/>
          <w:iCs/>
          <w:szCs w:val="24"/>
          <w:lang w:val="fr-FR"/>
        </w:rPr>
        <w:t>Société des Lunetiers</w:t>
      </w:r>
      <w:r w:rsidR="003372A5" w:rsidRPr="003372A5">
        <w:rPr>
          <w:rStyle w:val="FootnoteReference"/>
          <w:rFonts w:cs="Arial"/>
          <w:i/>
          <w:iCs/>
          <w:szCs w:val="24"/>
          <w:lang w:val="fr-FR"/>
        </w:rPr>
        <w:footnoteReference w:id="15"/>
      </w:r>
      <w:r w:rsidRPr="003372A5">
        <w:rPr>
          <w:rFonts w:cs="Arial"/>
          <w:szCs w:val="24"/>
          <w:lang w:val="en-US"/>
        </w:rPr>
        <w:t xml:space="preserve">; </w:t>
      </w:r>
      <w:r w:rsidRPr="003372A5">
        <w:rPr>
          <w:rFonts w:cs="Arial"/>
          <w:i/>
          <w:iCs/>
          <w:szCs w:val="24"/>
          <w:lang w:val="en-US"/>
        </w:rPr>
        <w:t xml:space="preserve">Williams </w:t>
      </w:r>
      <w:r w:rsidRPr="003372A5">
        <w:rPr>
          <w:rFonts w:cs="Arial"/>
          <w:szCs w:val="24"/>
          <w:lang w:val="en-US"/>
        </w:rPr>
        <w:t xml:space="preserve">v. </w:t>
      </w:r>
      <w:r w:rsidRPr="003372A5">
        <w:rPr>
          <w:rFonts w:cs="Arial"/>
          <w:i/>
          <w:iCs/>
          <w:szCs w:val="24"/>
          <w:lang w:val="en-US"/>
        </w:rPr>
        <w:t>American String-Wrapper Co.</w:t>
      </w:r>
      <w:r w:rsidR="003372A5" w:rsidRPr="003372A5">
        <w:rPr>
          <w:rStyle w:val="FootnoteReference"/>
          <w:rFonts w:cs="Arial"/>
          <w:i/>
          <w:iCs/>
          <w:szCs w:val="24"/>
          <w:lang w:val="en-US"/>
        </w:rPr>
        <w:footnoteReference w:id="16"/>
      </w:r>
      <w:r w:rsidRPr="003372A5">
        <w:rPr>
          <w:rFonts w:cs="Arial"/>
          <w:szCs w:val="24"/>
          <w:lang w:val="en-US"/>
        </w:rPr>
        <w:t>. The courts uphold patents where there is an appreciable germ of invention; Fulton on Patents, (3 ed.) p. 59. The merit is in conceiving the</w:t>
      </w:r>
    </w:p>
    <w:p w:rsidR="00A4714D" w:rsidRPr="003372A5" w:rsidRDefault="003372A5" w:rsidP="003372A5">
      <w:pPr>
        <w:pStyle w:val="Page"/>
        <w:rPr>
          <w:szCs w:val="24"/>
        </w:rPr>
      </w:pPr>
      <w:r w:rsidRPr="003372A5">
        <w:rPr>
          <w:szCs w:val="24"/>
        </w:rPr>
        <w:t xml:space="preserve">[Page </w:t>
      </w:r>
      <w:r w:rsidR="00A4714D" w:rsidRPr="003372A5">
        <w:rPr>
          <w:szCs w:val="24"/>
        </w:rPr>
        <w:t>454]</w:t>
      </w:r>
    </w:p>
    <w:p w:rsidR="00A4714D" w:rsidRPr="003372A5" w:rsidRDefault="00A4714D" w:rsidP="003372A5">
      <w:pPr>
        <w:pStyle w:val="History"/>
        <w:ind w:firstLine="0"/>
        <w:rPr>
          <w:rFonts w:cs="Arial"/>
          <w:szCs w:val="24"/>
          <w:lang w:val="en-US"/>
        </w:rPr>
      </w:pPr>
      <w:r w:rsidRPr="003372A5">
        <w:rPr>
          <w:rFonts w:cs="Arial"/>
          <w:szCs w:val="24"/>
          <w:lang w:val="en-US"/>
        </w:rPr>
        <w:t xml:space="preserve">idea; </w:t>
      </w:r>
      <w:r w:rsidRPr="003372A5">
        <w:rPr>
          <w:rFonts w:cs="Arial"/>
          <w:i/>
          <w:iCs/>
          <w:szCs w:val="24"/>
          <w:lang w:val="en-US"/>
        </w:rPr>
        <w:t xml:space="preserve">per </w:t>
      </w:r>
      <w:r w:rsidRPr="003372A5">
        <w:rPr>
          <w:rFonts w:cs="Arial"/>
          <w:szCs w:val="24"/>
          <w:lang w:val="en-US"/>
        </w:rPr>
        <w:t xml:space="preserve">Rigby L.J. in </w:t>
      </w:r>
      <w:r w:rsidRPr="003372A5">
        <w:rPr>
          <w:rFonts w:cs="Arial"/>
          <w:i/>
          <w:iCs/>
          <w:szCs w:val="24"/>
          <w:lang w:val="en-US"/>
        </w:rPr>
        <w:t xml:space="preserve">Fawcett </w:t>
      </w:r>
      <w:r w:rsidRPr="003372A5">
        <w:rPr>
          <w:rFonts w:cs="Arial"/>
          <w:szCs w:val="24"/>
          <w:lang w:val="en-US"/>
        </w:rPr>
        <w:t xml:space="preserve">v. </w:t>
      </w:r>
      <w:r w:rsidRPr="003372A5">
        <w:rPr>
          <w:rFonts w:cs="Arial"/>
          <w:i/>
          <w:iCs/>
          <w:szCs w:val="24"/>
          <w:lang w:val="en-US"/>
        </w:rPr>
        <w:t>Homan</w:t>
      </w:r>
      <w:r w:rsidR="003372A5" w:rsidRPr="003372A5">
        <w:rPr>
          <w:rStyle w:val="FootnoteReference"/>
          <w:rFonts w:cs="Arial"/>
          <w:i/>
          <w:iCs/>
          <w:szCs w:val="24"/>
          <w:lang w:val="en-US"/>
        </w:rPr>
        <w:footnoteReference w:id="17"/>
      </w:r>
      <w:r w:rsidRPr="003372A5">
        <w:rPr>
          <w:rFonts w:cs="Arial"/>
          <w:szCs w:val="24"/>
          <w:lang w:val="en-US"/>
        </w:rPr>
        <w:t xml:space="preserve">, at p. 410; See also </w:t>
      </w:r>
      <w:r w:rsidRPr="003372A5">
        <w:rPr>
          <w:rFonts w:cs="Arial"/>
          <w:i/>
          <w:iCs/>
          <w:szCs w:val="24"/>
          <w:lang w:val="en-US"/>
        </w:rPr>
        <w:t xml:space="preserve">Taylor &amp; Scott </w:t>
      </w:r>
      <w:r w:rsidRPr="003372A5">
        <w:rPr>
          <w:rFonts w:cs="Arial"/>
          <w:szCs w:val="24"/>
          <w:lang w:val="en-US"/>
        </w:rPr>
        <w:t xml:space="preserve">v. </w:t>
      </w:r>
      <w:r w:rsidRPr="003372A5">
        <w:rPr>
          <w:rFonts w:cs="Arial"/>
          <w:i/>
          <w:iCs/>
          <w:szCs w:val="24"/>
          <w:lang w:val="de-DE"/>
        </w:rPr>
        <w:t>Armand</w:t>
      </w:r>
      <w:r w:rsidR="003372A5" w:rsidRPr="003372A5">
        <w:rPr>
          <w:rStyle w:val="FootnoteReference"/>
          <w:rFonts w:cs="Arial"/>
          <w:i/>
          <w:iCs/>
          <w:szCs w:val="24"/>
          <w:lang w:val="de-DE"/>
        </w:rPr>
        <w:footnoteReference w:id="18"/>
      </w:r>
      <w:r w:rsidRPr="003372A5">
        <w:rPr>
          <w:rFonts w:cs="Arial"/>
          <w:szCs w:val="24"/>
          <w:lang w:val="en-US"/>
        </w:rPr>
        <w:t>,</w:t>
      </w:r>
      <w:r w:rsidRPr="003372A5">
        <w:rPr>
          <w:rFonts w:cs="Arial"/>
          <w:i/>
          <w:iCs/>
          <w:szCs w:val="24"/>
          <w:lang w:val="en-US"/>
        </w:rPr>
        <w:t xml:space="preserve"> </w:t>
      </w:r>
      <w:r w:rsidRPr="003372A5">
        <w:rPr>
          <w:rFonts w:cs="Arial"/>
          <w:szCs w:val="24"/>
          <w:lang w:val="en-US"/>
        </w:rPr>
        <w:t xml:space="preserve">per </w:t>
      </w:r>
      <w:r w:rsidRPr="003372A5">
        <w:rPr>
          <w:rFonts w:cs="Arial"/>
          <w:szCs w:val="24"/>
          <w:lang w:val="de-DE"/>
        </w:rPr>
        <w:t xml:space="preserve">Romer </w:t>
      </w:r>
      <w:r w:rsidRPr="003372A5">
        <w:rPr>
          <w:rFonts w:cs="Arial"/>
          <w:szCs w:val="24"/>
          <w:lang w:val="en-US"/>
        </w:rPr>
        <w:t xml:space="preserve">L.J. at p. 136. We have a new device with a new mechanical operation involving the exercise of original thought, although the separate parts or elements may be old; </w:t>
      </w:r>
      <w:r w:rsidRPr="003372A5">
        <w:rPr>
          <w:rFonts w:cs="Arial"/>
          <w:i/>
          <w:iCs/>
          <w:szCs w:val="24"/>
          <w:lang w:val="en-US"/>
        </w:rPr>
        <w:t xml:space="preserve">Wilkins Shoe-Button Fastener Co. </w:t>
      </w:r>
      <w:r w:rsidRPr="003372A5">
        <w:rPr>
          <w:rFonts w:cs="Arial"/>
          <w:szCs w:val="24"/>
          <w:lang w:val="en-US"/>
        </w:rPr>
        <w:t xml:space="preserve">v. </w:t>
      </w:r>
      <w:r w:rsidRPr="003372A5">
        <w:rPr>
          <w:rFonts w:cs="Arial"/>
          <w:i/>
          <w:iCs/>
          <w:szCs w:val="24"/>
          <w:lang w:val="en-US"/>
        </w:rPr>
        <w:t>Webb</w:t>
      </w:r>
      <w:r w:rsidR="003372A5" w:rsidRPr="003372A5">
        <w:rPr>
          <w:rStyle w:val="FootnoteReference"/>
          <w:rFonts w:cs="Arial"/>
          <w:i/>
          <w:iCs/>
          <w:szCs w:val="24"/>
          <w:lang w:val="en-US"/>
        </w:rPr>
        <w:footnoteReference w:id="19"/>
      </w:r>
      <w:r w:rsidRPr="003372A5">
        <w:rPr>
          <w:rFonts w:cs="Arial"/>
          <w:szCs w:val="24"/>
          <w:lang w:val="en-US"/>
        </w:rPr>
        <w:t>;</w:t>
      </w:r>
      <w:r w:rsidRPr="003372A5">
        <w:rPr>
          <w:rFonts w:cs="Arial"/>
          <w:i/>
          <w:iCs/>
          <w:szCs w:val="24"/>
          <w:lang w:val="en-US"/>
        </w:rPr>
        <w:t xml:space="preserve"> McMichael &amp; Wildman Mfg. Co. </w:t>
      </w:r>
      <w:r w:rsidRPr="003372A5">
        <w:rPr>
          <w:rFonts w:cs="Arial"/>
          <w:szCs w:val="24"/>
          <w:lang w:val="en-US"/>
        </w:rPr>
        <w:t xml:space="preserve">v. </w:t>
      </w:r>
      <w:r w:rsidRPr="003372A5">
        <w:rPr>
          <w:rFonts w:cs="Arial"/>
          <w:i/>
          <w:iCs/>
          <w:szCs w:val="24"/>
          <w:lang w:val="en-US"/>
        </w:rPr>
        <w:t>Staf-ford</w:t>
      </w:r>
      <w:r w:rsidR="003372A5" w:rsidRPr="003372A5">
        <w:rPr>
          <w:rStyle w:val="FootnoteReference"/>
          <w:rFonts w:cs="Arial"/>
          <w:i/>
          <w:iCs/>
          <w:szCs w:val="24"/>
          <w:lang w:val="en-US"/>
        </w:rPr>
        <w:footnoteReference w:id="20"/>
      </w:r>
      <w:r w:rsidRPr="003372A5">
        <w:rPr>
          <w:rFonts w:cs="Arial"/>
          <w:szCs w:val="24"/>
          <w:lang w:val="en-US"/>
        </w:rPr>
        <w:t>;</w:t>
      </w:r>
      <w:r w:rsidRPr="003372A5">
        <w:rPr>
          <w:rFonts w:cs="Arial"/>
          <w:i/>
          <w:iCs/>
          <w:szCs w:val="24"/>
          <w:lang w:val="en-US"/>
        </w:rPr>
        <w:t xml:space="preserve"> Rubber Tire Wheel Co. </w:t>
      </w:r>
      <w:r w:rsidRPr="003372A5">
        <w:rPr>
          <w:rFonts w:cs="Arial"/>
          <w:szCs w:val="24"/>
          <w:lang w:val="en-US"/>
        </w:rPr>
        <w:t xml:space="preserve">v. </w:t>
      </w:r>
      <w:r w:rsidRPr="003372A5">
        <w:rPr>
          <w:rFonts w:cs="Arial"/>
          <w:i/>
          <w:iCs/>
          <w:szCs w:val="24"/>
          <w:lang w:val="en-US"/>
        </w:rPr>
        <w:t>Columbia Pneumatic Wagon Wheel Co.</w:t>
      </w:r>
      <w:r w:rsidR="003372A5" w:rsidRPr="003372A5">
        <w:rPr>
          <w:rStyle w:val="FootnoteReference"/>
          <w:rFonts w:cs="Arial"/>
          <w:i/>
          <w:iCs/>
          <w:szCs w:val="24"/>
          <w:lang w:val="en-US"/>
        </w:rPr>
        <w:footnoteReference w:id="21"/>
      </w:r>
      <w:r w:rsidRPr="003372A5">
        <w:rPr>
          <w:rFonts w:cs="Arial"/>
          <w:szCs w:val="24"/>
          <w:lang w:val="en-US"/>
        </w:rPr>
        <w:t xml:space="preserve">; </w:t>
      </w:r>
      <w:r w:rsidRPr="003372A5">
        <w:rPr>
          <w:rFonts w:cs="Arial"/>
          <w:i/>
          <w:iCs/>
          <w:szCs w:val="24"/>
          <w:lang w:val="en-US"/>
        </w:rPr>
        <w:t xml:space="preserve">The Grip Printing and Publishing Co. </w:t>
      </w:r>
      <w:r w:rsidRPr="003372A5">
        <w:rPr>
          <w:rFonts w:cs="Arial"/>
          <w:szCs w:val="24"/>
          <w:lang w:val="en-US"/>
        </w:rPr>
        <w:t xml:space="preserve">v. </w:t>
      </w:r>
      <w:r w:rsidRPr="003372A5">
        <w:rPr>
          <w:rFonts w:cs="Arial"/>
          <w:i/>
          <w:iCs/>
          <w:szCs w:val="24"/>
          <w:lang w:val="de-DE"/>
        </w:rPr>
        <w:t>Butterfield</w:t>
      </w:r>
      <w:r w:rsidR="003372A5" w:rsidRPr="003372A5">
        <w:rPr>
          <w:rStyle w:val="FootnoteReference"/>
          <w:rFonts w:cs="Arial"/>
          <w:i/>
          <w:iCs/>
          <w:szCs w:val="24"/>
          <w:lang w:val="de-DE"/>
        </w:rPr>
        <w:footnoteReference w:id="22"/>
      </w:r>
      <w:r w:rsidRPr="003372A5">
        <w:rPr>
          <w:rFonts w:cs="Arial"/>
          <w:szCs w:val="24"/>
          <w:lang w:val="en-US"/>
        </w:rPr>
        <w:t>;</w:t>
      </w:r>
      <w:r w:rsidRPr="003372A5">
        <w:rPr>
          <w:rFonts w:cs="Arial"/>
          <w:i/>
          <w:iCs/>
          <w:szCs w:val="24"/>
          <w:lang w:val="en-US"/>
        </w:rPr>
        <w:t xml:space="preserve"> Carter Crume Co. v. American Sales Book Co.</w:t>
      </w:r>
      <w:r w:rsidR="003372A5" w:rsidRPr="003372A5">
        <w:rPr>
          <w:rStyle w:val="FootnoteReference"/>
          <w:rFonts w:cs="Arial"/>
          <w:i/>
          <w:iCs/>
          <w:szCs w:val="24"/>
          <w:lang w:val="en-US"/>
        </w:rPr>
        <w:footnoteReference w:id="23"/>
      </w:r>
      <w:r w:rsidRPr="003372A5">
        <w:rPr>
          <w:rFonts w:cs="Arial"/>
          <w:szCs w:val="24"/>
          <w:lang w:val="en-US"/>
        </w:rPr>
        <w:t>.</w:t>
      </w:r>
    </w:p>
    <w:p w:rsidR="00A4714D" w:rsidRPr="003372A5" w:rsidRDefault="00A4714D" w:rsidP="003372A5">
      <w:pPr>
        <w:pStyle w:val="History"/>
        <w:rPr>
          <w:rFonts w:cs="Arial"/>
          <w:i/>
          <w:iCs/>
          <w:szCs w:val="24"/>
          <w:lang w:val="de-DE"/>
        </w:rPr>
      </w:pPr>
      <w:r w:rsidRPr="003372A5">
        <w:rPr>
          <w:rFonts w:cs="Arial"/>
          <w:szCs w:val="24"/>
          <w:lang w:val="en-US"/>
        </w:rPr>
        <w:t xml:space="preserve">The defendant Paquette purchased from the appellants sheets made according to the specification of the patent in suit and was still using those sheets when the action was brought, and when he was examined for discovery in the action. When he purchased those sheets he became the licensee of the appellants, and he remains their licensee as long as he continues to use the sheets. As a consequence, it is not open to him to dispute the validity of the patent; </w:t>
      </w:r>
      <w:r w:rsidRPr="003372A5">
        <w:rPr>
          <w:rFonts w:cs="Arial"/>
          <w:i/>
          <w:iCs/>
          <w:szCs w:val="24"/>
          <w:lang w:val="en-US"/>
        </w:rPr>
        <w:t xml:space="preserve">Crossley </w:t>
      </w:r>
      <w:r w:rsidRPr="003372A5">
        <w:rPr>
          <w:rFonts w:cs="Arial"/>
          <w:szCs w:val="24"/>
          <w:lang w:val="en-US"/>
        </w:rPr>
        <w:t xml:space="preserve">v. </w:t>
      </w:r>
      <w:r w:rsidRPr="003372A5">
        <w:rPr>
          <w:rFonts w:cs="Arial"/>
          <w:i/>
          <w:iCs/>
          <w:szCs w:val="24"/>
          <w:lang w:val="en-US"/>
        </w:rPr>
        <w:t>Dixon</w:t>
      </w:r>
      <w:r w:rsidR="003372A5" w:rsidRPr="003372A5">
        <w:rPr>
          <w:rStyle w:val="FootnoteReference"/>
          <w:rFonts w:cs="Arial"/>
          <w:i/>
          <w:iCs/>
          <w:szCs w:val="24"/>
          <w:lang w:val="en-US"/>
        </w:rPr>
        <w:footnoteReference w:id="24"/>
      </w:r>
      <w:r w:rsidRPr="003372A5">
        <w:rPr>
          <w:rFonts w:cs="Arial"/>
          <w:szCs w:val="24"/>
          <w:lang w:val="en-US"/>
        </w:rPr>
        <w:t>;</w:t>
      </w:r>
      <w:r w:rsidRPr="003372A5">
        <w:rPr>
          <w:rFonts w:cs="Arial"/>
          <w:i/>
          <w:iCs/>
          <w:szCs w:val="24"/>
          <w:lang w:val="en-US"/>
        </w:rPr>
        <w:t xml:space="preserve"> Clark </w:t>
      </w:r>
      <w:r w:rsidRPr="003372A5">
        <w:rPr>
          <w:rFonts w:cs="Arial"/>
          <w:szCs w:val="24"/>
          <w:lang w:val="en-US"/>
        </w:rPr>
        <w:t xml:space="preserve">v. </w:t>
      </w:r>
      <w:r w:rsidRPr="003372A5">
        <w:rPr>
          <w:rFonts w:cs="Arial"/>
          <w:i/>
          <w:iCs/>
          <w:szCs w:val="24"/>
          <w:lang w:val="en-US"/>
        </w:rPr>
        <w:t>Adie</w:t>
      </w:r>
      <w:r w:rsidR="003372A5" w:rsidRPr="003372A5">
        <w:rPr>
          <w:rStyle w:val="FootnoteReference"/>
          <w:rFonts w:cs="Arial"/>
          <w:i/>
          <w:iCs/>
          <w:szCs w:val="24"/>
          <w:lang w:val="en-US"/>
        </w:rPr>
        <w:footnoteReference w:id="25"/>
      </w:r>
      <w:r w:rsidRPr="003372A5">
        <w:rPr>
          <w:rFonts w:cs="Arial"/>
          <w:szCs w:val="24"/>
          <w:lang w:val="en-US"/>
        </w:rPr>
        <w:t>.</w:t>
      </w:r>
      <w:r w:rsidRPr="003372A5">
        <w:rPr>
          <w:rFonts w:cs="Arial"/>
          <w:i/>
          <w:iCs/>
          <w:szCs w:val="24"/>
          <w:lang w:val="en-US"/>
        </w:rPr>
        <w:t xml:space="preserve"> </w:t>
      </w:r>
      <w:r w:rsidRPr="003372A5">
        <w:rPr>
          <w:rFonts w:cs="Arial"/>
          <w:szCs w:val="24"/>
          <w:lang w:val="en-US"/>
        </w:rPr>
        <w:t xml:space="preserve">So long as he remains a licensee, that is to say so long as he continues to use articles of the appellants' manufacture, and does not repudiate their license, he cannot avail himself of the defence of his co-defendants. Terrell on Patents, (4th </w:t>
      </w:r>
      <w:r w:rsidRPr="003372A5">
        <w:rPr>
          <w:rFonts w:cs="Arial"/>
          <w:szCs w:val="24"/>
          <w:lang w:val="de-DE"/>
        </w:rPr>
        <w:t xml:space="preserve">ed.), </w:t>
      </w:r>
      <w:r w:rsidRPr="003372A5">
        <w:rPr>
          <w:rFonts w:cs="Arial"/>
          <w:szCs w:val="24"/>
          <w:lang w:val="en-US"/>
        </w:rPr>
        <w:t xml:space="preserve">p. 217 </w:t>
      </w:r>
      <w:r w:rsidRPr="003372A5">
        <w:rPr>
          <w:rFonts w:cs="Arial"/>
          <w:i/>
          <w:iCs/>
          <w:szCs w:val="24"/>
          <w:lang w:val="de-DE"/>
        </w:rPr>
        <w:t xml:space="preserve">et seq.; </w:t>
      </w:r>
      <w:r w:rsidRPr="003372A5">
        <w:rPr>
          <w:rFonts w:cs="Arial"/>
          <w:szCs w:val="24"/>
          <w:lang w:val="en-US"/>
        </w:rPr>
        <w:t xml:space="preserve">Fulton on Patents, (3rd </w:t>
      </w:r>
      <w:r w:rsidRPr="003372A5">
        <w:rPr>
          <w:rFonts w:cs="Arial"/>
          <w:szCs w:val="24"/>
          <w:lang w:val="de-DE"/>
        </w:rPr>
        <w:t xml:space="preserve">ed.), </w:t>
      </w:r>
      <w:r w:rsidRPr="003372A5">
        <w:rPr>
          <w:rFonts w:cs="Arial"/>
          <w:szCs w:val="24"/>
          <w:lang w:val="en-US"/>
        </w:rPr>
        <w:t xml:space="preserve">p. 201 </w:t>
      </w:r>
      <w:r w:rsidRPr="003372A5">
        <w:rPr>
          <w:rFonts w:cs="Arial"/>
          <w:i/>
          <w:iCs/>
          <w:szCs w:val="24"/>
          <w:lang w:val="de-DE"/>
        </w:rPr>
        <w:t>et seq.</w:t>
      </w:r>
    </w:p>
    <w:p w:rsidR="00A4714D" w:rsidRPr="003372A5" w:rsidRDefault="00A4714D" w:rsidP="00A4714D">
      <w:pPr>
        <w:rPr>
          <w:rFonts w:cs="Arial"/>
          <w:i/>
          <w:iCs/>
          <w:szCs w:val="24"/>
          <w:lang w:val="en-US"/>
        </w:rPr>
      </w:pPr>
      <w:r w:rsidRPr="003372A5">
        <w:rPr>
          <w:rFonts w:cs="Arial"/>
          <w:szCs w:val="24"/>
          <w:lang w:val="en-US"/>
        </w:rPr>
        <w:t xml:space="preserve">We also refer to Trudeau (4th </w:t>
      </w:r>
      <w:r w:rsidRPr="003372A5">
        <w:rPr>
          <w:rFonts w:cs="Arial"/>
          <w:szCs w:val="24"/>
          <w:lang w:val="de-DE"/>
        </w:rPr>
        <w:t xml:space="preserve">ed.), </w:t>
      </w:r>
      <w:r w:rsidRPr="003372A5">
        <w:rPr>
          <w:rFonts w:cs="Arial"/>
          <w:szCs w:val="24"/>
          <w:lang w:val="en-US"/>
        </w:rPr>
        <w:t xml:space="preserve">p. 107; </w:t>
      </w:r>
      <w:r w:rsidRPr="003372A5">
        <w:rPr>
          <w:rFonts w:cs="Arial"/>
          <w:i/>
          <w:iCs/>
          <w:szCs w:val="24"/>
          <w:lang w:val="en-US"/>
        </w:rPr>
        <w:t>Lucas</w:t>
      </w:r>
    </w:p>
    <w:p w:rsidR="00A4714D" w:rsidRPr="003372A5" w:rsidRDefault="003372A5" w:rsidP="003372A5">
      <w:pPr>
        <w:pStyle w:val="Page"/>
        <w:rPr>
          <w:szCs w:val="24"/>
        </w:rPr>
      </w:pPr>
      <w:r w:rsidRPr="003372A5">
        <w:rPr>
          <w:szCs w:val="24"/>
        </w:rPr>
        <w:t xml:space="preserve">[Page </w:t>
      </w:r>
      <w:r w:rsidR="00A4714D" w:rsidRPr="003372A5">
        <w:rPr>
          <w:szCs w:val="24"/>
        </w:rPr>
        <w:t>455]</w:t>
      </w:r>
    </w:p>
    <w:p w:rsidR="00A4714D" w:rsidRPr="003372A5" w:rsidRDefault="00A4714D" w:rsidP="003372A5">
      <w:pPr>
        <w:pStyle w:val="History"/>
        <w:ind w:firstLine="0"/>
        <w:rPr>
          <w:rFonts w:cs="Arial"/>
          <w:szCs w:val="24"/>
          <w:lang w:val="en-US"/>
        </w:rPr>
      </w:pPr>
      <w:r w:rsidRPr="003372A5">
        <w:rPr>
          <w:rFonts w:cs="Arial"/>
          <w:szCs w:val="24"/>
          <w:lang w:val="en-US"/>
        </w:rPr>
        <w:lastRenderedPageBreak/>
        <w:t xml:space="preserve">v. </w:t>
      </w:r>
      <w:r w:rsidRPr="003372A5">
        <w:rPr>
          <w:rFonts w:cs="Arial"/>
          <w:i/>
          <w:iCs/>
          <w:szCs w:val="24"/>
          <w:lang w:val="en-US"/>
        </w:rPr>
        <w:t>Miller</w:t>
      </w:r>
      <w:r w:rsidR="003372A5" w:rsidRPr="003372A5">
        <w:rPr>
          <w:rStyle w:val="FootnoteReference"/>
          <w:rFonts w:cs="Arial"/>
          <w:i/>
          <w:iCs/>
          <w:szCs w:val="24"/>
          <w:lang w:val="en-US"/>
        </w:rPr>
        <w:footnoteReference w:id="26"/>
      </w:r>
      <w:r w:rsidRPr="003372A5">
        <w:rPr>
          <w:rFonts w:cs="Arial"/>
          <w:szCs w:val="24"/>
          <w:lang w:val="en-US"/>
        </w:rPr>
        <w:t xml:space="preserve">; </w:t>
      </w:r>
      <w:r w:rsidRPr="003372A5">
        <w:rPr>
          <w:rFonts w:cs="Arial"/>
          <w:i/>
          <w:iCs/>
          <w:szCs w:val="24"/>
          <w:lang w:val="en-US"/>
        </w:rPr>
        <w:t xml:space="preserve">Reynolds </w:t>
      </w:r>
      <w:r w:rsidRPr="003372A5">
        <w:rPr>
          <w:rFonts w:cs="Arial"/>
          <w:szCs w:val="24"/>
          <w:lang w:val="en-US"/>
        </w:rPr>
        <w:t xml:space="preserve">v. </w:t>
      </w:r>
      <w:r w:rsidRPr="003372A5">
        <w:rPr>
          <w:rFonts w:cs="Arial"/>
          <w:i/>
          <w:iCs/>
          <w:szCs w:val="24"/>
          <w:lang w:val="en-US"/>
        </w:rPr>
        <w:t>Herbert Smith &amp; Co.</w:t>
      </w:r>
      <w:r w:rsidR="003372A5" w:rsidRPr="003372A5">
        <w:rPr>
          <w:rStyle w:val="FootnoteReference"/>
          <w:rFonts w:cs="Arial"/>
          <w:i/>
          <w:iCs/>
          <w:szCs w:val="24"/>
          <w:lang w:val="en-US"/>
        </w:rPr>
        <w:footnoteReference w:id="27"/>
      </w:r>
      <w:r w:rsidRPr="003372A5">
        <w:rPr>
          <w:rFonts w:cs="Arial"/>
          <w:szCs w:val="24"/>
          <w:lang w:val="en-US"/>
        </w:rPr>
        <w:t xml:space="preserve">; </w:t>
      </w:r>
      <w:r w:rsidRPr="003372A5">
        <w:rPr>
          <w:rFonts w:cs="Arial"/>
          <w:i/>
          <w:iCs/>
          <w:szCs w:val="24"/>
          <w:lang w:val="en-US"/>
        </w:rPr>
        <w:t xml:space="preserve">Smith </w:t>
      </w:r>
      <w:r w:rsidRPr="003372A5">
        <w:rPr>
          <w:rFonts w:cs="Arial"/>
          <w:szCs w:val="24"/>
          <w:lang w:val="en-US"/>
        </w:rPr>
        <w:t xml:space="preserve">v. </w:t>
      </w:r>
      <w:r w:rsidRPr="003372A5">
        <w:rPr>
          <w:rFonts w:cs="Arial"/>
          <w:i/>
          <w:iCs/>
          <w:szCs w:val="24"/>
          <w:lang w:val="en-US"/>
        </w:rPr>
        <w:t>Goldie</w:t>
      </w:r>
      <w:r w:rsidR="003372A5" w:rsidRPr="003372A5">
        <w:rPr>
          <w:rStyle w:val="FootnoteReference"/>
          <w:rFonts w:cs="Arial"/>
          <w:i/>
          <w:iCs/>
          <w:szCs w:val="24"/>
          <w:lang w:val="en-US"/>
        </w:rPr>
        <w:footnoteReference w:id="28"/>
      </w:r>
      <w:r w:rsidRPr="003372A5">
        <w:rPr>
          <w:rFonts w:cs="Arial"/>
          <w:szCs w:val="24"/>
          <w:lang w:val="en-US"/>
        </w:rPr>
        <w:t>,</w:t>
      </w:r>
      <w:r w:rsidRPr="003372A5">
        <w:rPr>
          <w:rFonts w:cs="Arial"/>
          <w:i/>
          <w:iCs/>
          <w:szCs w:val="24"/>
          <w:lang w:val="en-US"/>
        </w:rPr>
        <w:t xml:space="preserve"> </w:t>
      </w:r>
      <w:r w:rsidRPr="003372A5">
        <w:rPr>
          <w:rFonts w:cs="Arial"/>
          <w:szCs w:val="24"/>
          <w:lang w:val="en-US"/>
        </w:rPr>
        <w:t xml:space="preserve">per Gwynne J. at pages 69, 71; </w:t>
      </w:r>
      <w:r w:rsidRPr="003372A5">
        <w:rPr>
          <w:rFonts w:cs="Arial"/>
          <w:i/>
          <w:iCs/>
          <w:szCs w:val="24"/>
          <w:lang w:val="en-US"/>
        </w:rPr>
        <w:t xml:space="preserve">Dansereau </w:t>
      </w:r>
      <w:r w:rsidRPr="003372A5">
        <w:rPr>
          <w:rFonts w:cs="Arial"/>
          <w:szCs w:val="24"/>
          <w:lang w:val="en-US"/>
        </w:rPr>
        <w:t xml:space="preserve">v. </w:t>
      </w:r>
      <w:r w:rsidRPr="003372A5">
        <w:rPr>
          <w:rFonts w:cs="Arial"/>
          <w:i/>
          <w:iCs/>
          <w:szCs w:val="24"/>
          <w:lang w:val="en-US"/>
        </w:rPr>
        <w:t>Bellemare</w:t>
      </w:r>
      <w:r w:rsidR="003372A5" w:rsidRPr="003372A5">
        <w:rPr>
          <w:rStyle w:val="FootnoteReference"/>
          <w:rFonts w:cs="Arial"/>
          <w:i/>
          <w:iCs/>
          <w:szCs w:val="24"/>
          <w:lang w:val="en-US"/>
        </w:rPr>
        <w:footnoteReference w:id="29"/>
      </w:r>
      <w:r w:rsidRPr="003372A5">
        <w:rPr>
          <w:rFonts w:cs="Arial"/>
          <w:szCs w:val="24"/>
          <w:lang w:val="en-US"/>
        </w:rPr>
        <w:t xml:space="preserve">; </w:t>
      </w:r>
      <w:r w:rsidRPr="003372A5">
        <w:rPr>
          <w:rFonts w:cs="Arial"/>
          <w:i/>
          <w:iCs/>
          <w:szCs w:val="24"/>
          <w:lang w:val="en-US"/>
        </w:rPr>
        <w:t xml:space="preserve">Thomson </w:t>
      </w:r>
      <w:r w:rsidRPr="003372A5">
        <w:rPr>
          <w:rFonts w:cs="Arial"/>
          <w:szCs w:val="24"/>
          <w:lang w:val="en-US"/>
        </w:rPr>
        <w:t xml:space="preserve">v. </w:t>
      </w:r>
      <w:r w:rsidRPr="003372A5">
        <w:rPr>
          <w:rFonts w:cs="Arial"/>
          <w:i/>
          <w:iCs/>
          <w:szCs w:val="24"/>
          <w:lang w:val="en-US"/>
        </w:rPr>
        <w:t>American Braided Wire Co</w:t>
      </w:r>
      <w:r w:rsidRPr="003372A5">
        <w:rPr>
          <w:rFonts w:cs="Arial"/>
          <w:szCs w:val="24"/>
          <w:lang w:val="en-US"/>
        </w:rPr>
        <w:t>.</w:t>
      </w:r>
      <w:r w:rsidR="003372A5" w:rsidRPr="003372A5">
        <w:rPr>
          <w:rStyle w:val="FootnoteReference"/>
          <w:rFonts w:cs="Arial"/>
          <w:szCs w:val="24"/>
          <w:lang w:val="en-US"/>
        </w:rPr>
        <w:footnoteReference w:id="30"/>
      </w:r>
      <w:r w:rsidRPr="003372A5">
        <w:rPr>
          <w:rFonts w:cs="Arial"/>
          <w:szCs w:val="24"/>
          <w:lang w:val="en-US"/>
        </w:rPr>
        <w:t xml:space="preserve">; </w:t>
      </w:r>
      <w:r w:rsidRPr="003372A5">
        <w:rPr>
          <w:rFonts w:cs="Arial"/>
          <w:i/>
          <w:iCs/>
          <w:szCs w:val="24"/>
          <w:lang w:val="en-US"/>
        </w:rPr>
        <w:t xml:space="preserve">Anti-vibration Electric Co. </w:t>
      </w:r>
      <w:r w:rsidRPr="003372A5">
        <w:rPr>
          <w:rFonts w:cs="Arial"/>
          <w:szCs w:val="24"/>
          <w:lang w:val="en-US"/>
        </w:rPr>
        <w:t xml:space="preserve">v. </w:t>
      </w:r>
      <w:r w:rsidRPr="003372A5">
        <w:rPr>
          <w:rFonts w:cs="Arial"/>
          <w:i/>
          <w:iCs/>
          <w:szCs w:val="24"/>
          <w:lang w:val="en-US"/>
        </w:rPr>
        <w:t>Crossley</w:t>
      </w:r>
      <w:r w:rsidR="003372A5" w:rsidRPr="003372A5">
        <w:rPr>
          <w:rStyle w:val="FootnoteReference"/>
          <w:rFonts w:cs="Arial"/>
          <w:i/>
          <w:iCs/>
          <w:szCs w:val="24"/>
          <w:lang w:val="en-US"/>
        </w:rPr>
        <w:footnoteReference w:id="31"/>
      </w:r>
      <w:r w:rsidRPr="003372A5">
        <w:rPr>
          <w:rFonts w:cs="Arial"/>
          <w:szCs w:val="24"/>
          <w:lang w:val="en-US"/>
        </w:rPr>
        <w:t>;</w:t>
      </w:r>
      <w:r w:rsidRPr="003372A5">
        <w:rPr>
          <w:rFonts w:cs="Arial"/>
          <w:i/>
          <w:iCs/>
          <w:szCs w:val="24"/>
          <w:lang w:val="en-US"/>
        </w:rPr>
        <w:t xml:space="preserve"> Ashworth </w:t>
      </w:r>
      <w:r w:rsidRPr="003372A5">
        <w:rPr>
          <w:rFonts w:cs="Arial"/>
          <w:szCs w:val="24"/>
          <w:lang w:val="en-US"/>
        </w:rPr>
        <w:t xml:space="preserve">v. </w:t>
      </w:r>
      <w:r w:rsidRPr="003372A5">
        <w:rPr>
          <w:rFonts w:cs="Arial"/>
          <w:i/>
          <w:iCs/>
          <w:szCs w:val="24"/>
          <w:lang w:val="en-US"/>
        </w:rPr>
        <w:t>The</w:t>
      </w:r>
      <w:r w:rsidRPr="003372A5">
        <w:rPr>
          <w:rFonts w:cs="Arial"/>
          <w:szCs w:val="24"/>
          <w:lang w:val="en-US"/>
        </w:rPr>
        <w:t xml:space="preserve"> </w:t>
      </w:r>
      <w:r w:rsidRPr="003372A5">
        <w:rPr>
          <w:rFonts w:cs="Arial"/>
          <w:i/>
          <w:iCs/>
          <w:szCs w:val="24"/>
          <w:lang w:val="en-US"/>
        </w:rPr>
        <w:t>English Clothing Co.</w:t>
      </w:r>
      <w:r w:rsidR="003372A5" w:rsidRPr="003372A5">
        <w:rPr>
          <w:rStyle w:val="FootnoteReference"/>
          <w:rFonts w:cs="Arial"/>
          <w:i/>
          <w:iCs/>
          <w:szCs w:val="24"/>
          <w:lang w:val="en-US"/>
        </w:rPr>
        <w:footnoteReference w:id="32"/>
      </w:r>
      <w:r w:rsidRPr="003372A5">
        <w:rPr>
          <w:rFonts w:cs="Arial"/>
          <w:szCs w:val="24"/>
          <w:lang w:val="en-US"/>
        </w:rPr>
        <w:t xml:space="preserve">; </w:t>
      </w:r>
      <w:r w:rsidRPr="003372A5">
        <w:rPr>
          <w:rFonts w:cs="Arial"/>
          <w:i/>
          <w:iCs/>
          <w:szCs w:val="24"/>
          <w:lang w:val="en-US"/>
        </w:rPr>
        <w:t xml:space="preserve">Taylor &amp; Scott </w:t>
      </w:r>
      <w:r w:rsidRPr="003372A5">
        <w:rPr>
          <w:rFonts w:cs="Arial"/>
          <w:szCs w:val="24"/>
          <w:lang w:val="en-US"/>
        </w:rPr>
        <w:t xml:space="preserve">v. </w:t>
      </w:r>
      <w:r w:rsidRPr="003372A5">
        <w:rPr>
          <w:rFonts w:cs="Arial"/>
          <w:i/>
          <w:iCs/>
          <w:szCs w:val="24"/>
          <w:lang w:val="en-US"/>
        </w:rPr>
        <w:t>Annand</w:t>
      </w:r>
      <w:r w:rsidR="003372A5" w:rsidRPr="003372A5">
        <w:rPr>
          <w:rStyle w:val="FootnoteReference"/>
          <w:rFonts w:cs="Arial"/>
          <w:i/>
          <w:iCs/>
          <w:szCs w:val="24"/>
          <w:lang w:val="en-US"/>
        </w:rPr>
        <w:footnoteReference w:id="33"/>
      </w:r>
      <w:r w:rsidRPr="003372A5">
        <w:rPr>
          <w:rFonts w:cs="Arial"/>
          <w:szCs w:val="24"/>
          <w:lang w:val="en-US"/>
        </w:rPr>
        <w:t xml:space="preserve">; </w:t>
      </w:r>
      <w:r w:rsidRPr="003372A5">
        <w:rPr>
          <w:rFonts w:cs="Arial"/>
          <w:i/>
          <w:iCs/>
          <w:szCs w:val="24"/>
          <w:lang w:val="en-US"/>
        </w:rPr>
        <w:t xml:space="preserve">Heugh </w:t>
      </w:r>
      <w:r w:rsidRPr="003372A5">
        <w:rPr>
          <w:rFonts w:cs="Arial"/>
          <w:szCs w:val="24"/>
          <w:lang w:val="en-US"/>
        </w:rPr>
        <w:t xml:space="preserve">v. </w:t>
      </w:r>
      <w:r w:rsidRPr="003372A5">
        <w:rPr>
          <w:rFonts w:cs="Arial"/>
          <w:i/>
          <w:iCs/>
          <w:szCs w:val="24"/>
          <w:lang w:val="en-US"/>
        </w:rPr>
        <w:t>Chamberlain</w:t>
      </w:r>
      <w:r w:rsidR="003372A5" w:rsidRPr="003372A5">
        <w:rPr>
          <w:rStyle w:val="FootnoteReference"/>
          <w:rFonts w:cs="Arial"/>
          <w:i/>
          <w:iCs/>
          <w:szCs w:val="24"/>
          <w:lang w:val="en-US"/>
        </w:rPr>
        <w:footnoteReference w:id="34"/>
      </w:r>
      <w:r w:rsidRPr="003372A5">
        <w:rPr>
          <w:rFonts w:cs="Arial"/>
          <w:szCs w:val="24"/>
          <w:lang w:val="en-US"/>
        </w:rPr>
        <w:t>, per Jessel M.R.</w:t>
      </w:r>
    </w:p>
    <w:p w:rsidR="00A4714D" w:rsidRPr="003372A5" w:rsidRDefault="00A4714D" w:rsidP="003372A5">
      <w:pPr>
        <w:pStyle w:val="History"/>
        <w:rPr>
          <w:rFonts w:cs="Arial"/>
          <w:szCs w:val="24"/>
          <w:lang w:val="en-US"/>
        </w:rPr>
      </w:pPr>
      <w:r w:rsidRPr="003372A5">
        <w:rPr>
          <w:rFonts w:cs="Arial"/>
          <w:i/>
          <w:iCs/>
          <w:szCs w:val="24"/>
          <w:lang w:val="en-US"/>
        </w:rPr>
        <w:t xml:space="preserve">Mignault K.C. </w:t>
      </w:r>
      <w:r w:rsidRPr="003372A5">
        <w:rPr>
          <w:rFonts w:cs="Arial"/>
          <w:szCs w:val="24"/>
          <w:lang w:val="en-US"/>
        </w:rPr>
        <w:t xml:space="preserve">and </w:t>
      </w:r>
      <w:r w:rsidRPr="003372A5">
        <w:rPr>
          <w:rFonts w:cs="Arial"/>
          <w:i/>
          <w:iCs/>
          <w:szCs w:val="24"/>
          <w:lang w:val="en-US"/>
        </w:rPr>
        <w:t xml:space="preserve">Perron K.C. </w:t>
      </w:r>
      <w:r w:rsidRPr="003372A5">
        <w:rPr>
          <w:rFonts w:cs="Arial"/>
          <w:szCs w:val="24"/>
          <w:lang w:val="en-US"/>
        </w:rPr>
        <w:t xml:space="preserve">for the respondents. We contend that the invention claimed lacks novelty and patentability and is merely a result of mechanical skill, a substitution of known equivalents for parts of existing devices and a mere duplication of old elements without change of function and a mere change in form or size without the result of any new mode of operation. The industrial design was not susceptible of being patented. The letters-patent, by a needless multiplicity of claims, embarrass and deceive the public, and the specifications and drawings contain more than is necessary for obtaining the end for which they purport to be made. See </w:t>
      </w:r>
      <w:r w:rsidRPr="003372A5">
        <w:rPr>
          <w:rFonts w:cs="Arial"/>
          <w:i/>
          <w:iCs/>
          <w:szCs w:val="24"/>
          <w:lang w:val="en-US"/>
        </w:rPr>
        <w:t xml:space="preserve">Case </w:t>
      </w:r>
      <w:r w:rsidRPr="003372A5">
        <w:rPr>
          <w:rFonts w:cs="Arial"/>
          <w:szCs w:val="24"/>
          <w:lang w:val="en-US"/>
        </w:rPr>
        <w:t xml:space="preserve">v. </w:t>
      </w:r>
      <w:r w:rsidRPr="003372A5">
        <w:rPr>
          <w:rFonts w:cs="Arial"/>
          <w:i/>
          <w:iCs/>
          <w:szCs w:val="24"/>
          <w:lang w:val="en-US"/>
        </w:rPr>
        <w:t>Cressy</w:t>
      </w:r>
      <w:r w:rsidR="003372A5" w:rsidRPr="003372A5">
        <w:rPr>
          <w:rStyle w:val="FootnoteReference"/>
          <w:rFonts w:cs="Arial"/>
          <w:i/>
          <w:iCs/>
          <w:szCs w:val="24"/>
          <w:lang w:val="en-US"/>
        </w:rPr>
        <w:footnoteReference w:id="35"/>
      </w:r>
      <w:r w:rsidRPr="003372A5">
        <w:rPr>
          <w:rFonts w:cs="Arial"/>
          <w:szCs w:val="24"/>
          <w:lang w:val="en-US"/>
        </w:rPr>
        <w:t>.</w:t>
      </w:r>
    </w:p>
    <w:p w:rsidR="00A4714D" w:rsidRPr="003372A5" w:rsidRDefault="00A4714D" w:rsidP="003372A5">
      <w:pPr>
        <w:pStyle w:val="History"/>
        <w:rPr>
          <w:rFonts w:cs="Arial"/>
          <w:szCs w:val="24"/>
          <w:lang w:val="en-US"/>
        </w:rPr>
      </w:pPr>
      <w:r w:rsidRPr="003372A5">
        <w:rPr>
          <w:rFonts w:cs="Arial"/>
          <w:szCs w:val="24"/>
          <w:lang w:val="en-US"/>
        </w:rPr>
        <w:t xml:space="preserve">On the question of combination or no combination, we refer to Terrell on Patents (4th ed.), p. 151, and Frost on Patents (2nd ed.), p. 61. See also </w:t>
      </w:r>
      <w:r w:rsidRPr="003372A5">
        <w:rPr>
          <w:rFonts w:cs="Arial"/>
          <w:i/>
          <w:iCs/>
          <w:szCs w:val="24"/>
          <w:lang w:val="en-US"/>
        </w:rPr>
        <w:t xml:space="preserve">Kynoch &amp; Co. </w:t>
      </w:r>
      <w:r w:rsidRPr="003372A5">
        <w:rPr>
          <w:rFonts w:cs="Arial"/>
          <w:szCs w:val="24"/>
          <w:lang w:val="en-US"/>
        </w:rPr>
        <w:t xml:space="preserve">v. </w:t>
      </w:r>
      <w:r w:rsidRPr="003372A5">
        <w:rPr>
          <w:rFonts w:cs="Arial"/>
          <w:i/>
          <w:iCs/>
          <w:szCs w:val="24"/>
          <w:lang w:val="en-US"/>
        </w:rPr>
        <w:t>Webb</w:t>
      </w:r>
      <w:r w:rsidR="003372A5" w:rsidRPr="003372A5">
        <w:rPr>
          <w:rStyle w:val="FootnoteReference"/>
          <w:rFonts w:cs="Arial"/>
          <w:i/>
          <w:iCs/>
          <w:szCs w:val="24"/>
          <w:lang w:val="en-US"/>
        </w:rPr>
        <w:footnoteReference w:id="36"/>
      </w:r>
      <w:r w:rsidRPr="003372A5">
        <w:rPr>
          <w:rFonts w:cs="Arial"/>
          <w:szCs w:val="24"/>
          <w:lang w:val="en-US"/>
        </w:rPr>
        <w:t>.</w:t>
      </w:r>
    </w:p>
    <w:p w:rsidR="00A4714D" w:rsidRPr="003372A5" w:rsidRDefault="00A4714D" w:rsidP="003372A5">
      <w:pPr>
        <w:pStyle w:val="History"/>
        <w:rPr>
          <w:rFonts w:cs="Arial"/>
          <w:szCs w:val="24"/>
          <w:lang w:val="en-US"/>
        </w:rPr>
      </w:pPr>
      <w:r w:rsidRPr="003372A5">
        <w:rPr>
          <w:rFonts w:cs="Arial"/>
          <w:szCs w:val="24"/>
          <w:lang w:val="en-US"/>
        </w:rPr>
        <w:t>As to subject matter of invention, the cases referred to by the appellants are based upon the peculiar</w:t>
      </w:r>
    </w:p>
    <w:p w:rsidR="00A4714D" w:rsidRPr="003372A5" w:rsidRDefault="003372A5" w:rsidP="003372A5">
      <w:pPr>
        <w:pStyle w:val="Page"/>
        <w:rPr>
          <w:szCs w:val="24"/>
        </w:rPr>
      </w:pPr>
      <w:r w:rsidRPr="003372A5">
        <w:rPr>
          <w:szCs w:val="24"/>
        </w:rPr>
        <w:t xml:space="preserve">[Page </w:t>
      </w:r>
      <w:r w:rsidR="00A4714D" w:rsidRPr="003372A5">
        <w:rPr>
          <w:szCs w:val="24"/>
        </w:rPr>
        <w:t>456]</w:t>
      </w:r>
    </w:p>
    <w:p w:rsidR="00A4714D" w:rsidRPr="003372A5" w:rsidRDefault="00A4714D" w:rsidP="003372A5">
      <w:pPr>
        <w:pStyle w:val="History"/>
        <w:ind w:firstLine="0"/>
        <w:rPr>
          <w:rFonts w:cs="Arial"/>
          <w:szCs w:val="24"/>
          <w:lang w:val="en-US"/>
        </w:rPr>
      </w:pPr>
      <w:r w:rsidRPr="003372A5">
        <w:rPr>
          <w:rFonts w:cs="Arial"/>
          <w:szCs w:val="24"/>
          <w:lang w:val="en-US"/>
        </w:rPr>
        <w:t xml:space="preserve">circumstances of each case and do not decide more. They really condemn the patent which is nothing more than a sheet of paper with a score line placed half an inch from the line of fold. The fallacy of the claim as to saving paper and fitting the ordinary typewriter is shewn by merely folding the margin (which of course it is open to any one to do) of the sheet made according to claim </w:t>
      </w:r>
      <w:r w:rsidRPr="003372A5">
        <w:rPr>
          <w:rFonts w:ascii="Century Schoolbook" w:hAnsi="Century Schoolbook" w:cs="Century Schoolbook"/>
          <w:szCs w:val="24"/>
          <w:lang w:val="en-US"/>
        </w:rPr>
        <w:t xml:space="preserve">1, </w:t>
      </w:r>
      <w:r w:rsidRPr="003372A5">
        <w:rPr>
          <w:rFonts w:cs="Arial"/>
          <w:szCs w:val="24"/>
          <w:lang w:val="en-US"/>
        </w:rPr>
        <w:t xml:space="preserve">or figures 2 and </w:t>
      </w:r>
      <w:r w:rsidRPr="003372A5">
        <w:rPr>
          <w:rFonts w:ascii="Century Schoolbook" w:hAnsi="Century Schoolbook" w:cs="Century Schoolbook"/>
          <w:szCs w:val="24"/>
          <w:lang w:val="en-US"/>
        </w:rPr>
        <w:t xml:space="preserve">9, </w:t>
      </w:r>
      <w:r w:rsidRPr="003372A5">
        <w:rPr>
          <w:rFonts w:cs="Arial"/>
          <w:szCs w:val="24"/>
          <w:lang w:val="en-US"/>
        </w:rPr>
        <w:t xml:space="preserve">when such sheet becomes of the same width as the other sheets filed. See remarks of Buckley </w:t>
      </w:r>
      <w:r w:rsidRPr="003372A5">
        <w:rPr>
          <w:rFonts w:ascii="Century Schoolbook" w:hAnsi="Century Schoolbook" w:cs="Century Schoolbook"/>
          <w:szCs w:val="24"/>
          <w:lang w:val="en-US"/>
        </w:rPr>
        <w:t xml:space="preserve">J. </w:t>
      </w:r>
      <w:r w:rsidRPr="003372A5">
        <w:rPr>
          <w:rFonts w:cs="Arial"/>
          <w:szCs w:val="24"/>
          <w:lang w:val="en-US"/>
        </w:rPr>
        <w:t xml:space="preserve">in </w:t>
      </w:r>
      <w:r w:rsidRPr="003372A5">
        <w:rPr>
          <w:rFonts w:cs="Arial"/>
          <w:i/>
          <w:iCs/>
          <w:szCs w:val="24"/>
          <w:lang w:val="en-US"/>
        </w:rPr>
        <w:t xml:space="preserve">McNaught </w:t>
      </w:r>
      <w:r w:rsidRPr="003372A5">
        <w:rPr>
          <w:rFonts w:cs="Arial"/>
          <w:szCs w:val="24"/>
          <w:lang w:val="en-US"/>
        </w:rPr>
        <w:t xml:space="preserve">v. </w:t>
      </w:r>
      <w:r w:rsidRPr="003372A5">
        <w:rPr>
          <w:rFonts w:cs="Arial"/>
          <w:i/>
          <w:iCs/>
          <w:szCs w:val="24"/>
          <w:lang w:val="en-US"/>
        </w:rPr>
        <w:t>Dawson</w:t>
      </w:r>
      <w:r w:rsidR="003372A5" w:rsidRPr="003372A5">
        <w:rPr>
          <w:rStyle w:val="FootnoteReference"/>
          <w:rFonts w:cs="Arial"/>
          <w:i/>
          <w:iCs/>
          <w:szCs w:val="24"/>
          <w:lang w:val="en-US"/>
        </w:rPr>
        <w:footnoteReference w:id="37"/>
      </w:r>
      <w:r w:rsidRPr="003372A5">
        <w:rPr>
          <w:rFonts w:cs="Arial"/>
          <w:szCs w:val="24"/>
          <w:lang w:val="en-US"/>
        </w:rPr>
        <w:t>.</w:t>
      </w:r>
    </w:p>
    <w:p w:rsidR="00A4714D" w:rsidRPr="003372A5" w:rsidRDefault="003372A5" w:rsidP="003372A5">
      <w:pPr>
        <w:pStyle w:val="Reasons"/>
        <w:rPr>
          <w:lang w:val="en-US"/>
        </w:rPr>
      </w:pPr>
      <w:r w:rsidRPr="003372A5">
        <w:rPr>
          <w:lang w:val="en-US"/>
        </w:rPr>
        <w:t>THE CHIEF JUSTICE</w:t>
      </w:r>
      <w:r w:rsidR="00A4714D" w:rsidRPr="003372A5">
        <w:rPr>
          <w:lang w:val="en-US"/>
        </w:rPr>
        <w:t xml:space="preserve">.—The appeal is dismissed with costs. </w:t>
      </w:r>
      <w:r w:rsidR="00A4714D" w:rsidRPr="003372A5">
        <w:rPr>
          <w:rFonts w:ascii="Century Schoolbook" w:hAnsi="Century Schoolbook" w:cs="Century Schoolbook"/>
          <w:lang w:val="en-US"/>
        </w:rPr>
        <w:t xml:space="preserve">I </w:t>
      </w:r>
      <w:r w:rsidR="00A4714D" w:rsidRPr="003372A5">
        <w:rPr>
          <w:lang w:val="en-US"/>
        </w:rPr>
        <w:t>concur for the reasons stated in the court below.</w:t>
      </w:r>
    </w:p>
    <w:p w:rsidR="00A4714D" w:rsidRPr="003372A5" w:rsidRDefault="003372A5" w:rsidP="003372A5">
      <w:pPr>
        <w:pStyle w:val="Reasons"/>
        <w:rPr>
          <w:rFonts w:cs="Arial"/>
          <w:szCs w:val="24"/>
          <w:lang w:val="en-US"/>
        </w:rPr>
      </w:pPr>
      <w:r w:rsidRPr="003372A5">
        <w:rPr>
          <w:lang w:val="en-US"/>
        </w:rPr>
        <w:t>GIROUARD</w:t>
      </w:r>
      <w:r w:rsidRPr="003372A5">
        <w:rPr>
          <w:rFonts w:cs="Arial"/>
          <w:smallCaps/>
          <w:szCs w:val="24"/>
          <w:lang w:val="en-US"/>
        </w:rPr>
        <w:t xml:space="preserve"> </w:t>
      </w:r>
      <w:r w:rsidR="00A4714D" w:rsidRPr="003372A5">
        <w:rPr>
          <w:rFonts w:cs="Arial"/>
          <w:smallCaps/>
          <w:szCs w:val="24"/>
          <w:lang w:val="en-US"/>
        </w:rPr>
        <w:t>J.—</w:t>
      </w:r>
      <w:r w:rsidR="00A4714D" w:rsidRPr="003372A5">
        <w:rPr>
          <w:rFonts w:ascii="Century Schoolbook" w:hAnsi="Century Schoolbook" w:cs="Century Schoolbook"/>
          <w:szCs w:val="24"/>
          <w:lang w:val="en-US"/>
        </w:rPr>
        <w:t xml:space="preserve">I </w:t>
      </w:r>
      <w:r w:rsidR="00A4714D" w:rsidRPr="003372A5">
        <w:rPr>
          <w:rFonts w:cs="Arial"/>
          <w:szCs w:val="24"/>
          <w:lang w:val="en-US"/>
        </w:rPr>
        <w:t xml:space="preserve">quite agree with the court below that there was nothing to patent. The </w:t>
      </w:r>
      <w:r w:rsidR="00A4714D" w:rsidRPr="003372A5">
        <w:rPr>
          <w:rFonts w:cs="Arial"/>
          <w:szCs w:val="24"/>
          <w:lang w:val="en-US"/>
        </w:rPr>
        <w:lastRenderedPageBreak/>
        <w:t xml:space="preserve">appellant contended for the first time before this court that it was a patent of combinations. This alleged combination is not to be found in his application for the patent, nor in the patent itself, nor in the statement of claim. Their contention is clearly unfounded. </w:t>
      </w:r>
      <w:r w:rsidR="00A4714D" w:rsidRPr="003372A5">
        <w:rPr>
          <w:rFonts w:ascii="Century Schoolbook" w:hAnsi="Century Schoolbook" w:cs="Century Schoolbook"/>
          <w:szCs w:val="24"/>
          <w:lang w:val="en-US"/>
        </w:rPr>
        <w:t xml:space="preserve">I </w:t>
      </w:r>
      <w:r w:rsidR="00A4714D" w:rsidRPr="003372A5">
        <w:rPr>
          <w:rFonts w:cs="Arial"/>
          <w:szCs w:val="24"/>
          <w:lang w:val="en-US"/>
        </w:rPr>
        <w:t>think there is no error in the judgment appealed from.</w:t>
      </w:r>
    </w:p>
    <w:p w:rsidR="00A4714D" w:rsidRPr="003372A5" w:rsidRDefault="003372A5" w:rsidP="003372A5">
      <w:pPr>
        <w:pStyle w:val="Reasons"/>
        <w:rPr>
          <w:rFonts w:cs="Arial"/>
          <w:szCs w:val="24"/>
          <w:lang w:val="en-US"/>
        </w:rPr>
      </w:pPr>
      <w:r w:rsidRPr="003372A5">
        <w:rPr>
          <w:lang w:val="en-US"/>
        </w:rPr>
        <w:t>DAVIES</w:t>
      </w:r>
      <w:r w:rsidRPr="003372A5">
        <w:rPr>
          <w:rFonts w:cs="Arial"/>
          <w:smallCaps/>
          <w:szCs w:val="24"/>
          <w:lang w:val="en-US"/>
        </w:rPr>
        <w:t xml:space="preserve"> </w:t>
      </w:r>
      <w:r w:rsidR="00A4714D" w:rsidRPr="003372A5">
        <w:rPr>
          <w:rFonts w:cs="Arial"/>
          <w:smallCaps/>
          <w:szCs w:val="24"/>
          <w:lang w:val="en-US"/>
        </w:rPr>
        <w:t xml:space="preserve">J. </w:t>
      </w:r>
      <w:r w:rsidR="00A4714D" w:rsidRPr="003372A5">
        <w:rPr>
          <w:rFonts w:cs="Arial"/>
          <w:szCs w:val="24"/>
          <w:lang w:val="en-US"/>
        </w:rPr>
        <w:t>also concurred.</w:t>
      </w:r>
    </w:p>
    <w:p w:rsidR="00A4714D" w:rsidRPr="003372A5" w:rsidRDefault="003372A5" w:rsidP="003372A5">
      <w:pPr>
        <w:pStyle w:val="Reasons"/>
        <w:rPr>
          <w:rFonts w:cs="Arial"/>
          <w:szCs w:val="24"/>
          <w:lang w:val="en-US"/>
        </w:rPr>
      </w:pPr>
      <w:r w:rsidRPr="003372A5">
        <w:rPr>
          <w:lang w:val="en-US"/>
        </w:rPr>
        <w:t>IDINGTON</w:t>
      </w:r>
      <w:r w:rsidRPr="003372A5">
        <w:rPr>
          <w:rFonts w:cs="Arial"/>
          <w:smallCaps/>
          <w:szCs w:val="24"/>
          <w:lang w:val="en-US"/>
        </w:rPr>
        <w:t xml:space="preserve"> </w:t>
      </w:r>
      <w:r w:rsidR="00A4714D" w:rsidRPr="003372A5">
        <w:rPr>
          <w:rFonts w:cs="Arial"/>
          <w:smallCaps/>
          <w:szCs w:val="24"/>
          <w:lang w:val="en-US"/>
        </w:rPr>
        <w:t xml:space="preserve">J.—I </w:t>
      </w:r>
      <w:r w:rsidR="00A4714D" w:rsidRPr="003372A5">
        <w:rPr>
          <w:rFonts w:cs="Arial"/>
          <w:szCs w:val="24"/>
          <w:lang w:val="en-US"/>
        </w:rPr>
        <w:t>agree with the learned trial judge that there is nothing new in folding a sheet of paper from right to left or left to right or in having score lines in one or some of such leaves or placing such score lines so as to produce when separation takes place at the score line, one leaf larger than the other</w:t>
      </w:r>
    </w:p>
    <w:p w:rsidR="00A4714D" w:rsidRPr="003372A5" w:rsidRDefault="003372A5" w:rsidP="003372A5">
      <w:pPr>
        <w:pStyle w:val="Page"/>
        <w:rPr>
          <w:szCs w:val="24"/>
        </w:rPr>
      </w:pPr>
      <w:r w:rsidRPr="003372A5">
        <w:rPr>
          <w:szCs w:val="24"/>
        </w:rPr>
        <w:t xml:space="preserve">[Page </w:t>
      </w:r>
      <w:r w:rsidR="00A4714D" w:rsidRPr="003372A5">
        <w:rPr>
          <w:szCs w:val="24"/>
        </w:rPr>
        <w:t>457]</w:t>
      </w:r>
    </w:p>
    <w:p w:rsidR="00A4714D" w:rsidRPr="003372A5" w:rsidRDefault="00A4714D" w:rsidP="003372A5">
      <w:pPr>
        <w:pStyle w:val="Reasons"/>
        <w:rPr>
          <w:rFonts w:cs="Arial"/>
          <w:szCs w:val="24"/>
          <w:lang w:val="en-US"/>
        </w:rPr>
      </w:pPr>
      <w:r w:rsidRPr="003372A5">
        <w:rPr>
          <w:rFonts w:cs="Arial"/>
          <w:szCs w:val="24"/>
          <w:lang w:val="en-US"/>
        </w:rPr>
        <w:t>or in utilizing the margin of a sheet of paper to bind it in a book if desired.</w:t>
      </w:r>
    </w:p>
    <w:p w:rsidR="00A4714D" w:rsidRPr="003372A5" w:rsidRDefault="00A4714D" w:rsidP="003372A5">
      <w:pPr>
        <w:pStyle w:val="Reasons"/>
        <w:rPr>
          <w:rFonts w:cs="Arial"/>
          <w:szCs w:val="24"/>
          <w:lang w:val="en-US"/>
        </w:rPr>
      </w:pPr>
      <w:r w:rsidRPr="003372A5">
        <w:rPr>
          <w:rFonts w:cs="Arial"/>
          <w:szCs w:val="24"/>
          <w:lang w:val="en-US"/>
        </w:rPr>
        <w:t>I may add that I am unable to find anything new in the folding of a margin of a sheet of paper to be used in the process of typewriting. Typewriters have been doing that ever since the typewriting machine was invented. And I suspect many have done so with sheets of letter paper, of which copies would be mailed, and one copy would be put away in a portfolio for preservation, and even in the way of filing upon posts. I cannot see what, if one desired to put away such preserved copies gathered together in a more permanent form, is to be invented, that would not occur to any ordinary mind accustomed to do such work, or needing it to be done. It was urged that the wide spread use of such goods, as made after the patent in question, was proof of their utility, and being so useful, it is said, we must infer from this utility that something has been invented. The business push and energy that may present to business men the utility of such things and bring them into use must not be so confused with the question of utility as to be the sole test of that utility, which must be inherent in a patentable invention.</w:t>
      </w:r>
    </w:p>
    <w:p w:rsidR="00A4714D" w:rsidRPr="003372A5" w:rsidRDefault="00A4714D" w:rsidP="003372A5">
      <w:pPr>
        <w:pStyle w:val="Reasons"/>
        <w:rPr>
          <w:rFonts w:cs="Arial"/>
          <w:szCs w:val="24"/>
          <w:lang w:val="en-US"/>
        </w:rPr>
      </w:pPr>
      <w:r w:rsidRPr="003372A5">
        <w:rPr>
          <w:rFonts w:cs="Arial"/>
          <w:szCs w:val="24"/>
          <w:lang w:val="en-US"/>
        </w:rPr>
        <w:t xml:space="preserve">The appellant's counsel urged before us that their patent consisted of a combination and the application of it to book-keeping all of which was new and hence a subject </w:t>
      </w:r>
      <w:r w:rsidRPr="003372A5">
        <w:rPr>
          <w:rFonts w:cs="Arial"/>
          <w:szCs w:val="24"/>
          <w:lang w:val="en-US"/>
        </w:rPr>
        <w:lastRenderedPageBreak/>
        <w:t>matter for a patent.</w:t>
      </w:r>
    </w:p>
    <w:p w:rsidR="00A4714D" w:rsidRPr="003372A5" w:rsidRDefault="00A4714D" w:rsidP="003372A5">
      <w:pPr>
        <w:pStyle w:val="Reasons"/>
        <w:rPr>
          <w:rFonts w:cs="Arial"/>
          <w:szCs w:val="24"/>
          <w:lang w:val="en-US"/>
        </w:rPr>
      </w:pPr>
      <w:r w:rsidRPr="003372A5">
        <w:rPr>
          <w:rFonts w:cs="Arial"/>
          <w:szCs w:val="24"/>
          <w:lang w:val="en-US"/>
        </w:rPr>
        <w:t>It was stoutly maintained by respondent's counsel that this was not set up before the learned trial judge and I incline to doubt if it was strongly pressed upon his attention though evidently present to the mind of counsel during the trial.</w:t>
      </w:r>
    </w:p>
    <w:p w:rsidR="00A4714D" w:rsidRPr="003372A5" w:rsidRDefault="00A4714D" w:rsidP="003372A5">
      <w:pPr>
        <w:pStyle w:val="Reasons"/>
        <w:rPr>
          <w:rFonts w:cs="Arial"/>
          <w:szCs w:val="24"/>
          <w:lang w:val="en-US"/>
        </w:rPr>
      </w:pPr>
      <w:r w:rsidRPr="003372A5">
        <w:rPr>
          <w:rFonts w:cs="Arial"/>
          <w:szCs w:val="24"/>
          <w:lang w:val="en-US"/>
        </w:rPr>
        <w:t>There seem, however, to be two answers to this</w:t>
      </w:r>
    </w:p>
    <w:p w:rsidR="00A4714D" w:rsidRPr="003372A5" w:rsidRDefault="003372A5" w:rsidP="003372A5">
      <w:pPr>
        <w:pStyle w:val="Page"/>
        <w:rPr>
          <w:szCs w:val="24"/>
        </w:rPr>
      </w:pPr>
      <w:r w:rsidRPr="003372A5">
        <w:rPr>
          <w:szCs w:val="24"/>
        </w:rPr>
        <w:t xml:space="preserve">[Page </w:t>
      </w:r>
      <w:r w:rsidR="00A4714D" w:rsidRPr="003372A5">
        <w:rPr>
          <w:szCs w:val="24"/>
        </w:rPr>
        <w:t>458]</w:t>
      </w:r>
    </w:p>
    <w:p w:rsidR="00A4714D" w:rsidRPr="003372A5" w:rsidRDefault="00A4714D" w:rsidP="003372A5">
      <w:pPr>
        <w:pStyle w:val="Reasons"/>
        <w:rPr>
          <w:rFonts w:cs="Arial"/>
          <w:szCs w:val="24"/>
          <w:lang w:val="en-US"/>
        </w:rPr>
      </w:pPr>
      <w:r w:rsidRPr="003372A5">
        <w:rPr>
          <w:rFonts w:cs="Arial"/>
          <w:szCs w:val="24"/>
          <w:lang w:val="en-US"/>
        </w:rPr>
        <w:t>claim, assuming it now open to appellants before us, when and if discarded by appellant below.</w:t>
      </w:r>
    </w:p>
    <w:p w:rsidR="00A4714D" w:rsidRPr="003372A5" w:rsidRDefault="00A4714D" w:rsidP="003372A5">
      <w:pPr>
        <w:pStyle w:val="Reasons"/>
        <w:rPr>
          <w:rFonts w:cs="Arial"/>
          <w:szCs w:val="24"/>
          <w:lang w:val="en-US"/>
        </w:rPr>
      </w:pPr>
      <w:r w:rsidRPr="003372A5">
        <w:rPr>
          <w:rFonts w:cs="Arial"/>
          <w:szCs w:val="24"/>
          <w:lang w:val="en-US"/>
        </w:rPr>
        <w:t>The claims set forth in appellant's specification do not specificially claim any such combination, nor as it appears to me, do the specifications substantially claim to rest the alleged invention on the ground of a combination, either of old things or old combined with a something new.</w:t>
      </w:r>
    </w:p>
    <w:p w:rsidR="00A4714D" w:rsidRPr="003372A5" w:rsidRDefault="00A4714D" w:rsidP="003372A5">
      <w:pPr>
        <w:pStyle w:val="Reasons"/>
        <w:rPr>
          <w:rFonts w:cs="Arial"/>
          <w:szCs w:val="24"/>
          <w:lang w:val="en-US"/>
        </w:rPr>
      </w:pPr>
      <w:r w:rsidRPr="003372A5">
        <w:rPr>
          <w:rFonts w:cs="Arial"/>
          <w:szCs w:val="24"/>
          <w:lang w:val="en-US"/>
        </w:rPr>
        <w:t>It also was plausibly urged that there was such a combination which was applied to a new purpose.</w:t>
      </w:r>
    </w:p>
    <w:p w:rsidR="00A4714D" w:rsidRPr="003372A5" w:rsidRDefault="00A4714D" w:rsidP="003372A5">
      <w:pPr>
        <w:pStyle w:val="Reasons"/>
        <w:rPr>
          <w:rFonts w:cs="Arial"/>
          <w:szCs w:val="24"/>
          <w:lang w:val="en-US"/>
        </w:rPr>
      </w:pPr>
      <w:r w:rsidRPr="003372A5">
        <w:rPr>
          <w:rFonts w:cs="Arial"/>
          <w:szCs w:val="24"/>
          <w:lang w:val="en-US"/>
        </w:rPr>
        <w:t xml:space="preserve">This of itself would not be patentable. It would leave the appellant's case within the line of cases of which </w:t>
      </w:r>
      <w:r w:rsidRPr="003372A5">
        <w:rPr>
          <w:rFonts w:cs="Arial"/>
          <w:i/>
          <w:iCs/>
          <w:szCs w:val="24"/>
          <w:lang w:val="en-US"/>
        </w:rPr>
        <w:t xml:space="preserve">Harwood </w:t>
      </w:r>
      <w:r w:rsidRPr="003372A5">
        <w:rPr>
          <w:rFonts w:cs="Arial"/>
          <w:szCs w:val="24"/>
          <w:lang w:val="en-US"/>
        </w:rPr>
        <w:t xml:space="preserve">v. </w:t>
      </w:r>
      <w:r w:rsidRPr="003372A5">
        <w:rPr>
          <w:rFonts w:cs="Arial"/>
          <w:i/>
          <w:iCs/>
          <w:szCs w:val="24"/>
          <w:lang w:val="en-US"/>
        </w:rPr>
        <w:t>Great Northern Railway Co.</w:t>
      </w:r>
      <w:r w:rsidR="003372A5" w:rsidRPr="003372A5">
        <w:rPr>
          <w:rStyle w:val="FootnoteReference"/>
          <w:rFonts w:cs="Arial"/>
          <w:i/>
          <w:iCs/>
          <w:szCs w:val="24"/>
          <w:lang w:val="en-US"/>
        </w:rPr>
        <w:footnoteReference w:id="38"/>
      </w:r>
      <w:r w:rsidRPr="003372A5">
        <w:rPr>
          <w:rFonts w:cs="Arial"/>
          <w:szCs w:val="24"/>
          <w:lang w:val="en-US"/>
        </w:rPr>
        <w:t>, is a leading one. And to escape such result the appellant's counsel sought to claim the feature of folding, so as to leave a margin of suitable width to bind in a book, with least waste of paper, as a something that would not be obvious or so obvious to anyone in relation to keeping of accounts as to remove it beyond the field of patentable invention.</w:t>
      </w:r>
    </w:p>
    <w:p w:rsidR="00A4714D" w:rsidRPr="003372A5" w:rsidRDefault="00A4714D" w:rsidP="003372A5">
      <w:pPr>
        <w:pStyle w:val="Reasons"/>
        <w:rPr>
          <w:rFonts w:cs="Arial"/>
          <w:szCs w:val="24"/>
          <w:lang w:val="en-US"/>
        </w:rPr>
      </w:pPr>
      <w:r w:rsidRPr="003372A5">
        <w:rPr>
          <w:rFonts w:cs="Arial"/>
          <w:szCs w:val="24"/>
          <w:lang w:val="en-US"/>
        </w:rPr>
        <w:t>I cannot assent to this. The manifolding of anything by means of typewriting and the preservation of a copy in case, or book, or file, with posts to bind or without, has so long been the common property of mankind that I cannot find anything needed to be done that was not obvious to any one of ordinary intelligence.</w:t>
      </w:r>
    </w:p>
    <w:p w:rsidR="00A4714D" w:rsidRPr="003372A5" w:rsidRDefault="00A4714D" w:rsidP="003372A5">
      <w:pPr>
        <w:pStyle w:val="Reasons"/>
        <w:rPr>
          <w:rFonts w:cs="Arial"/>
          <w:szCs w:val="24"/>
          <w:lang w:val="en-US"/>
        </w:rPr>
      </w:pPr>
      <w:r w:rsidRPr="003372A5">
        <w:rPr>
          <w:rFonts w:cs="Arial"/>
          <w:szCs w:val="24"/>
          <w:lang w:val="en-US"/>
        </w:rPr>
        <w:lastRenderedPageBreak/>
        <w:t>Indeed the enterprise that undertakes to sell paper ready prepared for use in any such way is worthy of praise, but I hardly think that enterprise is yet patentable.</w:t>
      </w:r>
    </w:p>
    <w:p w:rsidR="00A4714D" w:rsidRPr="003372A5" w:rsidRDefault="00A4714D" w:rsidP="003372A5">
      <w:pPr>
        <w:pStyle w:val="Reasons"/>
        <w:rPr>
          <w:rFonts w:cs="Arial"/>
          <w:szCs w:val="24"/>
          <w:lang w:val="en-US"/>
        </w:rPr>
      </w:pPr>
      <w:r w:rsidRPr="003372A5">
        <w:rPr>
          <w:rFonts w:cs="Arial"/>
          <w:szCs w:val="24"/>
          <w:lang w:val="en-US"/>
        </w:rPr>
        <w:t>Some things within the sphere of human intelligence are yet left free from such restraints.</w:t>
      </w:r>
    </w:p>
    <w:p w:rsidR="00A4714D" w:rsidRPr="003372A5" w:rsidRDefault="003372A5" w:rsidP="003372A5">
      <w:pPr>
        <w:pStyle w:val="Page"/>
        <w:rPr>
          <w:szCs w:val="24"/>
        </w:rPr>
      </w:pPr>
      <w:r w:rsidRPr="003372A5">
        <w:rPr>
          <w:szCs w:val="24"/>
        </w:rPr>
        <w:t xml:space="preserve">[Page </w:t>
      </w:r>
      <w:r w:rsidR="00A4714D" w:rsidRPr="003372A5">
        <w:rPr>
          <w:szCs w:val="24"/>
        </w:rPr>
        <w:t>459]</w:t>
      </w:r>
    </w:p>
    <w:p w:rsidR="00A4714D" w:rsidRPr="003372A5" w:rsidRDefault="00A4714D" w:rsidP="003372A5">
      <w:pPr>
        <w:pStyle w:val="Reasons"/>
        <w:rPr>
          <w:rFonts w:cs="Arial"/>
          <w:szCs w:val="24"/>
          <w:lang w:val="en-US"/>
        </w:rPr>
      </w:pPr>
      <w:r w:rsidRPr="003372A5">
        <w:rPr>
          <w:rFonts w:cs="Arial"/>
          <w:szCs w:val="24"/>
          <w:lang w:val="en-US"/>
        </w:rPr>
        <w:t>I cannot find that Paquette by his purchase from appellants of paper duly prepared by methods they have adopted bound himself (as a licensee is in some actions bound) not to deny the validity of this patent.</w:t>
      </w:r>
    </w:p>
    <w:p w:rsidR="00A4714D" w:rsidRPr="003372A5" w:rsidRDefault="00A4714D" w:rsidP="003372A5">
      <w:pPr>
        <w:pStyle w:val="Reasons"/>
        <w:rPr>
          <w:rFonts w:cs="Arial"/>
          <w:szCs w:val="24"/>
          <w:lang w:val="en-US"/>
        </w:rPr>
      </w:pPr>
      <w:r w:rsidRPr="003372A5">
        <w:rPr>
          <w:rFonts w:cs="Arial"/>
          <w:szCs w:val="24"/>
          <w:lang w:val="en-US"/>
        </w:rPr>
        <w:t>The appeal should be dismissed with costs.</w:t>
      </w:r>
    </w:p>
    <w:p w:rsidR="00A4714D" w:rsidRPr="003372A5" w:rsidRDefault="003372A5" w:rsidP="003372A5">
      <w:pPr>
        <w:pStyle w:val="Reasons"/>
        <w:rPr>
          <w:rFonts w:cs="Arial"/>
          <w:szCs w:val="24"/>
          <w:lang w:val="en-US"/>
        </w:rPr>
      </w:pPr>
      <w:r w:rsidRPr="003372A5">
        <w:rPr>
          <w:lang w:val="en-US"/>
        </w:rPr>
        <w:t>MACLENNAN</w:t>
      </w:r>
      <w:r w:rsidRPr="003372A5">
        <w:rPr>
          <w:rFonts w:cs="Arial"/>
          <w:smallCaps/>
          <w:szCs w:val="24"/>
          <w:lang w:val="en-US"/>
        </w:rPr>
        <w:t xml:space="preserve"> </w:t>
      </w:r>
      <w:r w:rsidR="00A4714D" w:rsidRPr="003372A5">
        <w:rPr>
          <w:rFonts w:cs="Arial"/>
          <w:szCs w:val="24"/>
          <w:lang w:val="en-US"/>
        </w:rPr>
        <w:t>J.—I agree in the result of the judgment dismissing the appeal with costs.</w:t>
      </w:r>
    </w:p>
    <w:p w:rsidR="00A4714D" w:rsidRPr="003372A5" w:rsidRDefault="00A4714D" w:rsidP="003372A5">
      <w:pPr>
        <w:pStyle w:val="Reasons"/>
        <w:rPr>
          <w:lang w:val="en-US"/>
        </w:rPr>
      </w:pPr>
      <w:r w:rsidRPr="003372A5">
        <w:rPr>
          <w:lang w:val="en-US"/>
        </w:rPr>
        <w:t>Appeal dismissed with costs.</w:t>
      </w:r>
    </w:p>
    <w:p w:rsidR="00A4714D" w:rsidRPr="003372A5" w:rsidRDefault="00A4714D" w:rsidP="003372A5">
      <w:pPr>
        <w:pStyle w:val="Sollicitors"/>
        <w:rPr>
          <w:lang w:val="en-US"/>
        </w:rPr>
      </w:pPr>
      <w:r w:rsidRPr="003372A5">
        <w:rPr>
          <w:lang w:val="en-US"/>
        </w:rPr>
        <w:t>Solicitors for the appellants: Mills, Raney, Hales and Colquhoun.</w:t>
      </w:r>
    </w:p>
    <w:p w:rsidR="00D66814" w:rsidRPr="003372A5" w:rsidRDefault="00A4714D" w:rsidP="003372A5">
      <w:pPr>
        <w:pStyle w:val="Sollicitors"/>
      </w:pPr>
      <w:r w:rsidRPr="003372A5">
        <w:rPr>
          <w:lang w:val="en-US"/>
        </w:rPr>
        <w:t>Solicitors for the respondents: Archer, Perron and Taschereau.</w:t>
      </w:r>
    </w:p>
    <w:sectPr w:rsidR="00D66814" w:rsidRPr="003372A5" w:rsidSect="00642F6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497" w:rsidRDefault="00FB2497" w:rsidP="00642F62">
      <w:r>
        <w:separator/>
      </w:r>
    </w:p>
  </w:endnote>
  <w:endnote w:type="continuationSeparator" w:id="1">
    <w:p w:rsidR="00FB2497" w:rsidRDefault="00FB2497" w:rsidP="00642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charset w:val="00"/>
    <w:family w:val="roman"/>
    <w:pitch w:val="variable"/>
    <w:sig w:usb0="00000003"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497" w:rsidRDefault="00FB2497" w:rsidP="00642F62">
      <w:r>
        <w:separator/>
      </w:r>
    </w:p>
  </w:footnote>
  <w:footnote w:type="continuationSeparator" w:id="1">
    <w:p w:rsidR="00FB2497" w:rsidRDefault="00FB2497" w:rsidP="00642F62">
      <w:r>
        <w:continuationSeparator/>
      </w:r>
    </w:p>
  </w:footnote>
  <w:footnote w:id="2">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10 Ex C.R. 410.</w:t>
      </w:r>
    </w:p>
  </w:footnote>
  <w:footnote w:id="3">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5 Cutler 198, 437.</w:t>
      </w:r>
    </w:p>
  </w:footnote>
  <w:footnote w:id="4">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145 U.S.R. 156.</w:t>
      </w:r>
    </w:p>
  </w:footnote>
  <w:footnote w:id="5">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13 Cutler 268, 398.</w:t>
      </w:r>
    </w:p>
  </w:footnote>
  <w:footnote w:id="6">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 Fed. Rep. 597.</w:t>
      </w:r>
    </w:p>
  </w:footnote>
  <w:footnote w:id="7">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155 U.S.R. 597.</w:t>
      </w:r>
    </w:p>
  </w:footnote>
  <w:footnote w:id="8">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36 Fed. Rep. 908.</w:t>
      </w:r>
    </w:p>
  </w:footnote>
  <w:footnote w:id="9">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12 Cutler 470.</w:t>
      </w:r>
    </w:p>
  </w:footnote>
  <w:footnote w:id="10">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8 Cutler 333.</w:t>
      </w:r>
    </w:p>
  </w:footnote>
  <w:footnote w:id="11">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10 Cutler 334.</w:t>
      </w:r>
    </w:p>
  </w:footnote>
  <w:footnote w:id="12">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35 Fed. Rep. 421.</w:t>
      </w:r>
    </w:p>
  </w:footnote>
  <w:footnote w:id="13">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7 Cutler 292.</w:t>
      </w:r>
    </w:p>
  </w:footnote>
  <w:footnote w:id="14">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4 Ch. D. 607.</w:t>
      </w:r>
    </w:p>
  </w:footnote>
  <w:footnote w:id="15">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13 Cutler 664.</w:t>
      </w:r>
    </w:p>
  </w:footnote>
  <w:footnote w:id="16">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86 Fed. Rep. 641.</w:t>
      </w:r>
    </w:p>
  </w:footnote>
  <w:footnote w:id="17">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13 Cutler 398.</w:t>
      </w:r>
    </w:p>
  </w:footnote>
  <w:footnote w:id="18">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17 Cutler 126.</w:t>
      </w:r>
    </w:p>
  </w:footnote>
  <w:footnote w:id="19">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89 Fed. Rep. 982.</w:t>
      </w:r>
    </w:p>
  </w:footnote>
  <w:footnote w:id="20">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105 Fed. Rep. 380.</w:t>
      </w:r>
    </w:p>
  </w:footnote>
  <w:footnote w:id="21">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91 Fed. Rep. 978.</w:t>
      </w:r>
    </w:p>
  </w:footnote>
  <w:footnote w:id="22">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11 Can. S.C.R. 291.</w:t>
      </w:r>
    </w:p>
  </w:footnote>
  <w:footnote w:id="23">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124 Fed. Rep. 903.</w:t>
      </w:r>
    </w:p>
  </w:footnote>
  <w:footnote w:id="24">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10 H.L. Cas. 293, 310.</w:t>
      </w:r>
    </w:p>
  </w:footnote>
  <w:footnote w:id="25">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 xml:space="preserve">2 </w:t>
      </w:r>
      <w:r w:rsidRPr="003372A5">
        <w:rPr>
          <w:rFonts w:cs="Arial"/>
          <w:szCs w:val="24"/>
          <w:lang w:val="de-DE"/>
        </w:rPr>
        <w:t xml:space="preserve">App. </w:t>
      </w:r>
      <w:r w:rsidRPr="003372A5">
        <w:rPr>
          <w:rFonts w:cs="Arial"/>
          <w:szCs w:val="24"/>
          <w:lang w:val="en-US"/>
        </w:rPr>
        <w:t>Cas. 423.</w:t>
      </w:r>
    </w:p>
  </w:footnote>
  <w:footnote w:id="26">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2 Cutler 155.</w:t>
      </w:r>
    </w:p>
  </w:footnote>
  <w:footnote w:id="27">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20 Cutler 123.</w:t>
      </w:r>
    </w:p>
  </w:footnote>
  <w:footnote w:id="28">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9 Can. S.C.R. 46.</w:t>
      </w:r>
    </w:p>
  </w:footnote>
  <w:footnote w:id="29">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16 Can. S.C.R. 180.</w:t>
      </w:r>
    </w:p>
  </w:footnote>
  <w:footnote w:id="30">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6 Cutler 518.</w:t>
      </w:r>
    </w:p>
  </w:footnote>
  <w:footnote w:id="31">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22 Cutler 441.</w:t>
      </w:r>
    </w:p>
  </w:footnote>
  <w:footnote w:id="32">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19 Cutler 463.</w:t>
      </w:r>
    </w:p>
  </w:footnote>
  <w:footnote w:id="33">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17 Cutler 126; 18 Cutler 53.</w:t>
      </w:r>
    </w:p>
  </w:footnote>
  <w:footnote w:id="34">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25 W.R. 742.</w:t>
      </w:r>
    </w:p>
  </w:footnote>
  <w:footnote w:id="35">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17 Cutler 255.</w:t>
      </w:r>
    </w:p>
  </w:footnote>
  <w:footnote w:id="36">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17 Cutler 100.</w:t>
      </w:r>
    </w:p>
  </w:footnote>
  <w:footnote w:id="37">
    <w:p w:rsidR="003372A5" w:rsidRPr="003372A5" w:rsidRDefault="003372A5">
      <w:pPr>
        <w:pStyle w:val="FootnoteText"/>
        <w:rPr>
          <w:lang w:val="en-US"/>
        </w:rPr>
      </w:pPr>
      <w:r>
        <w:rPr>
          <w:rStyle w:val="FootnoteReference"/>
        </w:rPr>
        <w:footnoteRef/>
      </w:r>
      <w:r>
        <w:t xml:space="preserve"> </w:t>
      </w:r>
      <w:r w:rsidRPr="003372A5">
        <w:rPr>
          <w:rFonts w:cs="Arial"/>
          <w:szCs w:val="24"/>
          <w:lang w:val="en-US"/>
        </w:rPr>
        <w:t>22 Cutler 389.</w:t>
      </w:r>
    </w:p>
  </w:footnote>
  <w:footnote w:id="38">
    <w:p w:rsidR="003372A5" w:rsidRPr="003372A5" w:rsidRDefault="003372A5">
      <w:pPr>
        <w:pStyle w:val="FootnoteText"/>
        <w:rPr>
          <w:lang w:val="en-US"/>
        </w:rPr>
      </w:pPr>
      <w:r>
        <w:rPr>
          <w:rStyle w:val="FootnoteReference"/>
        </w:rPr>
        <w:footnoteRef/>
      </w:r>
      <w:r>
        <w:t xml:space="preserve"> </w:t>
      </w:r>
      <w:r w:rsidRPr="003372A5">
        <w:rPr>
          <w:szCs w:val="28"/>
          <w:lang w:val="en-US"/>
        </w:rPr>
        <w:t>35 L.J.Q.B.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62" w:rsidRDefault="00642F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4004474">
      <w:start w:val="1"/>
      <w:numFmt w:val="decimal"/>
      <w:pStyle w:val="ParagNum"/>
      <w:lvlText w:val="[%1]"/>
      <w:lvlJc w:val="left"/>
      <w:pPr>
        <w:tabs>
          <w:tab w:val="num" w:pos="369"/>
        </w:tabs>
        <w:ind w:left="369" w:hanging="369"/>
      </w:pPr>
    </w:lvl>
    <w:lvl w:ilvl="1" w:tplc="8BC20A6C" w:tentative="1">
      <w:start w:val="1"/>
      <w:numFmt w:val="lowerLetter"/>
      <w:lvlText w:val="%2."/>
      <w:lvlJc w:val="left"/>
      <w:pPr>
        <w:tabs>
          <w:tab w:val="num" w:pos="1440"/>
        </w:tabs>
        <w:ind w:left="1440" w:hanging="360"/>
      </w:pPr>
    </w:lvl>
    <w:lvl w:ilvl="2" w:tplc="4BC8A402" w:tentative="1">
      <w:start w:val="1"/>
      <w:numFmt w:val="lowerRoman"/>
      <w:lvlText w:val="%3."/>
      <w:lvlJc w:val="right"/>
      <w:pPr>
        <w:tabs>
          <w:tab w:val="num" w:pos="2160"/>
        </w:tabs>
        <w:ind w:left="2160" w:hanging="180"/>
      </w:pPr>
    </w:lvl>
    <w:lvl w:ilvl="3" w:tplc="55ECB87E" w:tentative="1">
      <w:start w:val="1"/>
      <w:numFmt w:val="decimal"/>
      <w:lvlText w:val="%4."/>
      <w:lvlJc w:val="left"/>
      <w:pPr>
        <w:tabs>
          <w:tab w:val="num" w:pos="2880"/>
        </w:tabs>
        <w:ind w:left="2880" w:hanging="360"/>
      </w:pPr>
    </w:lvl>
    <w:lvl w:ilvl="4" w:tplc="68E8EA54" w:tentative="1">
      <w:start w:val="1"/>
      <w:numFmt w:val="lowerLetter"/>
      <w:lvlText w:val="%5."/>
      <w:lvlJc w:val="left"/>
      <w:pPr>
        <w:tabs>
          <w:tab w:val="num" w:pos="3600"/>
        </w:tabs>
        <w:ind w:left="3600" w:hanging="360"/>
      </w:pPr>
    </w:lvl>
    <w:lvl w:ilvl="5" w:tplc="1904052C" w:tentative="1">
      <w:start w:val="1"/>
      <w:numFmt w:val="lowerRoman"/>
      <w:lvlText w:val="%6."/>
      <w:lvlJc w:val="right"/>
      <w:pPr>
        <w:tabs>
          <w:tab w:val="num" w:pos="4320"/>
        </w:tabs>
        <w:ind w:left="4320" w:hanging="180"/>
      </w:pPr>
    </w:lvl>
    <w:lvl w:ilvl="6" w:tplc="BA0845E6" w:tentative="1">
      <w:start w:val="1"/>
      <w:numFmt w:val="decimal"/>
      <w:lvlText w:val="%7."/>
      <w:lvlJc w:val="left"/>
      <w:pPr>
        <w:tabs>
          <w:tab w:val="num" w:pos="5040"/>
        </w:tabs>
        <w:ind w:left="5040" w:hanging="360"/>
      </w:pPr>
    </w:lvl>
    <w:lvl w:ilvl="7" w:tplc="EC528B3C" w:tentative="1">
      <w:start w:val="1"/>
      <w:numFmt w:val="lowerLetter"/>
      <w:lvlText w:val="%8."/>
      <w:lvlJc w:val="left"/>
      <w:pPr>
        <w:tabs>
          <w:tab w:val="num" w:pos="5760"/>
        </w:tabs>
        <w:ind w:left="5760" w:hanging="360"/>
      </w:pPr>
    </w:lvl>
    <w:lvl w:ilvl="8" w:tplc="1D2C882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714D"/>
    <w:rsid w:val="00082FF2"/>
    <w:rsid w:val="00195253"/>
    <w:rsid w:val="00330640"/>
    <w:rsid w:val="003372A5"/>
    <w:rsid w:val="0048090E"/>
    <w:rsid w:val="00642F62"/>
    <w:rsid w:val="0066319B"/>
    <w:rsid w:val="009070DC"/>
    <w:rsid w:val="00915E26"/>
    <w:rsid w:val="00A4714D"/>
    <w:rsid w:val="00B64B42"/>
    <w:rsid w:val="00C717D5"/>
    <w:rsid w:val="00D63A30"/>
    <w:rsid w:val="00D66814"/>
    <w:rsid w:val="00FB2497"/>
    <w:rsid w:val="00FD5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2A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372A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372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372A5"/>
  </w:style>
  <w:style w:type="paragraph" w:styleId="Header">
    <w:name w:val="header"/>
    <w:basedOn w:val="Normal"/>
    <w:link w:val="HeaderChar"/>
    <w:uiPriority w:val="99"/>
    <w:unhideWhenUsed/>
    <w:rsid w:val="003372A5"/>
    <w:pPr>
      <w:tabs>
        <w:tab w:val="center" w:pos="4680"/>
        <w:tab w:val="right" w:pos="9360"/>
      </w:tabs>
    </w:pPr>
    <w:rPr>
      <w:rFonts w:ascii="Times New Roman" w:hAnsi="Times New Roman"/>
    </w:rPr>
  </w:style>
  <w:style w:type="character" w:customStyle="1" w:styleId="HeaderChar">
    <w:name w:val="Header Char"/>
    <w:link w:val="Header"/>
    <w:uiPriority w:val="99"/>
    <w:rsid w:val="003372A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372A5"/>
    <w:pPr>
      <w:tabs>
        <w:tab w:val="center" w:pos="4680"/>
        <w:tab w:val="right" w:pos="9360"/>
      </w:tabs>
    </w:pPr>
    <w:rPr>
      <w:rFonts w:ascii="Times New Roman" w:hAnsi="Times New Roman"/>
    </w:rPr>
  </w:style>
  <w:style w:type="character" w:customStyle="1" w:styleId="FooterChar">
    <w:name w:val="Footer Char"/>
    <w:link w:val="Footer"/>
    <w:uiPriority w:val="99"/>
    <w:rsid w:val="003372A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D58D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372A5"/>
    <w:pPr>
      <w:spacing w:before="100" w:beforeAutospacing="1"/>
      <w:ind w:left="567"/>
      <w:jc w:val="both"/>
    </w:pPr>
  </w:style>
  <w:style w:type="paragraph" w:customStyle="1" w:styleId="Metadata">
    <w:name w:val="Metadata"/>
    <w:basedOn w:val="Normal"/>
    <w:rsid w:val="003372A5"/>
    <w:pPr>
      <w:spacing w:before="100" w:beforeAutospacing="1" w:after="100" w:afterAutospacing="1"/>
    </w:pPr>
    <w:rPr>
      <w:rFonts w:cs="Arial"/>
      <w:szCs w:val="24"/>
    </w:rPr>
  </w:style>
  <w:style w:type="paragraph" w:customStyle="1" w:styleId="Page">
    <w:name w:val="Page"/>
    <w:basedOn w:val="Normal"/>
    <w:link w:val="PageChar"/>
    <w:rsid w:val="003372A5"/>
    <w:pPr>
      <w:spacing w:before="100" w:beforeAutospacing="1" w:after="100" w:afterAutospacing="1"/>
    </w:pPr>
    <w:rPr>
      <w:i/>
    </w:rPr>
  </w:style>
  <w:style w:type="paragraph" w:styleId="FootnoteText">
    <w:name w:val="footnote text"/>
    <w:basedOn w:val="Normal"/>
    <w:link w:val="FootnoteTextChar"/>
    <w:autoRedefine/>
    <w:semiHidden/>
    <w:rsid w:val="003372A5"/>
    <w:rPr>
      <w:sz w:val="16"/>
      <w:szCs w:val="20"/>
    </w:rPr>
  </w:style>
  <w:style w:type="character" w:customStyle="1" w:styleId="FootnoteTextChar">
    <w:name w:val="Footnote Text Char"/>
    <w:link w:val="FootnoteText"/>
    <w:semiHidden/>
    <w:rsid w:val="003372A5"/>
    <w:rPr>
      <w:rFonts w:ascii="Arial" w:eastAsia="MS Mincho" w:hAnsi="Arial" w:cs="Times New Roman"/>
      <w:sz w:val="16"/>
      <w:szCs w:val="20"/>
      <w:lang w:val="en-CA" w:eastAsia="ja-JP"/>
    </w:rPr>
  </w:style>
  <w:style w:type="character" w:styleId="FootnoteReference">
    <w:name w:val="footnote reference"/>
    <w:semiHidden/>
    <w:rsid w:val="003372A5"/>
    <w:rPr>
      <w:vertAlign w:val="superscript"/>
    </w:rPr>
  </w:style>
  <w:style w:type="paragraph" w:customStyle="1" w:styleId="ParagNum">
    <w:name w:val="ParagNum"/>
    <w:basedOn w:val="Normal"/>
    <w:rsid w:val="003372A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372A5"/>
    <w:pPr>
      <w:spacing w:before="100" w:beforeAutospacing="1" w:after="100" w:afterAutospacing="1" w:line="360" w:lineRule="auto"/>
    </w:pPr>
  </w:style>
  <w:style w:type="paragraph" w:customStyle="1" w:styleId="Indent2">
    <w:name w:val="Indent 2"/>
    <w:basedOn w:val="Indent1"/>
    <w:rsid w:val="003372A5"/>
    <w:pPr>
      <w:ind w:left="1134"/>
    </w:pPr>
  </w:style>
  <w:style w:type="paragraph" w:customStyle="1" w:styleId="Indent3">
    <w:name w:val="Indent 3"/>
    <w:basedOn w:val="Indent1"/>
    <w:rsid w:val="003372A5"/>
    <w:pPr>
      <w:ind w:left="1701"/>
    </w:pPr>
  </w:style>
  <w:style w:type="paragraph" w:customStyle="1" w:styleId="Indent4">
    <w:name w:val="Indent 4"/>
    <w:basedOn w:val="Indent1"/>
    <w:rsid w:val="003372A5"/>
    <w:pPr>
      <w:ind w:left="2268"/>
    </w:pPr>
  </w:style>
  <w:style w:type="paragraph" w:customStyle="1" w:styleId="Indent10">
    <w:name w:val="Indent1"/>
    <w:basedOn w:val="Reasons"/>
    <w:rsid w:val="003372A5"/>
    <w:pPr>
      <w:ind w:left="567"/>
    </w:pPr>
  </w:style>
  <w:style w:type="paragraph" w:customStyle="1" w:styleId="Indent20">
    <w:name w:val="Indent2"/>
    <w:basedOn w:val="Indent10"/>
    <w:rsid w:val="003372A5"/>
    <w:pPr>
      <w:ind w:left="1134"/>
    </w:pPr>
  </w:style>
  <w:style w:type="paragraph" w:customStyle="1" w:styleId="Indent30">
    <w:name w:val="Indent3"/>
    <w:basedOn w:val="Indent10"/>
    <w:rsid w:val="003372A5"/>
    <w:pPr>
      <w:ind w:left="1701"/>
    </w:pPr>
  </w:style>
  <w:style w:type="paragraph" w:customStyle="1" w:styleId="Indent40">
    <w:name w:val="Indent4"/>
    <w:basedOn w:val="Indent10"/>
    <w:rsid w:val="003372A5"/>
    <w:pPr>
      <w:ind w:left="2268"/>
    </w:pPr>
  </w:style>
  <w:style w:type="paragraph" w:customStyle="1" w:styleId="Keywords">
    <w:name w:val="Keywords"/>
    <w:basedOn w:val="Normal"/>
    <w:rsid w:val="003372A5"/>
    <w:pPr>
      <w:spacing w:before="100" w:beforeAutospacing="1" w:after="100" w:afterAutospacing="1"/>
    </w:pPr>
    <w:rPr>
      <w:rFonts w:cs="Arial"/>
      <w:i/>
      <w:szCs w:val="24"/>
    </w:rPr>
  </w:style>
  <w:style w:type="paragraph" w:customStyle="1" w:styleId="Summary">
    <w:name w:val="Summary"/>
    <w:basedOn w:val="Normal"/>
    <w:autoRedefine/>
    <w:rsid w:val="003372A5"/>
    <w:pPr>
      <w:spacing w:before="100" w:beforeAutospacing="1" w:after="100" w:afterAutospacing="1"/>
      <w:ind w:left="562" w:hanging="562"/>
    </w:pPr>
    <w:rPr>
      <w:rFonts w:cs="Arial"/>
    </w:rPr>
  </w:style>
  <w:style w:type="paragraph" w:customStyle="1" w:styleId="History">
    <w:name w:val="History"/>
    <w:basedOn w:val="Normal"/>
    <w:rsid w:val="003372A5"/>
    <w:pPr>
      <w:spacing w:before="100" w:beforeAutospacing="1" w:after="100" w:afterAutospacing="1"/>
      <w:ind w:firstLine="567"/>
    </w:pPr>
  </w:style>
  <w:style w:type="paragraph" w:customStyle="1" w:styleId="T1">
    <w:name w:val="T1"/>
    <w:basedOn w:val="Normal"/>
    <w:rsid w:val="003372A5"/>
    <w:pPr>
      <w:spacing w:before="240" w:after="100" w:afterAutospacing="1"/>
    </w:pPr>
    <w:rPr>
      <w:b/>
    </w:rPr>
  </w:style>
  <w:style w:type="paragraph" w:customStyle="1" w:styleId="T2">
    <w:name w:val="T2"/>
    <w:basedOn w:val="Normal"/>
    <w:rsid w:val="003372A5"/>
    <w:pPr>
      <w:spacing w:before="240" w:after="100" w:afterAutospacing="1"/>
    </w:pPr>
  </w:style>
  <w:style w:type="paragraph" w:customStyle="1" w:styleId="Sollicitors">
    <w:name w:val="Sollicitors"/>
    <w:basedOn w:val="Normal"/>
    <w:rsid w:val="003372A5"/>
    <w:pPr>
      <w:spacing w:before="100" w:beforeAutospacing="1" w:after="100" w:afterAutospacing="1"/>
    </w:pPr>
    <w:rPr>
      <w:i/>
    </w:rPr>
  </w:style>
  <w:style w:type="paragraph" w:customStyle="1" w:styleId="Court">
    <w:name w:val="Court"/>
    <w:basedOn w:val="Normal"/>
    <w:rsid w:val="003372A5"/>
    <w:rPr>
      <w:rFonts w:cs="Arial"/>
      <w:b/>
      <w:szCs w:val="24"/>
    </w:rPr>
  </w:style>
  <w:style w:type="character" w:customStyle="1" w:styleId="PageChar">
    <w:name w:val="Page Char"/>
    <w:link w:val="Page"/>
    <w:rsid w:val="003372A5"/>
    <w:rPr>
      <w:rFonts w:ascii="Arial" w:eastAsia="MS Mincho" w:hAnsi="Arial" w:cs="Times New Roman"/>
      <w:i/>
      <w:sz w:val="24"/>
      <w:szCs w:val="28"/>
      <w:lang w:val="en-CA" w:eastAsia="ja-JP"/>
    </w:rPr>
  </w:style>
  <w:style w:type="character" w:customStyle="1" w:styleId="ReasonsCar">
    <w:name w:val="Reasons Car"/>
    <w:link w:val="Reasons"/>
    <w:rsid w:val="003372A5"/>
    <w:rPr>
      <w:rFonts w:ascii="Arial" w:eastAsia="MS Mincho" w:hAnsi="Arial" w:cs="Times New Roman"/>
      <w:sz w:val="24"/>
      <w:szCs w:val="28"/>
      <w:lang w:val="en-CA" w:eastAsia="ja-JP"/>
    </w:rPr>
  </w:style>
  <w:style w:type="paragraph" w:customStyle="1" w:styleId="CitationLine">
    <w:name w:val="CitationLine"/>
    <w:basedOn w:val="Court"/>
    <w:rsid w:val="003372A5"/>
  </w:style>
  <w:style w:type="paragraph" w:customStyle="1" w:styleId="DateISO">
    <w:name w:val="DateISO"/>
    <w:basedOn w:val="Court"/>
    <w:rsid w:val="003372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7</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User101</cp:lastModifiedBy>
  <cp:revision>4</cp:revision>
  <dcterms:created xsi:type="dcterms:W3CDTF">2015-03-23T05:42:00Z</dcterms:created>
  <dcterms:modified xsi:type="dcterms:W3CDTF">2015-03-23T18:02:00Z</dcterms:modified>
</cp:coreProperties>
</file>