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98" w:rsidRPr="00843FAA" w:rsidRDefault="00252198" w:rsidP="00C22FBE">
      <w:pPr>
        <w:pStyle w:val="Court"/>
      </w:pPr>
      <w:r w:rsidRPr="00843FAA">
        <w:t>Supreme Court of Canada</w:t>
      </w:r>
    </w:p>
    <w:p w:rsidR="007D7F3E" w:rsidRPr="00FE6F2E" w:rsidRDefault="00252198" w:rsidP="00C22FBE">
      <w:pPr>
        <w:pStyle w:val="CitationLine"/>
      </w:pPr>
      <w:r w:rsidRPr="00252198">
        <w:t xml:space="preserve">James Bay Ry. Co. </w:t>
      </w:r>
      <w:r w:rsidRPr="001F5420">
        <w:rPr>
          <w:i/>
        </w:rPr>
        <w:t>v</w:t>
      </w:r>
      <w:r w:rsidRPr="00252198">
        <w:t>. Armstrong</w:t>
      </w:r>
      <w:r w:rsidRPr="003E6968">
        <w:t xml:space="preserve">, </w:t>
      </w:r>
      <w:r>
        <w:t>(</w:t>
      </w:r>
      <w:r w:rsidRPr="003E6968">
        <w:t>1</w:t>
      </w:r>
      <w:r>
        <w:t>907)</w:t>
      </w:r>
      <w:r w:rsidRPr="003E6968">
        <w:t xml:space="preserve"> </w:t>
      </w:r>
      <w:r>
        <w:t xml:space="preserve">38 </w:t>
      </w:r>
      <w:r w:rsidRPr="003E6968">
        <w:t xml:space="preserve">SCR </w:t>
      </w:r>
      <w:r w:rsidR="007D7F3E" w:rsidRPr="00FE6F2E">
        <w:t>511</w:t>
      </w:r>
    </w:p>
    <w:p w:rsidR="00252198" w:rsidRDefault="00252198" w:rsidP="00C22FBE">
      <w:pPr>
        <w:pStyle w:val="DateISO"/>
      </w:pPr>
      <w:r>
        <w:t>Date: 1907-04-01</w:t>
      </w:r>
    </w:p>
    <w:p w:rsidR="007D7F3E" w:rsidRPr="00FE6F2E" w:rsidRDefault="007D7F3E" w:rsidP="00C22FBE">
      <w:pPr>
        <w:pStyle w:val="Metadata"/>
      </w:pPr>
      <w:r w:rsidRPr="00FE6F2E">
        <w:t xml:space="preserve">The James Bay Railway Company </w:t>
      </w:r>
      <w:r w:rsidRPr="002C0DDD">
        <w:t>(Defendants)</w:t>
      </w:r>
    </w:p>
    <w:p w:rsidR="007D7F3E" w:rsidRPr="002C0DDD" w:rsidRDefault="007D7F3E" w:rsidP="00C22FBE">
      <w:pPr>
        <w:pStyle w:val="Metadata"/>
      </w:pPr>
      <w:r w:rsidRPr="002C0DDD">
        <w:t>Appellants</w:t>
      </w:r>
    </w:p>
    <w:p w:rsidR="007D7F3E" w:rsidRPr="00FE6F2E" w:rsidRDefault="007D7F3E" w:rsidP="00C22FBE">
      <w:pPr>
        <w:pStyle w:val="Metadata"/>
      </w:pPr>
      <w:r w:rsidRPr="00FE6F2E">
        <w:t>And</w:t>
      </w:r>
    </w:p>
    <w:p w:rsidR="007D7F3E" w:rsidRPr="00FE6F2E" w:rsidRDefault="007D7F3E" w:rsidP="00C22FBE">
      <w:pPr>
        <w:pStyle w:val="Metadata"/>
      </w:pPr>
      <w:r w:rsidRPr="00FE6F2E">
        <w:t xml:space="preserve">Samuel </w:t>
      </w:r>
      <w:r>
        <w:t>W</w:t>
      </w:r>
      <w:r w:rsidRPr="00FE6F2E">
        <w:t xml:space="preserve">. Armstrong </w:t>
      </w:r>
      <w:r w:rsidRPr="00FE6F2E">
        <w:rPr>
          <w:smallCaps/>
        </w:rPr>
        <w:t>(</w:t>
      </w:r>
      <w:r w:rsidRPr="002C0DDD">
        <w:t>Plaintiff</w:t>
      </w:r>
      <w:r w:rsidRPr="00FE6F2E">
        <w:rPr>
          <w:smallCaps/>
        </w:rPr>
        <w:t>)</w:t>
      </w:r>
    </w:p>
    <w:p w:rsidR="007D7F3E" w:rsidRPr="00FE6F2E" w:rsidRDefault="007D7F3E" w:rsidP="00C22FBE">
      <w:pPr>
        <w:pStyle w:val="Metadata"/>
      </w:pPr>
      <w:r w:rsidRPr="002C0DDD">
        <w:t>Respondent</w:t>
      </w:r>
    </w:p>
    <w:p w:rsidR="00252198" w:rsidRPr="00FE6F2E" w:rsidRDefault="00252198" w:rsidP="00C22FBE">
      <w:pPr>
        <w:pStyle w:val="Metadata"/>
      </w:pPr>
      <w:r w:rsidRPr="00FE6F2E">
        <w:t>1907</w:t>
      </w:r>
      <w:r>
        <w:t xml:space="preserve">: Mar. 18, 19; </w:t>
      </w:r>
      <w:r w:rsidRPr="00FE6F2E">
        <w:t>1907</w:t>
      </w:r>
      <w:r>
        <w:t xml:space="preserve">: </w:t>
      </w:r>
      <w:r w:rsidRPr="00FE6F2E">
        <w:t>April 1.</w:t>
      </w:r>
    </w:p>
    <w:p w:rsidR="00252198" w:rsidRDefault="00252198" w:rsidP="00C22FBE">
      <w:pPr>
        <w:pStyle w:val="Metadata"/>
      </w:pPr>
      <w:r w:rsidRPr="002C0DDD">
        <w:t>Present:</w:t>
      </w:r>
      <w:r w:rsidRPr="00FE6F2E">
        <w:rPr>
          <w:rFonts w:eastAsia="Times New Roman"/>
        </w:rPr>
        <w:t>—Fitzpatrick C. J. and Davies, Idington, Maclennan and Duff JJ.</w:t>
      </w:r>
    </w:p>
    <w:p w:rsidR="007D7F3E" w:rsidRPr="00FE6F2E" w:rsidRDefault="007D7F3E" w:rsidP="00C22FBE">
      <w:pPr>
        <w:pStyle w:val="Metadata"/>
      </w:pPr>
      <w:r w:rsidRPr="00FE6F2E">
        <w:t>ON APPEAL FROM THE COMMON PLEAS DIVISION OF THE HIGH COURT OF JUSTICE.</w:t>
      </w:r>
    </w:p>
    <w:p w:rsidR="007D7F3E" w:rsidRPr="00FE6F2E" w:rsidRDefault="007D7F3E" w:rsidP="00C22FBE">
      <w:pPr>
        <w:pStyle w:val="Keywords"/>
      </w:pPr>
      <w:r w:rsidRPr="00FE6F2E">
        <w:t>Appeal—Railway Act—Expropriation—Appeal from</w:t>
      </w:r>
      <w:r>
        <w:t xml:space="preserve"> </w:t>
      </w:r>
      <w:r w:rsidRPr="00FE6F2E">
        <w:t>award—Choice of forum—Curia designata.</w:t>
      </w:r>
    </w:p>
    <w:p w:rsidR="007D7F3E" w:rsidRPr="00FE6F2E" w:rsidRDefault="007D7F3E" w:rsidP="00C22FBE">
      <w:pPr>
        <w:pStyle w:val="Summary"/>
      </w:pPr>
      <w:r w:rsidRPr="00FE6F2E">
        <w:t>By sec. 168 of 3 Edw. VII. ch. 58 amending the Railway Act, 1903, (R.S.C. (1906) ch. 37, sec. 209) if an award by arbitrators on expropriation of land by a railway company exceeds $600 any dissatisfied party may appeal therefrom to a Superior Court which in Ontario means the High Court or the Court of Appeal (Interpretation Act R.S.</w:t>
      </w:r>
      <w:r>
        <w:t xml:space="preserve"> </w:t>
      </w:r>
      <w:r w:rsidRPr="00FE6F2E">
        <w:t>[1906]</w:t>
      </w:r>
      <w:r>
        <w:t xml:space="preserve"> </w:t>
      </w:r>
      <w:r w:rsidRPr="00FE6F2E">
        <w:t>ch.</w:t>
      </w:r>
      <w:r>
        <w:t xml:space="preserve"> </w:t>
      </w:r>
      <w:r w:rsidRPr="00FE6F2E">
        <w:t>1, sec. 34, sub-sec. 26).</w:t>
      </w:r>
    </w:p>
    <w:p w:rsidR="007D7F3E" w:rsidRPr="00FE6F2E" w:rsidRDefault="007D7F3E" w:rsidP="00C22FBE">
      <w:pPr>
        <w:pStyle w:val="Summary"/>
        <w:rPr>
          <w:szCs w:val="24"/>
        </w:rPr>
      </w:pPr>
      <w:r w:rsidRPr="00FE6F2E">
        <w:rPr>
          <w:i/>
          <w:iCs/>
          <w:szCs w:val="24"/>
        </w:rPr>
        <w:t xml:space="preserve">Held, </w:t>
      </w:r>
      <w:r w:rsidRPr="00FE6F2E">
        <w:rPr>
          <w:szCs w:val="24"/>
        </w:rPr>
        <w:t>that if an appeal from an award is taken to the High Court there can be no further appeal to the Supreme Court of Canada which cannot even give special leave.</w:t>
      </w:r>
    </w:p>
    <w:p w:rsidR="007D7F3E" w:rsidRPr="00FE6F2E" w:rsidRDefault="007D7F3E" w:rsidP="00C22FBE">
      <w:pPr>
        <w:pStyle w:val="History"/>
        <w:rPr>
          <w:rFonts w:cs="Arial"/>
          <w:szCs w:val="24"/>
        </w:rPr>
      </w:pPr>
      <w:r w:rsidRPr="00FE6F2E">
        <w:rPr>
          <w:rFonts w:cs="Arial"/>
          <w:szCs w:val="24"/>
        </w:rPr>
        <w:t>APPEAL from a decision of Meredith C.J. of the Common Pleas Division of the High Court of Justice for Ontario</w:t>
      </w:r>
      <w:r w:rsidR="00252198">
        <w:rPr>
          <w:rStyle w:val="FootnoteReference"/>
          <w:rFonts w:cs="Arial"/>
          <w:szCs w:val="24"/>
        </w:rPr>
        <w:footnoteReference w:id="2"/>
      </w:r>
      <w:r w:rsidRPr="00FE6F2E">
        <w:rPr>
          <w:rFonts w:cs="Arial"/>
          <w:szCs w:val="24"/>
        </w:rPr>
        <w:t>, increasing the award of arbitrators in proceedings for expropriation of plaintiff's land by the defendants.</w:t>
      </w:r>
    </w:p>
    <w:p w:rsidR="007D7F3E" w:rsidRPr="00FE6F2E" w:rsidRDefault="007D7F3E" w:rsidP="00C22FBE">
      <w:pPr>
        <w:pStyle w:val="History"/>
        <w:rPr>
          <w:rFonts w:cs="Arial"/>
          <w:szCs w:val="24"/>
        </w:rPr>
      </w:pPr>
      <w:r w:rsidRPr="00FE6F2E">
        <w:rPr>
          <w:rFonts w:cs="Arial"/>
          <w:szCs w:val="24"/>
        </w:rPr>
        <w:t>The arbitrators awarded the plaintiff $1,170 which he considered insufficient, and appealed to the High Court where it was increased to $2,250. The Railway Co. then took an appeal to the Supreme Court of Canada asking to have the original award of $1,170</w:t>
      </w:r>
    </w:p>
    <w:p w:rsidR="007D7F3E" w:rsidRPr="00FE6F2E" w:rsidRDefault="003172A5" w:rsidP="003172A5">
      <w:pPr>
        <w:pStyle w:val="Page"/>
      </w:pPr>
      <w:r>
        <w:t xml:space="preserve">[Page </w:t>
      </w:r>
      <w:r w:rsidR="007D7F3E" w:rsidRPr="00FE6F2E">
        <w:t>512]</w:t>
      </w:r>
    </w:p>
    <w:p w:rsidR="007D7F3E" w:rsidRPr="00FE6F2E" w:rsidRDefault="007D7F3E" w:rsidP="00C22FBE">
      <w:pPr>
        <w:pStyle w:val="History"/>
        <w:ind w:firstLine="0"/>
        <w:rPr>
          <w:rFonts w:cs="Arial"/>
          <w:szCs w:val="24"/>
        </w:rPr>
      </w:pPr>
      <w:r w:rsidRPr="00FE6F2E">
        <w:rPr>
          <w:rFonts w:cs="Arial"/>
          <w:szCs w:val="24"/>
        </w:rPr>
        <w:t>restored. The plaintiff by cross-appeal claimed that the increase allowed by the High Court was insufficient and that he was entitled to a much larger sum.</w:t>
      </w:r>
    </w:p>
    <w:p w:rsidR="007D7F3E" w:rsidRPr="00FE6F2E" w:rsidRDefault="007D7F3E" w:rsidP="00C22FBE">
      <w:pPr>
        <w:pStyle w:val="History"/>
        <w:rPr>
          <w:rFonts w:cs="Arial"/>
          <w:szCs w:val="24"/>
        </w:rPr>
      </w:pPr>
      <w:r w:rsidRPr="00FE6F2E">
        <w:rPr>
          <w:rFonts w:cs="Arial"/>
          <w:i/>
          <w:iCs/>
          <w:szCs w:val="24"/>
        </w:rPr>
        <w:t xml:space="preserve">Armour K.C. </w:t>
      </w:r>
      <w:r w:rsidRPr="00FE6F2E">
        <w:rPr>
          <w:rFonts w:cs="Arial"/>
          <w:szCs w:val="24"/>
        </w:rPr>
        <w:t xml:space="preserve">and </w:t>
      </w:r>
      <w:r w:rsidRPr="00FE6F2E">
        <w:rPr>
          <w:rFonts w:cs="Arial"/>
          <w:i/>
          <w:iCs/>
          <w:szCs w:val="24"/>
        </w:rPr>
        <w:t xml:space="preserve">R.B. Henderson </w:t>
      </w:r>
      <w:r w:rsidRPr="00FE6F2E">
        <w:rPr>
          <w:rFonts w:cs="Arial"/>
          <w:szCs w:val="24"/>
        </w:rPr>
        <w:t>for the appellants after arguing the case for a time on the merits were called upon to support the jurisdiction of the court to hear the appeal.</w:t>
      </w:r>
    </w:p>
    <w:p w:rsidR="007D7F3E" w:rsidRPr="00FE6F2E" w:rsidRDefault="007D7F3E" w:rsidP="00C22FBE">
      <w:pPr>
        <w:pStyle w:val="History"/>
        <w:rPr>
          <w:rFonts w:cs="Arial"/>
          <w:szCs w:val="24"/>
        </w:rPr>
      </w:pPr>
      <w:r w:rsidRPr="00FE6F2E">
        <w:rPr>
          <w:rFonts w:cs="Arial"/>
          <w:szCs w:val="24"/>
        </w:rPr>
        <w:lastRenderedPageBreak/>
        <w:t xml:space="preserve">For purposes of an appeal from an award under the Railway Act the High Court and Court of Appeal are on an equal footing. See Railway Act Amendment 3 Ed. VII. ch. 58, sec. 168 and Interpretation Act R.S. [1906] ch. 1, sec. 34(26). If an appeal is taken to the High Court there is no further appeal to the Court of Appeal, </w:t>
      </w:r>
      <w:r w:rsidRPr="00FE6F2E">
        <w:rPr>
          <w:rFonts w:cs="Arial"/>
          <w:i/>
          <w:iCs/>
          <w:szCs w:val="24"/>
        </w:rPr>
        <w:t xml:space="preserve">Birely </w:t>
      </w:r>
      <w:r w:rsidRPr="00FE6F2E">
        <w:rPr>
          <w:rFonts w:cs="Arial"/>
          <w:szCs w:val="24"/>
        </w:rPr>
        <w:t xml:space="preserve">v. </w:t>
      </w:r>
      <w:r w:rsidRPr="00FE6F2E">
        <w:rPr>
          <w:rFonts w:cs="Arial"/>
          <w:i/>
          <w:iCs/>
          <w:szCs w:val="24"/>
        </w:rPr>
        <w:t>Toronto, Hamilton and Buffalo Railway Co.</w:t>
      </w:r>
      <w:r w:rsidR="00252198">
        <w:rPr>
          <w:rStyle w:val="FootnoteReference"/>
          <w:rFonts w:cs="Arial"/>
          <w:i/>
          <w:iCs/>
          <w:szCs w:val="24"/>
        </w:rPr>
        <w:footnoteReference w:id="3"/>
      </w:r>
      <w:r w:rsidRPr="00FE6F2E">
        <w:rPr>
          <w:rFonts w:cs="Arial"/>
          <w:szCs w:val="24"/>
        </w:rPr>
        <w:t xml:space="preserve">, and the High Court becomes the highest court of last resort in the province for these cases. </w:t>
      </w:r>
      <w:r w:rsidRPr="00FE6F2E">
        <w:rPr>
          <w:rFonts w:cs="Arial"/>
          <w:i/>
          <w:iCs/>
          <w:szCs w:val="24"/>
        </w:rPr>
        <w:t xml:space="preserve">Farquharson </w:t>
      </w:r>
      <w:r w:rsidRPr="00FE6F2E">
        <w:rPr>
          <w:rFonts w:cs="Arial"/>
          <w:szCs w:val="24"/>
        </w:rPr>
        <w:t xml:space="preserve">v. </w:t>
      </w:r>
      <w:r w:rsidRPr="00FE6F2E">
        <w:rPr>
          <w:rFonts w:cs="Arial"/>
          <w:i/>
          <w:iCs/>
          <w:szCs w:val="24"/>
        </w:rPr>
        <w:t>Imperial Oil Co.</w:t>
      </w:r>
      <w:r w:rsidR="00252198">
        <w:rPr>
          <w:rStyle w:val="FootnoteReference"/>
          <w:rFonts w:cs="Arial"/>
          <w:i/>
          <w:iCs/>
          <w:szCs w:val="24"/>
        </w:rPr>
        <w:footnoteReference w:id="4"/>
      </w:r>
      <w:r w:rsidRPr="00FE6F2E">
        <w:rPr>
          <w:rFonts w:cs="Arial"/>
          <w:szCs w:val="24"/>
        </w:rPr>
        <w:t>.</w:t>
      </w:r>
    </w:p>
    <w:p w:rsidR="007D7F3E" w:rsidRPr="00FE6F2E" w:rsidRDefault="007D7F3E" w:rsidP="00C22FBE">
      <w:pPr>
        <w:pStyle w:val="History"/>
        <w:rPr>
          <w:rFonts w:cs="Arial"/>
          <w:szCs w:val="24"/>
        </w:rPr>
      </w:pPr>
      <w:r w:rsidRPr="00FE6F2E">
        <w:rPr>
          <w:rFonts w:cs="Arial"/>
          <w:i/>
          <w:iCs/>
          <w:szCs w:val="24"/>
        </w:rPr>
        <w:t xml:space="preserve">DuVernet </w:t>
      </w:r>
      <w:r w:rsidRPr="00FE6F2E">
        <w:rPr>
          <w:rFonts w:cs="Arial"/>
          <w:szCs w:val="24"/>
        </w:rPr>
        <w:t xml:space="preserve">and </w:t>
      </w:r>
      <w:r w:rsidRPr="00FE6F2E">
        <w:rPr>
          <w:rFonts w:cs="Arial"/>
          <w:i/>
          <w:iCs/>
          <w:szCs w:val="24"/>
        </w:rPr>
        <w:t xml:space="preserve">Kyles </w:t>
      </w:r>
      <w:r w:rsidRPr="00FE6F2E">
        <w:rPr>
          <w:rFonts w:cs="Arial"/>
          <w:szCs w:val="24"/>
        </w:rPr>
        <w:t xml:space="preserve">for the respondent referred to </w:t>
      </w:r>
      <w:r w:rsidRPr="00FE6F2E">
        <w:rPr>
          <w:rFonts w:cs="Arial"/>
          <w:i/>
          <w:iCs/>
          <w:szCs w:val="24"/>
        </w:rPr>
        <w:t xml:space="preserve">Atlantic and North-West Railway Co. </w:t>
      </w:r>
      <w:r w:rsidRPr="00FE6F2E">
        <w:rPr>
          <w:rFonts w:cs="Arial"/>
          <w:szCs w:val="24"/>
        </w:rPr>
        <w:t xml:space="preserve">v. </w:t>
      </w:r>
      <w:r w:rsidRPr="00FE6F2E">
        <w:rPr>
          <w:rFonts w:cs="Arial"/>
          <w:i/>
          <w:iCs/>
          <w:szCs w:val="24"/>
        </w:rPr>
        <w:t>Judah</w:t>
      </w:r>
      <w:r w:rsidR="00252198">
        <w:rPr>
          <w:rStyle w:val="FootnoteReference"/>
          <w:rFonts w:cs="Arial"/>
          <w:i/>
          <w:iCs/>
          <w:szCs w:val="24"/>
        </w:rPr>
        <w:footnoteReference w:id="5"/>
      </w:r>
      <w:r w:rsidRPr="00FE6F2E">
        <w:rPr>
          <w:rFonts w:cs="Arial"/>
          <w:szCs w:val="24"/>
        </w:rPr>
        <w:t xml:space="preserve">, </w:t>
      </w:r>
      <w:r w:rsidRPr="00FE6F2E">
        <w:rPr>
          <w:rFonts w:cs="Arial"/>
          <w:i/>
          <w:iCs/>
          <w:szCs w:val="24"/>
        </w:rPr>
        <w:t xml:space="preserve">The Province of Ontario </w:t>
      </w:r>
      <w:r w:rsidRPr="00FE6F2E">
        <w:rPr>
          <w:rFonts w:cs="Arial"/>
          <w:szCs w:val="24"/>
        </w:rPr>
        <w:t xml:space="preserve">v. </w:t>
      </w:r>
      <w:r w:rsidRPr="00FE6F2E">
        <w:rPr>
          <w:rFonts w:cs="Arial"/>
          <w:i/>
          <w:iCs/>
          <w:szCs w:val="24"/>
        </w:rPr>
        <w:t>The Province of Quebec; In re Common School Fund and Lands</w:t>
      </w:r>
      <w:r w:rsidR="00252198">
        <w:rPr>
          <w:rStyle w:val="FootnoteReference"/>
          <w:rFonts w:cs="Arial"/>
          <w:i/>
          <w:iCs/>
          <w:szCs w:val="24"/>
        </w:rPr>
        <w:footnoteReference w:id="6"/>
      </w:r>
      <w:r w:rsidRPr="00FE6F2E">
        <w:rPr>
          <w:rFonts w:cs="Arial"/>
          <w:szCs w:val="24"/>
        </w:rPr>
        <w:t>.</w:t>
      </w:r>
    </w:p>
    <w:p w:rsidR="007D7F3E" w:rsidRPr="00FE6F2E" w:rsidRDefault="007D7F3E" w:rsidP="00D358DE">
      <w:pPr>
        <w:pStyle w:val="Reasons"/>
      </w:pPr>
      <w:r w:rsidRPr="00FE6F2E">
        <w:t>The judgment of the court was delivered by</w:t>
      </w:r>
    </w:p>
    <w:p w:rsidR="007D7F3E" w:rsidRPr="00FE6F2E" w:rsidRDefault="007D7F3E" w:rsidP="00C22FBE">
      <w:pPr>
        <w:pStyle w:val="Reasons"/>
        <w:rPr>
          <w:rFonts w:cs="Arial"/>
          <w:szCs w:val="24"/>
        </w:rPr>
      </w:pPr>
      <w:r w:rsidRPr="002C0DDD">
        <w:rPr>
          <w:rFonts w:cs="Arial"/>
          <w:szCs w:val="24"/>
        </w:rPr>
        <w:t xml:space="preserve">MACLENNAN </w:t>
      </w:r>
      <w:r w:rsidRPr="00FE6F2E">
        <w:rPr>
          <w:rFonts w:cs="Arial"/>
          <w:szCs w:val="24"/>
        </w:rPr>
        <w:t>J.</w:t>
      </w:r>
      <w:r w:rsidRPr="00FE6F2E">
        <w:rPr>
          <w:rFonts w:eastAsia="Times New Roman" w:cs="Arial"/>
          <w:szCs w:val="24"/>
        </w:rPr>
        <w:t>—This is an appeal by a railway company and a cross-appeal by a landowner, in respect to the compensation to be allowed to the latter for land taken by the railway company for its track, and also for severance.</w:t>
      </w:r>
    </w:p>
    <w:p w:rsidR="007D7F3E" w:rsidRPr="00FE6F2E" w:rsidRDefault="003172A5" w:rsidP="003172A5">
      <w:pPr>
        <w:pStyle w:val="Page"/>
      </w:pPr>
      <w:r>
        <w:rPr>
          <w:rFonts w:cs="Arial"/>
          <w:szCs w:val="24"/>
        </w:rPr>
        <w:t xml:space="preserve">[Page </w:t>
      </w:r>
      <w:r w:rsidR="007D7F3E" w:rsidRPr="00FE6F2E">
        <w:rPr>
          <w:rFonts w:cs="Arial"/>
          <w:szCs w:val="24"/>
        </w:rPr>
        <w:t>513]</w:t>
      </w:r>
    </w:p>
    <w:p w:rsidR="007D7F3E" w:rsidRPr="00FE6F2E" w:rsidRDefault="007D7F3E" w:rsidP="00C22FBE">
      <w:pPr>
        <w:pStyle w:val="Reasons"/>
        <w:rPr>
          <w:rFonts w:cs="Arial"/>
          <w:szCs w:val="24"/>
        </w:rPr>
      </w:pPr>
      <w:r w:rsidRPr="00FE6F2E">
        <w:rPr>
          <w:rFonts w:cs="Arial"/>
          <w:szCs w:val="24"/>
        </w:rPr>
        <w:t>Arbitrators were appointed in the usual manner, and a majority award was made on the 29th December, 1905, in favour of the respondent for the sum of $1,170.</w:t>
      </w:r>
    </w:p>
    <w:p w:rsidR="007D7F3E" w:rsidRPr="00FE6F2E" w:rsidRDefault="007D7F3E" w:rsidP="00C22FBE">
      <w:pPr>
        <w:pStyle w:val="Reasons"/>
        <w:rPr>
          <w:rFonts w:cs="Arial"/>
          <w:szCs w:val="24"/>
        </w:rPr>
      </w:pPr>
      <w:r w:rsidRPr="00FE6F2E">
        <w:rPr>
          <w:rFonts w:cs="Arial"/>
          <w:szCs w:val="24"/>
        </w:rPr>
        <w:t>From this award an appeal was taken by the respondent, in pursuance of sec. 168 of the Railway Act, 3 Ed. VII. ch. 58.</w:t>
      </w:r>
    </w:p>
    <w:p w:rsidR="007D7F3E" w:rsidRPr="00FE6F2E" w:rsidRDefault="007D7F3E" w:rsidP="00C22FBE">
      <w:pPr>
        <w:pStyle w:val="Reasons"/>
        <w:rPr>
          <w:rFonts w:cs="Arial"/>
          <w:szCs w:val="24"/>
        </w:rPr>
      </w:pPr>
      <w:r w:rsidRPr="00FE6F2E">
        <w:rPr>
          <w:rFonts w:cs="Arial"/>
          <w:szCs w:val="24"/>
        </w:rPr>
        <w:t>That section provides that whenever such an award exceeds $600 any party</w:t>
      </w:r>
    </w:p>
    <w:p w:rsidR="007D7F3E" w:rsidRPr="00FE6F2E" w:rsidRDefault="007D7F3E" w:rsidP="00C22FBE">
      <w:pPr>
        <w:pStyle w:val="Indent1"/>
        <w:rPr>
          <w:rFonts w:cs="Arial"/>
          <w:szCs w:val="24"/>
        </w:rPr>
      </w:pPr>
      <w:r w:rsidRPr="00FE6F2E">
        <w:rPr>
          <w:rFonts w:cs="Arial"/>
          <w:szCs w:val="24"/>
        </w:rPr>
        <w:t>may appeal therefrom upon any question of law or fact to a superior court; and upon the hearing of the appeal, the court shall, if the same is a question of fact, decide the same upon the evidence taken before the arbitrators, as in a case of original jurisdiction.</w:t>
      </w:r>
    </w:p>
    <w:p w:rsidR="007D7F3E" w:rsidRPr="00FE6F2E" w:rsidRDefault="007D7F3E" w:rsidP="00C22FBE">
      <w:pPr>
        <w:pStyle w:val="Reasons"/>
        <w:rPr>
          <w:rFonts w:cs="Arial"/>
          <w:szCs w:val="24"/>
        </w:rPr>
      </w:pPr>
      <w:r w:rsidRPr="00FE6F2E">
        <w:rPr>
          <w:rFonts w:cs="Arial"/>
          <w:szCs w:val="24"/>
        </w:rPr>
        <w:t>Subsection 2 provides that:</w:t>
      </w:r>
    </w:p>
    <w:p w:rsidR="007D7F3E" w:rsidRPr="00FE6F2E" w:rsidRDefault="007D7F3E" w:rsidP="00C22FBE">
      <w:pPr>
        <w:pStyle w:val="Indent1"/>
        <w:rPr>
          <w:rFonts w:cs="Arial"/>
          <w:szCs w:val="24"/>
        </w:rPr>
      </w:pPr>
      <w:r w:rsidRPr="00FE6F2E">
        <w:rPr>
          <w:rFonts w:cs="Arial"/>
          <w:szCs w:val="24"/>
        </w:rPr>
        <w:t>Upon such appeal the practice and proceedings shall be, as nearly as may be, the same as upon an appeal from the decision of an inferior court to the said court, subject to any general rules or orders from time to time made by the said last-mentioned court, in respect to such appeals, which orders may amongst other things provide that any such appeal may be heard and determined by a single judge.</w:t>
      </w:r>
    </w:p>
    <w:p w:rsidR="007D7F3E" w:rsidRPr="00FE6F2E" w:rsidRDefault="007D7F3E" w:rsidP="00C22FBE">
      <w:pPr>
        <w:pStyle w:val="Reasons"/>
        <w:rPr>
          <w:rFonts w:cs="Arial"/>
          <w:szCs w:val="24"/>
        </w:rPr>
      </w:pPr>
      <w:r w:rsidRPr="00FE6F2E">
        <w:rPr>
          <w:rFonts w:cs="Arial"/>
          <w:szCs w:val="24"/>
        </w:rPr>
        <w:t>By sec. 2(</w:t>
      </w:r>
      <w:r w:rsidRPr="00FE6F2E">
        <w:rPr>
          <w:rFonts w:cs="Arial"/>
          <w:i/>
          <w:iCs/>
          <w:szCs w:val="24"/>
        </w:rPr>
        <w:t>f</w:t>
      </w:r>
      <w:r w:rsidRPr="00FE6F2E">
        <w:rPr>
          <w:rFonts w:cs="Arial"/>
          <w:szCs w:val="24"/>
        </w:rPr>
        <w:t>)</w:t>
      </w:r>
      <w:r w:rsidRPr="00FE6F2E">
        <w:rPr>
          <w:rFonts w:cs="Arial"/>
          <w:i/>
          <w:iCs/>
          <w:szCs w:val="24"/>
        </w:rPr>
        <w:t xml:space="preserve"> </w:t>
      </w:r>
      <w:r w:rsidRPr="00FE6F2E">
        <w:rPr>
          <w:rFonts w:cs="Arial"/>
          <w:szCs w:val="24"/>
        </w:rPr>
        <w:t xml:space="preserve">of the Railway Act, the expression "Court" means a superior court of the province </w:t>
      </w:r>
      <w:r w:rsidRPr="00FE6F2E">
        <w:rPr>
          <w:rFonts w:cs="Arial"/>
          <w:szCs w:val="24"/>
        </w:rPr>
        <w:lastRenderedPageBreak/>
        <w:t>or district, and by the Interpretation Act, R.S.C. [1906] ch. 1, sec. 34(26), "Superior Court" means, in the Province of Ontario, the Court of Appeal for Ontario, and the High Court of Justice for Ontario.</w:t>
      </w:r>
    </w:p>
    <w:p w:rsidR="007D7F3E" w:rsidRPr="00FE6F2E" w:rsidRDefault="007D7F3E" w:rsidP="00C22FBE">
      <w:pPr>
        <w:pStyle w:val="Reasons"/>
        <w:rPr>
          <w:rFonts w:cs="Arial"/>
          <w:szCs w:val="24"/>
        </w:rPr>
      </w:pPr>
      <w:r w:rsidRPr="00FE6F2E">
        <w:rPr>
          <w:rFonts w:cs="Arial"/>
          <w:szCs w:val="24"/>
        </w:rPr>
        <w:t>By sec. 65 of the Judicature Act of Ontario, it is provided that every action and proceeding in the High Court, and all business arising out of the same, except as hereinafter provided, shall, so far as is practicable and convenient, be heard, determined and disposed of before a single judge.</w:t>
      </w:r>
    </w:p>
    <w:p w:rsidR="007D7F3E" w:rsidRPr="00FE6F2E" w:rsidRDefault="007D7F3E" w:rsidP="00C22FBE">
      <w:pPr>
        <w:pStyle w:val="Reasons"/>
        <w:rPr>
          <w:rFonts w:cs="Arial"/>
          <w:szCs w:val="24"/>
        </w:rPr>
      </w:pPr>
      <w:r w:rsidRPr="00FE6F2E">
        <w:rPr>
          <w:rFonts w:cs="Arial"/>
          <w:szCs w:val="24"/>
        </w:rPr>
        <w:t>In pursuance of these enactments, the landowner, who had the option of taking an appeal from the</w:t>
      </w:r>
    </w:p>
    <w:p w:rsidR="007D7F3E" w:rsidRPr="00FE6F2E" w:rsidRDefault="003172A5" w:rsidP="003172A5">
      <w:pPr>
        <w:pStyle w:val="Page"/>
      </w:pPr>
      <w:r>
        <w:rPr>
          <w:rFonts w:cs="Arial"/>
          <w:szCs w:val="24"/>
        </w:rPr>
        <w:t xml:space="preserve">[Page </w:t>
      </w:r>
      <w:r w:rsidR="007D7F3E" w:rsidRPr="00FE6F2E">
        <w:rPr>
          <w:rFonts w:cs="Arial"/>
          <w:szCs w:val="24"/>
        </w:rPr>
        <w:t>514]</w:t>
      </w:r>
    </w:p>
    <w:p w:rsidR="007D7F3E" w:rsidRPr="00FE6F2E" w:rsidRDefault="007D7F3E" w:rsidP="00C22FBE">
      <w:pPr>
        <w:pStyle w:val="Reasons"/>
        <w:rPr>
          <w:rFonts w:cs="Arial"/>
          <w:szCs w:val="24"/>
        </w:rPr>
      </w:pPr>
      <w:r w:rsidRPr="00FE6F2E">
        <w:rPr>
          <w:rFonts w:cs="Arial"/>
          <w:szCs w:val="24"/>
        </w:rPr>
        <w:t>award, either to the High Court of Justice, or to the Court of Appeal in Ontario, took it to the High Court, and it was heard before a single judge, viz., before Meredith C.J., who increased the compensation due from the company to the sum of $2,250.</w:t>
      </w:r>
    </w:p>
    <w:p w:rsidR="007D7F3E" w:rsidRPr="00FE6F2E" w:rsidRDefault="007D7F3E" w:rsidP="00C22FBE">
      <w:pPr>
        <w:pStyle w:val="Reasons"/>
        <w:rPr>
          <w:rFonts w:cs="Arial"/>
          <w:szCs w:val="24"/>
        </w:rPr>
      </w:pPr>
      <w:r w:rsidRPr="00FE6F2E">
        <w:rPr>
          <w:rFonts w:cs="Arial"/>
          <w:szCs w:val="24"/>
        </w:rPr>
        <w:t>From that judgment the present appeal was brought by the company, whereupon the landowner, by way of cross-appeal, claimed in his factum, that the sum awarded to him by the Chief Justice, was insufficient and should be largely increased.</w:t>
      </w:r>
    </w:p>
    <w:p w:rsidR="007D7F3E" w:rsidRPr="00FE6F2E" w:rsidRDefault="007D7F3E" w:rsidP="00C22FBE">
      <w:pPr>
        <w:pStyle w:val="Reasons"/>
        <w:rPr>
          <w:rFonts w:cs="Arial"/>
          <w:szCs w:val="24"/>
        </w:rPr>
      </w:pPr>
      <w:r w:rsidRPr="00FE6F2E">
        <w:rPr>
          <w:rFonts w:cs="Arial"/>
          <w:szCs w:val="24"/>
        </w:rPr>
        <w:t>Upon the opening of the appeal, a question was raised by the court with respect to its jurisdiction, and an opportunity was given to counsel to argue that question, as well as the merits.</w:t>
      </w:r>
    </w:p>
    <w:p w:rsidR="007D7F3E" w:rsidRPr="00FE6F2E" w:rsidRDefault="007D7F3E" w:rsidP="00C22FBE">
      <w:pPr>
        <w:pStyle w:val="Reasons"/>
        <w:rPr>
          <w:rFonts w:cs="Arial"/>
          <w:szCs w:val="24"/>
        </w:rPr>
      </w:pPr>
      <w:r w:rsidRPr="00FE6F2E">
        <w:rPr>
          <w:rFonts w:cs="Arial"/>
          <w:szCs w:val="24"/>
        </w:rPr>
        <w:t>Having heard the argument and also an application for leave to appeal, we are all of opinion that there is no jurisdiction to hear the appeal, either with or without leave, and that the appeal should be quashed.</w:t>
      </w:r>
    </w:p>
    <w:p w:rsidR="007D7F3E" w:rsidRPr="00FE6F2E" w:rsidRDefault="007D7F3E" w:rsidP="00C22FBE">
      <w:pPr>
        <w:pStyle w:val="Reasons"/>
        <w:rPr>
          <w:rFonts w:cs="Arial"/>
          <w:szCs w:val="24"/>
        </w:rPr>
      </w:pPr>
      <w:r w:rsidRPr="00FE6F2E">
        <w:rPr>
          <w:rFonts w:cs="Arial"/>
          <w:szCs w:val="24"/>
        </w:rPr>
        <w:t xml:space="preserve">Precisely the same question arose in this court in 1901, on a motion for leave to appeal to this court from a judgment of a judge of the High Court of Ontario, increasing the sum awarded by arbitrators to a landowner against a Railway Company, and the application was refused. That </w:t>
      </w:r>
      <w:r w:rsidRPr="00FE6F2E">
        <w:rPr>
          <w:rFonts w:cs="Arial"/>
          <w:szCs w:val="24"/>
        </w:rPr>
        <w:lastRenderedPageBreak/>
        <w:t xml:space="preserve">was the case of the </w:t>
      </w:r>
      <w:r w:rsidRPr="00FE6F2E">
        <w:rPr>
          <w:rFonts w:cs="Arial"/>
          <w:i/>
          <w:iCs/>
          <w:szCs w:val="24"/>
        </w:rPr>
        <w:t xml:space="preserve">Ottawa Electric Co. </w:t>
      </w:r>
      <w:r w:rsidRPr="00FE6F2E">
        <w:rPr>
          <w:rFonts w:cs="Arial"/>
          <w:szCs w:val="24"/>
        </w:rPr>
        <w:t xml:space="preserve">v. </w:t>
      </w:r>
      <w:r w:rsidRPr="00FE6F2E">
        <w:rPr>
          <w:rFonts w:cs="Arial"/>
          <w:i/>
          <w:iCs/>
          <w:szCs w:val="24"/>
        </w:rPr>
        <w:t>Brennan</w:t>
      </w:r>
      <w:r w:rsidR="00252198">
        <w:rPr>
          <w:rStyle w:val="FootnoteReference"/>
          <w:rFonts w:cs="Arial"/>
          <w:i/>
          <w:iCs/>
          <w:szCs w:val="24"/>
        </w:rPr>
        <w:footnoteReference w:id="7"/>
      </w:r>
      <w:r w:rsidRPr="00FE6F2E">
        <w:rPr>
          <w:rFonts w:cs="Arial"/>
          <w:i/>
          <w:iCs/>
          <w:szCs w:val="24"/>
        </w:rPr>
        <w:t>.</w:t>
      </w:r>
    </w:p>
    <w:p w:rsidR="007D7F3E" w:rsidRPr="00FE6F2E" w:rsidRDefault="007D7F3E" w:rsidP="00C22FBE">
      <w:pPr>
        <w:pStyle w:val="Reasons"/>
        <w:rPr>
          <w:rFonts w:cs="Arial"/>
          <w:szCs w:val="24"/>
        </w:rPr>
      </w:pPr>
      <w:r w:rsidRPr="00FE6F2E">
        <w:rPr>
          <w:rFonts w:cs="Arial"/>
          <w:szCs w:val="24"/>
        </w:rPr>
        <w:t xml:space="preserve">The case of </w:t>
      </w:r>
      <w:r w:rsidRPr="00FE6F2E">
        <w:rPr>
          <w:rFonts w:cs="Arial"/>
          <w:i/>
          <w:iCs/>
          <w:szCs w:val="24"/>
        </w:rPr>
        <w:t xml:space="preserve">Birely </w:t>
      </w:r>
      <w:r w:rsidRPr="00FE6F2E">
        <w:rPr>
          <w:rFonts w:cs="Arial"/>
          <w:szCs w:val="24"/>
        </w:rPr>
        <w:t xml:space="preserve">v. </w:t>
      </w:r>
      <w:r w:rsidRPr="00FE6F2E">
        <w:rPr>
          <w:rFonts w:cs="Arial"/>
          <w:i/>
          <w:iCs/>
          <w:szCs w:val="24"/>
        </w:rPr>
        <w:t>The Toronto, Hamilton and Buffalo Ry. Co.</w:t>
      </w:r>
      <w:r w:rsidR="00252198">
        <w:rPr>
          <w:rStyle w:val="FootnoteReference"/>
          <w:rFonts w:cs="Arial"/>
          <w:i/>
          <w:iCs/>
          <w:szCs w:val="24"/>
        </w:rPr>
        <w:footnoteReference w:id="8"/>
      </w:r>
      <w:r w:rsidRPr="00FE6F2E">
        <w:rPr>
          <w:rFonts w:cs="Arial"/>
          <w:szCs w:val="24"/>
        </w:rPr>
        <w:t>,</w:t>
      </w:r>
      <w:r w:rsidRPr="00FE6F2E">
        <w:rPr>
          <w:rFonts w:cs="Arial"/>
          <w:i/>
          <w:iCs/>
          <w:szCs w:val="24"/>
        </w:rPr>
        <w:t xml:space="preserve"> </w:t>
      </w:r>
      <w:r w:rsidRPr="00FE6F2E">
        <w:rPr>
          <w:rFonts w:cs="Arial"/>
          <w:szCs w:val="24"/>
        </w:rPr>
        <w:t>was there referred to with approval in which it was held that no appeal lay from the judge of the High Court to the Court of Appeal in such a case, both those courts being designated by the statute as special tribunals, to either of which the appellant might resort.</w:t>
      </w:r>
    </w:p>
    <w:p w:rsidR="007D7F3E" w:rsidRPr="00FE6F2E" w:rsidRDefault="003172A5" w:rsidP="003172A5">
      <w:pPr>
        <w:pStyle w:val="Page"/>
      </w:pPr>
      <w:r>
        <w:rPr>
          <w:rFonts w:cs="Arial"/>
          <w:szCs w:val="24"/>
        </w:rPr>
        <w:t xml:space="preserve">[Page </w:t>
      </w:r>
      <w:r w:rsidR="007D7F3E" w:rsidRPr="00FE6F2E">
        <w:rPr>
          <w:rFonts w:cs="Arial"/>
          <w:szCs w:val="24"/>
        </w:rPr>
        <w:t>515]</w:t>
      </w:r>
    </w:p>
    <w:p w:rsidR="007D7F3E" w:rsidRPr="00FE6F2E" w:rsidRDefault="007D7F3E" w:rsidP="00C22FBE">
      <w:pPr>
        <w:pStyle w:val="Reasons"/>
        <w:rPr>
          <w:rFonts w:cs="Arial"/>
          <w:szCs w:val="24"/>
        </w:rPr>
      </w:pPr>
      <w:r w:rsidRPr="00FE6F2E">
        <w:rPr>
          <w:rFonts w:cs="Arial"/>
          <w:szCs w:val="24"/>
        </w:rPr>
        <w:t>The appeal and cross appeal, and also the motion for leave will therefore be dismissed without costs.</w:t>
      </w:r>
    </w:p>
    <w:p w:rsidR="007D7F3E" w:rsidRPr="00FE6F2E" w:rsidRDefault="007D7F3E" w:rsidP="00C22FBE">
      <w:pPr>
        <w:pStyle w:val="Reasons"/>
        <w:rPr>
          <w:rFonts w:cs="Arial"/>
          <w:szCs w:val="24"/>
        </w:rPr>
      </w:pPr>
      <w:r w:rsidRPr="00C22FBE">
        <w:rPr>
          <w:rFonts w:cs="Arial"/>
          <w:szCs w:val="24"/>
        </w:rPr>
        <w:t>Appeal dismissed without costs.</w:t>
      </w:r>
    </w:p>
    <w:p w:rsidR="007D7F3E" w:rsidRPr="00FE6F2E" w:rsidRDefault="007D7F3E" w:rsidP="00C22FBE">
      <w:pPr>
        <w:pStyle w:val="Sollicitors"/>
      </w:pPr>
      <w:r w:rsidRPr="00FE6F2E">
        <w:t xml:space="preserve">Solicitors for the appellants: </w:t>
      </w:r>
      <w:r w:rsidRPr="00FE6F2E">
        <w:rPr>
          <w:iCs/>
        </w:rPr>
        <w:t>Boyce and Henderson.</w:t>
      </w:r>
    </w:p>
    <w:p w:rsidR="003824D9" w:rsidRDefault="007D7F3E" w:rsidP="00C22FBE">
      <w:pPr>
        <w:pStyle w:val="Sollicitors"/>
      </w:pPr>
      <w:r w:rsidRPr="00FE6F2E">
        <w:t xml:space="preserve">Solicitors for the respondent: </w:t>
      </w:r>
      <w:r w:rsidRPr="00FE6F2E">
        <w:rPr>
          <w:iCs/>
        </w:rPr>
        <w:t>Bull and Kyles.</w:t>
      </w:r>
    </w:p>
    <w:sectPr w:rsidR="003824D9" w:rsidSect="009C5F19">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250" w:rsidRDefault="00836250" w:rsidP="009C5F19">
      <w:r>
        <w:separator/>
      </w:r>
    </w:p>
  </w:endnote>
  <w:endnote w:type="continuationSeparator" w:id="1">
    <w:p w:rsidR="00836250" w:rsidRDefault="00836250" w:rsidP="009C5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19" w:rsidRDefault="009C5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19" w:rsidRPr="009B227D" w:rsidRDefault="009C5F19">
    <w:pPr>
      <w:pStyle w:val="Foo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19" w:rsidRDefault="009C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250" w:rsidRDefault="00836250" w:rsidP="009C5F19">
      <w:r>
        <w:separator/>
      </w:r>
    </w:p>
  </w:footnote>
  <w:footnote w:type="continuationSeparator" w:id="1">
    <w:p w:rsidR="00836250" w:rsidRDefault="00836250" w:rsidP="009C5F19">
      <w:r>
        <w:continuationSeparator/>
      </w:r>
    </w:p>
  </w:footnote>
  <w:footnote w:id="2">
    <w:p w:rsidR="00252198" w:rsidRPr="00252198" w:rsidRDefault="00252198">
      <w:pPr>
        <w:pStyle w:val="FootnoteText"/>
        <w:rPr>
          <w:lang w:val="en-US"/>
        </w:rPr>
      </w:pPr>
      <w:r>
        <w:rPr>
          <w:rStyle w:val="FootnoteReference"/>
        </w:rPr>
        <w:footnoteRef/>
      </w:r>
      <w:r>
        <w:t xml:space="preserve"> </w:t>
      </w:r>
      <w:r w:rsidRPr="00FE6F2E">
        <w:rPr>
          <w:rFonts w:cs="Arial"/>
          <w:szCs w:val="24"/>
        </w:rPr>
        <w:t>12 Ont. L.R. 137.</w:t>
      </w:r>
    </w:p>
  </w:footnote>
  <w:footnote w:id="3">
    <w:p w:rsidR="00252198" w:rsidRPr="00252198" w:rsidRDefault="00252198">
      <w:pPr>
        <w:pStyle w:val="FootnoteText"/>
        <w:rPr>
          <w:lang w:val="en-US"/>
        </w:rPr>
      </w:pPr>
      <w:r>
        <w:rPr>
          <w:rStyle w:val="FootnoteReference"/>
        </w:rPr>
        <w:footnoteRef/>
      </w:r>
      <w:r>
        <w:t xml:space="preserve"> </w:t>
      </w:r>
      <w:r w:rsidRPr="00FE6F2E">
        <w:rPr>
          <w:rFonts w:cs="Arial"/>
          <w:szCs w:val="24"/>
        </w:rPr>
        <w:t>25 Ont. App. R. 88.</w:t>
      </w:r>
    </w:p>
  </w:footnote>
  <w:footnote w:id="4">
    <w:p w:rsidR="00252198" w:rsidRPr="00252198" w:rsidRDefault="00252198">
      <w:pPr>
        <w:pStyle w:val="FootnoteText"/>
        <w:rPr>
          <w:lang w:val="en-US"/>
        </w:rPr>
      </w:pPr>
      <w:r>
        <w:rPr>
          <w:rStyle w:val="FootnoteReference"/>
        </w:rPr>
        <w:footnoteRef/>
      </w:r>
      <w:r>
        <w:t xml:space="preserve"> </w:t>
      </w:r>
      <w:r w:rsidRPr="00FE6F2E">
        <w:rPr>
          <w:rFonts w:cs="Arial"/>
          <w:szCs w:val="24"/>
        </w:rPr>
        <w:t>30 Can. S.C.R. 188.</w:t>
      </w:r>
    </w:p>
  </w:footnote>
  <w:footnote w:id="5">
    <w:p w:rsidR="00252198" w:rsidRPr="00252198" w:rsidRDefault="00252198">
      <w:pPr>
        <w:pStyle w:val="FootnoteText"/>
        <w:rPr>
          <w:lang w:val="en-US"/>
        </w:rPr>
      </w:pPr>
      <w:r>
        <w:rPr>
          <w:rStyle w:val="FootnoteReference"/>
        </w:rPr>
        <w:footnoteRef/>
      </w:r>
      <w:r>
        <w:t xml:space="preserve"> </w:t>
      </w:r>
      <w:r w:rsidRPr="00FE6F2E">
        <w:rPr>
          <w:rFonts w:cs="Arial"/>
          <w:szCs w:val="24"/>
        </w:rPr>
        <w:t>23</w:t>
      </w:r>
      <w:r>
        <w:rPr>
          <w:rFonts w:cs="Arial"/>
          <w:szCs w:val="24"/>
        </w:rPr>
        <w:t xml:space="preserve"> </w:t>
      </w:r>
      <w:r w:rsidRPr="00FE6F2E">
        <w:rPr>
          <w:rFonts w:cs="Arial"/>
          <w:szCs w:val="24"/>
        </w:rPr>
        <w:t>Can.</w:t>
      </w:r>
      <w:r>
        <w:rPr>
          <w:rFonts w:cs="Arial"/>
          <w:szCs w:val="24"/>
        </w:rPr>
        <w:t xml:space="preserve"> </w:t>
      </w:r>
      <w:r w:rsidRPr="00FE6F2E">
        <w:rPr>
          <w:rFonts w:cs="Arial"/>
          <w:szCs w:val="24"/>
        </w:rPr>
        <w:t>S.C.R. 231.</w:t>
      </w:r>
    </w:p>
  </w:footnote>
  <w:footnote w:id="6">
    <w:p w:rsidR="00252198" w:rsidRPr="00252198" w:rsidRDefault="00252198">
      <w:pPr>
        <w:pStyle w:val="FootnoteText"/>
        <w:rPr>
          <w:lang w:val="en-US"/>
        </w:rPr>
      </w:pPr>
      <w:r>
        <w:rPr>
          <w:rStyle w:val="FootnoteReference"/>
        </w:rPr>
        <w:footnoteRef/>
      </w:r>
      <w:r>
        <w:t xml:space="preserve"> </w:t>
      </w:r>
      <w:r w:rsidRPr="00FE6F2E">
        <w:rPr>
          <w:rFonts w:cs="Arial"/>
          <w:szCs w:val="24"/>
        </w:rPr>
        <w:t>30 Can. S.C.R. 306.</w:t>
      </w:r>
    </w:p>
  </w:footnote>
  <w:footnote w:id="7">
    <w:p w:rsidR="00252198" w:rsidRPr="00252198" w:rsidRDefault="00252198">
      <w:pPr>
        <w:pStyle w:val="FootnoteText"/>
        <w:rPr>
          <w:lang w:val="en-US"/>
        </w:rPr>
      </w:pPr>
      <w:r>
        <w:rPr>
          <w:rStyle w:val="FootnoteReference"/>
        </w:rPr>
        <w:footnoteRef/>
      </w:r>
      <w:r>
        <w:t xml:space="preserve"> </w:t>
      </w:r>
      <w:r w:rsidRPr="00FE6F2E">
        <w:rPr>
          <w:rFonts w:cs="Arial"/>
          <w:szCs w:val="24"/>
        </w:rPr>
        <w:t>31 Can. S.C.R. 311.</w:t>
      </w:r>
    </w:p>
  </w:footnote>
  <w:footnote w:id="8">
    <w:p w:rsidR="00252198" w:rsidRPr="00252198" w:rsidRDefault="00252198">
      <w:pPr>
        <w:pStyle w:val="FootnoteText"/>
        <w:rPr>
          <w:lang w:val="en-US"/>
        </w:rPr>
      </w:pPr>
      <w:r>
        <w:rPr>
          <w:rStyle w:val="FootnoteReference"/>
        </w:rPr>
        <w:footnoteRef/>
      </w:r>
      <w:r>
        <w:t xml:space="preserve"> </w:t>
      </w:r>
      <w:r w:rsidRPr="00FE6F2E">
        <w:rPr>
          <w:rFonts w:cs="Arial"/>
          <w:szCs w:val="24"/>
        </w:rPr>
        <w:t>25 Ont. App. R. 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19" w:rsidRDefault="009C5F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19" w:rsidRPr="009C5F19" w:rsidRDefault="009C5F19">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19" w:rsidRDefault="009C5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characterSpacingControl w:val="doNotCompress"/>
  <w:footnotePr>
    <w:footnote w:id="0"/>
    <w:footnote w:id="1"/>
  </w:footnotePr>
  <w:endnotePr>
    <w:endnote w:id="0"/>
    <w:endnote w:id="1"/>
  </w:endnotePr>
  <w:compat/>
  <w:rsids>
    <w:rsidRoot w:val="007D7F3E"/>
    <w:rsid w:val="000034F2"/>
    <w:rsid w:val="000173FB"/>
    <w:rsid w:val="000655EC"/>
    <w:rsid w:val="00070169"/>
    <w:rsid w:val="000B6688"/>
    <w:rsid w:val="000C3415"/>
    <w:rsid w:val="000E6D9C"/>
    <w:rsid w:val="00121409"/>
    <w:rsid w:val="00126A8E"/>
    <w:rsid w:val="00161E8F"/>
    <w:rsid w:val="0017213A"/>
    <w:rsid w:val="001837F3"/>
    <w:rsid w:val="001D0D42"/>
    <w:rsid w:val="001D5C4A"/>
    <w:rsid w:val="001F5420"/>
    <w:rsid w:val="001F6A76"/>
    <w:rsid w:val="002209AC"/>
    <w:rsid w:val="00241DC1"/>
    <w:rsid w:val="002428EB"/>
    <w:rsid w:val="00252198"/>
    <w:rsid w:val="002A74DD"/>
    <w:rsid w:val="002B30C5"/>
    <w:rsid w:val="002C186C"/>
    <w:rsid w:val="002D5E01"/>
    <w:rsid w:val="002F4F64"/>
    <w:rsid w:val="002F7D00"/>
    <w:rsid w:val="003172A5"/>
    <w:rsid w:val="00361108"/>
    <w:rsid w:val="003824D9"/>
    <w:rsid w:val="003E5AF5"/>
    <w:rsid w:val="003F602F"/>
    <w:rsid w:val="004277EE"/>
    <w:rsid w:val="0043543D"/>
    <w:rsid w:val="00442713"/>
    <w:rsid w:val="00457BC5"/>
    <w:rsid w:val="00463F5F"/>
    <w:rsid w:val="00482CDC"/>
    <w:rsid w:val="004C7ED4"/>
    <w:rsid w:val="00502176"/>
    <w:rsid w:val="00511D93"/>
    <w:rsid w:val="00514003"/>
    <w:rsid w:val="00530DBE"/>
    <w:rsid w:val="00537980"/>
    <w:rsid w:val="00563767"/>
    <w:rsid w:val="005667DA"/>
    <w:rsid w:val="00593C8B"/>
    <w:rsid w:val="00644967"/>
    <w:rsid w:val="006D2BED"/>
    <w:rsid w:val="006D6F42"/>
    <w:rsid w:val="006E5FEA"/>
    <w:rsid w:val="00747F2C"/>
    <w:rsid w:val="00751F7D"/>
    <w:rsid w:val="007969C4"/>
    <w:rsid w:val="007B3A90"/>
    <w:rsid w:val="007D083E"/>
    <w:rsid w:val="007D6DD5"/>
    <w:rsid w:val="007D7F3E"/>
    <w:rsid w:val="008027F3"/>
    <w:rsid w:val="008211A7"/>
    <w:rsid w:val="00836250"/>
    <w:rsid w:val="008371FA"/>
    <w:rsid w:val="008433A9"/>
    <w:rsid w:val="008550EF"/>
    <w:rsid w:val="00872F75"/>
    <w:rsid w:val="00880FBB"/>
    <w:rsid w:val="008B0B7A"/>
    <w:rsid w:val="00926406"/>
    <w:rsid w:val="009A7B1B"/>
    <w:rsid w:val="009B227D"/>
    <w:rsid w:val="009C5F19"/>
    <w:rsid w:val="009D37B6"/>
    <w:rsid w:val="009E64DC"/>
    <w:rsid w:val="00A42830"/>
    <w:rsid w:val="00A4371F"/>
    <w:rsid w:val="00A54E5B"/>
    <w:rsid w:val="00A61128"/>
    <w:rsid w:val="00A9326F"/>
    <w:rsid w:val="00A94C52"/>
    <w:rsid w:val="00AA78FB"/>
    <w:rsid w:val="00AB09B8"/>
    <w:rsid w:val="00AC1659"/>
    <w:rsid w:val="00AE63C8"/>
    <w:rsid w:val="00B007EC"/>
    <w:rsid w:val="00B177F7"/>
    <w:rsid w:val="00B41B49"/>
    <w:rsid w:val="00B639A4"/>
    <w:rsid w:val="00B770F4"/>
    <w:rsid w:val="00B772A6"/>
    <w:rsid w:val="00BC4595"/>
    <w:rsid w:val="00C22FBE"/>
    <w:rsid w:val="00C372DF"/>
    <w:rsid w:val="00C45FBD"/>
    <w:rsid w:val="00C54EB9"/>
    <w:rsid w:val="00C565B6"/>
    <w:rsid w:val="00C7016B"/>
    <w:rsid w:val="00C93FA5"/>
    <w:rsid w:val="00C95189"/>
    <w:rsid w:val="00CB726B"/>
    <w:rsid w:val="00CC50DD"/>
    <w:rsid w:val="00CD1289"/>
    <w:rsid w:val="00CD1F09"/>
    <w:rsid w:val="00CD50FC"/>
    <w:rsid w:val="00CE2A11"/>
    <w:rsid w:val="00CF1E48"/>
    <w:rsid w:val="00D00550"/>
    <w:rsid w:val="00D150B7"/>
    <w:rsid w:val="00D306D2"/>
    <w:rsid w:val="00D358DE"/>
    <w:rsid w:val="00D36E28"/>
    <w:rsid w:val="00D45866"/>
    <w:rsid w:val="00D723FF"/>
    <w:rsid w:val="00D9036C"/>
    <w:rsid w:val="00DC4119"/>
    <w:rsid w:val="00DE30DC"/>
    <w:rsid w:val="00E1124B"/>
    <w:rsid w:val="00E114A9"/>
    <w:rsid w:val="00E117BD"/>
    <w:rsid w:val="00E30F5A"/>
    <w:rsid w:val="00E40016"/>
    <w:rsid w:val="00E407E4"/>
    <w:rsid w:val="00E43349"/>
    <w:rsid w:val="00E51D18"/>
    <w:rsid w:val="00E86DF4"/>
    <w:rsid w:val="00EB3437"/>
    <w:rsid w:val="00EF2358"/>
    <w:rsid w:val="00EF4B81"/>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542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F542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F542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F5420"/>
  </w:style>
  <w:style w:type="paragraph" w:styleId="Header">
    <w:name w:val="header"/>
    <w:basedOn w:val="Normal"/>
    <w:link w:val="HeaderChar"/>
    <w:uiPriority w:val="99"/>
    <w:unhideWhenUsed/>
    <w:rsid w:val="001F5420"/>
    <w:pPr>
      <w:tabs>
        <w:tab w:val="center" w:pos="4680"/>
        <w:tab w:val="right" w:pos="9360"/>
      </w:tabs>
    </w:pPr>
    <w:rPr>
      <w:rFonts w:ascii="Times New Roman" w:hAnsi="Times New Roman"/>
    </w:rPr>
  </w:style>
  <w:style w:type="character" w:customStyle="1" w:styleId="HeaderChar">
    <w:name w:val="Header Char"/>
    <w:link w:val="Header"/>
    <w:uiPriority w:val="99"/>
    <w:rsid w:val="001F542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F5420"/>
    <w:pPr>
      <w:tabs>
        <w:tab w:val="center" w:pos="4680"/>
        <w:tab w:val="right" w:pos="9360"/>
      </w:tabs>
    </w:pPr>
    <w:rPr>
      <w:rFonts w:ascii="Times New Roman" w:hAnsi="Times New Roman"/>
    </w:rPr>
  </w:style>
  <w:style w:type="character" w:customStyle="1" w:styleId="FooterChar">
    <w:name w:val="Footer Char"/>
    <w:link w:val="Footer"/>
    <w:uiPriority w:val="99"/>
    <w:rsid w:val="001F5420"/>
    <w:rPr>
      <w:rFonts w:ascii="Times New Roman" w:eastAsia="MS Mincho" w:hAnsi="Times New Roman" w:cs="Times New Roman"/>
      <w:sz w:val="24"/>
      <w:szCs w:val="28"/>
      <w:lang w:val="en-CA" w:eastAsia="ja-JP"/>
    </w:rPr>
  </w:style>
  <w:style w:type="paragraph" w:styleId="BalloonText">
    <w:name w:val="Balloon Text"/>
    <w:basedOn w:val="Normal"/>
    <w:link w:val="BalloonTextChar"/>
    <w:uiPriority w:val="99"/>
    <w:semiHidden/>
    <w:unhideWhenUsed/>
    <w:rsid w:val="009C5F19"/>
    <w:rPr>
      <w:rFonts w:ascii="Tahoma" w:hAnsi="Tahoma" w:cs="Tahoma"/>
      <w:sz w:val="16"/>
      <w:szCs w:val="16"/>
    </w:rPr>
  </w:style>
  <w:style w:type="character" w:customStyle="1" w:styleId="BalloonTextChar">
    <w:name w:val="Balloon Text Char"/>
    <w:basedOn w:val="DefaultParagraphFont"/>
    <w:link w:val="BalloonText"/>
    <w:uiPriority w:val="99"/>
    <w:semiHidden/>
    <w:rsid w:val="009C5F19"/>
    <w:rPr>
      <w:rFonts w:ascii="Tahoma" w:eastAsiaTheme="minorEastAsia" w:hAnsi="Tahoma" w:cs="Tahoma"/>
      <w:sz w:val="16"/>
      <w:szCs w:val="16"/>
    </w:rPr>
  </w:style>
  <w:style w:type="character" w:customStyle="1" w:styleId="Heading1Char">
    <w:name w:val="Heading 1 Char"/>
    <w:basedOn w:val="DefaultParagraphFont"/>
    <w:link w:val="Heading1"/>
    <w:rsid w:val="00AE63C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F5420"/>
    <w:pPr>
      <w:spacing w:before="100" w:beforeAutospacing="1"/>
      <w:ind w:left="567"/>
      <w:jc w:val="both"/>
    </w:pPr>
  </w:style>
  <w:style w:type="paragraph" w:customStyle="1" w:styleId="Metadata">
    <w:name w:val="Metadata"/>
    <w:basedOn w:val="Normal"/>
    <w:rsid w:val="001F5420"/>
    <w:pPr>
      <w:spacing w:before="100" w:beforeAutospacing="1" w:after="100" w:afterAutospacing="1"/>
    </w:pPr>
    <w:rPr>
      <w:rFonts w:cs="Arial"/>
      <w:szCs w:val="24"/>
    </w:rPr>
  </w:style>
  <w:style w:type="paragraph" w:customStyle="1" w:styleId="Page">
    <w:name w:val="Page"/>
    <w:basedOn w:val="Normal"/>
    <w:link w:val="PageChar"/>
    <w:rsid w:val="001F5420"/>
    <w:pPr>
      <w:spacing w:before="100" w:beforeAutospacing="1" w:after="100" w:afterAutospacing="1"/>
    </w:pPr>
    <w:rPr>
      <w:i/>
    </w:rPr>
  </w:style>
  <w:style w:type="paragraph" w:styleId="FootnoteText">
    <w:name w:val="footnote text"/>
    <w:basedOn w:val="Normal"/>
    <w:link w:val="FootnoteTextChar"/>
    <w:autoRedefine/>
    <w:semiHidden/>
    <w:rsid w:val="001F5420"/>
    <w:rPr>
      <w:sz w:val="16"/>
      <w:szCs w:val="20"/>
    </w:rPr>
  </w:style>
  <w:style w:type="character" w:customStyle="1" w:styleId="FootnoteTextChar">
    <w:name w:val="Footnote Text Char"/>
    <w:link w:val="FootnoteText"/>
    <w:semiHidden/>
    <w:rsid w:val="001F5420"/>
    <w:rPr>
      <w:rFonts w:ascii="Arial" w:eastAsia="MS Mincho" w:hAnsi="Arial" w:cs="Times New Roman"/>
      <w:sz w:val="16"/>
      <w:szCs w:val="20"/>
      <w:lang w:val="en-CA" w:eastAsia="ja-JP"/>
    </w:rPr>
  </w:style>
  <w:style w:type="character" w:styleId="FootnoteReference">
    <w:name w:val="footnote reference"/>
    <w:semiHidden/>
    <w:rsid w:val="001F5420"/>
    <w:rPr>
      <w:vertAlign w:val="superscript"/>
    </w:rPr>
  </w:style>
  <w:style w:type="paragraph" w:customStyle="1" w:styleId="ParagNum">
    <w:name w:val="ParagNum"/>
    <w:basedOn w:val="Normal"/>
    <w:rsid w:val="001F542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F5420"/>
    <w:pPr>
      <w:spacing w:before="100" w:beforeAutospacing="1" w:after="100" w:afterAutospacing="1" w:line="360" w:lineRule="auto"/>
    </w:pPr>
  </w:style>
  <w:style w:type="paragraph" w:customStyle="1" w:styleId="Indent2">
    <w:name w:val="Indent 2"/>
    <w:basedOn w:val="Indent1"/>
    <w:rsid w:val="001F5420"/>
    <w:pPr>
      <w:ind w:left="1134"/>
    </w:pPr>
  </w:style>
  <w:style w:type="paragraph" w:customStyle="1" w:styleId="Indent3">
    <w:name w:val="Indent 3"/>
    <w:basedOn w:val="Indent1"/>
    <w:rsid w:val="001F5420"/>
    <w:pPr>
      <w:ind w:left="1701"/>
    </w:pPr>
  </w:style>
  <w:style w:type="paragraph" w:customStyle="1" w:styleId="Indent4">
    <w:name w:val="Indent 4"/>
    <w:basedOn w:val="Indent1"/>
    <w:rsid w:val="001F5420"/>
    <w:pPr>
      <w:ind w:left="2268"/>
    </w:pPr>
  </w:style>
  <w:style w:type="paragraph" w:customStyle="1" w:styleId="Indent10">
    <w:name w:val="Indent1"/>
    <w:basedOn w:val="Reasons"/>
    <w:rsid w:val="001F5420"/>
    <w:pPr>
      <w:ind w:left="567"/>
    </w:pPr>
  </w:style>
  <w:style w:type="paragraph" w:customStyle="1" w:styleId="Indent20">
    <w:name w:val="Indent2"/>
    <w:basedOn w:val="Indent10"/>
    <w:rsid w:val="001F5420"/>
    <w:pPr>
      <w:ind w:left="1134"/>
    </w:pPr>
  </w:style>
  <w:style w:type="paragraph" w:customStyle="1" w:styleId="Indent30">
    <w:name w:val="Indent3"/>
    <w:basedOn w:val="Indent10"/>
    <w:rsid w:val="001F5420"/>
    <w:pPr>
      <w:ind w:left="1701"/>
    </w:pPr>
  </w:style>
  <w:style w:type="paragraph" w:customStyle="1" w:styleId="Indent40">
    <w:name w:val="Indent4"/>
    <w:basedOn w:val="Indent10"/>
    <w:rsid w:val="001F5420"/>
    <w:pPr>
      <w:ind w:left="2268"/>
    </w:pPr>
  </w:style>
  <w:style w:type="paragraph" w:customStyle="1" w:styleId="Keywords">
    <w:name w:val="Keywords"/>
    <w:basedOn w:val="Normal"/>
    <w:rsid w:val="001F5420"/>
    <w:pPr>
      <w:spacing w:before="100" w:beforeAutospacing="1" w:after="100" w:afterAutospacing="1"/>
    </w:pPr>
    <w:rPr>
      <w:rFonts w:cs="Arial"/>
      <w:i/>
      <w:szCs w:val="24"/>
    </w:rPr>
  </w:style>
  <w:style w:type="paragraph" w:customStyle="1" w:styleId="Summary">
    <w:name w:val="Summary"/>
    <w:basedOn w:val="Normal"/>
    <w:autoRedefine/>
    <w:rsid w:val="001F5420"/>
    <w:pPr>
      <w:spacing w:before="100" w:beforeAutospacing="1" w:after="100" w:afterAutospacing="1"/>
      <w:ind w:left="562" w:hanging="562"/>
    </w:pPr>
    <w:rPr>
      <w:rFonts w:cs="Arial"/>
    </w:rPr>
  </w:style>
  <w:style w:type="paragraph" w:customStyle="1" w:styleId="History">
    <w:name w:val="History"/>
    <w:basedOn w:val="Normal"/>
    <w:rsid w:val="001F5420"/>
    <w:pPr>
      <w:spacing w:before="100" w:beforeAutospacing="1" w:after="100" w:afterAutospacing="1"/>
      <w:ind w:firstLine="567"/>
    </w:pPr>
  </w:style>
  <w:style w:type="paragraph" w:customStyle="1" w:styleId="T1">
    <w:name w:val="T1"/>
    <w:basedOn w:val="Normal"/>
    <w:rsid w:val="001F5420"/>
    <w:pPr>
      <w:spacing w:before="240" w:after="100" w:afterAutospacing="1"/>
    </w:pPr>
    <w:rPr>
      <w:b/>
    </w:rPr>
  </w:style>
  <w:style w:type="paragraph" w:customStyle="1" w:styleId="T2">
    <w:name w:val="T2"/>
    <w:basedOn w:val="Normal"/>
    <w:rsid w:val="001F5420"/>
    <w:pPr>
      <w:spacing w:before="240" w:after="100" w:afterAutospacing="1"/>
    </w:pPr>
  </w:style>
  <w:style w:type="paragraph" w:customStyle="1" w:styleId="Sollicitors">
    <w:name w:val="Sollicitors"/>
    <w:basedOn w:val="Normal"/>
    <w:rsid w:val="001F5420"/>
    <w:pPr>
      <w:spacing w:before="100" w:beforeAutospacing="1" w:after="100" w:afterAutospacing="1"/>
    </w:pPr>
    <w:rPr>
      <w:i/>
    </w:rPr>
  </w:style>
  <w:style w:type="paragraph" w:customStyle="1" w:styleId="Court">
    <w:name w:val="Court"/>
    <w:basedOn w:val="Normal"/>
    <w:rsid w:val="001F5420"/>
    <w:rPr>
      <w:rFonts w:cs="Arial"/>
      <w:b/>
      <w:szCs w:val="24"/>
    </w:rPr>
  </w:style>
  <w:style w:type="character" w:customStyle="1" w:styleId="PageChar">
    <w:name w:val="Page Char"/>
    <w:link w:val="Page"/>
    <w:rsid w:val="001F5420"/>
    <w:rPr>
      <w:rFonts w:ascii="Arial" w:eastAsia="MS Mincho" w:hAnsi="Arial" w:cs="Times New Roman"/>
      <w:i/>
      <w:sz w:val="24"/>
      <w:szCs w:val="28"/>
      <w:lang w:val="en-CA" w:eastAsia="ja-JP"/>
    </w:rPr>
  </w:style>
  <w:style w:type="character" w:customStyle="1" w:styleId="ReasonsCar">
    <w:name w:val="Reasons Car"/>
    <w:link w:val="Reasons"/>
    <w:rsid w:val="001F5420"/>
    <w:rPr>
      <w:rFonts w:ascii="Arial" w:eastAsia="MS Mincho" w:hAnsi="Arial" w:cs="Times New Roman"/>
      <w:sz w:val="24"/>
      <w:szCs w:val="28"/>
      <w:lang w:val="en-CA" w:eastAsia="ja-JP"/>
    </w:rPr>
  </w:style>
  <w:style w:type="paragraph" w:customStyle="1" w:styleId="CitationLine">
    <w:name w:val="CitationLine"/>
    <w:basedOn w:val="Court"/>
    <w:rsid w:val="001F5420"/>
  </w:style>
  <w:style w:type="paragraph" w:customStyle="1" w:styleId="DateISO">
    <w:name w:val="DateISO"/>
    <w:basedOn w:val="Court"/>
    <w:rsid w:val="001F54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12</cp:revision>
  <dcterms:created xsi:type="dcterms:W3CDTF">2015-03-13T06:57:00Z</dcterms:created>
  <dcterms:modified xsi:type="dcterms:W3CDTF">2015-03-23T05:11:00Z</dcterms:modified>
</cp:coreProperties>
</file>