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F5" w:rsidRDefault="00E720F5" w:rsidP="00E720F5">
      <w:pPr>
        <w:pStyle w:val="Court"/>
      </w:pPr>
      <w:r>
        <w:t>Supreme Court of Canada</w:t>
      </w:r>
    </w:p>
    <w:p w:rsidR="00E720F5" w:rsidRDefault="00E720F5" w:rsidP="00E720F5">
      <w:pPr>
        <w:pStyle w:val="Metadata"/>
        <w:spacing w:before="0" w:after="0"/>
        <w:rPr>
          <w:b/>
          <w:sz w:val="24"/>
        </w:rPr>
      </w:pPr>
      <w:proofErr w:type="spellStart"/>
      <w:proofErr w:type="gramStart"/>
      <w:r>
        <w:rPr>
          <w:b/>
          <w:sz w:val="24"/>
        </w:rPr>
        <w:t>Magdall</w:t>
      </w:r>
      <w:proofErr w:type="spellEnd"/>
      <w:r>
        <w:rPr>
          <w:b/>
          <w:sz w:val="24"/>
        </w:rPr>
        <w:t xml:space="preserve"> v.</w:t>
      </w:r>
      <w:proofErr w:type="gramEnd"/>
      <w:r>
        <w:rPr>
          <w:b/>
          <w:sz w:val="24"/>
        </w:rPr>
        <w:t xml:space="preserve"> The King, [19</w:t>
      </w:r>
      <w:r>
        <w:rPr>
          <w:b/>
          <w:sz w:val="24"/>
        </w:rPr>
        <w:t>21</w:t>
      </w:r>
      <w:r>
        <w:rPr>
          <w:b/>
          <w:sz w:val="24"/>
        </w:rPr>
        <w:t xml:space="preserve">] </w:t>
      </w:r>
      <w:r>
        <w:rPr>
          <w:b/>
          <w:sz w:val="24"/>
        </w:rPr>
        <w:t xml:space="preserve">62 </w:t>
      </w:r>
      <w:r>
        <w:rPr>
          <w:b/>
          <w:sz w:val="24"/>
        </w:rPr>
        <w:t xml:space="preserve">S.C.R. </w:t>
      </w:r>
      <w:r>
        <w:rPr>
          <w:b/>
          <w:sz w:val="24"/>
        </w:rPr>
        <w:t>88</w:t>
      </w:r>
    </w:p>
    <w:p w:rsidR="00E720F5" w:rsidRDefault="00E720F5" w:rsidP="00E720F5">
      <w:pPr>
        <w:pStyle w:val="Metadata"/>
        <w:spacing w:before="0" w:after="0"/>
        <w:rPr>
          <w:b/>
          <w:sz w:val="24"/>
        </w:rPr>
      </w:pPr>
      <w:r>
        <w:rPr>
          <w:b/>
          <w:sz w:val="24"/>
        </w:rPr>
        <w:t>Date: 1914-02-23</w:t>
      </w:r>
    </w:p>
    <w:p w:rsidR="00E720F5" w:rsidRDefault="00E720F5" w:rsidP="00E720F5">
      <w:pPr>
        <w:pStyle w:val="Metadata"/>
        <w:rPr>
          <w:sz w:val="24"/>
        </w:rPr>
      </w:pPr>
      <w:r>
        <w:rPr>
          <w:sz w:val="24"/>
        </w:rPr>
        <w:t xml:space="preserve">John </w:t>
      </w:r>
      <w:proofErr w:type="spellStart"/>
      <w:r>
        <w:rPr>
          <w:sz w:val="24"/>
        </w:rPr>
        <w:t>Magdall</w:t>
      </w:r>
      <w:proofErr w:type="spellEnd"/>
      <w:r>
        <w:rPr>
          <w:sz w:val="24"/>
        </w:rPr>
        <w:t xml:space="preserve"> Appellant;</w:t>
      </w:r>
    </w:p>
    <w:p w:rsidR="00E720F5" w:rsidRDefault="00E720F5" w:rsidP="00E720F5">
      <w:pPr>
        <w:pStyle w:val="Metadata"/>
        <w:rPr>
          <w:sz w:val="24"/>
        </w:rPr>
      </w:pPr>
      <w:proofErr w:type="gramStart"/>
      <w:r>
        <w:rPr>
          <w:sz w:val="24"/>
        </w:rPr>
        <w:t>and</w:t>
      </w:r>
      <w:proofErr w:type="gramEnd"/>
    </w:p>
    <w:p w:rsidR="00E720F5" w:rsidRDefault="00E720F5" w:rsidP="00E720F5">
      <w:pPr>
        <w:pStyle w:val="Metadata"/>
        <w:rPr>
          <w:sz w:val="24"/>
        </w:rPr>
      </w:pPr>
      <w:r>
        <w:rPr>
          <w:sz w:val="24"/>
        </w:rPr>
        <w:t xml:space="preserve">His Majesty </w:t>
      </w:r>
      <w:proofErr w:type="gramStart"/>
      <w:r>
        <w:rPr>
          <w:sz w:val="24"/>
        </w:rPr>
        <w:t>The</w:t>
      </w:r>
      <w:proofErr w:type="gramEnd"/>
      <w:r>
        <w:rPr>
          <w:sz w:val="24"/>
        </w:rPr>
        <w:t xml:space="preserve"> King Respondent.</w:t>
      </w:r>
    </w:p>
    <w:p w:rsidR="00E720F5" w:rsidRDefault="00E720F5" w:rsidP="00E720F5">
      <w:pPr>
        <w:pStyle w:val="Metadata"/>
      </w:pPr>
      <w:r>
        <w:t>19</w:t>
      </w:r>
      <w:r>
        <w:t>20,</w:t>
      </w:r>
      <w:r>
        <w:t xml:space="preserve"> </w:t>
      </w:r>
      <w:r>
        <w:t>June 21</w:t>
      </w:r>
      <w:r>
        <w:t>.</w:t>
      </w:r>
    </w:p>
    <w:p w:rsidR="00E720F5" w:rsidRPr="00E720F5" w:rsidRDefault="00E720F5" w:rsidP="00E720F5">
      <w:pPr>
        <w:pStyle w:val="Metadata"/>
      </w:pPr>
      <w:r w:rsidRPr="00E720F5">
        <w:t xml:space="preserve">Present: Sir Louis Davies C.J. and </w:t>
      </w:r>
      <w:proofErr w:type="spellStart"/>
      <w:r w:rsidRPr="00E720F5">
        <w:t>Idington</w:t>
      </w:r>
      <w:proofErr w:type="spellEnd"/>
      <w:r w:rsidRPr="00E720F5">
        <w:t xml:space="preserve">, Duff, Anglin, </w:t>
      </w:r>
      <w:proofErr w:type="spellStart"/>
      <w:r w:rsidRPr="00E720F5">
        <w:t>Brodeur</w:t>
      </w:r>
      <w:proofErr w:type="spellEnd"/>
      <w:r w:rsidRPr="00E720F5">
        <w:t xml:space="preserve"> and </w:t>
      </w:r>
      <w:proofErr w:type="spellStart"/>
      <w:r w:rsidRPr="00E720F5">
        <w:t>Mignault</w:t>
      </w:r>
      <w:proofErr w:type="spellEnd"/>
      <w:r w:rsidRPr="00E720F5">
        <w:t xml:space="preserve"> JJ.</w:t>
      </w:r>
    </w:p>
    <w:p w:rsidR="00E720F5" w:rsidRPr="00E720F5" w:rsidRDefault="00E720F5" w:rsidP="00E720F5">
      <w:pPr>
        <w:pStyle w:val="Metadata"/>
        <w:rPr>
          <w:spacing w:val="16"/>
        </w:rPr>
      </w:pPr>
      <w:proofErr w:type="gramStart"/>
      <w:r w:rsidRPr="00E720F5">
        <w:t>ON APPEAL FRO</w:t>
      </w:r>
      <w:r>
        <w:t xml:space="preserve">M THE APPELLATE DIVISION OF THE </w:t>
      </w:r>
      <w:r w:rsidRPr="00E720F5">
        <w:rPr>
          <w:spacing w:val="16"/>
        </w:rPr>
        <w:t>SUPREME COURT OF ALBERTA.</w:t>
      </w:r>
      <w:proofErr w:type="gramEnd"/>
    </w:p>
    <w:p w:rsidR="00E720F5" w:rsidRDefault="00E720F5" w:rsidP="00E720F5">
      <w:pPr>
        <w:pStyle w:val="Keywords"/>
        <w:rPr>
          <w:spacing w:val="1"/>
        </w:rPr>
      </w:pPr>
      <w:proofErr w:type="gramStart"/>
      <w:r w:rsidRPr="00E720F5">
        <w:t xml:space="preserve">Criminal law—Seduction under promise of marriage—Previous illicit </w:t>
      </w:r>
      <w:r w:rsidRPr="00E720F5">
        <w:rPr>
          <w:spacing w:val="-5"/>
        </w:rPr>
        <w:t xml:space="preserve">connection—Previous chastity of complainant—Findings of the </w:t>
      </w:r>
      <w:r>
        <w:rPr>
          <w:spacing w:val="1"/>
        </w:rPr>
        <w:t>jury—Arts.</w:t>
      </w:r>
      <w:proofErr w:type="gramEnd"/>
      <w:r>
        <w:rPr>
          <w:spacing w:val="1"/>
        </w:rPr>
        <w:t xml:space="preserve"> </w:t>
      </w:r>
      <w:proofErr w:type="gramStart"/>
      <w:r w:rsidRPr="00E720F5">
        <w:rPr>
          <w:bCs/>
          <w:spacing w:val="1"/>
        </w:rPr>
        <w:t>210, 212, 1002, 1140</w:t>
      </w:r>
      <w:r w:rsidRPr="00E720F5">
        <w:rPr>
          <w:b/>
          <w:bCs/>
          <w:spacing w:val="1"/>
        </w:rPr>
        <w:t xml:space="preserve"> </w:t>
      </w:r>
      <w:r w:rsidRPr="00E720F5">
        <w:rPr>
          <w:spacing w:val="1"/>
        </w:rPr>
        <w:t>Cr. C.</w:t>
      </w:r>
      <w:proofErr w:type="gramEnd"/>
    </w:p>
    <w:p w:rsidR="00E720F5" w:rsidRPr="00E720F5" w:rsidRDefault="00E720F5" w:rsidP="00E720F5">
      <w:pPr>
        <w:pStyle w:val="Summary"/>
        <w:rPr>
          <w:spacing w:val="-4"/>
        </w:rPr>
      </w:pPr>
      <w:r w:rsidRPr="00E720F5">
        <w:rPr>
          <w:spacing w:val="-2"/>
        </w:rPr>
        <w:t>APPEAL from the judgment of the Appellate Divi</w:t>
      </w:r>
      <w:r w:rsidRPr="00E720F5">
        <w:rPr>
          <w:spacing w:val="-2"/>
        </w:rPr>
        <w:softHyphen/>
      </w:r>
      <w:r w:rsidRPr="00E720F5">
        <w:rPr>
          <w:spacing w:val="-7"/>
        </w:rPr>
        <w:t xml:space="preserve">sion of </w:t>
      </w:r>
      <w:r>
        <w:rPr>
          <w:spacing w:val="-7"/>
        </w:rPr>
        <w:t>the Supreme Court of Alberta</w:t>
      </w:r>
      <w:r>
        <w:rPr>
          <w:rStyle w:val="Appelnotedebasdep"/>
          <w:spacing w:val="-7"/>
          <w:lang w:val="en-US"/>
        </w:rPr>
        <w:footnoteReference w:id="1"/>
      </w:r>
      <w:r w:rsidRPr="00E720F5">
        <w:rPr>
          <w:spacing w:val="-7"/>
        </w:rPr>
        <w:t xml:space="preserve">, dismissing, </w:t>
      </w:r>
      <w:r w:rsidRPr="00E720F5">
        <w:rPr>
          <w:spacing w:val="-1"/>
        </w:rPr>
        <w:t xml:space="preserve">on equal division of the court, the appeal by the </w:t>
      </w:r>
      <w:r w:rsidRPr="00E720F5">
        <w:t xml:space="preserve">appellant from the refusal of Simmons J., at the trial </w:t>
      </w:r>
      <w:r w:rsidRPr="00E720F5">
        <w:rPr>
          <w:spacing w:val="-5"/>
        </w:rPr>
        <w:t xml:space="preserve">with a jury, to reserve a case for the opinion of the </w:t>
      </w:r>
      <w:r w:rsidRPr="00E720F5">
        <w:rPr>
          <w:spacing w:val="-4"/>
        </w:rPr>
        <w:t>Appellate Division.</w:t>
      </w:r>
    </w:p>
    <w:p w:rsidR="00E720F5" w:rsidRPr="00E720F5" w:rsidRDefault="00E720F5" w:rsidP="00E720F5">
      <w:pPr>
        <w:pStyle w:val="Summary"/>
        <w:rPr>
          <w:spacing w:val="-8"/>
        </w:rPr>
      </w:pPr>
      <w:r w:rsidRPr="00E720F5">
        <w:rPr>
          <w:spacing w:val="-11"/>
        </w:rPr>
        <w:t xml:space="preserve">The material facts of the case and the questions in </w:t>
      </w:r>
      <w:r w:rsidRPr="00E720F5">
        <w:t xml:space="preserve">issue are fully stated in the above head-note and in </w:t>
      </w:r>
      <w:r w:rsidRPr="00E720F5">
        <w:rPr>
          <w:spacing w:val="-8"/>
        </w:rPr>
        <w:t>the judgments now reported.</w:t>
      </w:r>
    </w:p>
    <w:p w:rsidR="00E720F5" w:rsidRPr="00E720F5" w:rsidRDefault="00E720F5" w:rsidP="00E720F5">
      <w:pPr>
        <w:pStyle w:val="Summary"/>
        <w:rPr>
          <w:spacing w:val="-4"/>
        </w:rPr>
      </w:pPr>
      <w:r w:rsidRPr="00E720F5">
        <w:rPr>
          <w:i/>
          <w:iCs/>
        </w:rPr>
        <w:t xml:space="preserve">W. F. O'Connor K.C. </w:t>
      </w:r>
      <w:r w:rsidRPr="00E720F5">
        <w:t xml:space="preserve">for the appellant. </w:t>
      </w:r>
      <w:r w:rsidRPr="00E720F5">
        <w:rPr>
          <w:i/>
          <w:iCs/>
          <w:spacing w:val="-4"/>
        </w:rPr>
        <w:t xml:space="preserve">W. L. Scott </w:t>
      </w:r>
      <w:r w:rsidRPr="00E720F5">
        <w:rPr>
          <w:spacing w:val="-4"/>
        </w:rPr>
        <w:t>for the respondent.</w:t>
      </w:r>
    </w:p>
    <w:p w:rsidR="00E720F5" w:rsidRPr="00E720F5" w:rsidRDefault="00E720F5" w:rsidP="00E720F5">
      <w:pPr>
        <w:pStyle w:val="Summary"/>
        <w:rPr>
          <w:spacing w:val="-10"/>
        </w:rPr>
      </w:pPr>
      <w:r w:rsidRPr="00E720F5">
        <w:t xml:space="preserve">THE CHIEF </w:t>
      </w:r>
      <w:r w:rsidRPr="00E720F5">
        <w:t>JUSTICE.</w:t>
      </w:r>
      <w:r w:rsidRPr="00E720F5">
        <w:rPr>
          <w:sz w:val="18"/>
          <w:szCs w:val="18"/>
        </w:rPr>
        <w:t xml:space="preserve">—This </w:t>
      </w:r>
      <w:r w:rsidRPr="00E720F5">
        <w:t xml:space="preserve">was an appeal from the </w:t>
      </w:r>
      <w:r w:rsidRPr="00E720F5">
        <w:rPr>
          <w:spacing w:val="-6"/>
        </w:rPr>
        <w:t xml:space="preserve">judgment of the Appellate Division of the Supreme </w:t>
      </w:r>
      <w:r w:rsidRPr="00E720F5">
        <w:rPr>
          <w:spacing w:val="-15"/>
        </w:rPr>
        <w:t xml:space="preserve">Court of Alberta which, on an equal division of opinion, </w:t>
      </w:r>
      <w:r w:rsidRPr="00E720F5">
        <w:rPr>
          <w:spacing w:val="-8"/>
        </w:rPr>
        <w:t xml:space="preserve">refused to quash a conviction against the appellant </w:t>
      </w:r>
      <w:r w:rsidRPr="00E720F5">
        <w:t xml:space="preserve">prisoner under section 212 of the Criminal Code for </w:t>
      </w:r>
      <w:r w:rsidRPr="00E720F5">
        <w:rPr>
          <w:spacing w:val="-12"/>
        </w:rPr>
        <w:t xml:space="preserve">having, under promise of marriage, seduced and had </w:t>
      </w:r>
      <w:r w:rsidRPr="00E720F5">
        <w:rPr>
          <w:spacing w:val="-10"/>
        </w:rPr>
        <w:t xml:space="preserve">illicit connection on or about the 27th day of March, </w:t>
      </w:r>
      <w:r w:rsidRPr="00E720F5">
        <w:rPr>
          <w:spacing w:val="-7"/>
        </w:rPr>
        <w:t xml:space="preserve">1919, with one Mary </w:t>
      </w:r>
      <w:proofErr w:type="spellStart"/>
      <w:r w:rsidRPr="00E720F5">
        <w:rPr>
          <w:spacing w:val="-7"/>
        </w:rPr>
        <w:t>Kovack</w:t>
      </w:r>
      <w:proofErr w:type="spellEnd"/>
      <w:r w:rsidRPr="00E720F5">
        <w:rPr>
          <w:spacing w:val="-7"/>
        </w:rPr>
        <w:t xml:space="preserve">, an unmarried female </w:t>
      </w:r>
      <w:r w:rsidRPr="00E720F5">
        <w:rPr>
          <w:spacing w:val="-10"/>
        </w:rPr>
        <w:t>under the age of 21 years.</w:t>
      </w:r>
    </w:p>
    <w:p w:rsidR="00E720F5" w:rsidRPr="00E720F5" w:rsidRDefault="00E720F5" w:rsidP="00E720F5">
      <w:pPr>
        <w:pStyle w:val="Summary"/>
      </w:pPr>
      <w:r w:rsidRPr="00E720F5">
        <w:rPr>
          <w:spacing w:val="-11"/>
        </w:rPr>
        <w:t xml:space="preserve">Two questions only were raised and argued at </w:t>
      </w:r>
      <w:proofErr w:type="gramStart"/>
      <w:r w:rsidRPr="00E720F5">
        <w:rPr>
          <w:spacing w:val="-11"/>
        </w:rPr>
        <w:t>bar :</w:t>
      </w:r>
      <w:proofErr w:type="gramEnd"/>
      <w:r w:rsidRPr="00E720F5">
        <w:rPr>
          <w:spacing w:val="-11"/>
        </w:rPr>
        <w:t xml:space="preserve"> </w:t>
      </w:r>
      <w:r w:rsidRPr="00E720F5">
        <w:rPr>
          <w:spacing w:val="2"/>
        </w:rPr>
        <w:t xml:space="preserve">one, whether the evidence of Mary </w:t>
      </w:r>
      <w:proofErr w:type="spellStart"/>
      <w:r w:rsidRPr="00E720F5">
        <w:rPr>
          <w:spacing w:val="2"/>
        </w:rPr>
        <w:t>Kovack</w:t>
      </w:r>
      <w:proofErr w:type="spellEnd"/>
      <w:r w:rsidRPr="00E720F5">
        <w:rPr>
          <w:spacing w:val="2"/>
        </w:rPr>
        <w:t xml:space="preserve">, the </w:t>
      </w:r>
      <w:r w:rsidRPr="00E720F5">
        <w:rPr>
          <w:spacing w:val="-10"/>
        </w:rPr>
        <w:t xml:space="preserve">female in question, was corroborated or not; and the </w:t>
      </w:r>
      <w:r w:rsidRPr="00E720F5">
        <w:rPr>
          <w:spacing w:val="-3"/>
        </w:rPr>
        <w:t xml:space="preserve">other, whether she was at the time of the alleged </w:t>
      </w:r>
      <w:r w:rsidRPr="00E720F5">
        <w:t>offence of previously chaste character.</w:t>
      </w:r>
    </w:p>
    <w:p w:rsidR="00E720F5" w:rsidRPr="00E720F5" w:rsidRDefault="00E720F5" w:rsidP="00E720F5">
      <w:pPr>
        <w:pStyle w:val="Summary"/>
        <w:rPr>
          <w:spacing w:val="-6"/>
        </w:rPr>
      </w:pPr>
      <w:r w:rsidRPr="00E720F5">
        <w:rPr>
          <w:spacing w:val="-10"/>
        </w:rPr>
        <w:t>After hearing Mr. O'Connor, counsel for the appel</w:t>
      </w:r>
      <w:r w:rsidRPr="00E720F5">
        <w:rPr>
          <w:spacing w:val="-10"/>
        </w:rPr>
        <w:softHyphen/>
      </w:r>
      <w:r w:rsidRPr="00E720F5">
        <w:rPr>
          <w:spacing w:val="-13"/>
        </w:rPr>
        <w:t xml:space="preserve">lant, on the question </w:t>
      </w:r>
      <w:r>
        <w:rPr>
          <w:spacing w:val="-13"/>
        </w:rPr>
        <w:t>of corroboration, we were unani</w:t>
      </w:r>
      <w:r w:rsidRPr="00E720F5">
        <w:rPr>
          <w:spacing w:val="-7"/>
        </w:rPr>
        <w:t>mously of the opinion that there was sufficient evi</w:t>
      </w:r>
      <w:r w:rsidRPr="00E720F5">
        <w:rPr>
          <w:spacing w:val="-7"/>
        </w:rPr>
        <w:softHyphen/>
        <w:t xml:space="preserve">dence of corroboration, and Mr. Scott was not called </w:t>
      </w:r>
      <w:r w:rsidRPr="00E720F5">
        <w:rPr>
          <w:spacing w:val="-6"/>
        </w:rPr>
        <w:t>on to reply on that point.</w:t>
      </w:r>
    </w:p>
    <w:p w:rsidR="00E720F5" w:rsidRPr="00E720F5" w:rsidRDefault="00E720F5" w:rsidP="00E720F5">
      <w:pPr>
        <w:pStyle w:val="Summary"/>
        <w:rPr>
          <w:spacing w:val="-10"/>
        </w:rPr>
      </w:pPr>
      <w:r w:rsidRPr="00E720F5">
        <w:rPr>
          <w:spacing w:val="-8"/>
        </w:rPr>
        <w:t xml:space="preserve">The second question raised a much more delicate </w:t>
      </w:r>
      <w:r w:rsidRPr="00E720F5">
        <w:rPr>
          <w:spacing w:val="-12"/>
        </w:rPr>
        <w:t xml:space="preserve">and difficult point: Was the jury justified in not finding </w:t>
      </w:r>
      <w:r w:rsidRPr="00E720F5">
        <w:rPr>
          <w:spacing w:val="-2"/>
        </w:rPr>
        <w:t xml:space="preserve">the complainant Mary </w:t>
      </w:r>
      <w:proofErr w:type="spellStart"/>
      <w:r w:rsidRPr="00E720F5">
        <w:rPr>
          <w:spacing w:val="-2"/>
        </w:rPr>
        <w:t>Kovack</w:t>
      </w:r>
      <w:proofErr w:type="spellEnd"/>
      <w:r w:rsidRPr="00E720F5">
        <w:rPr>
          <w:spacing w:val="-2"/>
        </w:rPr>
        <w:t xml:space="preserve">, at the time of the </w:t>
      </w:r>
      <w:r w:rsidRPr="00E720F5">
        <w:rPr>
          <w:spacing w:val="-8"/>
        </w:rPr>
        <w:t xml:space="preserve">illicit connection of the 27th March between her and </w:t>
      </w:r>
      <w:r w:rsidRPr="00E720F5">
        <w:rPr>
          <w:spacing w:val="-10"/>
        </w:rPr>
        <w:t>the prisoner, a girl of previously unchaste character?</w:t>
      </w:r>
    </w:p>
    <w:p w:rsidR="00E720F5" w:rsidRDefault="00E720F5" w:rsidP="00E720F5">
      <w:pPr>
        <w:pStyle w:val="Para"/>
        <w:rPr>
          <w:spacing w:val="3"/>
        </w:rPr>
      </w:pPr>
      <w:r w:rsidRPr="00E720F5">
        <w:t xml:space="preserve">The material facts necessary to reach a conclusion </w:t>
      </w:r>
      <w:r w:rsidRPr="00E720F5">
        <w:rPr>
          <w:spacing w:val="-1"/>
        </w:rPr>
        <w:t xml:space="preserve">on that point are fully set in the learned judge's </w:t>
      </w:r>
      <w:r w:rsidRPr="00E720F5">
        <w:rPr>
          <w:spacing w:val="3"/>
        </w:rPr>
        <w:t xml:space="preserve">reasons given in the Appellate Division (1). </w:t>
      </w:r>
      <w:r>
        <w:rPr>
          <w:spacing w:val="3"/>
        </w:rPr>
        <w:t>The</w:t>
      </w:r>
    </w:p>
    <w:p w:rsidR="00E720F5" w:rsidRPr="00E720F5" w:rsidRDefault="00E720F5" w:rsidP="00E720F5">
      <w:pPr>
        <w:pStyle w:val="Page"/>
      </w:pPr>
      <w:r w:rsidRPr="00E720F5">
        <w:t>[Page 90]</w:t>
      </w:r>
    </w:p>
    <w:p w:rsidR="00E720F5" w:rsidRPr="005E773B" w:rsidRDefault="00E720F5" w:rsidP="00E720F5">
      <w:pPr>
        <w:pStyle w:val="Para"/>
      </w:pPr>
      <w:r>
        <w:lastRenderedPageBreak/>
        <w:t xml:space="preserve">As to the signature of the witnesses at the request of the testator, undoubtedly this is a requirement of article 851 C.C., although it is not mentioned in the English Wills Act, 1 </w:t>
      </w:r>
      <w:proofErr w:type="spellStart"/>
      <w:r>
        <w:t>Vict</w:t>
      </w:r>
      <w:proofErr w:type="spellEnd"/>
      <w:r>
        <w:t xml:space="preserve">., </w:t>
      </w:r>
      <w:proofErr w:type="spellStart"/>
      <w:r>
        <w:t>ch.</w:t>
      </w:r>
      <w:proofErr w:type="spellEnd"/>
      <w:r>
        <w:t xml:space="preserve"> 26, from which article 851 C.C. is derived. But it is to be remarked that when the will is signed or marked by another person than the testator, article 851 requires the </w:t>
      </w:r>
      <w:r w:rsidRPr="00962371">
        <w:rPr>
          <w:i/>
          <w:iCs/>
        </w:rPr>
        <w:t>"express</w:t>
      </w:r>
      <w:r>
        <w:rPr>
          <w:i/>
          <w:iCs/>
        </w:rPr>
        <w:t xml:space="preserve"> </w:t>
      </w:r>
      <w:r>
        <w:t>direction" of the testator, while with regard to the signature of the witnesses at the request of the testator, nothing is said as to the form of this request. In my opinion, inasmuch as the legislature, in speaking of the direction or request of the testator, requires it to be expressed in one case and not in the other, it follows that this request can, in the latter case, be implied by reason of the circumstances surrounding the execution of the will. Here Mellor testified that Mrs. Wynne, when the witnesses and she had walked right up to the bed, asked them if they would be witnesses and put their signatures on the will, and that she said this aloud to both of them. The request she thus made to James and Mellor must have been heard by Wynne, who then signed the will and saw or could see the witnesses sign it in his presence. In my opinion, but I say this with every deference for the majority of the learned judges of the Court of King's Bench who thought otherwise, it would be pushing formalism too far to reject this will for the lack of an expressed request of the testator to the witnesses, and the more so as this is an essentially simple and popular form of will, which undoubtedly the legislature desired to render as easy as possible to the least educated of the population.</w:t>
      </w:r>
    </w:p>
    <w:p w:rsidR="00E720F5" w:rsidRPr="005E773B" w:rsidRDefault="00E720F5" w:rsidP="00E720F5">
      <w:pPr>
        <w:pStyle w:val="Para"/>
      </w:pPr>
      <w:r>
        <w:t>If it be contended that Mrs. Wynne who went for the witnesses and asked them to attest the will, had no mandate from Wynne to do so, I would answer</w:t>
      </w:r>
    </w:p>
    <w:p w:rsidR="00E720F5" w:rsidRPr="005E773B" w:rsidRDefault="00E720F5" w:rsidP="00E720F5">
      <w:pPr>
        <w:pStyle w:val="Page"/>
      </w:pPr>
      <w:r>
        <w:t>[Page 91]</w:t>
      </w:r>
    </w:p>
    <w:p w:rsidR="00E720F5" w:rsidRPr="005E773B" w:rsidRDefault="00E720F5" w:rsidP="00E720F5">
      <w:pPr>
        <w:pStyle w:val="Para"/>
      </w:pPr>
      <w:proofErr w:type="gramStart"/>
      <w:r>
        <w:t>that</w:t>
      </w:r>
      <w:proofErr w:type="gramEnd"/>
      <w:r>
        <w:t xml:space="preserve"> evidently no express mandate was required. And the question really is whether Wynne intended to make a will and dispose in favour Of his wife, and unless Mrs. Wynne's testimony </w:t>
      </w:r>
      <w:proofErr w:type="gramStart"/>
      <w:r>
        <w:t>be</w:t>
      </w:r>
      <w:proofErr w:type="gramEnd"/>
      <w:r>
        <w:t xml:space="preserve"> discredited, I must find that he did. The obtaining of witnesses, although essential, was not, under the circumstances disclosed by the evidence, a matter requiring any kind of mandate from the testator, for if we must take it as established that he wished to make a will, getting the witnesses necessary for the validity of the will was merely carrying out his desire.</w:t>
      </w:r>
    </w:p>
    <w:p w:rsidR="00E720F5" w:rsidRPr="005E773B" w:rsidRDefault="00E720F5" w:rsidP="00E720F5">
      <w:pPr>
        <w:pStyle w:val="Para"/>
      </w:pPr>
      <w:r>
        <w:t xml:space="preserve">It may be that this will is quite near to the danger point, but after full consideration I find myself unable to set it aside and nullify the very natural and reasonable disposition which Wynne made of his property, for he and his wife had been long married and had no children. Of course, Tuck's affidavit in support of the probate was untrue, as he did not see </w:t>
      </w:r>
      <w:r>
        <w:lastRenderedPageBreak/>
        <w:t>Wynne sign the will, although he probably could identify his signature. But nothing would now be gained by annulling the probate, for the testimony of James and Mellor shews that Wynne really signed the will. And, in my opinion, the attack on the will itself fails.</w:t>
      </w:r>
    </w:p>
    <w:p w:rsidR="00E720F5" w:rsidRPr="005E773B" w:rsidRDefault="00E720F5" w:rsidP="00E720F5">
      <w:pPr>
        <w:pStyle w:val="Para"/>
      </w:pPr>
      <w:r>
        <w:t>I would therefore allow the appeal with costs here and in the Court of King's Bench and restore the judgment of the learned trial judge.</w:t>
      </w:r>
    </w:p>
    <w:p w:rsidR="00E720F5" w:rsidRPr="005E773B" w:rsidRDefault="00E720F5" w:rsidP="00E720F5">
      <w:pPr>
        <w:pStyle w:val="Disposition"/>
      </w:pPr>
      <w:r w:rsidRPr="00962371">
        <w:t>Appeal allowed with costs.</w:t>
      </w:r>
    </w:p>
    <w:p w:rsidR="00E720F5" w:rsidRPr="00E720F5" w:rsidRDefault="00E720F5" w:rsidP="00E720F5">
      <w:pPr>
        <w:pStyle w:val="Sollicitors"/>
      </w:pPr>
      <w:r w:rsidRPr="00E720F5">
        <w:t>Solicitor for the appellant: W. F. Ritchie.</w:t>
      </w:r>
    </w:p>
    <w:p w:rsidR="00E720F5" w:rsidRPr="00E720F5" w:rsidRDefault="00E720F5" w:rsidP="00E720F5">
      <w:pPr>
        <w:pStyle w:val="Sollicitors"/>
      </w:pPr>
      <w:r w:rsidRPr="00E720F5">
        <w:t>Solicitors for the respondent</w:t>
      </w:r>
      <w:bookmarkStart w:id="0" w:name="_GoBack"/>
      <w:bookmarkEnd w:id="0"/>
      <w:r w:rsidRPr="00E720F5">
        <w:t>: Elliott &amp; David.</w:t>
      </w:r>
    </w:p>
    <w:sectPr w:rsidR="00E720F5" w:rsidRPr="00E720F5" w:rsidSect="00363346">
      <w:pgSz w:w="11909" w:h="16834"/>
      <w:pgMar w:top="1138" w:right="1138" w:bottom="1138" w:left="113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F5" w:rsidRDefault="00E720F5" w:rsidP="00E720F5">
      <w:pPr>
        <w:spacing w:after="0" w:line="240" w:lineRule="auto"/>
      </w:pPr>
      <w:r>
        <w:separator/>
      </w:r>
    </w:p>
  </w:endnote>
  <w:endnote w:type="continuationSeparator" w:id="0">
    <w:p w:rsidR="00E720F5" w:rsidRDefault="00E720F5" w:rsidP="00E7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F5" w:rsidRDefault="00E720F5" w:rsidP="00E720F5">
      <w:pPr>
        <w:spacing w:after="0" w:line="240" w:lineRule="auto"/>
      </w:pPr>
      <w:r>
        <w:separator/>
      </w:r>
    </w:p>
  </w:footnote>
  <w:footnote w:type="continuationSeparator" w:id="0">
    <w:p w:rsidR="00E720F5" w:rsidRDefault="00E720F5" w:rsidP="00E720F5">
      <w:pPr>
        <w:spacing w:after="0" w:line="240" w:lineRule="auto"/>
      </w:pPr>
      <w:r>
        <w:continuationSeparator/>
      </w:r>
    </w:p>
  </w:footnote>
  <w:footnote w:id="1">
    <w:p w:rsidR="00E720F5" w:rsidRPr="00E720F5" w:rsidRDefault="00E720F5">
      <w:pPr>
        <w:pStyle w:val="Notedebasdepage"/>
        <w:rPr>
          <w:lang w:val="en-US"/>
        </w:rPr>
      </w:pPr>
      <w:r>
        <w:rPr>
          <w:rStyle w:val="Appelnotedebasdep"/>
        </w:rPr>
        <w:footnoteRef/>
      </w:r>
      <w:r w:rsidRPr="00E720F5">
        <w:rPr>
          <w:lang w:val="en-US"/>
        </w:rPr>
        <w:t xml:space="preserve"> </w:t>
      </w:r>
      <w:proofErr w:type="gramStart"/>
      <w:r w:rsidRPr="00E720F5">
        <w:rPr>
          <w:rFonts w:ascii="Bookman Old Style" w:hAnsi="Bookman Old Style" w:cs="Bookman Old Style"/>
          <w:spacing w:val="-7"/>
          <w:sz w:val="17"/>
          <w:szCs w:val="17"/>
          <w:lang w:val="en-US"/>
        </w:rPr>
        <w:t>15 Alta. L.R. 313; [1920] 2 W.W.R. 251.</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F5"/>
    <w:rsid w:val="000026A5"/>
    <w:rsid w:val="00004311"/>
    <w:rsid w:val="000136B7"/>
    <w:rsid w:val="00013F4A"/>
    <w:rsid w:val="00014815"/>
    <w:rsid w:val="0002493F"/>
    <w:rsid w:val="000249D5"/>
    <w:rsid w:val="00025107"/>
    <w:rsid w:val="000257F2"/>
    <w:rsid w:val="00026E79"/>
    <w:rsid w:val="00034F44"/>
    <w:rsid w:val="00036514"/>
    <w:rsid w:val="0004033D"/>
    <w:rsid w:val="000447FC"/>
    <w:rsid w:val="000507FA"/>
    <w:rsid w:val="00054810"/>
    <w:rsid w:val="00054F47"/>
    <w:rsid w:val="000656D3"/>
    <w:rsid w:val="00065D37"/>
    <w:rsid w:val="00070CBB"/>
    <w:rsid w:val="00074499"/>
    <w:rsid w:val="0007551F"/>
    <w:rsid w:val="000807CB"/>
    <w:rsid w:val="00082CD5"/>
    <w:rsid w:val="00087C43"/>
    <w:rsid w:val="00094B6D"/>
    <w:rsid w:val="00095F7B"/>
    <w:rsid w:val="000A22D6"/>
    <w:rsid w:val="000A3D8C"/>
    <w:rsid w:val="000B6A04"/>
    <w:rsid w:val="000C526C"/>
    <w:rsid w:val="000C527F"/>
    <w:rsid w:val="000C67FB"/>
    <w:rsid w:val="000D1600"/>
    <w:rsid w:val="000D3D2C"/>
    <w:rsid w:val="000D47D2"/>
    <w:rsid w:val="000D74C7"/>
    <w:rsid w:val="000E0004"/>
    <w:rsid w:val="000E05AB"/>
    <w:rsid w:val="000E2397"/>
    <w:rsid w:val="000E25BF"/>
    <w:rsid w:val="000E357A"/>
    <w:rsid w:val="000E5C85"/>
    <w:rsid w:val="000E6B05"/>
    <w:rsid w:val="000F1AA2"/>
    <w:rsid w:val="000F5D4C"/>
    <w:rsid w:val="00104D93"/>
    <w:rsid w:val="00110E96"/>
    <w:rsid w:val="0011609E"/>
    <w:rsid w:val="00117205"/>
    <w:rsid w:val="00120053"/>
    <w:rsid w:val="001216BA"/>
    <w:rsid w:val="00124F70"/>
    <w:rsid w:val="00131352"/>
    <w:rsid w:val="00137EB4"/>
    <w:rsid w:val="001441F7"/>
    <w:rsid w:val="00145A5D"/>
    <w:rsid w:val="001479AE"/>
    <w:rsid w:val="00150C02"/>
    <w:rsid w:val="00162AD6"/>
    <w:rsid w:val="001711EC"/>
    <w:rsid w:val="001921F5"/>
    <w:rsid w:val="00194424"/>
    <w:rsid w:val="00196117"/>
    <w:rsid w:val="00196B4A"/>
    <w:rsid w:val="001A3AAE"/>
    <w:rsid w:val="001A43A6"/>
    <w:rsid w:val="001A6121"/>
    <w:rsid w:val="001A6EC9"/>
    <w:rsid w:val="001A78F4"/>
    <w:rsid w:val="001A7C0F"/>
    <w:rsid w:val="001B2E66"/>
    <w:rsid w:val="001B3048"/>
    <w:rsid w:val="001B327F"/>
    <w:rsid w:val="001B4777"/>
    <w:rsid w:val="001B7720"/>
    <w:rsid w:val="001C1B2D"/>
    <w:rsid w:val="001C25F5"/>
    <w:rsid w:val="001C5200"/>
    <w:rsid w:val="001D1387"/>
    <w:rsid w:val="001D5266"/>
    <w:rsid w:val="001D558E"/>
    <w:rsid w:val="001E3D4B"/>
    <w:rsid w:val="001E55CE"/>
    <w:rsid w:val="001E728A"/>
    <w:rsid w:val="001E7C67"/>
    <w:rsid w:val="001F2FB6"/>
    <w:rsid w:val="001F44D8"/>
    <w:rsid w:val="001F588A"/>
    <w:rsid w:val="001F7677"/>
    <w:rsid w:val="002036A6"/>
    <w:rsid w:val="00205E29"/>
    <w:rsid w:val="00215069"/>
    <w:rsid w:val="002150CA"/>
    <w:rsid w:val="00217BE4"/>
    <w:rsid w:val="00221A3D"/>
    <w:rsid w:val="00224CE2"/>
    <w:rsid w:val="00232FB8"/>
    <w:rsid w:val="00243B7D"/>
    <w:rsid w:val="002520CB"/>
    <w:rsid w:val="00253626"/>
    <w:rsid w:val="00261582"/>
    <w:rsid w:val="002639E8"/>
    <w:rsid w:val="00265F88"/>
    <w:rsid w:val="002673EA"/>
    <w:rsid w:val="00271F0D"/>
    <w:rsid w:val="00274820"/>
    <w:rsid w:val="00277945"/>
    <w:rsid w:val="002842FE"/>
    <w:rsid w:val="002845A6"/>
    <w:rsid w:val="00286546"/>
    <w:rsid w:val="0029458E"/>
    <w:rsid w:val="00295309"/>
    <w:rsid w:val="002A530B"/>
    <w:rsid w:val="002B2F04"/>
    <w:rsid w:val="002C1B98"/>
    <w:rsid w:val="002C2F03"/>
    <w:rsid w:val="002D0EED"/>
    <w:rsid w:val="002D1D69"/>
    <w:rsid w:val="002D6841"/>
    <w:rsid w:val="002E51F6"/>
    <w:rsid w:val="002E5B4E"/>
    <w:rsid w:val="002E5BC3"/>
    <w:rsid w:val="002E60AE"/>
    <w:rsid w:val="002F285A"/>
    <w:rsid w:val="002F4008"/>
    <w:rsid w:val="002F4BC9"/>
    <w:rsid w:val="002F5698"/>
    <w:rsid w:val="00303E31"/>
    <w:rsid w:val="00307EFC"/>
    <w:rsid w:val="003123FF"/>
    <w:rsid w:val="00316826"/>
    <w:rsid w:val="00316E50"/>
    <w:rsid w:val="003252FA"/>
    <w:rsid w:val="0032586E"/>
    <w:rsid w:val="003301EE"/>
    <w:rsid w:val="0033405B"/>
    <w:rsid w:val="00340C82"/>
    <w:rsid w:val="0034541A"/>
    <w:rsid w:val="00347E94"/>
    <w:rsid w:val="00351318"/>
    <w:rsid w:val="003533C5"/>
    <w:rsid w:val="00355431"/>
    <w:rsid w:val="0035550F"/>
    <w:rsid w:val="00356A18"/>
    <w:rsid w:val="0035774B"/>
    <w:rsid w:val="00361710"/>
    <w:rsid w:val="00367537"/>
    <w:rsid w:val="00374D66"/>
    <w:rsid w:val="00374FC3"/>
    <w:rsid w:val="00380C96"/>
    <w:rsid w:val="00393634"/>
    <w:rsid w:val="0039475B"/>
    <w:rsid w:val="00394B13"/>
    <w:rsid w:val="003A299A"/>
    <w:rsid w:val="003A4D33"/>
    <w:rsid w:val="003B0875"/>
    <w:rsid w:val="003B5D41"/>
    <w:rsid w:val="003C367B"/>
    <w:rsid w:val="003C6407"/>
    <w:rsid w:val="003D0C30"/>
    <w:rsid w:val="003D391A"/>
    <w:rsid w:val="003D3F35"/>
    <w:rsid w:val="003D412D"/>
    <w:rsid w:val="003F1AA1"/>
    <w:rsid w:val="003F64DA"/>
    <w:rsid w:val="00400064"/>
    <w:rsid w:val="00400530"/>
    <w:rsid w:val="00401155"/>
    <w:rsid w:val="00403B1D"/>
    <w:rsid w:val="00405443"/>
    <w:rsid w:val="00410AD3"/>
    <w:rsid w:val="004140CF"/>
    <w:rsid w:val="00415D20"/>
    <w:rsid w:val="00416F5A"/>
    <w:rsid w:val="004172D9"/>
    <w:rsid w:val="00421CD6"/>
    <w:rsid w:val="00422B20"/>
    <w:rsid w:val="004279B6"/>
    <w:rsid w:val="0043211C"/>
    <w:rsid w:val="0043249B"/>
    <w:rsid w:val="00434695"/>
    <w:rsid w:val="00435A2B"/>
    <w:rsid w:val="00435F3D"/>
    <w:rsid w:val="00440DED"/>
    <w:rsid w:val="004556C2"/>
    <w:rsid w:val="0046199C"/>
    <w:rsid w:val="0047462B"/>
    <w:rsid w:val="00483461"/>
    <w:rsid w:val="00486418"/>
    <w:rsid w:val="00493A0B"/>
    <w:rsid w:val="00494FC5"/>
    <w:rsid w:val="004A606E"/>
    <w:rsid w:val="004C0697"/>
    <w:rsid w:val="004C3D85"/>
    <w:rsid w:val="004C42AB"/>
    <w:rsid w:val="004D0148"/>
    <w:rsid w:val="004D4A36"/>
    <w:rsid w:val="004E178B"/>
    <w:rsid w:val="004F3E59"/>
    <w:rsid w:val="00501C32"/>
    <w:rsid w:val="00506F5B"/>
    <w:rsid w:val="00507F94"/>
    <w:rsid w:val="00510302"/>
    <w:rsid w:val="0052438D"/>
    <w:rsid w:val="005265EA"/>
    <w:rsid w:val="005366B9"/>
    <w:rsid w:val="0054193D"/>
    <w:rsid w:val="00543411"/>
    <w:rsid w:val="005449F8"/>
    <w:rsid w:val="00545C67"/>
    <w:rsid w:val="00546EF3"/>
    <w:rsid w:val="00551319"/>
    <w:rsid w:val="005527A0"/>
    <w:rsid w:val="005556AD"/>
    <w:rsid w:val="00555BBC"/>
    <w:rsid w:val="00560142"/>
    <w:rsid w:val="00560AE8"/>
    <w:rsid w:val="00564BEB"/>
    <w:rsid w:val="00565487"/>
    <w:rsid w:val="00572834"/>
    <w:rsid w:val="0057379D"/>
    <w:rsid w:val="005751C7"/>
    <w:rsid w:val="00576E3E"/>
    <w:rsid w:val="00595BF2"/>
    <w:rsid w:val="00597B7E"/>
    <w:rsid w:val="005A7693"/>
    <w:rsid w:val="005B1D23"/>
    <w:rsid w:val="005C21AA"/>
    <w:rsid w:val="005C2B1E"/>
    <w:rsid w:val="005C2B5B"/>
    <w:rsid w:val="005C4FC6"/>
    <w:rsid w:val="005E0AE7"/>
    <w:rsid w:val="005E333B"/>
    <w:rsid w:val="005E6472"/>
    <w:rsid w:val="006029E6"/>
    <w:rsid w:val="00603235"/>
    <w:rsid w:val="00612D69"/>
    <w:rsid w:val="006175D6"/>
    <w:rsid w:val="00620BA6"/>
    <w:rsid w:val="00623947"/>
    <w:rsid w:val="00624175"/>
    <w:rsid w:val="006447C1"/>
    <w:rsid w:val="00645E1D"/>
    <w:rsid w:val="00647B83"/>
    <w:rsid w:val="00651649"/>
    <w:rsid w:val="006554D3"/>
    <w:rsid w:val="006653B8"/>
    <w:rsid w:val="0066555E"/>
    <w:rsid w:val="00666C31"/>
    <w:rsid w:val="00671298"/>
    <w:rsid w:val="00672380"/>
    <w:rsid w:val="00686CAC"/>
    <w:rsid w:val="006916C9"/>
    <w:rsid w:val="00691FC0"/>
    <w:rsid w:val="006A2515"/>
    <w:rsid w:val="006A3671"/>
    <w:rsid w:val="006A480B"/>
    <w:rsid w:val="006A7048"/>
    <w:rsid w:val="006B19BD"/>
    <w:rsid w:val="006B4422"/>
    <w:rsid w:val="006B71B7"/>
    <w:rsid w:val="006C1A54"/>
    <w:rsid w:val="006D6C08"/>
    <w:rsid w:val="006E083A"/>
    <w:rsid w:val="006F2348"/>
    <w:rsid w:val="006F3701"/>
    <w:rsid w:val="006F6C26"/>
    <w:rsid w:val="007018DB"/>
    <w:rsid w:val="0070767E"/>
    <w:rsid w:val="007102F3"/>
    <w:rsid w:val="00711867"/>
    <w:rsid w:val="00712DAF"/>
    <w:rsid w:val="00720CED"/>
    <w:rsid w:val="00725C11"/>
    <w:rsid w:val="007430F6"/>
    <w:rsid w:val="0074721B"/>
    <w:rsid w:val="00751F09"/>
    <w:rsid w:val="00753513"/>
    <w:rsid w:val="00754ED9"/>
    <w:rsid w:val="00761044"/>
    <w:rsid w:val="007614AE"/>
    <w:rsid w:val="00767E6F"/>
    <w:rsid w:val="00773AA6"/>
    <w:rsid w:val="00774CC1"/>
    <w:rsid w:val="007803F2"/>
    <w:rsid w:val="00781277"/>
    <w:rsid w:val="007822C8"/>
    <w:rsid w:val="00782825"/>
    <w:rsid w:val="00785294"/>
    <w:rsid w:val="007A2746"/>
    <w:rsid w:val="007B654C"/>
    <w:rsid w:val="007B67C0"/>
    <w:rsid w:val="007C04C0"/>
    <w:rsid w:val="007C7DDE"/>
    <w:rsid w:val="007D702C"/>
    <w:rsid w:val="007D734F"/>
    <w:rsid w:val="007E65A3"/>
    <w:rsid w:val="007F0D8C"/>
    <w:rsid w:val="00806AC4"/>
    <w:rsid w:val="00811C57"/>
    <w:rsid w:val="0081484E"/>
    <w:rsid w:val="0081654B"/>
    <w:rsid w:val="008174A5"/>
    <w:rsid w:val="00823D8C"/>
    <w:rsid w:val="00824A66"/>
    <w:rsid w:val="00825C87"/>
    <w:rsid w:val="00831A6F"/>
    <w:rsid w:val="008332AB"/>
    <w:rsid w:val="00833E15"/>
    <w:rsid w:val="0083768C"/>
    <w:rsid w:val="00837C4A"/>
    <w:rsid w:val="00840CCA"/>
    <w:rsid w:val="00841D46"/>
    <w:rsid w:val="008457B9"/>
    <w:rsid w:val="00850EAD"/>
    <w:rsid w:val="0086165A"/>
    <w:rsid w:val="008643B3"/>
    <w:rsid w:val="00866709"/>
    <w:rsid w:val="008705E0"/>
    <w:rsid w:val="00871CE8"/>
    <w:rsid w:val="0087439C"/>
    <w:rsid w:val="00880F5D"/>
    <w:rsid w:val="0088491D"/>
    <w:rsid w:val="008858F9"/>
    <w:rsid w:val="00887CF0"/>
    <w:rsid w:val="0089027A"/>
    <w:rsid w:val="00895C91"/>
    <w:rsid w:val="008977B5"/>
    <w:rsid w:val="008B4E49"/>
    <w:rsid w:val="008B61BF"/>
    <w:rsid w:val="008B7B98"/>
    <w:rsid w:val="008C2E26"/>
    <w:rsid w:val="008D094C"/>
    <w:rsid w:val="008D2C73"/>
    <w:rsid w:val="008D5F3A"/>
    <w:rsid w:val="008D7EE6"/>
    <w:rsid w:val="008E5E6B"/>
    <w:rsid w:val="008F06CA"/>
    <w:rsid w:val="008F2D3E"/>
    <w:rsid w:val="008F2EA9"/>
    <w:rsid w:val="008F74AD"/>
    <w:rsid w:val="008F7E53"/>
    <w:rsid w:val="0090305E"/>
    <w:rsid w:val="00906E50"/>
    <w:rsid w:val="009303AD"/>
    <w:rsid w:val="00932CB8"/>
    <w:rsid w:val="009350AD"/>
    <w:rsid w:val="00943057"/>
    <w:rsid w:val="00946C34"/>
    <w:rsid w:val="0095697B"/>
    <w:rsid w:val="00956CB3"/>
    <w:rsid w:val="00961F04"/>
    <w:rsid w:val="00970ED7"/>
    <w:rsid w:val="00973ED7"/>
    <w:rsid w:val="00974983"/>
    <w:rsid w:val="00976AA1"/>
    <w:rsid w:val="0097765C"/>
    <w:rsid w:val="00984F8A"/>
    <w:rsid w:val="00986B2D"/>
    <w:rsid w:val="009905F7"/>
    <w:rsid w:val="00992EC8"/>
    <w:rsid w:val="009932D7"/>
    <w:rsid w:val="00994043"/>
    <w:rsid w:val="009961CD"/>
    <w:rsid w:val="009A0EF5"/>
    <w:rsid w:val="009A35F7"/>
    <w:rsid w:val="009B11FB"/>
    <w:rsid w:val="009B16EA"/>
    <w:rsid w:val="009B1A86"/>
    <w:rsid w:val="009B73F1"/>
    <w:rsid w:val="009C1ADB"/>
    <w:rsid w:val="009C3BA6"/>
    <w:rsid w:val="009C5085"/>
    <w:rsid w:val="009D55D5"/>
    <w:rsid w:val="009D75EC"/>
    <w:rsid w:val="009E42A0"/>
    <w:rsid w:val="009E4902"/>
    <w:rsid w:val="009F2434"/>
    <w:rsid w:val="009F7BB6"/>
    <w:rsid w:val="00A00D6D"/>
    <w:rsid w:val="00A00DB8"/>
    <w:rsid w:val="00A165B0"/>
    <w:rsid w:val="00A33E00"/>
    <w:rsid w:val="00A406B2"/>
    <w:rsid w:val="00A57C0C"/>
    <w:rsid w:val="00A57DF3"/>
    <w:rsid w:val="00A61509"/>
    <w:rsid w:val="00A6265C"/>
    <w:rsid w:val="00A63ACC"/>
    <w:rsid w:val="00A65D32"/>
    <w:rsid w:val="00A74224"/>
    <w:rsid w:val="00A75E94"/>
    <w:rsid w:val="00A77C14"/>
    <w:rsid w:val="00A86F48"/>
    <w:rsid w:val="00A9160D"/>
    <w:rsid w:val="00A925FD"/>
    <w:rsid w:val="00AA1750"/>
    <w:rsid w:val="00AA5D17"/>
    <w:rsid w:val="00AA79EC"/>
    <w:rsid w:val="00AB77B7"/>
    <w:rsid w:val="00AB7962"/>
    <w:rsid w:val="00AD38B0"/>
    <w:rsid w:val="00AD5932"/>
    <w:rsid w:val="00AE346B"/>
    <w:rsid w:val="00AF75C4"/>
    <w:rsid w:val="00B00F74"/>
    <w:rsid w:val="00B010AC"/>
    <w:rsid w:val="00B03719"/>
    <w:rsid w:val="00B05DD6"/>
    <w:rsid w:val="00B1230D"/>
    <w:rsid w:val="00B15566"/>
    <w:rsid w:val="00B26E96"/>
    <w:rsid w:val="00B3560C"/>
    <w:rsid w:val="00B36DD6"/>
    <w:rsid w:val="00B537A3"/>
    <w:rsid w:val="00B56762"/>
    <w:rsid w:val="00B604E3"/>
    <w:rsid w:val="00B63627"/>
    <w:rsid w:val="00B65896"/>
    <w:rsid w:val="00B660A6"/>
    <w:rsid w:val="00B730D7"/>
    <w:rsid w:val="00B752E5"/>
    <w:rsid w:val="00B803CE"/>
    <w:rsid w:val="00B818EE"/>
    <w:rsid w:val="00B819EC"/>
    <w:rsid w:val="00B84B14"/>
    <w:rsid w:val="00B859F3"/>
    <w:rsid w:val="00B85BC8"/>
    <w:rsid w:val="00B870BC"/>
    <w:rsid w:val="00B93E6A"/>
    <w:rsid w:val="00B9696B"/>
    <w:rsid w:val="00B97782"/>
    <w:rsid w:val="00BA260E"/>
    <w:rsid w:val="00BA463A"/>
    <w:rsid w:val="00BB23C5"/>
    <w:rsid w:val="00BB67D7"/>
    <w:rsid w:val="00BB7322"/>
    <w:rsid w:val="00BB75DE"/>
    <w:rsid w:val="00BC241B"/>
    <w:rsid w:val="00BD3BD0"/>
    <w:rsid w:val="00BD3D5E"/>
    <w:rsid w:val="00BE22D6"/>
    <w:rsid w:val="00BE6F2E"/>
    <w:rsid w:val="00BF1789"/>
    <w:rsid w:val="00C004B0"/>
    <w:rsid w:val="00C0251F"/>
    <w:rsid w:val="00C054C4"/>
    <w:rsid w:val="00C11FBD"/>
    <w:rsid w:val="00C22E05"/>
    <w:rsid w:val="00C234B1"/>
    <w:rsid w:val="00C275ED"/>
    <w:rsid w:val="00C27EB8"/>
    <w:rsid w:val="00C32AFC"/>
    <w:rsid w:val="00C32E08"/>
    <w:rsid w:val="00C36CB8"/>
    <w:rsid w:val="00C3742C"/>
    <w:rsid w:val="00C37A75"/>
    <w:rsid w:val="00C45EE3"/>
    <w:rsid w:val="00C52339"/>
    <w:rsid w:val="00C5393C"/>
    <w:rsid w:val="00C54554"/>
    <w:rsid w:val="00C60B30"/>
    <w:rsid w:val="00C6256F"/>
    <w:rsid w:val="00C627B8"/>
    <w:rsid w:val="00C67F90"/>
    <w:rsid w:val="00C703BA"/>
    <w:rsid w:val="00C73161"/>
    <w:rsid w:val="00C81147"/>
    <w:rsid w:val="00C84B0C"/>
    <w:rsid w:val="00C86957"/>
    <w:rsid w:val="00C9032D"/>
    <w:rsid w:val="00C9267E"/>
    <w:rsid w:val="00C93642"/>
    <w:rsid w:val="00C95CD2"/>
    <w:rsid w:val="00CA045D"/>
    <w:rsid w:val="00CA1745"/>
    <w:rsid w:val="00CA22ED"/>
    <w:rsid w:val="00CA3022"/>
    <w:rsid w:val="00CA6763"/>
    <w:rsid w:val="00CB1A0F"/>
    <w:rsid w:val="00CC06F9"/>
    <w:rsid w:val="00CC31AD"/>
    <w:rsid w:val="00CC49AC"/>
    <w:rsid w:val="00CC58F3"/>
    <w:rsid w:val="00CC5916"/>
    <w:rsid w:val="00CC7D26"/>
    <w:rsid w:val="00CD0153"/>
    <w:rsid w:val="00CD14E7"/>
    <w:rsid w:val="00CD1FD7"/>
    <w:rsid w:val="00CD2A12"/>
    <w:rsid w:val="00CD5A16"/>
    <w:rsid w:val="00CD5CD4"/>
    <w:rsid w:val="00CD69AF"/>
    <w:rsid w:val="00CE2EAD"/>
    <w:rsid w:val="00CE2F46"/>
    <w:rsid w:val="00CF34A6"/>
    <w:rsid w:val="00D06BFE"/>
    <w:rsid w:val="00D12798"/>
    <w:rsid w:val="00D17749"/>
    <w:rsid w:val="00D214C3"/>
    <w:rsid w:val="00D22581"/>
    <w:rsid w:val="00D262AD"/>
    <w:rsid w:val="00D27308"/>
    <w:rsid w:val="00D2731C"/>
    <w:rsid w:val="00D3387C"/>
    <w:rsid w:val="00D37A54"/>
    <w:rsid w:val="00D40D6E"/>
    <w:rsid w:val="00D46CA0"/>
    <w:rsid w:val="00D57D8D"/>
    <w:rsid w:val="00D60BDF"/>
    <w:rsid w:val="00D6115E"/>
    <w:rsid w:val="00D61EEE"/>
    <w:rsid w:val="00D625CC"/>
    <w:rsid w:val="00D74F5D"/>
    <w:rsid w:val="00D82D4E"/>
    <w:rsid w:val="00D8637C"/>
    <w:rsid w:val="00D86CD0"/>
    <w:rsid w:val="00D93452"/>
    <w:rsid w:val="00D93EFD"/>
    <w:rsid w:val="00D94FE2"/>
    <w:rsid w:val="00D96583"/>
    <w:rsid w:val="00D97380"/>
    <w:rsid w:val="00DA18A3"/>
    <w:rsid w:val="00DA5E45"/>
    <w:rsid w:val="00DC2F55"/>
    <w:rsid w:val="00DD1DCB"/>
    <w:rsid w:val="00DE0431"/>
    <w:rsid w:val="00DE14B9"/>
    <w:rsid w:val="00DE7D74"/>
    <w:rsid w:val="00DF312A"/>
    <w:rsid w:val="00DF3982"/>
    <w:rsid w:val="00DF5107"/>
    <w:rsid w:val="00E00FEB"/>
    <w:rsid w:val="00E014BB"/>
    <w:rsid w:val="00E12BEF"/>
    <w:rsid w:val="00E31DFD"/>
    <w:rsid w:val="00E32AD3"/>
    <w:rsid w:val="00E3555D"/>
    <w:rsid w:val="00E418EB"/>
    <w:rsid w:val="00E43877"/>
    <w:rsid w:val="00E45BD1"/>
    <w:rsid w:val="00E51C1B"/>
    <w:rsid w:val="00E520B5"/>
    <w:rsid w:val="00E52FA3"/>
    <w:rsid w:val="00E56CE8"/>
    <w:rsid w:val="00E6017C"/>
    <w:rsid w:val="00E62CDD"/>
    <w:rsid w:val="00E63D41"/>
    <w:rsid w:val="00E6524F"/>
    <w:rsid w:val="00E720F5"/>
    <w:rsid w:val="00E73191"/>
    <w:rsid w:val="00E7439C"/>
    <w:rsid w:val="00E76A91"/>
    <w:rsid w:val="00E82888"/>
    <w:rsid w:val="00E83F03"/>
    <w:rsid w:val="00E85E41"/>
    <w:rsid w:val="00E93593"/>
    <w:rsid w:val="00E93CB3"/>
    <w:rsid w:val="00E95F25"/>
    <w:rsid w:val="00EA018F"/>
    <w:rsid w:val="00EA5FA3"/>
    <w:rsid w:val="00EA6F4B"/>
    <w:rsid w:val="00EB2482"/>
    <w:rsid w:val="00EB36A1"/>
    <w:rsid w:val="00EB73AE"/>
    <w:rsid w:val="00EC023D"/>
    <w:rsid w:val="00ED1D56"/>
    <w:rsid w:val="00EE0265"/>
    <w:rsid w:val="00EE395A"/>
    <w:rsid w:val="00EE5D5A"/>
    <w:rsid w:val="00EF48F3"/>
    <w:rsid w:val="00EF4E08"/>
    <w:rsid w:val="00F009B9"/>
    <w:rsid w:val="00F0594B"/>
    <w:rsid w:val="00F12449"/>
    <w:rsid w:val="00F22644"/>
    <w:rsid w:val="00F266F8"/>
    <w:rsid w:val="00F302BA"/>
    <w:rsid w:val="00F309AE"/>
    <w:rsid w:val="00F30E45"/>
    <w:rsid w:val="00F33706"/>
    <w:rsid w:val="00F35FB7"/>
    <w:rsid w:val="00F46145"/>
    <w:rsid w:val="00F46FA5"/>
    <w:rsid w:val="00F56960"/>
    <w:rsid w:val="00F61D75"/>
    <w:rsid w:val="00F621A9"/>
    <w:rsid w:val="00F6700A"/>
    <w:rsid w:val="00F863AC"/>
    <w:rsid w:val="00F87E97"/>
    <w:rsid w:val="00F92224"/>
    <w:rsid w:val="00F95BD1"/>
    <w:rsid w:val="00FB27B9"/>
    <w:rsid w:val="00FB782D"/>
    <w:rsid w:val="00FB7C51"/>
    <w:rsid w:val="00FC467A"/>
    <w:rsid w:val="00FC66F6"/>
    <w:rsid w:val="00FD7638"/>
    <w:rsid w:val="00FE28E8"/>
    <w:rsid w:val="00FF4ACA"/>
    <w:rsid w:val="00FF79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
    <w:name w:val="Page"/>
    <w:basedOn w:val="Normal"/>
    <w:rsid w:val="00E720F5"/>
    <w:pPr>
      <w:spacing w:before="100" w:beforeAutospacing="1" w:after="100" w:afterAutospacing="1" w:line="240" w:lineRule="auto"/>
    </w:pPr>
    <w:rPr>
      <w:rFonts w:ascii="Arial" w:eastAsia="Times New Roman" w:hAnsi="Arial" w:cs="Times New Roman"/>
      <w:i/>
      <w:sz w:val="20"/>
      <w:szCs w:val="24"/>
      <w:lang w:val="en-CA"/>
    </w:rPr>
  </w:style>
  <w:style w:type="paragraph" w:customStyle="1" w:styleId="Para">
    <w:name w:val="Para"/>
    <w:basedOn w:val="Normal"/>
    <w:rsid w:val="00E720F5"/>
    <w:pPr>
      <w:spacing w:before="100" w:beforeAutospacing="1" w:after="100" w:afterAutospacing="1" w:line="360" w:lineRule="auto"/>
      <w:jc w:val="both"/>
    </w:pPr>
    <w:rPr>
      <w:rFonts w:ascii="Arial" w:eastAsia="Times New Roman" w:hAnsi="Arial" w:cs="Times New Roman"/>
      <w:sz w:val="24"/>
      <w:szCs w:val="24"/>
      <w:lang w:val="en-CA"/>
    </w:rPr>
  </w:style>
  <w:style w:type="paragraph" w:customStyle="1" w:styleId="Sollicitors">
    <w:name w:val="Sollicitors"/>
    <w:basedOn w:val="Normal"/>
    <w:rsid w:val="00E720F5"/>
    <w:pPr>
      <w:spacing w:before="100" w:beforeAutospacing="1" w:after="100" w:afterAutospacing="1" w:line="240" w:lineRule="auto"/>
    </w:pPr>
    <w:rPr>
      <w:rFonts w:ascii="Arial" w:eastAsia="Times New Roman" w:hAnsi="Arial" w:cs="Times New Roman"/>
      <w:i/>
      <w:sz w:val="24"/>
      <w:szCs w:val="24"/>
      <w:lang w:val="en-CA"/>
    </w:rPr>
  </w:style>
  <w:style w:type="paragraph" w:customStyle="1" w:styleId="Disposition">
    <w:name w:val="Disposition"/>
    <w:basedOn w:val="Normal"/>
    <w:rsid w:val="00E720F5"/>
    <w:pPr>
      <w:spacing w:before="100" w:beforeAutospacing="1" w:after="100" w:afterAutospacing="1" w:line="240" w:lineRule="auto"/>
    </w:pPr>
    <w:rPr>
      <w:rFonts w:ascii="Arial" w:eastAsia="Times New Roman" w:hAnsi="Arial" w:cs="Times New Roman"/>
      <w:i/>
      <w:sz w:val="24"/>
      <w:szCs w:val="24"/>
      <w:lang w:val="en-CA"/>
    </w:rPr>
  </w:style>
  <w:style w:type="paragraph" w:customStyle="1" w:styleId="Metadata">
    <w:name w:val="Metadata"/>
    <w:basedOn w:val="Normal"/>
    <w:rsid w:val="00E720F5"/>
    <w:pPr>
      <w:suppressAutoHyphens/>
      <w:spacing w:before="280" w:after="280" w:line="240" w:lineRule="auto"/>
    </w:pPr>
    <w:rPr>
      <w:rFonts w:ascii="Arial" w:eastAsia="Times New Roman" w:hAnsi="Arial" w:cs="Times New Roman"/>
      <w:sz w:val="20"/>
      <w:szCs w:val="24"/>
      <w:lang w:val="en-CA" w:eastAsia="ar-SA"/>
    </w:rPr>
  </w:style>
  <w:style w:type="paragraph" w:customStyle="1" w:styleId="Keywords">
    <w:name w:val="Keywords"/>
    <w:basedOn w:val="Normal"/>
    <w:rsid w:val="00E720F5"/>
    <w:pPr>
      <w:suppressAutoHyphens/>
      <w:spacing w:before="280" w:after="280" w:line="240" w:lineRule="auto"/>
    </w:pPr>
    <w:rPr>
      <w:rFonts w:ascii="Arial" w:eastAsia="Times New Roman" w:hAnsi="Arial" w:cs="Times New Roman"/>
      <w:i/>
      <w:sz w:val="24"/>
      <w:szCs w:val="24"/>
      <w:lang w:val="en-CA" w:eastAsia="ar-SA"/>
    </w:rPr>
  </w:style>
  <w:style w:type="paragraph" w:customStyle="1" w:styleId="Court">
    <w:name w:val="Court"/>
    <w:basedOn w:val="Normal"/>
    <w:rsid w:val="00E720F5"/>
    <w:pPr>
      <w:suppressAutoHyphens/>
      <w:spacing w:after="0" w:line="240" w:lineRule="auto"/>
    </w:pPr>
    <w:rPr>
      <w:rFonts w:ascii="Arial" w:eastAsia="Times New Roman" w:hAnsi="Arial" w:cs="Times New Roman"/>
      <w:b/>
      <w:sz w:val="24"/>
      <w:szCs w:val="24"/>
      <w:lang w:val="en-CA" w:eastAsia="ar-SA"/>
    </w:rPr>
  </w:style>
  <w:style w:type="paragraph" w:styleId="Notedebasdepage">
    <w:name w:val="footnote text"/>
    <w:basedOn w:val="Normal"/>
    <w:link w:val="NotedebasdepageCar"/>
    <w:semiHidden/>
    <w:unhideWhenUsed/>
    <w:rsid w:val="00E720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20F5"/>
    <w:rPr>
      <w:sz w:val="20"/>
      <w:szCs w:val="20"/>
    </w:rPr>
  </w:style>
  <w:style w:type="character" w:styleId="Appelnotedebasdep">
    <w:name w:val="footnote reference"/>
    <w:basedOn w:val="Policepardfaut"/>
    <w:uiPriority w:val="99"/>
    <w:semiHidden/>
    <w:unhideWhenUsed/>
    <w:rsid w:val="00E720F5"/>
    <w:rPr>
      <w:vertAlign w:val="superscript"/>
    </w:rPr>
  </w:style>
  <w:style w:type="character" w:customStyle="1" w:styleId="FootnoteCharacters">
    <w:name w:val="Footnote Characters"/>
    <w:rsid w:val="00E720F5"/>
    <w:rPr>
      <w:vertAlign w:val="superscript"/>
    </w:rPr>
  </w:style>
  <w:style w:type="paragraph" w:customStyle="1" w:styleId="Summary">
    <w:name w:val="Summary"/>
    <w:basedOn w:val="Normal"/>
    <w:rsid w:val="00E720F5"/>
    <w:pPr>
      <w:suppressAutoHyphens/>
      <w:spacing w:before="280" w:after="280" w:line="240" w:lineRule="auto"/>
      <w:ind w:firstLine="562"/>
    </w:pPr>
    <w:rPr>
      <w:rFonts w:ascii="Arial" w:eastAsia="Times New Roman" w:hAnsi="Arial" w:cs="Times New Roman"/>
      <w:sz w:val="24"/>
      <w:szCs w:val="24"/>
      <w:lang w:val="en-CA" w:eastAsia="ar-SA"/>
    </w:rPr>
  </w:style>
  <w:style w:type="paragraph" w:customStyle="1" w:styleId="History">
    <w:name w:val="History"/>
    <w:basedOn w:val="Normal"/>
    <w:rsid w:val="00E720F5"/>
    <w:pPr>
      <w:suppressAutoHyphens/>
      <w:spacing w:before="280" w:after="280" w:line="240" w:lineRule="auto"/>
      <w:ind w:firstLine="567"/>
    </w:pPr>
    <w:rPr>
      <w:rFonts w:ascii="Arial" w:eastAsia="Times New Roman" w:hAnsi="Arial" w:cs="Times New Roman"/>
      <w:sz w:val="24"/>
      <w:szCs w:val="24"/>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ge">
    <w:name w:val="Page"/>
    <w:basedOn w:val="Normal"/>
    <w:rsid w:val="00E720F5"/>
    <w:pPr>
      <w:spacing w:before="100" w:beforeAutospacing="1" w:after="100" w:afterAutospacing="1" w:line="240" w:lineRule="auto"/>
    </w:pPr>
    <w:rPr>
      <w:rFonts w:ascii="Arial" w:eastAsia="Times New Roman" w:hAnsi="Arial" w:cs="Times New Roman"/>
      <w:i/>
      <w:sz w:val="20"/>
      <w:szCs w:val="24"/>
      <w:lang w:val="en-CA"/>
    </w:rPr>
  </w:style>
  <w:style w:type="paragraph" w:customStyle="1" w:styleId="Para">
    <w:name w:val="Para"/>
    <w:basedOn w:val="Normal"/>
    <w:rsid w:val="00E720F5"/>
    <w:pPr>
      <w:spacing w:before="100" w:beforeAutospacing="1" w:after="100" w:afterAutospacing="1" w:line="360" w:lineRule="auto"/>
      <w:jc w:val="both"/>
    </w:pPr>
    <w:rPr>
      <w:rFonts w:ascii="Arial" w:eastAsia="Times New Roman" w:hAnsi="Arial" w:cs="Times New Roman"/>
      <w:sz w:val="24"/>
      <w:szCs w:val="24"/>
      <w:lang w:val="en-CA"/>
    </w:rPr>
  </w:style>
  <w:style w:type="paragraph" w:customStyle="1" w:styleId="Sollicitors">
    <w:name w:val="Sollicitors"/>
    <w:basedOn w:val="Normal"/>
    <w:rsid w:val="00E720F5"/>
    <w:pPr>
      <w:spacing w:before="100" w:beforeAutospacing="1" w:after="100" w:afterAutospacing="1" w:line="240" w:lineRule="auto"/>
    </w:pPr>
    <w:rPr>
      <w:rFonts w:ascii="Arial" w:eastAsia="Times New Roman" w:hAnsi="Arial" w:cs="Times New Roman"/>
      <w:i/>
      <w:sz w:val="24"/>
      <w:szCs w:val="24"/>
      <w:lang w:val="en-CA"/>
    </w:rPr>
  </w:style>
  <w:style w:type="paragraph" w:customStyle="1" w:styleId="Disposition">
    <w:name w:val="Disposition"/>
    <w:basedOn w:val="Normal"/>
    <w:rsid w:val="00E720F5"/>
    <w:pPr>
      <w:spacing w:before="100" w:beforeAutospacing="1" w:after="100" w:afterAutospacing="1" w:line="240" w:lineRule="auto"/>
    </w:pPr>
    <w:rPr>
      <w:rFonts w:ascii="Arial" w:eastAsia="Times New Roman" w:hAnsi="Arial" w:cs="Times New Roman"/>
      <w:i/>
      <w:sz w:val="24"/>
      <w:szCs w:val="24"/>
      <w:lang w:val="en-CA"/>
    </w:rPr>
  </w:style>
  <w:style w:type="paragraph" w:customStyle="1" w:styleId="Metadata">
    <w:name w:val="Metadata"/>
    <w:basedOn w:val="Normal"/>
    <w:rsid w:val="00E720F5"/>
    <w:pPr>
      <w:suppressAutoHyphens/>
      <w:spacing w:before="280" w:after="280" w:line="240" w:lineRule="auto"/>
    </w:pPr>
    <w:rPr>
      <w:rFonts w:ascii="Arial" w:eastAsia="Times New Roman" w:hAnsi="Arial" w:cs="Times New Roman"/>
      <w:sz w:val="20"/>
      <w:szCs w:val="24"/>
      <w:lang w:val="en-CA" w:eastAsia="ar-SA"/>
    </w:rPr>
  </w:style>
  <w:style w:type="paragraph" w:customStyle="1" w:styleId="Keywords">
    <w:name w:val="Keywords"/>
    <w:basedOn w:val="Normal"/>
    <w:rsid w:val="00E720F5"/>
    <w:pPr>
      <w:suppressAutoHyphens/>
      <w:spacing w:before="280" w:after="280" w:line="240" w:lineRule="auto"/>
    </w:pPr>
    <w:rPr>
      <w:rFonts w:ascii="Arial" w:eastAsia="Times New Roman" w:hAnsi="Arial" w:cs="Times New Roman"/>
      <w:i/>
      <w:sz w:val="24"/>
      <w:szCs w:val="24"/>
      <w:lang w:val="en-CA" w:eastAsia="ar-SA"/>
    </w:rPr>
  </w:style>
  <w:style w:type="paragraph" w:customStyle="1" w:styleId="Court">
    <w:name w:val="Court"/>
    <w:basedOn w:val="Normal"/>
    <w:rsid w:val="00E720F5"/>
    <w:pPr>
      <w:suppressAutoHyphens/>
      <w:spacing w:after="0" w:line="240" w:lineRule="auto"/>
    </w:pPr>
    <w:rPr>
      <w:rFonts w:ascii="Arial" w:eastAsia="Times New Roman" w:hAnsi="Arial" w:cs="Times New Roman"/>
      <w:b/>
      <w:sz w:val="24"/>
      <w:szCs w:val="24"/>
      <w:lang w:val="en-CA" w:eastAsia="ar-SA"/>
    </w:rPr>
  </w:style>
  <w:style w:type="paragraph" w:styleId="Notedebasdepage">
    <w:name w:val="footnote text"/>
    <w:basedOn w:val="Normal"/>
    <w:link w:val="NotedebasdepageCar"/>
    <w:semiHidden/>
    <w:unhideWhenUsed/>
    <w:rsid w:val="00E720F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20F5"/>
    <w:rPr>
      <w:sz w:val="20"/>
      <w:szCs w:val="20"/>
    </w:rPr>
  </w:style>
  <w:style w:type="character" w:styleId="Appelnotedebasdep">
    <w:name w:val="footnote reference"/>
    <w:basedOn w:val="Policepardfaut"/>
    <w:uiPriority w:val="99"/>
    <w:semiHidden/>
    <w:unhideWhenUsed/>
    <w:rsid w:val="00E720F5"/>
    <w:rPr>
      <w:vertAlign w:val="superscript"/>
    </w:rPr>
  </w:style>
  <w:style w:type="character" w:customStyle="1" w:styleId="FootnoteCharacters">
    <w:name w:val="Footnote Characters"/>
    <w:rsid w:val="00E720F5"/>
    <w:rPr>
      <w:vertAlign w:val="superscript"/>
    </w:rPr>
  </w:style>
  <w:style w:type="paragraph" w:customStyle="1" w:styleId="Summary">
    <w:name w:val="Summary"/>
    <w:basedOn w:val="Normal"/>
    <w:rsid w:val="00E720F5"/>
    <w:pPr>
      <w:suppressAutoHyphens/>
      <w:spacing w:before="280" w:after="280" w:line="240" w:lineRule="auto"/>
      <w:ind w:firstLine="562"/>
    </w:pPr>
    <w:rPr>
      <w:rFonts w:ascii="Arial" w:eastAsia="Times New Roman" w:hAnsi="Arial" w:cs="Times New Roman"/>
      <w:sz w:val="24"/>
      <w:szCs w:val="24"/>
      <w:lang w:val="en-CA" w:eastAsia="ar-SA"/>
    </w:rPr>
  </w:style>
  <w:style w:type="paragraph" w:customStyle="1" w:styleId="History">
    <w:name w:val="History"/>
    <w:basedOn w:val="Normal"/>
    <w:rsid w:val="00E720F5"/>
    <w:pPr>
      <w:suppressAutoHyphens/>
      <w:spacing w:before="280" w:after="280" w:line="240" w:lineRule="auto"/>
      <w:ind w:firstLine="567"/>
    </w:pPr>
    <w:rPr>
      <w:rFonts w:ascii="Arial" w:eastAsia="Times New Roman" w:hAnsi="Arial" w:cs="Times New Roman"/>
      <w:sz w:val="24"/>
      <w:szCs w:val="24"/>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678D-C001-47F1-94D4-8D950EB7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Lexum</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Marie-Eve Lantin</dc:creator>
  <cp:lastModifiedBy>Marie-Eve Lantin</cp:lastModifiedBy>
  <cp:revision>1</cp:revision>
  <dcterms:created xsi:type="dcterms:W3CDTF">2015-05-14T14:52:00Z</dcterms:created>
  <dcterms:modified xsi:type="dcterms:W3CDTF">2015-05-14T15:06:00Z</dcterms:modified>
</cp:coreProperties>
</file>