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30" w:rsidRDefault="00510C30" w:rsidP="00510C3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913599" r:id="rId9"/>
        </w:object>
      </w:r>
      <w:r>
        <w:t xml:space="preserve"> </w:t>
      </w:r>
      <w:r>
        <w:ptab w:relativeTo="margin" w:alignment="right" w:leader="none"/>
      </w:r>
    </w:p>
    <w:p w:rsidR="00510C30" w:rsidRDefault="00510C30" w:rsidP="00510C30">
      <w:pPr>
        <w:pStyle w:val="Header"/>
      </w:pPr>
    </w:p>
    <w:p w:rsidR="00510C30" w:rsidRPr="006B210C" w:rsidRDefault="00510C30" w:rsidP="00510C30">
      <w:pPr>
        <w:jc w:val="center"/>
        <w:rPr>
          <w:b/>
        </w:rPr>
      </w:pPr>
      <w:r w:rsidRPr="006B210C">
        <w:rPr>
          <w:b/>
        </w:rPr>
        <w:t>SUPREME COURT OF CANADA</w:t>
      </w:r>
    </w:p>
    <w:p w:rsidR="00510C30" w:rsidRDefault="00510C30" w:rsidP="00510C3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510C30" w:rsidRPr="006B210C" w:rsidTr="00865118">
        <w:trPr>
          <w:cantSplit/>
        </w:trPr>
        <w:tc>
          <w:tcPr>
            <w:tcW w:w="6768" w:type="dxa"/>
          </w:tcPr>
          <w:p w:rsidR="00510C30" w:rsidRPr="006B210C" w:rsidRDefault="00510C30" w:rsidP="00865118">
            <w:r w:rsidRPr="006B210C">
              <w:rPr>
                <w:b/>
                <w:smallCaps/>
              </w:rPr>
              <w:t>Citation</w:t>
            </w:r>
            <w:r>
              <w:rPr>
                <w:b/>
                <w:smallCaps/>
              </w:rPr>
              <w:t>:</w:t>
            </w:r>
            <w:r w:rsidRPr="006B210C">
              <w:t xml:space="preserve"> </w:t>
            </w:r>
            <w:proofErr w:type="spellStart"/>
            <w:r w:rsidRPr="00EB1C0D">
              <w:t>Caplin</w:t>
            </w:r>
            <w:proofErr w:type="spellEnd"/>
            <w:r w:rsidRPr="00EB1C0D">
              <w:t xml:space="preserve"> </w:t>
            </w:r>
            <w:r w:rsidRPr="00EB1C0D">
              <w:rPr>
                <w:i/>
              </w:rPr>
              <w:t>v.</w:t>
            </w:r>
            <w:r w:rsidRPr="00EB1C0D">
              <w:t xml:space="preserve"> Canada (Justice)</w:t>
            </w:r>
            <w:r>
              <w:t>, 2015 SCC 32, [2015] 2 S.C.R. 570</w:t>
            </w:r>
          </w:p>
        </w:tc>
        <w:tc>
          <w:tcPr>
            <w:tcW w:w="2808" w:type="dxa"/>
          </w:tcPr>
          <w:p w:rsidR="00510C30" w:rsidRPr="006B210C" w:rsidRDefault="00510C30" w:rsidP="00865118">
            <w:r w:rsidRPr="006B210C">
              <w:rPr>
                <w:b/>
                <w:smallCaps/>
              </w:rPr>
              <w:t>Date</w:t>
            </w:r>
            <w:r>
              <w:rPr>
                <w:b/>
                <w:smallCaps/>
              </w:rPr>
              <w:t>:</w:t>
            </w:r>
            <w:r w:rsidRPr="006B210C">
              <w:t xml:space="preserve"> </w:t>
            </w:r>
            <w:r>
              <w:t>20150529</w:t>
            </w:r>
          </w:p>
          <w:p w:rsidR="00510C30" w:rsidRPr="006B210C" w:rsidRDefault="00510C30" w:rsidP="00865118">
            <w:r w:rsidRPr="006B210C">
              <w:rPr>
                <w:b/>
                <w:smallCaps/>
              </w:rPr>
              <w:t>Docket</w:t>
            </w:r>
            <w:r>
              <w:rPr>
                <w:b/>
                <w:smallCaps/>
              </w:rPr>
              <w:t>:</w:t>
            </w:r>
            <w:r w:rsidRPr="006B210C">
              <w:t xml:space="preserve"> </w:t>
            </w:r>
            <w:r>
              <w:t>35527</w:t>
            </w:r>
          </w:p>
        </w:tc>
      </w:tr>
    </w:tbl>
    <w:p w:rsidR="00510C30" w:rsidRPr="006B210C" w:rsidRDefault="00510C30" w:rsidP="00510C30"/>
    <w:p w:rsidR="00510C30" w:rsidRDefault="00510C30" w:rsidP="00510C30">
      <w:pPr>
        <w:pStyle w:val="SCCLsocPrefix"/>
      </w:pPr>
      <w:r>
        <w:t>Between:</w:t>
      </w:r>
    </w:p>
    <w:p w:rsidR="00510C30" w:rsidRDefault="00510C30" w:rsidP="00510C30">
      <w:pPr>
        <w:pStyle w:val="SCCLsocParty"/>
        <w:jc w:val="center"/>
      </w:pPr>
      <w:r>
        <w:t xml:space="preserve">David </w:t>
      </w:r>
      <w:proofErr w:type="spellStart"/>
      <w:r>
        <w:t>Caplin</w:t>
      </w:r>
      <w:proofErr w:type="spellEnd"/>
    </w:p>
    <w:p w:rsidR="00510C30" w:rsidRDefault="00510C30" w:rsidP="00510C30">
      <w:pPr>
        <w:jc w:val="center"/>
      </w:pPr>
      <w:r>
        <w:t>Appellant</w:t>
      </w:r>
    </w:p>
    <w:p w:rsidR="00510C30" w:rsidRPr="00BC5963" w:rsidRDefault="00510C30" w:rsidP="00510C30">
      <w:pPr>
        <w:pStyle w:val="SCCLsocVersus"/>
        <w:spacing w:after="0"/>
        <w:jc w:val="center"/>
        <w:rPr>
          <w:i w:val="0"/>
        </w:rPr>
      </w:pPr>
      <w:proofErr w:type="gramStart"/>
      <w:r w:rsidRPr="00BC5963">
        <w:rPr>
          <w:i w:val="0"/>
        </w:rPr>
        <w:t>and</w:t>
      </w:r>
      <w:proofErr w:type="gramEnd"/>
    </w:p>
    <w:p w:rsidR="00510C30" w:rsidRDefault="00510C30" w:rsidP="00510C30">
      <w:pPr>
        <w:pStyle w:val="SCCLsocParty"/>
        <w:jc w:val="center"/>
      </w:pPr>
      <w:r>
        <w:t>Minister of Justice of Canada</w:t>
      </w:r>
    </w:p>
    <w:p w:rsidR="00510C30" w:rsidRDefault="00510C30" w:rsidP="00510C30">
      <w:pPr>
        <w:jc w:val="center"/>
      </w:pPr>
      <w:r>
        <w:t>Respondent</w:t>
      </w:r>
    </w:p>
    <w:p w:rsidR="00510C30" w:rsidRDefault="00510C30" w:rsidP="00510C30"/>
    <w:p w:rsidR="00510C30" w:rsidRPr="006B210C" w:rsidRDefault="00510C30" w:rsidP="00510C30"/>
    <w:p w:rsidR="00510C30" w:rsidRPr="006B210C" w:rsidRDefault="00510C30" w:rsidP="00510C30">
      <w:r w:rsidRPr="006B210C">
        <w:rPr>
          <w:b/>
          <w:smallCaps/>
        </w:rPr>
        <w:t>Coram</w:t>
      </w:r>
      <w:r>
        <w:rPr>
          <w:b/>
          <w:smallCaps/>
        </w:rPr>
        <w:t>:</w:t>
      </w:r>
      <w:r w:rsidRPr="006B210C">
        <w:t xml:space="preserve"> </w:t>
      </w:r>
      <w:proofErr w:type="spellStart"/>
      <w:r>
        <w:t>McLachlin</w:t>
      </w:r>
      <w:proofErr w:type="spellEnd"/>
      <w:r>
        <w:t xml:space="preserve"> C.J. and </w:t>
      </w:r>
      <w:proofErr w:type="spellStart"/>
      <w:r>
        <w:t>A</w:t>
      </w:r>
      <w:bookmarkStart w:id="0" w:name="_GoBack"/>
      <w:bookmarkEnd w:id="0"/>
      <w:r>
        <w:t>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510C30" w:rsidRPr="006B210C" w:rsidRDefault="00510C30" w:rsidP="00510C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10C30" w:rsidRPr="006B210C" w:rsidTr="00865118">
        <w:trPr>
          <w:cantSplit/>
        </w:trPr>
        <w:tc>
          <w:tcPr>
            <w:tcW w:w="3618" w:type="dxa"/>
          </w:tcPr>
          <w:p w:rsidR="00510C30" w:rsidRDefault="00510C30" w:rsidP="00865118">
            <w:pPr>
              <w:rPr>
                <w:b/>
                <w:smallCaps/>
              </w:rPr>
            </w:pPr>
            <w:r w:rsidRPr="006B210C">
              <w:rPr>
                <w:b/>
                <w:smallCaps/>
              </w:rPr>
              <w:t>Reasons for Judgment</w:t>
            </w:r>
            <w:r>
              <w:rPr>
                <w:b/>
                <w:smallCaps/>
              </w:rPr>
              <w:t>:</w:t>
            </w:r>
          </w:p>
          <w:p w:rsidR="00510C30" w:rsidRDefault="00510C30" w:rsidP="00865118">
            <w:r>
              <w:t>(paras. 1 to 4)</w:t>
            </w:r>
          </w:p>
          <w:p w:rsidR="00510C30" w:rsidRPr="006B210C" w:rsidRDefault="00510C30" w:rsidP="00865118"/>
        </w:tc>
        <w:tc>
          <w:tcPr>
            <w:tcW w:w="5958" w:type="dxa"/>
          </w:tcPr>
          <w:p w:rsidR="00510C30" w:rsidRPr="006B210C" w:rsidRDefault="00510C30" w:rsidP="00865118">
            <w:r>
              <w:t>The Court</w:t>
            </w:r>
          </w:p>
        </w:tc>
      </w:tr>
    </w:tbl>
    <w:p w:rsidR="00510C30" w:rsidRDefault="00510C30" w:rsidP="00510C30">
      <w:pPr>
        <w:rPr>
          <w:rStyle w:val="SCCHearingJudgmentDatesTextChar"/>
        </w:rPr>
      </w:pPr>
      <w:r>
        <w:rPr>
          <w:rStyle w:val="SCCHearingJudgmentDatesTitleChar"/>
        </w:rPr>
        <w:t xml:space="preserve">Appeal heard and judgment rendered: </w:t>
      </w:r>
      <w:r>
        <w:rPr>
          <w:rStyle w:val="SCCHearingJudgmentDatesTextChar"/>
        </w:rPr>
        <w:t>April 23, 2015</w:t>
      </w:r>
    </w:p>
    <w:p w:rsidR="00510C30" w:rsidRDefault="00510C30" w:rsidP="00510C30"/>
    <w:p w:rsidR="00510C30" w:rsidRPr="00EB1C0D" w:rsidRDefault="00510C30" w:rsidP="00510C30">
      <w:r>
        <w:rPr>
          <w:rStyle w:val="SCCHearingJudgmentDatesTitleChar"/>
        </w:rPr>
        <w:t xml:space="preserve">Reasons delivered: </w:t>
      </w:r>
      <w:r w:rsidRPr="00CC1967">
        <w:rPr>
          <w:rStyle w:val="SCCHearingJudgmentDatesTitleChar"/>
          <w:b w:val="0"/>
          <w:smallCaps w:val="0"/>
        </w:rPr>
        <w:t>May 29, 2015</w:t>
      </w:r>
    </w:p>
    <w:p w:rsidR="00510C30" w:rsidRDefault="00510C30" w:rsidP="00510C30"/>
    <w:p w:rsidR="00510C30" w:rsidRPr="006B210C" w:rsidRDefault="00CC1967" w:rsidP="00510C30">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10C30" w:rsidRDefault="00510C30" w:rsidP="00510C30">
      <w:pPr>
        <w:widowControl w:val="0"/>
        <w:spacing w:after="720"/>
        <w:jc w:val="both"/>
        <w:rPr>
          <w:rStyle w:val="SCCAppellantForRunningHeadChar"/>
          <w:smallCaps w:val="0"/>
          <w:lang w:val="en-US"/>
        </w:rPr>
      </w:pPr>
    </w:p>
    <w:p w:rsidR="008322BD" w:rsidRPr="00CC1967" w:rsidRDefault="00B61ECB" w:rsidP="00E75756">
      <w:pPr>
        <w:widowControl w:val="0"/>
        <w:spacing w:after="720"/>
        <w:jc w:val="both"/>
        <w:rPr>
          <w:smallCaps/>
          <w:lang w:val="en-US"/>
        </w:rPr>
      </w:pPr>
      <w:proofErr w:type="spellStart"/>
      <w:r w:rsidRPr="00CC1967">
        <w:rPr>
          <w:rStyle w:val="SCCAppellantForRunningHeadChar"/>
          <w:smallCaps w:val="0"/>
          <w:lang w:val="en-US"/>
        </w:rPr>
        <w:t>C</w:t>
      </w:r>
      <w:r w:rsidR="008F78E9" w:rsidRPr="00CC1967">
        <w:rPr>
          <w:rStyle w:val="SCCAppellantForRunningHeadChar"/>
          <w:smallCaps w:val="0"/>
          <w:lang w:val="en-US"/>
        </w:rPr>
        <w:t>aplin</w:t>
      </w:r>
      <w:proofErr w:type="spellEnd"/>
      <w:r w:rsidR="00480C90" w:rsidRPr="00CC1967">
        <w:rPr>
          <w:smallCaps/>
          <w:lang w:val="en-US"/>
        </w:rPr>
        <w:t xml:space="preserve"> </w:t>
      </w:r>
      <w:r w:rsidR="009B57B3" w:rsidRPr="00CC1967">
        <w:rPr>
          <w:i/>
          <w:lang w:val="en-US"/>
        </w:rPr>
        <w:t>v.</w:t>
      </w:r>
      <w:r w:rsidR="00B000D8" w:rsidRPr="00CC1967">
        <w:rPr>
          <w:smallCaps/>
          <w:lang w:val="en-US"/>
        </w:rPr>
        <w:t xml:space="preserve"> </w:t>
      </w:r>
      <w:r w:rsidRPr="00CC1967">
        <w:rPr>
          <w:rStyle w:val="SCCRespondentForRunningHeadChar"/>
          <w:smallCaps w:val="0"/>
          <w:lang w:val="en-US"/>
        </w:rPr>
        <w:t>C</w:t>
      </w:r>
      <w:r w:rsidR="001C1383" w:rsidRPr="00CC1967">
        <w:rPr>
          <w:rStyle w:val="SCCRespondentForRunningHeadChar"/>
          <w:smallCaps w:val="0"/>
          <w:lang w:val="en-US"/>
        </w:rPr>
        <w:t>anada (</w:t>
      </w:r>
      <w:r w:rsidRPr="00CC1967">
        <w:rPr>
          <w:rStyle w:val="SCCRespondentForRunningHeadChar"/>
          <w:smallCaps w:val="0"/>
          <w:lang w:val="en-US"/>
        </w:rPr>
        <w:t>J</w:t>
      </w:r>
      <w:r w:rsidR="008F78E9" w:rsidRPr="00CC1967">
        <w:rPr>
          <w:rStyle w:val="SCCRespondentForRunningHeadChar"/>
          <w:smallCaps w:val="0"/>
          <w:lang w:val="en-US"/>
        </w:rPr>
        <w:t>ustice</w:t>
      </w:r>
      <w:r w:rsidR="001C1383" w:rsidRPr="00CC1967">
        <w:rPr>
          <w:rStyle w:val="SCCRespondentForRunningHeadChar"/>
          <w:smallCaps w:val="0"/>
          <w:lang w:val="en-US"/>
        </w:rPr>
        <w:t>)</w:t>
      </w:r>
      <w:r w:rsidRPr="00CC1967">
        <w:rPr>
          <w:rStyle w:val="SCCRespondentForRunningHeadChar"/>
          <w:smallCaps w:val="0"/>
          <w:lang w:val="en-US"/>
        </w:rPr>
        <w:t xml:space="preserve">, </w:t>
      </w:r>
      <w:r w:rsidRPr="00CC1967">
        <w:rPr>
          <w:lang w:val="en-US"/>
        </w:rPr>
        <w:t>2015 SCC 32</w:t>
      </w:r>
      <w:r w:rsidR="001321A5" w:rsidRPr="00CC1967">
        <w:rPr>
          <w:lang w:val="en-US"/>
        </w:rPr>
        <w:t>, [2015] 2 S.C.R. 570</w:t>
      </w:r>
    </w:p>
    <w:p w:rsidR="00050C19" w:rsidRPr="00CC1967" w:rsidRDefault="003C0F39" w:rsidP="00E75756">
      <w:pPr>
        <w:pStyle w:val="SCCLsocLastPartyInRole"/>
        <w:widowControl w:val="0"/>
        <w:rPr>
          <w:lang w:val="en-US"/>
        </w:rPr>
      </w:pPr>
      <w:r w:rsidRPr="00CC1967">
        <w:rPr>
          <w:lang w:val="en-US"/>
        </w:rPr>
        <w:t xml:space="preserve">David </w:t>
      </w:r>
      <w:proofErr w:type="spellStart"/>
      <w:r w:rsidRPr="00CC1967">
        <w:rPr>
          <w:lang w:val="en-US"/>
        </w:rPr>
        <w:t>Caplin</w:t>
      </w:r>
      <w:proofErr w:type="spellEnd"/>
      <w:r w:rsidRPr="00CC1967">
        <w:rPr>
          <w:rStyle w:val="SCCLsocPartyRole"/>
          <w:lang w:val="en-US"/>
        </w:rPr>
        <w:tab/>
        <w:t>Appellant</w:t>
      </w:r>
    </w:p>
    <w:p w:rsidR="00050C19" w:rsidRPr="00136BC4" w:rsidRDefault="003C0F39" w:rsidP="00E75756">
      <w:pPr>
        <w:pStyle w:val="SCCLsocVersus"/>
        <w:widowControl w:val="0"/>
      </w:pPr>
      <w:proofErr w:type="gramStart"/>
      <w:r w:rsidRPr="00136BC4">
        <w:t>v</w:t>
      </w:r>
      <w:proofErr w:type="gramEnd"/>
      <w:r w:rsidRPr="00136BC4">
        <w:t>.</w:t>
      </w:r>
    </w:p>
    <w:p w:rsidR="00050C19" w:rsidRPr="00136BC4" w:rsidRDefault="003C0F39" w:rsidP="00E75756">
      <w:pPr>
        <w:pStyle w:val="SCCLsocLastPartyInRole"/>
        <w:widowControl w:val="0"/>
      </w:pPr>
      <w:r w:rsidRPr="00136BC4">
        <w:t>Minister of Justice of Canada</w:t>
      </w:r>
      <w:r w:rsidRPr="00136BC4">
        <w:rPr>
          <w:rStyle w:val="SCCLsocPartyRole"/>
        </w:rPr>
        <w:tab/>
        <w:t>Respondent</w:t>
      </w:r>
    </w:p>
    <w:p w:rsidR="00426659" w:rsidRPr="00136BC4" w:rsidRDefault="00426659" w:rsidP="00E75756">
      <w:pPr>
        <w:widowControl w:val="0"/>
        <w:spacing w:after="720"/>
        <w:jc w:val="both"/>
        <w:rPr>
          <w:b/>
        </w:rPr>
      </w:pPr>
      <w:r w:rsidRPr="00136BC4">
        <w:rPr>
          <w:b/>
        </w:rPr>
        <w:lastRenderedPageBreak/>
        <w:t xml:space="preserve">Indexed as: </w:t>
      </w:r>
      <w:proofErr w:type="spellStart"/>
      <w:r w:rsidRPr="00136BC4">
        <w:rPr>
          <w:rStyle w:val="SCCAppellantForIndexChar"/>
        </w:rPr>
        <w:t>Caplin</w:t>
      </w:r>
      <w:proofErr w:type="spellEnd"/>
      <w:r w:rsidRPr="00136BC4">
        <w:rPr>
          <w:b/>
        </w:rPr>
        <w:t xml:space="preserve"> </w:t>
      </w:r>
      <w:r w:rsidRPr="00136BC4">
        <w:rPr>
          <w:b/>
          <w:i/>
        </w:rPr>
        <w:t>v.</w:t>
      </w:r>
      <w:r w:rsidRPr="00136BC4">
        <w:rPr>
          <w:b/>
        </w:rPr>
        <w:t xml:space="preserve"> </w:t>
      </w:r>
      <w:r w:rsidR="001C1383" w:rsidRPr="00136BC4">
        <w:rPr>
          <w:b/>
        </w:rPr>
        <w:t>Canada (</w:t>
      </w:r>
      <w:r w:rsidRPr="00136BC4">
        <w:rPr>
          <w:rStyle w:val="SCCRespondentForIndexChar"/>
        </w:rPr>
        <w:t>Justice</w:t>
      </w:r>
      <w:r w:rsidR="001C1383" w:rsidRPr="00136BC4">
        <w:rPr>
          <w:rStyle w:val="SCCRespondentForIndexChar"/>
        </w:rPr>
        <w:t>)</w:t>
      </w:r>
    </w:p>
    <w:p w:rsidR="00426659" w:rsidRPr="00136BC4" w:rsidRDefault="004F36FF" w:rsidP="00E75756">
      <w:pPr>
        <w:pStyle w:val="SCCSystemYear"/>
        <w:widowControl w:val="0"/>
        <w:spacing w:after="720"/>
        <w:jc w:val="both"/>
      </w:pPr>
      <w:r w:rsidRPr="00136BC4">
        <w:t>2015</w:t>
      </w:r>
      <w:r w:rsidR="003D0399" w:rsidRPr="00136BC4">
        <w:t xml:space="preserve"> </w:t>
      </w:r>
      <w:r w:rsidR="00445CB7" w:rsidRPr="00136BC4">
        <w:t>SCC</w:t>
      </w:r>
      <w:r w:rsidR="00E75756">
        <w:t xml:space="preserve"> </w:t>
      </w:r>
      <w:r w:rsidR="00445CB7" w:rsidRPr="00136BC4">
        <w:t>32</w:t>
      </w:r>
    </w:p>
    <w:p w:rsidR="008322BD" w:rsidRPr="00136BC4" w:rsidRDefault="000154C7" w:rsidP="00E75756">
      <w:pPr>
        <w:widowControl w:val="0"/>
        <w:spacing w:after="720"/>
        <w:jc w:val="both"/>
      </w:pPr>
      <w:r w:rsidRPr="00136BC4">
        <w:t xml:space="preserve">File No.: </w:t>
      </w:r>
      <w:r w:rsidR="009B57B3" w:rsidRPr="00136BC4">
        <w:t>35527.</w:t>
      </w:r>
    </w:p>
    <w:p w:rsidR="000154C7" w:rsidRPr="00136BC4" w:rsidRDefault="000154C7" w:rsidP="00E75756">
      <w:pPr>
        <w:widowControl w:val="0"/>
        <w:jc w:val="both"/>
      </w:pPr>
      <w:r w:rsidRPr="00136BC4">
        <w:t xml:space="preserve">Hearing and judgment: </w:t>
      </w:r>
      <w:r w:rsidR="004C7647" w:rsidRPr="00136BC4">
        <w:t>April</w:t>
      </w:r>
      <w:r w:rsidR="00E75756">
        <w:t xml:space="preserve"> </w:t>
      </w:r>
      <w:r w:rsidRPr="00136BC4">
        <w:t>23, 2015.</w:t>
      </w:r>
    </w:p>
    <w:p w:rsidR="000154C7" w:rsidRPr="00136BC4" w:rsidRDefault="004C7647" w:rsidP="00E75756">
      <w:pPr>
        <w:widowControl w:val="0"/>
        <w:spacing w:after="720"/>
        <w:jc w:val="both"/>
      </w:pPr>
      <w:r w:rsidRPr="00136BC4">
        <w:t>Reasons delivered: May</w:t>
      </w:r>
      <w:r w:rsidR="00E75756">
        <w:t xml:space="preserve"> </w:t>
      </w:r>
      <w:r w:rsidR="00410FAD" w:rsidRPr="00136BC4">
        <w:t>29</w:t>
      </w:r>
      <w:r w:rsidR="000154C7" w:rsidRPr="00136BC4">
        <w:t>, 2015.</w:t>
      </w:r>
    </w:p>
    <w:p w:rsidR="008322BD" w:rsidRPr="00136BC4" w:rsidRDefault="009B57B3" w:rsidP="00E75756">
      <w:pPr>
        <w:widowControl w:val="0"/>
        <w:spacing w:after="720"/>
        <w:jc w:val="both"/>
      </w:pPr>
      <w:r w:rsidRPr="00136BC4">
        <w:t xml:space="preserve">Present: </w:t>
      </w:r>
      <w:proofErr w:type="spellStart"/>
      <w:r w:rsidRPr="00136BC4">
        <w:t>McLachlin</w:t>
      </w:r>
      <w:proofErr w:type="spellEnd"/>
      <w:r w:rsidR="00E75756">
        <w:t xml:space="preserve"> </w:t>
      </w:r>
      <w:r w:rsidRPr="00136BC4">
        <w:t xml:space="preserve">C.J. and </w:t>
      </w:r>
      <w:proofErr w:type="spellStart"/>
      <w:r w:rsidRPr="00136BC4">
        <w:t>Abella</w:t>
      </w:r>
      <w:proofErr w:type="spellEnd"/>
      <w:r w:rsidRPr="00136BC4">
        <w:t xml:space="preserve">, Rothstein, Cromwell, </w:t>
      </w:r>
      <w:proofErr w:type="spellStart"/>
      <w:r w:rsidRPr="00136BC4">
        <w:t>Moldaver</w:t>
      </w:r>
      <w:proofErr w:type="spellEnd"/>
      <w:r w:rsidRPr="00136BC4">
        <w:t xml:space="preserve">, </w:t>
      </w:r>
      <w:proofErr w:type="spellStart"/>
      <w:r w:rsidRPr="00136BC4">
        <w:t>Karakatsanis</w:t>
      </w:r>
      <w:proofErr w:type="spellEnd"/>
      <w:r w:rsidRPr="00136BC4">
        <w:t xml:space="preserve">, Wagner, </w:t>
      </w:r>
      <w:proofErr w:type="spellStart"/>
      <w:r w:rsidRPr="00136BC4">
        <w:t>Gascon</w:t>
      </w:r>
      <w:proofErr w:type="spellEnd"/>
      <w:r w:rsidRPr="00136BC4">
        <w:t xml:space="preserve"> and </w:t>
      </w:r>
      <w:proofErr w:type="spellStart"/>
      <w:r w:rsidRPr="00136BC4">
        <w:t>Côté</w:t>
      </w:r>
      <w:proofErr w:type="spellEnd"/>
      <w:r w:rsidR="00E75756">
        <w:t xml:space="preserve"> </w:t>
      </w:r>
      <w:r w:rsidRPr="00136BC4">
        <w:t>JJ.</w:t>
      </w:r>
    </w:p>
    <w:p w:rsidR="008322BD" w:rsidRPr="00136BC4" w:rsidRDefault="00656313" w:rsidP="00E75756">
      <w:pPr>
        <w:pStyle w:val="SCCLowerCourtNameLowercase"/>
        <w:widowControl w:val="0"/>
        <w:spacing w:before="480" w:after="480"/>
      </w:pPr>
      <w:r w:rsidRPr="00136BC4">
        <w:t>o</w:t>
      </w:r>
      <w:r w:rsidR="00170592" w:rsidRPr="00136BC4">
        <w:t>n</w:t>
      </w:r>
      <w:r w:rsidR="00224FC0" w:rsidRPr="00136BC4">
        <w:t xml:space="preserve"> </w:t>
      </w:r>
      <w:r w:rsidRPr="00136BC4">
        <w:t>a</w:t>
      </w:r>
      <w:r w:rsidR="00170592" w:rsidRPr="00136BC4">
        <w:t>ppeal</w:t>
      </w:r>
      <w:r w:rsidR="00224FC0" w:rsidRPr="00136BC4">
        <w:t xml:space="preserve"> </w:t>
      </w:r>
      <w:r w:rsidR="00170592" w:rsidRPr="00136BC4">
        <w:t>from</w:t>
      </w:r>
      <w:r w:rsidR="009567AA" w:rsidRPr="00136BC4">
        <w:t xml:space="preserve"> the</w:t>
      </w:r>
      <w:r w:rsidR="00224FC0" w:rsidRPr="00136BC4">
        <w:t xml:space="preserve"> </w:t>
      </w:r>
      <w:r w:rsidR="009B57B3" w:rsidRPr="00136BC4">
        <w:t>court of appeal f</w:t>
      </w:r>
      <w:r w:rsidR="001C1383" w:rsidRPr="00136BC4">
        <w:t>or</w:t>
      </w:r>
      <w:r w:rsidR="009B57B3" w:rsidRPr="00136BC4">
        <w:t xml:space="preserve"> </w:t>
      </w:r>
      <w:proofErr w:type="spellStart"/>
      <w:r w:rsidR="009B57B3" w:rsidRPr="00136BC4">
        <w:t>quebec</w:t>
      </w:r>
      <w:proofErr w:type="spellEnd"/>
    </w:p>
    <w:p w:rsidR="00410FAD" w:rsidRPr="00136BC4" w:rsidRDefault="009B57B3" w:rsidP="00E75756">
      <w:pPr>
        <w:pStyle w:val="SCCNormalDoubleSpacing"/>
        <w:widowControl w:val="0"/>
        <w:spacing w:before="480" w:after="480"/>
        <w:rPr>
          <w:i/>
        </w:rPr>
      </w:pPr>
      <w:r w:rsidRPr="00136BC4">
        <w:tab/>
      </w:r>
      <w:r w:rsidR="00410FAD" w:rsidRPr="00136BC4">
        <w:rPr>
          <w:i/>
        </w:rPr>
        <w:t xml:space="preserve">Extradition </w:t>
      </w:r>
      <w:r w:rsidR="004C7647" w:rsidRPr="00136BC4">
        <w:rPr>
          <w:i/>
        </w:rPr>
        <w:t>—</w:t>
      </w:r>
      <w:r w:rsidR="00410FAD" w:rsidRPr="00136BC4">
        <w:rPr>
          <w:i/>
        </w:rPr>
        <w:t xml:space="preserve"> Surrender order </w:t>
      </w:r>
      <w:r w:rsidR="004C7647" w:rsidRPr="00136BC4">
        <w:rPr>
          <w:i/>
        </w:rPr>
        <w:t xml:space="preserve">— </w:t>
      </w:r>
      <w:r w:rsidR="00410FAD" w:rsidRPr="00136BC4">
        <w:rPr>
          <w:i/>
        </w:rPr>
        <w:t xml:space="preserve">Judicial review </w:t>
      </w:r>
      <w:r w:rsidR="004C7647" w:rsidRPr="00136BC4">
        <w:rPr>
          <w:i/>
        </w:rPr>
        <w:t xml:space="preserve">— </w:t>
      </w:r>
      <w:r w:rsidR="00410FAD" w:rsidRPr="00136BC4">
        <w:rPr>
          <w:i/>
          <w:lang w:val="en-US"/>
        </w:rPr>
        <w:t xml:space="preserve">Minister of Justice surrendering accused to U.S. on charges of murder </w:t>
      </w:r>
      <w:r w:rsidR="004C7647" w:rsidRPr="00136BC4">
        <w:rPr>
          <w:i/>
        </w:rPr>
        <w:t xml:space="preserve">— </w:t>
      </w:r>
      <w:r w:rsidR="00410FAD" w:rsidRPr="00136BC4">
        <w:rPr>
          <w:i/>
          <w:lang w:val="en-US"/>
        </w:rPr>
        <w:t>Whether Minister’s decision to order surrender was reasonable</w:t>
      </w:r>
      <w:r w:rsidR="00410FAD" w:rsidRPr="00136BC4">
        <w:rPr>
          <w:i/>
        </w:rPr>
        <w:t>.</w:t>
      </w:r>
    </w:p>
    <w:p w:rsidR="00410FAD" w:rsidRPr="00136BC4" w:rsidRDefault="00410FAD" w:rsidP="00E75756">
      <w:pPr>
        <w:pStyle w:val="SCCNormalDoubleSpacing"/>
        <w:widowControl w:val="0"/>
        <w:spacing w:before="480" w:after="480"/>
      </w:pPr>
      <w:r w:rsidRPr="00136BC4">
        <w:tab/>
        <w:t xml:space="preserve">The Minister of Justice </w:t>
      </w:r>
      <w:r w:rsidR="000939A6" w:rsidRPr="00136BC4">
        <w:t>ordered</w:t>
      </w:r>
      <w:r w:rsidRPr="00136BC4">
        <w:t xml:space="preserve"> the surrender of C and a co</w:t>
      </w:r>
      <w:r w:rsidR="00E75756">
        <w:t>-</w:t>
      </w:r>
      <w:r w:rsidRPr="00136BC4">
        <w:t>accused, B, to the U.S. on charges of first and secon</w:t>
      </w:r>
      <w:r w:rsidR="00F0027E" w:rsidRPr="00136BC4">
        <w:t>d degree murder.</w:t>
      </w:r>
      <w:r w:rsidR="00B90366">
        <w:t xml:space="preserve"> </w:t>
      </w:r>
      <w:r w:rsidRPr="00136BC4">
        <w:t>C was charged on those offences in 1990, but has never been tried.</w:t>
      </w:r>
      <w:r w:rsidR="00B90366">
        <w:t xml:space="preserve"> </w:t>
      </w:r>
      <w:r w:rsidRPr="00136BC4">
        <w:t>In 2010, the New Hampshire State authorities reopened the investigation into the alleged crimes and in 2011, evidence seized from the crime scene was submitted for DNA testing using techniques that were not available at the time of the initial investigatio</w:t>
      </w:r>
      <w:r w:rsidR="00F0027E" w:rsidRPr="00136BC4">
        <w:t xml:space="preserve">n. C’s profile was identified. </w:t>
      </w:r>
      <w:r w:rsidRPr="00136BC4">
        <w:t>On judicial review, the Court of Appeal of Quebec concluded that there were no grounds for interfering in the Minister’s decision to extradite C to the United States.</w:t>
      </w:r>
    </w:p>
    <w:p w:rsidR="00410FAD" w:rsidRPr="00136BC4" w:rsidRDefault="00410FAD" w:rsidP="00E75756">
      <w:pPr>
        <w:pStyle w:val="SCCNormalDoubleSpacing"/>
        <w:widowControl w:val="0"/>
        <w:spacing w:before="480" w:after="480"/>
      </w:pPr>
      <w:r w:rsidRPr="00136BC4">
        <w:lastRenderedPageBreak/>
        <w:tab/>
      </w:r>
      <w:r w:rsidRPr="00136BC4">
        <w:rPr>
          <w:i/>
        </w:rPr>
        <w:t>Held</w:t>
      </w:r>
      <w:r w:rsidR="004C7647" w:rsidRPr="00136BC4">
        <w:t xml:space="preserve">: </w:t>
      </w:r>
      <w:r w:rsidRPr="00136BC4">
        <w:t>The appeal should be dismissed.</w:t>
      </w:r>
    </w:p>
    <w:p w:rsidR="00410FAD" w:rsidRPr="00136BC4" w:rsidRDefault="00410FAD" w:rsidP="00E75756">
      <w:pPr>
        <w:pStyle w:val="SCCNormalDoubleSpacing"/>
        <w:widowControl w:val="0"/>
        <w:spacing w:before="480" w:after="480"/>
      </w:pPr>
      <w:r w:rsidRPr="00136BC4">
        <w:tab/>
        <w:t>The Court of Appeal did not err in concluding that it was reasonable for the Minister</w:t>
      </w:r>
      <w:r w:rsidR="00F116C4" w:rsidRPr="00136BC4">
        <w:t xml:space="preserve"> of Justice to order surrender.</w:t>
      </w:r>
      <w:r w:rsidR="00B90366">
        <w:t xml:space="preserve"> </w:t>
      </w:r>
      <w:r w:rsidRPr="00136BC4">
        <w:t>The fundamental issue for the Minister was whether surrendering C to the “particular treatment” that awaits him in New Hampshire would be contrary to Canadian principles of fundamental justice.</w:t>
      </w:r>
      <w:r w:rsidR="00B90366">
        <w:t xml:space="preserve"> </w:t>
      </w:r>
      <w:r w:rsidRPr="00136BC4">
        <w:t>The Minister examined all of the relevant circumstances, including the importance of international cooperation in the extradition context. In light of all of these considerations, it was reasonable for him to conclude that it would not offend Canadian principles of fundamental justice or be otherwise unjust or oppressive to leave the decision about whether there should be a trial to the New Hampshire court.</w:t>
      </w:r>
    </w:p>
    <w:p w:rsidR="007E1C47" w:rsidRPr="00136BC4" w:rsidRDefault="002E6705" w:rsidP="00E75756">
      <w:pPr>
        <w:pStyle w:val="SCCNormalDoubleSpacing"/>
        <w:widowControl w:val="0"/>
        <w:spacing w:before="480" w:after="480"/>
        <w:rPr>
          <w:b/>
        </w:rPr>
      </w:pPr>
      <w:r w:rsidRPr="00136BC4">
        <w:rPr>
          <w:b/>
        </w:rPr>
        <w:t>Cases Cited</w:t>
      </w:r>
    </w:p>
    <w:p w:rsidR="004E2C26" w:rsidRPr="00136BC4" w:rsidRDefault="002E6705" w:rsidP="00E75756">
      <w:pPr>
        <w:pStyle w:val="SCCNormalDoubleSpacing"/>
        <w:widowControl w:val="0"/>
        <w:spacing w:before="480" w:after="480"/>
      </w:pPr>
      <w:r w:rsidRPr="00136BC4">
        <w:tab/>
      </w:r>
      <w:r w:rsidRPr="00136BC4">
        <w:rPr>
          <w:b/>
        </w:rPr>
        <w:t>Referred to:</w:t>
      </w:r>
      <w:r w:rsidR="00BD0E9E" w:rsidRPr="00136BC4">
        <w:t xml:space="preserve"> </w:t>
      </w:r>
      <w:r w:rsidR="00410FAD" w:rsidRPr="00136BC4">
        <w:rPr>
          <w:i/>
        </w:rPr>
        <w:t>Canada (Attorney General) v. Barnaby</w:t>
      </w:r>
      <w:r w:rsidR="00410FAD" w:rsidRPr="00136BC4">
        <w:t xml:space="preserve">, 2015 SCC </w:t>
      </w:r>
      <w:r w:rsidR="001455E7" w:rsidRPr="00136BC4">
        <w:t>31</w:t>
      </w:r>
      <w:r w:rsidR="0027751C">
        <w:t xml:space="preserve">, [2015] </w:t>
      </w:r>
      <w:r w:rsidR="00E72BCF">
        <w:t xml:space="preserve">2 </w:t>
      </w:r>
      <w:r w:rsidR="0027751C">
        <w:t xml:space="preserve">S.C.R. </w:t>
      </w:r>
      <w:r w:rsidR="00D52566">
        <w:t>56</w:t>
      </w:r>
      <w:r w:rsidR="00A562D6">
        <w:t>3</w:t>
      </w:r>
      <w:r w:rsidR="00410FAD" w:rsidRPr="00136BC4">
        <w:t xml:space="preserve">; </w:t>
      </w:r>
      <w:r w:rsidR="00207806" w:rsidRPr="00136BC4">
        <w:rPr>
          <w:i/>
        </w:rPr>
        <w:t>United States v. Burns</w:t>
      </w:r>
      <w:r w:rsidR="00207806" w:rsidRPr="00136BC4">
        <w:t xml:space="preserve">, 2001 SCC </w:t>
      </w:r>
      <w:r w:rsidR="0097533F" w:rsidRPr="00136BC4">
        <w:t>7</w:t>
      </w:r>
      <w:r w:rsidR="00207806" w:rsidRPr="00136BC4">
        <w:t>, [2001] 1 S.C.R. 28</w:t>
      </w:r>
      <w:r w:rsidR="0097533F" w:rsidRPr="00136BC4">
        <w:t>3</w:t>
      </w:r>
      <w:r w:rsidR="00207806" w:rsidRPr="00136BC4">
        <w:t xml:space="preserve">; </w:t>
      </w:r>
      <w:r w:rsidR="00207806" w:rsidRPr="00136BC4">
        <w:rPr>
          <w:i/>
        </w:rPr>
        <w:t xml:space="preserve">Argentina v. </w:t>
      </w:r>
      <w:proofErr w:type="spellStart"/>
      <w:r w:rsidR="00207806" w:rsidRPr="00136BC4">
        <w:rPr>
          <w:i/>
        </w:rPr>
        <w:t>Mellino</w:t>
      </w:r>
      <w:proofErr w:type="spellEnd"/>
      <w:r w:rsidR="00207806" w:rsidRPr="00136BC4">
        <w:t>, [1987] 1 S.C.R. 536.</w:t>
      </w:r>
    </w:p>
    <w:p w:rsidR="003B215F" w:rsidRPr="00136BC4" w:rsidRDefault="002E6705" w:rsidP="00E75756">
      <w:pPr>
        <w:pStyle w:val="SCCNormalDoubleSpacing"/>
        <w:widowControl w:val="0"/>
        <w:spacing w:after="720" w:line="240" w:lineRule="auto"/>
      </w:pPr>
      <w:r w:rsidRPr="00136BC4">
        <w:rPr>
          <w:b/>
        </w:rPr>
        <w:t>Statutes and Regulations Cite</w:t>
      </w:r>
      <w:r w:rsidR="00A41805" w:rsidRPr="00136BC4">
        <w:rPr>
          <w:b/>
        </w:rPr>
        <w:t>d</w:t>
      </w:r>
    </w:p>
    <w:p w:rsidR="005762AC" w:rsidRPr="00136BC4" w:rsidRDefault="005762AC" w:rsidP="00E75756">
      <w:pPr>
        <w:pStyle w:val="SCCNormalDoubleSpacing"/>
        <w:widowControl w:val="0"/>
        <w:spacing w:after="240" w:line="240" w:lineRule="auto"/>
        <w:ind w:left="547" w:hanging="547"/>
      </w:pPr>
      <w:r w:rsidRPr="00136BC4">
        <w:rPr>
          <w:i/>
        </w:rPr>
        <w:t>Canadian Charter of Rights and Freedoms</w:t>
      </w:r>
      <w:r w:rsidRPr="00136BC4">
        <w:t>, s.</w:t>
      </w:r>
      <w:r w:rsidR="00E75756">
        <w:t xml:space="preserve"> </w:t>
      </w:r>
      <w:r w:rsidRPr="00136BC4">
        <w:t>7.</w:t>
      </w:r>
    </w:p>
    <w:p w:rsidR="00A149DF" w:rsidRPr="00136BC4" w:rsidRDefault="00207806" w:rsidP="00E75756">
      <w:pPr>
        <w:pStyle w:val="SCCNormalDoubleSpacing"/>
        <w:widowControl w:val="0"/>
        <w:spacing w:after="720" w:line="240" w:lineRule="auto"/>
        <w:ind w:left="547" w:hanging="547"/>
      </w:pPr>
      <w:r w:rsidRPr="00136BC4">
        <w:rPr>
          <w:i/>
        </w:rPr>
        <w:t>Extradition Act</w:t>
      </w:r>
      <w:r w:rsidR="0097533F" w:rsidRPr="00136BC4">
        <w:t>, S.C. 1999, c.</w:t>
      </w:r>
      <w:r w:rsidR="00E75756">
        <w:t xml:space="preserve"> </w:t>
      </w:r>
      <w:r w:rsidRPr="00136BC4">
        <w:t>18, s.</w:t>
      </w:r>
      <w:r w:rsidR="00E75756">
        <w:t xml:space="preserve"> </w:t>
      </w:r>
      <w:r w:rsidRPr="00136BC4">
        <w:t>44(1).</w:t>
      </w:r>
    </w:p>
    <w:p w:rsidR="00410FAD" w:rsidRPr="00136BC4" w:rsidRDefault="001C1383" w:rsidP="00E75756">
      <w:pPr>
        <w:pStyle w:val="SCCNormalDoubleSpacing"/>
        <w:widowControl w:val="0"/>
        <w:spacing w:before="480" w:after="480"/>
        <w:rPr>
          <w:rStyle w:val="SCCCounselNameChar"/>
          <w:i w:val="0"/>
        </w:rPr>
      </w:pPr>
      <w:r w:rsidRPr="00136BC4">
        <w:tab/>
      </w:r>
      <w:r w:rsidR="009B57B3" w:rsidRPr="00136BC4">
        <w:t xml:space="preserve">APPEAL from a judgment of the </w:t>
      </w:r>
      <w:r w:rsidRPr="00136BC4">
        <w:t xml:space="preserve">Quebec </w:t>
      </w:r>
      <w:r w:rsidR="009B57B3" w:rsidRPr="00136BC4">
        <w:t>Court of Appeal</w:t>
      </w:r>
      <w:r w:rsidR="000E7BFC" w:rsidRPr="00136BC4">
        <w:t xml:space="preserve"> (Duval </w:t>
      </w:r>
      <w:proofErr w:type="spellStart"/>
      <w:r w:rsidR="000E7BFC" w:rsidRPr="00136BC4">
        <w:t>Hesler</w:t>
      </w:r>
      <w:proofErr w:type="spellEnd"/>
      <w:r w:rsidR="00E75756">
        <w:t xml:space="preserve"> </w:t>
      </w:r>
      <w:r w:rsidR="006E1BFD" w:rsidRPr="00136BC4">
        <w:t>C.J. and Levesque and Savard</w:t>
      </w:r>
      <w:r w:rsidR="00E75756">
        <w:t xml:space="preserve"> </w:t>
      </w:r>
      <w:r w:rsidR="006E1BFD" w:rsidRPr="00136BC4">
        <w:t>JJ.A.)</w:t>
      </w:r>
      <w:r w:rsidR="00291A18" w:rsidRPr="00136BC4">
        <w:t>, 2013 QCCA 1305, [2013] AZ</w:t>
      </w:r>
      <w:r w:rsidR="00E75756">
        <w:t>-</w:t>
      </w:r>
      <w:r w:rsidR="00291A18" w:rsidRPr="00136BC4">
        <w:t xml:space="preserve">50991418, </w:t>
      </w:r>
      <w:r w:rsidR="00291A18" w:rsidRPr="00136BC4">
        <w:lastRenderedPageBreak/>
        <w:t xml:space="preserve">[2013] Q.J. </w:t>
      </w:r>
      <w:r w:rsidR="00F116C4" w:rsidRPr="00136BC4">
        <w:t>No.</w:t>
      </w:r>
      <w:r w:rsidR="00E75756">
        <w:t xml:space="preserve"> </w:t>
      </w:r>
      <w:r w:rsidR="00291A18" w:rsidRPr="00136BC4">
        <w:t xml:space="preserve">8752 (QL), 2013 </w:t>
      </w:r>
      <w:proofErr w:type="spellStart"/>
      <w:r w:rsidR="00291A18" w:rsidRPr="00136BC4">
        <w:t>CarswellQue</w:t>
      </w:r>
      <w:proofErr w:type="spellEnd"/>
      <w:r w:rsidR="00291A18" w:rsidRPr="00136BC4">
        <w:t xml:space="preserve"> 7615 (WL Can.), </w:t>
      </w:r>
      <w:r w:rsidR="002A5BC4" w:rsidRPr="00136BC4">
        <w:t>dismissing an application for judicial review from a surrender order made by the Minister of Justice</w:t>
      </w:r>
      <w:r w:rsidRPr="00136BC4">
        <w:t>. Appeal dismissed.</w:t>
      </w:r>
    </w:p>
    <w:p w:rsidR="00050C19" w:rsidRPr="00136BC4" w:rsidRDefault="00410FAD" w:rsidP="00E75756">
      <w:pPr>
        <w:pStyle w:val="SCCNormalDoubleSpacing"/>
        <w:widowControl w:val="0"/>
        <w:spacing w:before="480" w:after="480"/>
      </w:pPr>
      <w:r w:rsidRPr="00136BC4">
        <w:rPr>
          <w:rStyle w:val="SCCCounselNameChar"/>
          <w:i w:val="0"/>
        </w:rPr>
        <w:tab/>
      </w:r>
      <w:r w:rsidR="003C0F39" w:rsidRPr="00136BC4">
        <w:rPr>
          <w:rStyle w:val="SCCCounselNameChar"/>
        </w:rPr>
        <w:t xml:space="preserve">Véronique </w:t>
      </w:r>
      <w:proofErr w:type="spellStart"/>
      <w:r w:rsidR="003C0F39" w:rsidRPr="00136BC4">
        <w:rPr>
          <w:rStyle w:val="SCCCounselNameChar"/>
        </w:rPr>
        <w:t>Courtecuisse</w:t>
      </w:r>
      <w:proofErr w:type="spellEnd"/>
      <w:r w:rsidR="003C0F39" w:rsidRPr="00136BC4">
        <w:rPr>
          <w:rStyle w:val="SCCCounselSeparatorChar"/>
        </w:rPr>
        <w:t xml:space="preserve"> and </w:t>
      </w:r>
      <w:r w:rsidR="003C0F39" w:rsidRPr="00136BC4">
        <w:rPr>
          <w:rStyle w:val="SCCCounselNameChar"/>
        </w:rPr>
        <w:t xml:space="preserve">Patrick </w:t>
      </w:r>
      <w:proofErr w:type="spellStart"/>
      <w:r w:rsidR="003C0F39" w:rsidRPr="00136BC4">
        <w:rPr>
          <w:rStyle w:val="SCCCounselNameChar"/>
        </w:rPr>
        <w:t>Cozannet</w:t>
      </w:r>
      <w:proofErr w:type="spellEnd"/>
      <w:r w:rsidR="003C0F39" w:rsidRPr="00136BC4">
        <w:rPr>
          <w:rStyle w:val="SCCCounselPartyRoleChar"/>
        </w:rPr>
        <w:t>, for the appellant.</w:t>
      </w:r>
    </w:p>
    <w:p w:rsidR="00050C19" w:rsidRPr="00136BC4" w:rsidRDefault="003C0F39" w:rsidP="00E75756">
      <w:pPr>
        <w:pStyle w:val="SCCNormalDoubleSpacing"/>
        <w:widowControl w:val="0"/>
        <w:spacing w:before="480" w:after="480"/>
      </w:pPr>
      <w:r w:rsidRPr="00136BC4">
        <w:rPr>
          <w:rStyle w:val="SCCCounselNameChar"/>
          <w:i w:val="0"/>
        </w:rPr>
        <w:tab/>
      </w:r>
      <w:r w:rsidRPr="00136BC4">
        <w:rPr>
          <w:rStyle w:val="SCCCounselNameChar"/>
        </w:rPr>
        <w:t>Marc Ribeiro</w:t>
      </w:r>
      <w:r w:rsidRPr="00136BC4">
        <w:rPr>
          <w:rStyle w:val="SCCCounselNameChar"/>
          <w:i w:val="0"/>
        </w:rPr>
        <w:t xml:space="preserve"> </w:t>
      </w:r>
      <w:r w:rsidRPr="00136BC4">
        <w:rPr>
          <w:rStyle w:val="SCCCounselSeparatorChar"/>
        </w:rPr>
        <w:t>and</w:t>
      </w:r>
      <w:r w:rsidRPr="00136BC4">
        <w:rPr>
          <w:rStyle w:val="SCCCounselNameChar"/>
          <w:i w:val="0"/>
        </w:rPr>
        <w:t xml:space="preserve"> </w:t>
      </w:r>
      <w:r w:rsidRPr="00136BC4">
        <w:rPr>
          <w:rStyle w:val="SCCCounselNameChar"/>
        </w:rPr>
        <w:t xml:space="preserve">Ginette </w:t>
      </w:r>
      <w:proofErr w:type="spellStart"/>
      <w:r w:rsidRPr="00136BC4">
        <w:rPr>
          <w:rStyle w:val="SCCCounselNameChar"/>
        </w:rPr>
        <w:t>Gobeil</w:t>
      </w:r>
      <w:proofErr w:type="spellEnd"/>
      <w:r w:rsidRPr="00136BC4">
        <w:rPr>
          <w:rStyle w:val="SCCCounselPartyRoleChar"/>
        </w:rPr>
        <w:t>, for the respondent.</w:t>
      </w:r>
    </w:p>
    <w:p w:rsidR="001E178E" w:rsidRPr="0027751C" w:rsidRDefault="0027751C" w:rsidP="00E75756">
      <w:pPr>
        <w:pStyle w:val="JudgeJuge"/>
        <w:widowControl w:val="0"/>
        <w:rPr>
          <w:smallCaps w:val="0"/>
        </w:rPr>
      </w:pPr>
      <w:r>
        <w:tab/>
      </w:r>
      <w:r w:rsidRPr="0027751C">
        <w:rPr>
          <w:smallCaps w:val="0"/>
        </w:rPr>
        <w:t>The follo</w:t>
      </w:r>
      <w:r>
        <w:rPr>
          <w:smallCaps w:val="0"/>
        </w:rPr>
        <w:t>wing is the judgment delivered by</w:t>
      </w:r>
    </w:p>
    <w:p w:rsidR="001E178E" w:rsidRPr="002E57E4" w:rsidRDefault="00E75756" w:rsidP="00E75756">
      <w:pPr>
        <w:pStyle w:val="ParaNoNdepar-AltN"/>
        <w:widowControl w:val="0"/>
        <w:rPr>
          <w:rFonts w:cs="Times New Roman"/>
        </w:rPr>
      </w:pPr>
      <w:r w:rsidRPr="00E75756">
        <w:rPr>
          <w:smallCaps/>
        </w:rPr>
        <w:t xml:space="preserve">The Court — </w:t>
      </w:r>
      <w:r w:rsidR="001E178E" w:rsidRPr="002E57E4">
        <w:rPr>
          <w:rFonts w:cs="Times New Roman"/>
        </w:rPr>
        <w:t xml:space="preserve">To satisfy the Minister that extradition should be refused, Mr. </w:t>
      </w:r>
      <w:proofErr w:type="spellStart"/>
      <w:r w:rsidR="001E178E" w:rsidRPr="002E57E4">
        <w:rPr>
          <w:rFonts w:cs="Times New Roman"/>
        </w:rPr>
        <w:t>Caplin</w:t>
      </w:r>
      <w:proofErr w:type="spellEnd"/>
      <w:r w:rsidR="001E178E" w:rsidRPr="002E57E4">
        <w:rPr>
          <w:rFonts w:cs="Times New Roman"/>
        </w:rPr>
        <w:t xml:space="preserve"> must show that his surrender would “shock the conscience” and thereby violate s. 7 of the </w:t>
      </w:r>
      <w:r w:rsidR="001E178E" w:rsidRPr="002E57E4">
        <w:rPr>
          <w:rFonts w:cs="Times New Roman"/>
          <w:i/>
        </w:rPr>
        <w:t>Canadian Charter of Rights and Freedoms</w:t>
      </w:r>
      <w:r w:rsidR="001E178E" w:rsidRPr="002E57E4">
        <w:rPr>
          <w:rFonts w:cs="Times New Roman"/>
        </w:rPr>
        <w:t>,</w:t>
      </w:r>
      <w:r w:rsidR="001E178E" w:rsidRPr="002E57E4">
        <w:rPr>
          <w:rFonts w:cs="Times New Roman"/>
          <w:i/>
        </w:rPr>
        <w:t xml:space="preserve"> </w:t>
      </w:r>
      <w:r w:rsidR="001E178E" w:rsidRPr="002E57E4">
        <w:rPr>
          <w:rFonts w:cs="Times New Roman"/>
        </w:rPr>
        <w:t xml:space="preserve">or be “unjust or oppressive” under s. 44(1) of the </w:t>
      </w:r>
      <w:r w:rsidR="001E178E" w:rsidRPr="002E57E4">
        <w:rPr>
          <w:rFonts w:cs="Times New Roman"/>
          <w:i/>
        </w:rPr>
        <w:t>Extradition Act</w:t>
      </w:r>
      <w:r w:rsidR="001E178E" w:rsidRPr="002E57E4">
        <w:rPr>
          <w:rFonts w:cs="Times New Roman"/>
        </w:rPr>
        <w:t>, S.C. 1999, c. 18. In our view, the Court of Appeal did not err in concluding that it was reasonable for the Minister to order surrender</w:t>
      </w:r>
      <w:r w:rsidR="001E178E">
        <w:rPr>
          <w:rFonts w:cs="Times New Roman"/>
        </w:rPr>
        <w:t xml:space="preserve"> (2013 QCCA 1305)</w:t>
      </w:r>
      <w:r w:rsidR="001E178E" w:rsidRPr="002E57E4">
        <w:rPr>
          <w:rFonts w:cs="Times New Roman"/>
        </w:rPr>
        <w:t xml:space="preserve">. As we explain in the companion appeal in </w:t>
      </w:r>
      <w:r w:rsidR="001E178E">
        <w:rPr>
          <w:rFonts w:cs="Times New Roman"/>
          <w:i/>
        </w:rPr>
        <w:t xml:space="preserve">Canada (Attorney General) v. </w:t>
      </w:r>
      <w:r w:rsidR="001E178E" w:rsidRPr="002E57E4">
        <w:rPr>
          <w:rFonts w:cs="Times New Roman"/>
          <w:i/>
        </w:rPr>
        <w:t>Barnaby</w:t>
      </w:r>
      <w:r w:rsidR="001E178E" w:rsidRPr="002E57E4">
        <w:rPr>
          <w:rFonts w:cs="Times New Roman"/>
        </w:rPr>
        <w:t xml:space="preserve">, </w:t>
      </w:r>
      <w:r w:rsidR="001E178E">
        <w:rPr>
          <w:rFonts w:cs="Times New Roman"/>
        </w:rPr>
        <w:t>2015 SCC 31</w:t>
      </w:r>
      <w:r w:rsidR="00E72BCF">
        <w:rPr>
          <w:rFonts w:cs="Times New Roman"/>
        </w:rPr>
        <w:t xml:space="preserve">, [2015] 2 S.C.R. </w:t>
      </w:r>
      <w:r w:rsidR="00A562D6">
        <w:rPr>
          <w:rFonts w:cs="Times New Roman"/>
        </w:rPr>
        <w:t>563</w:t>
      </w:r>
      <w:r w:rsidR="001E178E">
        <w:rPr>
          <w:rFonts w:cs="Times New Roman"/>
        </w:rPr>
        <w:t xml:space="preserve">, </w:t>
      </w:r>
      <w:r w:rsidR="001E178E" w:rsidRPr="002E57E4">
        <w:rPr>
          <w:rFonts w:cs="Times New Roman"/>
        </w:rPr>
        <w:t xml:space="preserve">the fundamental issue for the Minister was whether surrendering Mr. </w:t>
      </w:r>
      <w:proofErr w:type="spellStart"/>
      <w:r w:rsidR="001E178E" w:rsidRPr="002E57E4">
        <w:rPr>
          <w:rFonts w:cs="Times New Roman"/>
        </w:rPr>
        <w:t>Caplin</w:t>
      </w:r>
      <w:proofErr w:type="spellEnd"/>
      <w:r w:rsidR="001E178E" w:rsidRPr="002E57E4">
        <w:rPr>
          <w:rFonts w:cs="Times New Roman"/>
        </w:rPr>
        <w:t xml:space="preserve"> to the “particular treatment” that awaits him in New Hampshire is contrary to Canadian principles of fundamental justice: </w:t>
      </w:r>
      <w:r w:rsidR="001E178E" w:rsidRPr="002E57E4">
        <w:rPr>
          <w:rFonts w:cs="Times New Roman"/>
          <w:i/>
        </w:rPr>
        <w:t>United States v. Burns</w:t>
      </w:r>
      <w:r w:rsidR="001E178E" w:rsidRPr="002E57E4">
        <w:rPr>
          <w:rFonts w:cs="Times New Roman"/>
        </w:rPr>
        <w:t xml:space="preserve">, </w:t>
      </w:r>
      <w:r w:rsidR="001E178E">
        <w:rPr>
          <w:rFonts w:cs="Times New Roman"/>
        </w:rPr>
        <w:t xml:space="preserve">2001 SCC 7, </w:t>
      </w:r>
      <w:r w:rsidR="001E178E" w:rsidRPr="002E57E4">
        <w:rPr>
          <w:rFonts w:cs="Times New Roman"/>
        </w:rPr>
        <w:t>[2001] 1 S.C.R. 28</w:t>
      </w:r>
      <w:r w:rsidR="001E178E">
        <w:rPr>
          <w:rFonts w:cs="Times New Roman"/>
        </w:rPr>
        <w:t>3,</w:t>
      </w:r>
      <w:r w:rsidR="001E178E" w:rsidRPr="002E57E4">
        <w:rPr>
          <w:rFonts w:cs="Times New Roman"/>
        </w:rPr>
        <w:t xml:space="preserve"> at para. 69.  It appears from the material that the New Hampshire courts will decide whether Mr. </w:t>
      </w:r>
      <w:proofErr w:type="spellStart"/>
      <w:r w:rsidR="001E178E" w:rsidRPr="002E57E4">
        <w:rPr>
          <w:rFonts w:cs="Times New Roman"/>
        </w:rPr>
        <w:t>Caplin’s</w:t>
      </w:r>
      <w:proofErr w:type="spellEnd"/>
      <w:r w:rsidR="001E178E" w:rsidRPr="002E57E4">
        <w:rPr>
          <w:rFonts w:cs="Times New Roman"/>
        </w:rPr>
        <w:t xml:space="preserve"> trial, in all of the circumstances, is fair and just in accordance with principles that are broadly similar to those that would be applied in Canada if the issue arose here. This is not contrary to our sense of fundamental </w:t>
      </w:r>
      <w:r w:rsidR="001E178E" w:rsidRPr="002E57E4">
        <w:rPr>
          <w:rFonts w:cs="Times New Roman"/>
        </w:rPr>
        <w:lastRenderedPageBreak/>
        <w:t xml:space="preserve">justice, but rather consistent with it. </w:t>
      </w:r>
    </w:p>
    <w:p w:rsidR="001E178E" w:rsidRPr="002E57E4" w:rsidRDefault="001E178E" w:rsidP="00E75756">
      <w:pPr>
        <w:pStyle w:val="ParaNoNdepar-AltN"/>
        <w:widowControl w:val="0"/>
        <w:rPr>
          <w:rFonts w:cs="Times New Roman"/>
        </w:rPr>
      </w:pPr>
      <w:r w:rsidRPr="002E57E4">
        <w:rPr>
          <w:rFonts w:cs="Times New Roman"/>
        </w:rPr>
        <w:t xml:space="preserve">Mr. </w:t>
      </w:r>
      <w:proofErr w:type="spellStart"/>
      <w:r w:rsidRPr="002E57E4">
        <w:rPr>
          <w:rFonts w:cs="Times New Roman"/>
        </w:rPr>
        <w:t>Caplin</w:t>
      </w:r>
      <w:proofErr w:type="spellEnd"/>
      <w:r w:rsidRPr="002E57E4">
        <w:rPr>
          <w:rFonts w:cs="Times New Roman"/>
        </w:rPr>
        <w:t xml:space="preserve"> suggests that there is no new evidence. He raises arguments about alleged weaknesses in the DNA analysis and submits that, in reality, the testimonial evidence is not new. He further submits that, in any event, the “new” evidence is of limited probative value because it does not conclusively establish his guilt. He also argues that the passage of time has caused prejudice that would justify denying extradition. </w:t>
      </w:r>
    </w:p>
    <w:p w:rsidR="001E178E" w:rsidRPr="002E57E4" w:rsidRDefault="001E178E" w:rsidP="00E75756">
      <w:pPr>
        <w:pStyle w:val="ParaNoNdepar-AltN"/>
        <w:widowControl w:val="0"/>
        <w:rPr>
          <w:rFonts w:cs="Times New Roman"/>
        </w:rPr>
      </w:pPr>
      <w:r w:rsidRPr="002E57E4">
        <w:rPr>
          <w:rFonts w:cs="Times New Roman"/>
        </w:rPr>
        <w:t xml:space="preserve">We are not persuaded by these arguments. In our view, it was reasonable for the Minister to conclude that it would not shock the conscience or be otherwise unjust or oppressive to allow the New Hampshire courts to address these concerns, rather than to preclude them from doing so by refusing surrender. Concerns about due process — including arguments related to delay — are generally a matter for the foreign court. As this Court held in </w:t>
      </w:r>
      <w:r w:rsidRPr="002E57E4">
        <w:rPr>
          <w:rFonts w:cs="Times New Roman"/>
          <w:i/>
        </w:rPr>
        <w:t xml:space="preserve">Argentina v. </w:t>
      </w:r>
      <w:proofErr w:type="spellStart"/>
      <w:r w:rsidRPr="002E57E4">
        <w:rPr>
          <w:rFonts w:cs="Times New Roman"/>
          <w:i/>
        </w:rPr>
        <w:t>Mellino</w:t>
      </w:r>
      <w:proofErr w:type="spellEnd"/>
      <w:r w:rsidRPr="002E57E4">
        <w:rPr>
          <w:rFonts w:cs="Times New Roman"/>
        </w:rPr>
        <w:t xml:space="preserve">, [1987] 1 S.C.R. 536, at p. 558:  </w:t>
      </w:r>
    </w:p>
    <w:p w:rsidR="001E178E" w:rsidRPr="002E57E4" w:rsidRDefault="001E178E" w:rsidP="00E75756">
      <w:pPr>
        <w:pStyle w:val="Citation-AltC"/>
        <w:widowControl w:val="0"/>
      </w:pPr>
      <w:r w:rsidRPr="002E57E4">
        <w:t xml:space="preserve">Matters of due process generally are to be left for the courts to determine at the trial there as they would be if </w:t>
      </w:r>
      <w:r>
        <w:t>[the accused]</w:t>
      </w:r>
      <w:r w:rsidRPr="002E57E4">
        <w:t xml:space="preserve"> were to be tried here. Attempts to pre-empt decisions on such matters, whether arising through delay or otherwise, would directly conflict with the principles of comity on which extradition is based</w:t>
      </w:r>
      <w:r>
        <w:t xml:space="preserve"> </w:t>
      </w:r>
      <w:r w:rsidRPr="002E57E4">
        <w:t>. . .</w:t>
      </w:r>
      <w:r>
        <w:t xml:space="preserve"> .</w:t>
      </w:r>
    </w:p>
    <w:p w:rsidR="001E178E" w:rsidRPr="002E57E4" w:rsidRDefault="001E178E" w:rsidP="00E75756">
      <w:pPr>
        <w:pStyle w:val="ParaNoNdepar-AltN"/>
        <w:widowControl w:val="0"/>
        <w:rPr>
          <w:rFonts w:cs="Times New Roman"/>
        </w:rPr>
      </w:pPr>
      <w:r w:rsidRPr="002E57E4">
        <w:rPr>
          <w:rFonts w:cs="Times New Roman"/>
        </w:rPr>
        <w:t xml:space="preserve">The Minister examined all of the relevant circumstances, including the importance of international cooperation in the extradition context. In light of all of these considerations, it was reasonable for him to conclude that it would not offend </w:t>
      </w:r>
      <w:r w:rsidRPr="002E57E4">
        <w:rPr>
          <w:rFonts w:cs="Times New Roman"/>
        </w:rPr>
        <w:lastRenderedPageBreak/>
        <w:t xml:space="preserve">Canadian principles of fundamental justice or be otherwise unjust </w:t>
      </w:r>
      <w:r w:rsidR="00D51B9A">
        <w:rPr>
          <w:rFonts w:cs="Times New Roman"/>
        </w:rPr>
        <w:t>or</w:t>
      </w:r>
      <w:r w:rsidRPr="002E57E4">
        <w:rPr>
          <w:rFonts w:cs="Times New Roman"/>
        </w:rPr>
        <w:t xml:space="preserve"> oppressive to leave the decision about whether there should be a trial to the New Hampshire court. We would therefore uphold the Court of Appeal’s decision to affirm the surrender order. </w:t>
      </w:r>
      <w:r>
        <w:rPr>
          <w:rFonts w:cs="Times New Roman"/>
        </w:rPr>
        <w:t>The</w:t>
      </w:r>
      <w:r w:rsidRPr="002E57E4">
        <w:rPr>
          <w:rFonts w:cs="Times New Roman"/>
        </w:rPr>
        <w:t xml:space="preserve"> appeal is dismissed. </w:t>
      </w:r>
    </w:p>
    <w:p w:rsidR="009B57B3" w:rsidRPr="00136BC4" w:rsidRDefault="001C1383" w:rsidP="00E75756">
      <w:pPr>
        <w:pStyle w:val="SCCNormalDoubleSpacing"/>
        <w:widowControl w:val="0"/>
        <w:spacing w:before="480" w:after="480"/>
        <w:rPr>
          <w:i/>
        </w:rPr>
      </w:pPr>
      <w:r w:rsidRPr="00136BC4">
        <w:tab/>
      </w:r>
      <w:r w:rsidR="00656313" w:rsidRPr="00136BC4">
        <w:rPr>
          <w:i/>
        </w:rPr>
        <w:t>Appeal</w:t>
      </w:r>
      <w:r w:rsidRPr="00136BC4">
        <w:rPr>
          <w:i/>
        </w:rPr>
        <w:t xml:space="preserve"> dismissed.</w:t>
      </w:r>
    </w:p>
    <w:p w:rsidR="00FE04C3" w:rsidRPr="00D52566" w:rsidRDefault="000E7BFC" w:rsidP="00E75756">
      <w:pPr>
        <w:pStyle w:val="SCCLawFirm"/>
        <w:widowControl w:val="0"/>
        <w:spacing w:before="480" w:after="480"/>
        <w:rPr>
          <w:lang w:val="fr-CA"/>
        </w:rPr>
      </w:pPr>
      <w:r w:rsidRPr="00D52566">
        <w:rPr>
          <w:lang w:val="fr-CA"/>
        </w:rPr>
        <w:tab/>
        <w:t xml:space="preserve">Solicitors for the </w:t>
      </w:r>
      <w:proofErr w:type="spellStart"/>
      <w:r w:rsidRPr="00D52566">
        <w:rPr>
          <w:lang w:val="fr-CA"/>
        </w:rPr>
        <w:t>appellant</w:t>
      </w:r>
      <w:proofErr w:type="spellEnd"/>
      <w:r w:rsidRPr="00D52566">
        <w:rPr>
          <w:lang w:val="fr-CA"/>
        </w:rPr>
        <w:t>:</w:t>
      </w:r>
      <w:r w:rsidR="00E75756" w:rsidRPr="00D52566">
        <w:rPr>
          <w:lang w:val="fr-CA"/>
        </w:rPr>
        <w:t xml:space="preserve"> </w:t>
      </w:r>
      <w:r w:rsidR="00FE04C3" w:rsidRPr="00D52566">
        <w:rPr>
          <w:lang w:val="fr-CA"/>
        </w:rPr>
        <w:t xml:space="preserve">Véronique </w:t>
      </w:r>
      <w:proofErr w:type="spellStart"/>
      <w:r w:rsidR="00FE04C3" w:rsidRPr="00D52566">
        <w:rPr>
          <w:lang w:val="fr-CA"/>
        </w:rPr>
        <w:t>Courtecuisse</w:t>
      </w:r>
      <w:proofErr w:type="spellEnd"/>
      <w:r w:rsidR="00FE04C3" w:rsidRPr="00D52566">
        <w:rPr>
          <w:lang w:val="fr-CA"/>
        </w:rPr>
        <w:t xml:space="preserve">, Montréal; Patrick </w:t>
      </w:r>
      <w:proofErr w:type="spellStart"/>
      <w:r w:rsidR="00FE04C3" w:rsidRPr="00D52566">
        <w:rPr>
          <w:lang w:val="fr-CA"/>
        </w:rPr>
        <w:t>Cozannet</w:t>
      </w:r>
      <w:proofErr w:type="spellEnd"/>
      <w:r w:rsidR="00FE04C3" w:rsidRPr="00D52566">
        <w:rPr>
          <w:lang w:val="fr-CA"/>
        </w:rPr>
        <w:t>, Longueuil.</w:t>
      </w:r>
    </w:p>
    <w:p w:rsidR="009B57B3" w:rsidRDefault="00FE04C3" w:rsidP="00E75756">
      <w:pPr>
        <w:pStyle w:val="SCCLawFirm"/>
        <w:widowControl w:val="0"/>
        <w:rPr>
          <w:b/>
          <w:i w:val="0"/>
        </w:rPr>
      </w:pPr>
      <w:r w:rsidRPr="00D52566">
        <w:rPr>
          <w:lang w:val="fr-CA"/>
        </w:rPr>
        <w:tab/>
      </w:r>
      <w:r w:rsidR="000E7BFC" w:rsidRPr="00136BC4">
        <w:t>Solicitor for the respondent:</w:t>
      </w:r>
      <w:r w:rsidR="00E75756">
        <w:t xml:space="preserve"> </w:t>
      </w:r>
      <w:r w:rsidRPr="00136BC4">
        <w:t>Attorney General of Canada, Montréal.</w:t>
      </w:r>
    </w:p>
    <w:p w:rsidR="001E178E" w:rsidRPr="001E178E" w:rsidRDefault="001E178E" w:rsidP="00E75756">
      <w:pPr>
        <w:pStyle w:val="SCCNormalDoubleSpacing"/>
        <w:widowControl w:val="0"/>
      </w:pPr>
    </w:p>
    <w:sectPr w:rsidR="001E178E" w:rsidRPr="001E178E"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56" w:rsidRDefault="00E75756">
      <w:r>
        <w:separator/>
      </w:r>
    </w:p>
  </w:endnote>
  <w:endnote w:type="continuationSeparator" w:id="0">
    <w:p w:rsidR="00E75756" w:rsidRDefault="00E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56" w:rsidRDefault="00E75756">
      <w:r>
        <w:separator/>
      </w:r>
    </w:p>
  </w:footnote>
  <w:footnote w:type="continuationSeparator" w:id="0">
    <w:p w:rsidR="00E75756" w:rsidRDefault="00E7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56" w:rsidRPr="00450352" w:rsidRDefault="00E7575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54C7"/>
    <w:rsid w:val="00025198"/>
    <w:rsid w:val="00050C19"/>
    <w:rsid w:val="000578A3"/>
    <w:rsid w:val="000648CC"/>
    <w:rsid w:val="000939A6"/>
    <w:rsid w:val="000C59B8"/>
    <w:rsid w:val="000C6AF0"/>
    <w:rsid w:val="000D7509"/>
    <w:rsid w:val="000E1ED3"/>
    <w:rsid w:val="000E7BFC"/>
    <w:rsid w:val="00104F33"/>
    <w:rsid w:val="00111DE2"/>
    <w:rsid w:val="00116B38"/>
    <w:rsid w:val="001321A5"/>
    <w:rsid w:val="00135406"/>
    <w:rsid w:val="00135972"/>
    <w:rsid w:val="00136BC4"/>
    <w:rsid w:val="001426A9"/>
    <w:rsid w:val="001455E7"/>
    <w:rsid w:val="00154D7C"/>
    <w:rsid w:val="001570B0"/>
    <w:rsid w:val="0015752C"/>
    <w:rsid w:val="00157737"/>
    <w:rsid w:val="00165277"/>
    <w:rsid w:val="00170592"/>
    <w:rsid w:val="00186351"/>
    <w:rsid w:val="00195D83"/>
    <w:rsid w:val="001A00C1"/>
    <w:rsid w:val="001B33E0"/>
    <w:rsid w:val="001B40BC"/>
    <w:rsid w:val="001B4573"/>
    <w:rsid w:val="001C1383"/>
    <w:rsid w:val="001C779F"/>
    <w:rsid w:val="001D2AC1"/>
    <w:rsid w:val="001D4E88"/>
    <w:rsid w:val="001E178E"/>
    <w:rsid w:val="001E3F42"/>
    <w:rsid w:val="00207806"/>
    <w:rsid w:val="00220FC2"/>
    <w:rsid w:val="002222F4"/>
    <w:rsid w:val="00224FC0"/>
    <w:rsid w:val="00225EA4"/>
    <w:rsid w:val="00226EAF"/>
    <w:rsid w:val="00231F3A"/>
    <w:rsid w:val="00234199"/>
    <w:rsid w:val="002406EE"/>
    <w:rsid w:val="00243EC8"/>
    <w:rsid w:val="00264F4B"/>
    <w:rsid w:val="002665F7"/>
    <w:rsid w:val="00270D93"/>
    <w:rsid w:val="002745CC"/>
    <w:rsid w:val="0027751C"/>
    <w:rsid w:val="00284D04"/>
    <w:rsid w:val="002919D2"/>
    <w:rsid w:val="00291A18"/>
    <w:rsid w:val="002A5BC4"/>
    <w:rsid w:val="002B7924"/>
    <w:rsid w:val="002D28C3"/>
    <w:rsid w:val="002D39A4"/>
    <w:rsid w:val="002D624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0F39"/>
    <w:rsid w:val="003C799C"/>
    <w:rsid w:val="003D0399"/>
    <w:rsid w:val="003D1D12"/>
    <w:rsid w:val="003E1C71"/>
    <w:rsid w:val="003F327B"/>
    <w:rsid w:val="00406166"/>
    <w:rsid w:val="0040704B"/>
    <w:rsid w:val="00410A55"/>
    <w:rsid w:val="00410FAD"/>
    <w:rsid w:val="00411300"/>
    <w:rsid w:val="00413560"/>
    <w:rsid w:val="00415417"/>
    <w:rsid w:val="00426659"/>
    <w:rsid w:val="00445CB7"/>
    <w:rsid w:val="00450352"/>
    <w:rsid w:val="00454BDB"/>
    <w:rsid w:val="00464800"/>
    <w:rsid w:val="00465132"/>
    <w:rsid w:val="00480C90"/>
    <w:rsid w:val="0048396F"/>
    <w:rsid w:val="00493C18"/>
    <w:rsid w:val="004A600C"/>
    <w:rsid w:val="004A6118"/>
    <w:rsid w:val="004C478D"/>
    <w:rsid w:val="004C7647"/>
    <w:rsid w:val="004E2C26"/>
    <w:rsid w:val="004F36FF"/>
    <w:rsid w:val="00510C30"/>
    <w:rsid w:val="005125A8"/>
    <w:rsid w:val="00521AE8"/>
    <w:rsid w:val="00527180"/>
    <w:rsid w:val="005375B1"/>
    <w:rsid w:val="0054201E"/>
    <w:rsid w:val="00555291"/>
    <w:rsid w:val="00566AD1"/>
    <w:rsid w:val="005762AC"/>
    <w:rsid w:val="00583EDE"/>
    <w:rsid w:val="005A6079"/>
    <w:rsid w:val="005E4698"/>
    <w:rsid w:val="00610539"/>
    <w:rsid w:val="00613969"/>
    <w:rsid w:val="00625C35"/>
    <w:rsid w:val="00656313"/>
    <w:rsid w:val="006565F4"/>
    <w:rsid w:val="006757F4"/>
    <w:rsid w:val="00684EEA"/>
    <w:rsid w:val="0069689B"/>
    <w:rsid w:val="006A1551"/>
    <w:rsid w:val="006B5FF5"/>
    <w:rsid w:val="006E1BFD"/>
    <w:rsid w:val="006F30AF"/>
    <w:rsid w:val="00701759"/>
    <w:rsid w:val="00705C15"/>
    <w:rsid w:val="007132E1"/>
    <w:rsid w:val="0071600E"/>
    <w:rsid w:val="007208D1"/>
    <w:rsid w:val="00747288"/>
    <w:rsid w:val="00747DD3"/>
    <w:rsid w:val="007549C8"/>
    <w:rsid w:val="00754A0B"/>
    <w:rsid w:val="007663F6"/>
    <w:rsid w:val="00766D14"/>
    <w:rsid w:val="00767A0F"/>
    <w:rsid w:val="00773165"/>
    <w:rsid w:val="00794BD4"/>
    <w:rsid w:val="007A05F6"/>
    <w:rsid w:val="007B6F4A"/>
    <w:rsid w:val="007E1C47"/>
    <w:rsid w:val="007E337A"/>
    <w:rsid w:val="007E5C70"/>
    <w:rsid w:val="007F2FF5"/>
    <w:rsid w:val="007F3F08"/>
    <w:rsid w:val="00804CC6"/>
    <w:rsid w:val="00817190"/>
    <w:rsid w:val="00820EE5"/>
    <w:rsid w:val="00826048"/>
    <w:rsid w:val="008260E2"/>
    <w:rsid w:val="008322BD"/>
    <w:rsid w:val="00833E0A"/>
    <w:rsid w:val="00834F73"/>
    <w:rsid w:val="008631DF"/>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7533F"/>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562D6"/>
    <w:rsid w:val="00A643E7"/>
    <w:rsid w:val="00A73C38"/>
    <w:rsid w:val="00AB670D"/>
    <w:rsid w:val="00AF03C5"/>
    <w:rsid w:val="00B000D8"/>
    <w:rsid w:val="00B00F75"/>
    <w:rsid w:val="00B145B6"/>
    <w:rsid w:val="00B279EB"/>
    <w:rsid w:val="00B50C81"/>
    <w:rsid w:val="00B557F8"/>
    <w:rsid w:val="00B61ECB"/>
    <w:rsid w:val="00B815FC"/>
    <w:rsid w:val="00B90366"/>
    <w:rsid w:val="00B93FBC"/>
    <w:rsid w:val="00B9575C"/>
    <w:rsid w:val="00BA7DA0"/>
    <w:rsid w:val="00BB2EE4"/>
    <w:rsid w:val="00BC2108"/>
    <w:rsid w:val="00BD0E9E"/>
    <w:rsid w:val="00BD1BEC"/>
    <w:rsid w:val="00BD1CCE"/>
    <w:rsid w:val="00BD32FF"/>
    <w:rsid w:val="00C02092"/>
    <w:rsid w:val="00C24D91"/>
    <w:rsid w:val="00C53F14"/>
    <w:rsid w:val="00C600CF"/>
    <w:rsid w:val="00C6084F"/>
    <w:rsid w:val="00C62A66"/>
    <w:rsid w:val="00C71458"/>
    <w:rsid w:val="00C77613"/>
    <w:rsid w:val="00C828E7"/>
    <w:rsid w:val="00C86719"/>
    <w:rsid w:val="00C921DD"/>
    <w:rsid w:val="00CA6391"/>
    <w:rsid w:val="00CC1967"/>
    <w:rsid w:val="00CC34BD"/>
    <w:rsid w:val="00CE161A"/>
    <w:rsid w:val="00CE3171"/>
    <w:rsid w:val="00CE3D5B"/>
    <w:rsid w:val="00CF1601"/>
    <w:rsid w:val="00D0172F"/>
    <w:rsid w:val="00D068A7"/>
    <w:rsid w:val="00D17476"/>
    <w:rsid w:val="00D32086"/>
    <w:rsid w:val="00D37A3F"/>
    <w:rsid w:val="00D4431D"/>
    <w:rsid w:val="00D4667A"/>
    <w:rsid w:val="00D471D4"/>
    <w:rsid w:val="00D51B9A"/>
    <w:rsid w:val="00D52566"/>
    <w:rsid w:val="00D63A1C"/>
    <w:rsid w:val="00D7516F"/>
    <w:rsid w:val="00D8579F"/>
    <w:rsid w:val="00D875B9"/>
    <w:rsid w:val="00D95F8E"/>
    <w:rsid w:val="00DA0590"/>
    <w:rsid w:val="00DB0459"/>
    <w:rsid w:val="00DB7BEA"/>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2BCF"/>
    <w:rsid w:val="00E75756"/>
    <w:rsid w:val="00E77932"/>
    <w:rsid w:val="00E97830"/>
    <w:rsid w:val="00EE643C"/>
    <w:rsid w:val="00EF0683"/>
    <w:rsid w:val="00EF69D2"/>
    <w:rsid w:val="00EF766E"/>
    <w:rsid w:val="00F0027E"/>
    <w:rsid w:val="00F0070C"/>
    <w:rsid w:val="00F00EB7"/>
    <w:rsid w:val="00F0117F"/>
    <w:rsid w:val="00F116C4"/>
    <w:rsid w:val="00F36AB6"/>
    <w:rsid w:val="00F37A09"/>
    <w:rsid w:val="00F409CE"/>
    <w:rsid w:val="00F4379D"/>
    <w:rsid w:val="00F50D2D"/>
    <w:rsid w:val="00F56C8B"/>
    <w:rsid w:val="00F66810"/>
    <w:rsid w:val="00F846D9"/>
    <w:rsid w:val="00F84DF4"/>
    <w:rsid w:val="00F85C97"/>
    <w:rsid w:val="00FB37D2"/>
    <w:rsid w:val="00FB6104"/>
    <w:rsid w:val="00FC4EFB"/>
    <w:rsid w:val="00FD068D"/>
    <w:rsid w:val="00FD4F28"/>
    <w:rsid w:val="00FE04C3"/>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Coram">
    <w:name w:val="SCC.Coram"/>
    <w:basedOn w:val="Normal"/>
    <w:next w:val="Normal"/>
    <w:link w:val="SCCCoramChar"/>
    <w:rsid w:val="001E178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E178E"/>
    <w:rPr>
      <w:rFonts w:eastAsiaTheme="minorHAnsi" w:cstheme="minorBidi"/>
      <w:sz w:val="24"/>
      <w:szCs w:val="22"/>
      <w:lang w:eastAsia="en-US"/>
    </w:rPr>
  </w:style>
  <w:style w:type="table" w:styleId="TableGrid">
    <w:name w:val="Table Grid"/>
    <w:basedOn w:val="TableNormal"/>
    <w:uiPriority w:val="59"/>
    <w:rsid w:val="001E178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E178E"/>
    <w:pPr>
      <w:spacing w:after="720"/>
      <w:ind w:left="1166"/>
      <w:contextualSpacing/>
      <w:jc w:val="both"/>
    </w:pPr>
    <w:rPr>
      <w:sz w:val="24"/>
      <w:szCs w:val="24"/>
    </w:rPr>
  </w:style>
  <w:style w:type="paragraph" w:customStyle="1" w:styleId="JudgeJuge">
    <w:name w:val="Judge / Juge"/>
    <w:uiPriority w:val="3"/>
    <w:rsid w:val="001E178E"/>
    <w:pPr>
      <w:tabs>
        <w:tab w:val="left" w:pos="1166"/>
      </w:tabs>
      <w:spacing w:after="480" w:line="480" w:lineRule="auto"/>
    </w:pPr>
    <w:rPr>
      <w:smallCaps/>
      <w:sz w:val="24"/>
      <w:szCs w:val="24"/>
    </w:rPr>
  </w:style>
  <w:style w:type="paragraph" w:customStyle="1" w:styleId="ParaNoNdepar-AltN">
    <w:name w:val="Para. No. / Nº de par. - Alt N"/>
    <w:qFormat/>
    <w:rsid w:val="001E178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Prefix">
    <w:name w:val="SCC.Lsoc.Prefix"/>
    <w:basedOn w:val="Normal"/>
    <w:next w:val="Normal"/>
    <w:link w:val="SCCLsocPrefixChar"/>
    <w:rsid w:val="00510C30"/>
    <w:rPr>
      <w:rFonts w:eastAsiaTheme="minorHAnsi" w:cstheme="minorBidi"/>
      <w:b/>
      <w:smallCaps/>
      <w:szCs w:val="24"/>
      <w:lang w:eastAsia="en-US"/>
    </w:rPr>
  </w:style>
  <w:style w:type="character" w:customStyle="1" w:styleId="SCCLsocPrefixChar">
    <w:name w:val="SCC.Lsoc.Prefix Char"/>
    <w:basedOn w:val="DefaultParagraphFont"/>
    <w:link w:val="SCCLsocPrefix"/>
    <w:rsid w:val="00510C30"/>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510C30"/>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510C30"/>
    <w:rPr>
      <w:rFonts w:eastAsiaTheme="minorHAnsi" w:cstheme="minorBidi"/>
      <w:sz w:val="24"/>
      <w:szCs w:val="24"/>
      <w:lang w:eastAsia="en-US"/>
    </w:rPr>
  </w:style>
  <w:style w:type="paragraph" w:customStyle="1" w:styleId="SCCHearingJudgmentDatesTitle">
    <w:name w:val="SCC.HearingJudgmentDatesTitle"/>
    <w:basedOn w:val="Normal"/>
    <w:next w:val="Normal"/>
    <w:link w:val="SCCHearingJudgmentDatesTitleChar"/>
    <w:rsid w:val="00510C30"/>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510C3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DB684-CC2F-40AE-BFD7-7C6F97AB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2015-06-02T21:13:00Z</dcterms:created>
  <dcterms:modified xsi:type="dcterms:W3CDTF">2015-11-13T14:53:00Z</dcterms:modified>
</cp:coreProperties>
</file>