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89" w:rsidRDefault="00390689" w:rsidP="00390689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64.9pt" o:ole="">
            <v:imagedata r:id="rId7" o:title=""/>
          </v:shape>
          <o:OLEObject Type="Embed" ProgID="Presentations.Drawing.13" ShapeID="_x0000_i1025" DrawAspect="Content" ObjectID="_1517982352" r:id="rId8"/>
        </w:object>
      </w:r>
    </w:p>
    <w:p w:rsidR="00390689" w:rsidRDefault="00390689" w:rsidP="00390689">
      <w:pPr>
        <w:pStyle w:val="Header"/>
      </w:pPr>
    </w:p>
    <w:p w:rsidR="00390689" w:rsidRPr="006B210C" w:rsidRDefault="00390689" w:rsidP="0039068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90689" w:rsidRDefault="00390689" w:rsidP="0039068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390689" w:rsidRPr="006B210C" w:rsidTr="00D03FA2">
        <w:trPr>
          <w:cantSplit/>
        </w:trPr>
        <w:tc>
          <w:tcPr>
            <w:tcW w:w="6768" w:type="dxa"/>
          </w:tcPr>
          <w:p w:rsidR="00390689" w:rsidRPr="00540A65" w:rsidRDefault="00390689" w:rsidP="00D03FA2">
            <w:pPr>
              <w:spacing w:line="480" w:lineRule="auto"/>
              <w:jc w:val="both"/>
              <w:rPr>
                <w:lang w:val="fr-CA"/>
              </w:rPr>
            </w:pPr>
            <w:r w:rsidRPr="00540A65">
              <w:rPr>
                <w:b/>
                <w:smallCaps/>
                <w:lang w:val="fr-CA"/>
              </w:rPr>
              <w:t>Citation:</w:t>
            </w:r>
            <w:r w:rsidRPr="00540A65">
              <w:rPr>
                <w:lang w:val="fr-CA"/>
              </w:rPr>
              <w:t xml:space="preserve"> R.</w:t>
            </w:r>
            <w:r w:rsidRPr="00540A65">
              <w:rPr>
                <w:i/>
                <w:lang w:val="fr-CA"/>
              </w:rPr>
              <w:t xml:space="preserve"> v. </w:t>
            </w:r>
            <w:r w:rsidRPr="00540A65">
              <w:rPr>
                <w:lang w:val="fr-CA"/>
              </w:rPr>
              <w:t xml:space="preserve">M.J.B., 2015 SCC 48, [2015] 3 S.C.R. </w:t>
            </w:r>
            <w:r>
              <w:rPr>
                <w:lang w:val="fr-CA"/>
              </w:rPr>
              <w:t>321</w:t>
            </w:r>
          </w:p>
          <w:p w:rsidR="00390689" w:rsidRPr="00540A65" w:rsidRDefault="00390689" w:rsidP="00D03FA2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390689" w:rsidRPr="006B210C" w:rsidRDefault="00390689" w:rsidP="00D03FA2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20151016</w:t>
            </w:r>
          </w:p>
          <w:p w:rsidR="00390689" w:rsidRPr="006B210C" w:rsidRDefault="00390689" w:rsidP="00D03FA2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36421</w:t>
            </w:r>
          </w:p>
        </w:tc>
      </w:tr>
    </w:tbl>
    <w:p w:rsidR="00390689" w:rsidRPr="006B210C" w:rsidRDefault="00390689" w:rsidP="00390689"/>
    <w:p w:rsidR="00390689" w:rsidRDefault="00390689" w:rsidP="00390689">
      <w:pPr>
        <w:pStyle w:val="SCCLsocPrefix"/>
      </w:pPr>
      <w:r>
        <w:t>Between:</w:t>
      </w:r>
    </w:p>
    <w:p w:rsidR="00390689" w:rsidRDefault="00390689" w:rsidP="00390689">
      <w:pPr>
        <w:pStyle w:val="SCCLsocParty"/>
        <w:jc w:val="center"/>
      </w:pPr>
      <w:r>
        <w:t>M.J.B.</w:t>
      </w:r>
    </w:p>
    <w:p w:rsidR="00390689" w:rsidRPr="00D84C9C" w:rsidRDefault="00390689" w:rsidP="00390689">
      <w:pPr>
        <w:jc w:val="center"/>
        <w:rPr>
          <w:lang w:val="en-US"/>
        </w:rPr>
      </w:pPr>
      <w:r w:rsidRPr="00D84C9C">
        <w:rPr>
          <w:lang w:val="en-US"/>
        </w:rPr>
        <w:t>Appellant</w:t>
      </w:r>
    </w:p>
    <w:p w:rsidR="00390689" w:rsidRPr="000D02F7" w:rsidRDefault="00390689" w:rsidP="00390689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0D02F7">
        <w:rPr>
          <w:i w:val="0"/>
          <w:lang w:val="en-US"/>
        </w:rPr>
        <w:t>and</w:t>
      </w:r>
      <w:proofErr w:type="gramEnd"/>
    </w:p>
    <w:p w:rsidR="00390689" w:rsidRPr="00945515" w:rsidRDefault="00390689" w:rsidP="00390689">
      <w:pPr>
        <w:pStyle w:val="SCCLsocParty"/>
        <w:jc w:val="center"/>
        <w:rPr>
          <w:lang w:val="en-US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390689" w:rsidRPr="00945515" w:rsidRDefault="00390689" w:rsidP="00390689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390689" w:rsidRPr="00945515" w:rsidRDefault="00390689" w:rsidP="00390689">
      <w:pPr>
        <w:rPr>
          <w:lang w:val="en-US"/>
        </w:rPr>
      </w:pPr>
    </w:p>
    <w:p w:rsidR="00390689" w:rsidRDefault="00390689" w:rsidP="00390689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Brown JJ.</w:t>
      </w:r>
    </w:p>
    <w:p w:rsidR="00390689" w:rsidRDefault="00390689" w:rsidP="00390689">
      <w:pPr>
        <w:jc w:val="both"/>
      </w:pPr>
    </w:p>
    <w:p w:rsidR="00390689" w:rsidRPr="006B210C" w:rsidRDefault="00390689" w:rsidP="0039068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90689" w:rsidRPr="006B210C" w:rsidTr="00D03FA2">
        <w:trPr>
          <w:cantSplit/>
        </w:trPr>
        <w:tc>
          <w:tcPr>
            <w:tcW w:w="3618" w:type="dxa"/>
          </w:tcPr>
          <w:p w:rsidR="00390689" w:rsidRDefault="00390689" w:rsidP="00D03FA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390689" w:rsidRPr="006B210C" w:rsidRDefault="00390689" w:rsidP="00D03FA2">
            <w:r>
              <w:t>(para. 1)</w:t>
            </w:r>
          </w:p>
        </w:tc>
        <w:tc>
          <w:tcPr>
            <w:tcW w:w="5958" w:type="dxa"/>
          </w:tcPr>
          <w:p w:rsidR="00390689" w:rsidRPr="006B210C" w:rsidRDefault="00390689" w:rsidP="00D03FA2">
            <w:pPr>
              <w:jc w:val="both"/>
            </w:pPr>
            <w:proofErr w:type="spellStart"/>
            <w:r>
              <w:t>Abella</w:t>
            </w:r>
            <w:proofErr w:type="spellEnd"/>
            <w:r>
              <w:t xml:space="preserve"> J. (Cromwell,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 xml:space="preserve"> and Brown JJ. concurring) </w:t>
            </w:r>
          </w:p>
        </w:tc>
      </w:tr>
    </w:tbl>
    <w:p w:rsidR="00390689" w:rsidRPr="006B210C" w:rsidRDefault="00390689" w:rsidP="00390689"/>
    <w:p w:rsidR="00390689" w:rsidRPr="006B210C" w:rsidRDefault="00390689" w:rsidP="0039068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0B9F" wp14:editId="231BDD7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70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390689" w:rsidRDefault="00390689" w:rsidP="00390689"/>
    <w:p w:rsidR="00390689" w:rsidRDefault="00390689" w:rsidP="00D94FB5">
      <w:pPr>
        <w:widowControl w:val="0"/>
        <w:jc w:val="both"/>
        <w:rPr>
          <w:lang w:val="fr-CA"/>
        </w:rPr>
      </w:pPr>
    </w:p>
    <w:p w:rsidR="006565F4" w:rsidRPr="00E04B0C" w:rsidRDefault="00042096" w:rsidP="00D94FB5">
      <w:pPr>
        <w:widowControl w:val="0"/>
        <w:jc w:val="both"/>
        <w:rPr>
          <w:lang w:val="en-US"/>
        </w:rPr>
      </w:pPr>
      <w:r w:rsidRPr="00E04B0C">
        <w:rPr>
          <w:lang w:val="en-US"/>
        </w:rPr>
        <w:t>R</w:t>
      </w:r>
      <w:r w:rsidR="00A9308F" w:rsidRPr="00E04B0C">
        <w:rPr>
          <w:lang w:val="en-US"/>
        </w:rPr>
        <w:t xml:space="preserve">. </w:t>
      </w:r>
      <w:r w:rsidR="00A9308F" w:rsidRPr="00E04B0C">
        <w:rPr>
          <w:i/>
          <w:lang w:val="en-US"/>
        </w:rPr>
        <w:t>v.</w:t>
      </w:r>
      <w:r w:rsidR="00A9308F" w:rsidRPr="00E04B0C">
        <w:rPr>
          <w:lang w:val="en-US"/>
        </w:rPr>
        <w:t xml:space="preserve"> </w:t>
      </w:r>
      <w:r w:rsidRPr="00E04B0C">
        <w:rPr>
          <w:lang w:val="en-US"/>
        </w:rPr>
        <w:t>M.J.B</w:t>
      </w:r>
      <w:r w:rsidR="00A9308F" w:rsidRPr="00E04B0C">
        <w:rPr>
          <w:lang w:val="en-US"/>
        </w:rPr>
        <w:t>.</w:t>
      </w:r>
      <w:r w:rsidR="00AE0BA3" w:rsidRPr="00E04B0C">
        <w:rPr>
          <w:lang w:val="en-US"/>
        </w:rPr>
        <w:t xml:space="preserve">, 2015 SCC 48, [2015] 3 </w:t>
      </w:r>
      <w:r w:rsidR="00E04B0C" w:rsidRPr="00E04B0C">
        <w:rPr>
          <w:lang w:val="en-US"/>
        </w:rPr>
        <w:t>S.</w:t>
      </w:r>
      <w:r w:rsidR="00E04B0C">
        <w:rPr>
          <w:lang w:val="en-US"/>
        </w:rPr>
        <w:t>C.R.</w:t>
      </w:r>
      <w:bookmarkStart w:id="0" w:name="_GoBack"/>
      <w:bookmarkEnd w:id="0"/>
      <w:r w:rsidR="00AE0BA3" w:rsidRPr="00E04B0C">
        <w:rPr>
          <w:lang w:val="en-US"/>
        </w:rPr>
        <w:t xml:space="preserve"> 321</w:t>
      </w:r>
    </w:p>
    <w:p w:rsidR="009D1E9C" w:rsidRPr="00E04B0C" w:rsidRDefault="009D1E9C" w:rsidP="00D94FB5">
      <w:pPr>
        <w:pStyle w:val="SCCLsocLastPartyInRole"/>
        <w:widowControl w:val="0"/>
        <w:spacing w:after="240"/>
        <w:rPr>
          <w:lang w:val="en-US"/>
        </w:rPr>
      </w:pPr>
    </w:p>
    <w:p w:rsidR="00A41ABF" w:rsidRPr="00E04B0C" w:rsidRDefault="00A41ABF" w:rsidP="00D94FB5">
      <w:pPr>
        <w:widowControl w:val="0"/>
        <w:rPr>
          <w:lang w:val="en-US"/>
        </w:rPr>
      </w:pPr>
    </w:p>
    <w:p w:rsidR="0079010A" w:rsidRPr="00E04B0C" w:rsidRDefault="0083201A" w:rsidP="00D94FB5">
      <w:pPr>
        <w:pStyle w:val="SCCLsocLastPartyInRole"/>
        <w:widowControl w:val="0"/>
        <w:spacing w:after="240"/>
        <w:rPr>
          <w:lang w:val="en-US"/>
        </w:rPr>
      </w:pPr>
      <w:r w:rsidRPr="00E04B0C">
        <w:rPr>
          <w:lang w:val="en-US"/>
        </w:rPr>
        <w:t>M.J.B.</w:t>
      </w:r>
      <w:r w:rsidR="00040426" w:rsidRPr="00E04B0C">
        <w:rPr>
          <w:rStyle w:val="SCCLsocPartyRole"/>
          <w:lang w:val="en-US"/>
        </w:rPr>
        <w:tab/>
        <w:t>Appellant</w:t>
      </w:r>
    </w:p>
    <w:p w:rsidR="00480459" w:rsidRPr="00E04B0C" w:rsidRDefault="00480459" w:rsidP="00D94FB5">
      <w:pPr>
        <w:pStyle w:val="SCCLsocVersus"/>
        <w:widowControl w:val="0"/>
        <w:spacing w:after="240"/>
        <w:rPr>
          <w:lang w:val="en-US"/>
        </w:rPr>
      </w:pPr>
    </w:p>
    <w:p w:rsidR="0079010A" w:rsidRPr="00F15288" w:rsidRDefault="00040426" w:rsidP="00D94FB5">
      <w:pPr>
        <w:pStyle w:val="SCCLsocVersus"/>
        <w:widowControl w:val="0"/>
        <w:spacing w:after="240"/>
        <w:rPr>
          <w:lang w:val="en-US"/>
        </w:rPr>
      </w:pPr>
      <w:proofErr w:type="gramStart"/>
      <w:r w:rsidRPr="00F15288">
        <w:rPr>
          <w:lang w:val="en-US"/>
        </w:rPr>
        <w:t>v</w:t>
      </w:r>
      <w:proofErr w:type="gramEnd"/>
      <w:r w:rsidRPr="00F15288">
        <w:rPr>
          <w:lang w:val="en-US"/>
        </w:rPr>
        <w:t>.</w:t>
      </w:r>
    </w:p>
    <w:p w:rsidR="00480459" w:rsidRPr="00F15288" w:rsidRDefault="00480459" w:rsidP="00D94FB5">
      <w:pPr>
        <w:pStyle w:val="SCCLsocLastPartyInRole"/>
        <w:widowControl w:val="0"/>
        <w:spacing w:after="240"/>
        <w:rPr>
          <w:lang w:val="en-US"/>
        </w:rPr>
      </w:pPr>
    </w:p>
    <w:p w:rsidR="0079010A" w:rsidRDefault="00040426" w:rsidP="00D94FB5">
      <w:pPr>
        <w:pStyle w:val="SCCLsocLastPartyInRole"/>
        <w:widowControl w:val="0"/>
        <w:spacing w:after="240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  <w:t>Respondent</w:t>
      </w:r>
    </w:p>
    <w:p w:rsidR="00766D14" w:rsidRDefault="00766D14" w:rsidP="00D94FB5">
      <w:pPr>
        <w:widowControl w:val="0"/>
        <w:spacing w:after="240"/>
        <w:jc w:val="both"/>
      </w:pPr>
    </w:p>
    <w:p w:rsidR="00426659" w:rsidRPr="00426659" w:rsidRDefault="00426659" w:rsidP="00D94FB5">
      <w:pPr>
        <w:widowControl w:val="0"/>
        <w:spacing w:after="24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9D1E9C">
        <w:rPr>
          <w:b/>
        </w:rPr>
        <w:t xml:space="preserve">R. </w:t>
      </w:r>
      <w:r w:rsidR="009D1E9C" w:rsidRPr="009D1E9C">
        <w:rPr>
          <w:b/>
          <w:i/>
        </w:rPr>
        <w:t>v.</w:t>
      </w:r>
      <w:r w:rsidR="009D1E9C">
        <w:rPr>
          <w:b/>
        </w:rPr>
        <w:t xml:space="preserve"> M.J.B.</w:t>
      </w:r>
    </w:p>
    <w:p w:rsidR="00426659" w:rsidRDefault="00426659" w:rsidP="00D94FB5">
      <w:pPr>
        <w:widowControl w:val="0"/>
        <w:spacing w:after="240"/>
        <w:jc w:val="both"/>
      </w:pPr>
    </w:p>
    <w:p w:rsidR="00426659" w:rsidRPr="00C02092" w:rsidRDefault="00AE4535" w:rsidP="00D94FB5">
      <w:pPr>
        <w:pStyle w:val="SCCSystemYear"/>
        <w:widowControl w:val="0"/>
        <w:spacing w:after="240"/>
        <w:jc w:val="both"/>
      </w:pPr>
      <w:r>
        <w:lastRenderedPageBreak/>
        <w:t>2015</w:t>
      </w:r>
      <w:r w:rsidR="003D0399">
        <w:t xml:space="preserve"> </w:t>
      </w:r>
      <w:r w:rsidR="00426659" w:rsidRPr="00C02092">
        <w:t>SCC </w:t>
      </w:r>
      <w:r w:rsidR="009D1E9C">
        <w:t>48</w:t>
      </w:r>
    </w:p>
    <w:p w:rsidR="00426659" w:rsidRDefault="00426659" w:rsidP="00D94FB5">
      <w:pPr>
        <w:widowControl w:val="0"/>
        <w:spacing w:after="240"/>
        <w:jc w:val="both"/>
      </w:pPr>
    </w:p>
    <w:p w:rsidR="008322BD" w:rsidRDefault="009B57B3" w:rsidP="00D94FB5">
      <w:pPr>
        <w:widowControl w:val="0"/>
        <w:spacing w:after="240"/>
        <w:jc w:val="both"/>
      </w:pPr>
      <w:r w:rsidRPr="001426A9">
        <w:t xml:space="preserve">File No.:  </w:t>
      </w:r>
      <w:r>
        <w:t>36421</w:t>
      </w:r>
      <w:r w:rsidRPr="001426A9">
        <w:t>.</w:t>
      </w:r>
    </w:p>
    <w:p w:rsidR="00E97830" w:rsidRDefault="00E97830" w:rsidP="00D94FB5">
      <w:pPr>
        <w:widowControl w:val="0"/>
        <w:spacing w:after="240"/>
        <w:jc w:val="both"/>
      </w:pPr>
    </w:p>
    <w:p w:rsidR="008322BD" w:rsidRDefault="00AE4535" w:rsidP="00D94FB5">
      <w:pPr>
        <w:widowControl w:val="0"/>
        <w:spacing w:after="240"/>
        <w:jc w:val="both"/>
      </w:pPr>
      <w:r>
        <w:t>2015:  October 16</w:t>
      </w:r>
      <w:r w:rsidR="00554745">
        <w:t>.</w:t>
      </w:r>
    </w:p>
    <w:p w:rsidR="00E97830" w:rsidRDefault="00E97830" w:rsidP="00D94FB5">
      <w:pPr>
        <w:widowControl w:val="0"/>
        <w:spacing w:after="240"/>
        <w:jc w:val="both"/>
      </w:pPr>
    </w:p>
    <w:p w:rsidR="008322BD" w:rsidRDefault="009B57B3" w:rsidP="00D94FB5">
      <w:pPr>
        <w:widowControl w:val="0"/>
        <w:spacing w:after="240"/>
        <w:jc w:val="both"/>
      </w:pPr>
      <w:r w:rsidRPr="001426A9">
        <w:t xml:space="preserve">Present:  </w:t>
      </w:r>
      <w:r>
        <w:t>Abella, Cromwell, Moldaver, Côté and Brown JJ.</w:t>
      </w:r>
    </w:p>
    <w:p w:rsidR="00E97830" w:rsidRDefault="00E97830" w:rsidP="00D94FB5">
      <w:pPr>
        <w:widowControl w:val="0"/>
        <w:spacing w:after="240"/>
        <w:jc w:val="both"/>
      </w:pPr>
    </w:p>
    <w:p w:rsidR="008322BD" w:rsidRPr="001C779F" w:rsidRDefault="00656313" w:rsidP="00D94FB5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9B6055">
        <w:t>for</w:t>
      </w:r>
      <w:r w:rsidR="009B57B3">
        <w:t xml:space="preserve"> alberta</w:t>
      </w:r>
    </w:p>
    <w:p w:rsidR="003A4C70" w:rsidRPr="001426A9" w:rsidRDefault="003A4C70" w:rsidP="00D94FB5">
      <w:pPr>
        <w:pStyle w:val="SCCNormalDoubleSpacing"/>
        <w:widowControl w:val="0"/>
      </w:pPr>
    </w:p>
    <w:p w:rsidR="008322BD" w:rsidRPr="00F15288" w:rsidRDefault="009B57B3" w:rsidP="00D94FB5">
      <w:pPr>
        <w:pStyle w:val="SCCNormalDoubleSpacing"/>
        <w:widowControl w:val="0"/>
        <w:rPr>
          <w:i/>
        </w:rPr>
      </w:pPr>
      <w:r w:rsidRPr="00583EDE">
        <w:tab/>
      </w:r>
      <w:r w:rsidR="00F15288">
        <w:rPr>
          <w:i/>
        </w:rPr>
        <w:t>Criminal law — Sexual assault — Evidence — Court of Appeal correct in finding that trial judge’s verdict reasonable and supported by evidence.</w:t>
      </w:r>
    </w:p>
    <w:p w:rsidR="00A149DF" w:rsidRDefault="00A149DF" w:rsidP="00D94FB5">
      <w:pPr>
        <w:pStyle w:val="SCCNormalDoubleSpacing"/>
        <w:widowControl w:val="0"/>
      </w:pPr>
    </w:p>
    <w:p w:rsidR="00A149DF" w:rsidRDefault="00A149DF" w:rsidP="00D94FB5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D94FB5">
      <w:pPr>
        <w:pStyle w:val="SCCNormalDoubleSpacing"/>
        <w:widowControl w:val="0"/>
      </w:pPr>
      <w:r w:rsidRPr="001426A9">
        <w:tab/>
        <w:t xml:space="preserve">APPEAL from a judgment of the </w:t>
      </w:r>
      <w:r w:rsidR="00A6646C">
        <w:t xml:space="preserve">Alberta </w:t>
      </w:r>
      <w:r>
        <w:t xml:space="preserve">Court of Appeal </w:t>
      </w:r>
      <w:r w:rsidR="007F4B69">
        <w:t xml:space="preserve">(Watson, Rowbotham and Wakeling JJ.A.), </w:t>
      </w:r>
      <w:r w:rsidR="00702A45">
        <w:t>2015 ABCA 146, [2015] A.J. No. 460 (QL), 2015 CarswellAlta 713</w:t>
      </w:r>
      <w:r w:rsidR="00702A45" w:rsidRPr="00C90817">
        <w:t>, affirming the accused’s conviction</w:t>
      </w:r>
      <w:r w:rsidR="004F21AD" w:rsidRPr="00C90817">
        <w:t xml:space="preserve"> of </w:t>
      </w:r>
      <w:r w:rsidR="00702A45" w:rsidRPr="00C90817">
        <w:t>sexual assault</w:t>
      </w:r>
      <w:r w:rsidR="00702A45">
        <w:t>.  Appeal</w:t>
      </w:r>
      <w:r w:rsidR="001C7E06">
        <w:t xml:space="preserve"> </w:t>
      </w:r>
      <w:r w:rsidR="00BE3E65">
        <w:t>dismissed</w:t>
      </w:r>
      <w:r w:rsidR="001C7E06">
        <w:t>, Côté J. dissenting.</w:t>
      </w:r>
    </w:p>
    <w:p w:rsidR="001C7E06" w:rsidRDefault="001C7E06" w:rsidP="00D94FB5">
      <w:pPr>
        <w:pStyle w:val="SCCNormalDoubleSpacing"/>
        <w:widowControl w:val="0"/>
      </w:pPr>
    </w:p>
    <w:p w:rsidR="0079010A" w:rsidRDefault="00040426" w:rsidP="00D94FB5">
      <w:pPr>
        <w:pStyle w:val="SCCNormalDoubleSpacing"/>
        <w:widowControl w:val="0"/>
      </w:pPr>
      <w:r>
        <w:rPr>
          <w:rStyle w:val="SCCCounselNameChar"/>
        </w:rPr>
        <w:tab/>
        <w:t>Deborah R. Hatch</w:t>
      </w:r>
      <w:r>
        <w:rPr>
          <w:rStyle w:val="SCCCounselPartyRoleChar"/>
        </w:rPr>
        <w:t>, for the appellant.</w:t>
      </w:r>
    </w:p>
    <w:p w:rsidR="0079010A" w:rsidRDefault="0079010A" w:rsidP="00D94FB5">
      <w:pPr>
        <w:pStyle w:val="SCCNormalDoubleSpacing"/>
        <w:widowControl w:val="0"/>
      </w:pPr>
    </w:p>
    <w:p w:rsidR="0079010A" w:rsidRDefault="00040426" w:rsidP="00D94FB5">
      <w:pPr>
        <w:pStyle w:val="SCCNormalDoubleSpacing"/>
        <w:widowControl w:val="0"/>
      </w:pPr>
      <w:r>
        <w:rPr>
          <w:rStyle w:val="SCCCounselNameChar"/>
        </w:rPr>
        <w:tab/>
        <w:t>Troy Couillard</w:t>
      </w:r>
      <w:r>
        <w:rPr>
          <w:rStyle w:val="SCCCounselPartyRoleChar"/>
        </w:rPr>
        <w:t>, for the respondent.</w:t>
      </w:r>
    </w:p>
    <w:p w:rsidR="0079010A" w:rsidRDefault="0079010A" w:rsidP="00D94FB5">
      <w:pPr>
        <w:pStyle w:val="SCCNormalDoubleSpacing"/>
        <w:widowControl w:val="0"/>
      </w:pPr>
    </w:p>
    <w:p w:rsidR="008C6C6D" w:rsidRPr="008C6C6D" w:rsidRDefault="005A59EA" w:rsidP="00D94FB5">
      <w:pPr>
        <w:pStyle w:val="SCCNormalDoubleSpacing"/>
        <w:widowControl w:val="0"/>
      </w:pPr>
      <w:r>
        <w:tab/>
      </w:r>
      <w:r w:rsidR="00A20560">
        <w:t xml:space="preserve">The judgment of </w:t>
      </w:r>
      <w:r w:rsidR="00A20560" w:rsidRPr="008B379C">
        <w:t>the Court</w:t>
      </w:r>
      <w:r w:rsidR="00A20560">
        <w:t xml:space="preserve"> was delivered orally by</w:t>
      </w:r>
    </w:p>
    <w:p w:rsidR="005A59EA" w:rsidRDefault="00A20560" w:rsidP="00D94FB5">
      <w:pPr>
        <w:pStyle w:val="ParaNoNdepar-AltN"/>
        <w:widowControl w:val="0"/>
        <w:numPr>
          <w:ilvl w:val="0"/>
          <w:numId w:val="1"/>
        </w:numPr>
        <w:rPr>
          <w:rFonts w:cs="Times New Roman"/>
        </w:rPr>
      </w:pPr>
      <w:r w:rsidRPr="008C6C6D">
        <w:rPr>
          <w:smallCaps/>
          <w:lang w:val="en-US"/>
        </w:rPr>
        <w:lastRenderedPageBreak/>
        <w:t>Abella</w:t>
      </w:r>
      <w:r w:rsidRPr="00E81B60">
        <w:rPr>
          <w:rFonts w:cs="Times New Roman"/>
          <w:smallCaps/>
        </w:rPr>
        <w:t xml:space="preserve"> J.</w:t>
      </w:r>
      <w:r w:rsidRPr="00E81B60">
        <w:rPr>
          <w:rFonts w:cs="Times New Roman"/>
        </w:rPr>
        <w:t xml:space="preserve"> —</w:t>
      </w:r>
      <w:r>
        <w:rPr>
          <w:rFonts w:cs="Times New Roman"/>
        </w:rPr>
        <w:t xml:space="preserve"> </w:t>
      </w:r>
      <w:proofErr w:type="gramStart"/>
      <w:r w:rsidR="005A59EA" w:rsidRPr="00E81B60">
        <w:rPr>
          <w:rFonts w:cs="Times New Roman"/>
        </w:rPr>
        <w:t>The</w:t>
      </w:r>
      <w:proofErr w:type="gramEnd"/>
      <w:r w:rsidR="005A59EA" w:rsidRPr="00E81B60">
        <w:rPr>
          <w:rFonts w:cs="Times New Roman"/>
        </w:rPr>
        <w:t xml:space="preserve"> majority is of the view that the appeal should be dismissed for the reasons </w:t>
      </w:r>
      <w:r w:rsidR="005A59EA" w:rsidRPr="00A62ABE">
        <w:rPr>
          <w:lang w:val="en-US"/>
        </w:rPr>
        <w:t>of</w:t>
      </w:r>
      <w:r w:rsidR="005A59EA" w:rsidRPr="00A62ABE">
        <w:rPr>
          <w:rFonts w:cs="Times New Roman"/>
        </w:rPr>
        <w:t xml:space="preserve"> </w:t>
      </w:r>
      <w:r w:rsidR="005A59EA" w:rsidRPr="00E81B60">
        <w:rPr>
          <w:rFonts w:cs="Times New Roman"/>
        </w:rPr>
        <w:t xml:space="preserve">Justices Watson and </w:t>
      </w:r>
      <w:proofErr w:type="spellStart"/>
      <w:r w:rsidR="005A59EA" w:rsidRPr="00E81B60">
        <w:rPr>
          <w:rFonts w:cs="Times New Roman"/>
        </w:rPr>
        <w:t>Rowbotham</w:t>
      </w:r>
      <w:proofErr w:type="spellEnd"/>
      <w:r w:rsidR="005A59EA" w:rsidRPr="00E81B60">
        <w:rPr>
          <w:rFonts w:cs="Times New Roman"/>
        </w:rPr>
        <w:t xml:space="preserve"> in the Court of Appeal.  Justice </w:t>
      </w:r>
      <w:proofErr w:type="spellStart"/>
      <w:r w:rsidR="005A59EA" w:rsidRPr="00E81B60">
        <w:rPr>
          <w:rFonts w:cs="Times New Roman"/>
        </w:rPr>
        <w:t>Côté</w:t>
      </w:r>
      <w:proofErr w:type="spellEnd"/>
      <w:r w:rsidR="005A59EA" w:rsidRPr="00E81B60">
        <w:rPr>
          <w:rFonts w:cs="Times New Roman"/>
        </w:rPr>
        <w:t xml:space="preserve"> is dissenting and she would allow the appeal substantially for the reasons of Justice </w:t>
      </w:r>
      <w:proofErr w:type="spellStart"/>
      <w:r w:rsidR="005A59EA" w:rsidRPr="00E81B60">
        <w:rPr>
          <w:rFonts w:cs="Times New Roman"/>
        </w:rPr>
        <w:t>Wakeling</w:t>
      </w:r>
      <w:proofErr w:type="spellEnd"/>
      <w:r w:rsidR="005A59EA" w:rsidRPr="00E81B60">
        <w:rPr>
          <w:rFonts w:cs="Times New Roman"/>
        </w:rPr>
        <w:t xml:space="preserve">. </w:t>
      </w:r>
      <w:r w:rsidR="00570EEB">
        <w:rPr>
          <w:rFonts w:cs="Times New Roman"/>
        </w:rPr>
        <w:t xml:space="preserve"> </w:t>
      </w:r>
      <w:r w:rsidR="005A59EA" w:rsidRPr="00E81B60">
        <w:rPr>
          <w:rFonts w:cs="Times New Roman"/>
        </w:rPr>
        <w:t xml:space="preserve"> </w:t>
      </w:r>
    </w:p>
    <w:p w:rsidR="00C829FB" w:rsidRPr="00C829FB" w:rsidRDefault="00C829FB" w:rsidP="00D94FB5">
      <w:pPr>
        <w:pStyle w:val="SCCNormalDoubleSpacing"/>
        <w:widowControl w:val="0"/>
        <w:rPr>
          <w:i/>
        </w:rPr>
      </w:pPr>
      <w:r w:rsidRPr="0083201A">
        <w:rPr>
          <w:lang w:val="en-US"/>
        </w:rPr>
        <w:tab/>
      </w:r>
      <w:r w:rsidR="0056395F">
        <w:rPr>
          <w:i/>
        </w:rPr>
        <w:t>Judgment accordingly.</w:t>
      </w:r>
    </w:p>
    <w:p w:rsidR="00C829FB" w:rsidRPr="001426A9" w:rsidRDefault="00C829FB" w:rsidP="00D94FB5">
      <w:pPr>
        <w:pStyle w:val="SCCNormalDoubleSpacing"/>
        <w:widowControl w:val="0"/>
      </w:pPr>
    </w:p>
    <w:p w:rsidR="0079010A" w:rsidRDefault="00040426" w:rsidP="00D94FB5">
      <w:pPr>
        <w:pStyle w:val="SCCLawFirm"/>
        <w:widowControl w:val="0"/>
      </w:pPr>
      <w:r>
        <w:tab/>
        <w:t>Solicitor</w:t>
      </w:r>
      <w:r w:rsidR="00AA6BBC">
        <w:t>s</w:t>
      </w:r>
      <w:r>
        <w:t xml:space="preserve"> for the appellant:  Gunn Law Group, Edmonton.</w:t>
      </w:r>
    </w:p>
    <w:p w:rsidR="0079010A" w:rsidRDefault="0079010A" w:rsidP="00D94FB5">
      <w:pPr>
        <w:pStyle w:val="SCCLawFirm"/>
        <w:widowControl w:val="0"/>
      </w:pPr>
    </w:p>
    <w:p w:rsidR="0079010A" w:rsidRDefault="00040426" w:rsidP="00D94FB5">
      <w:pPr>
        <w:pStyle w:val="SCCLawFirm"/>
        <w:widowControl w:val="0"/>
      </w:pPr>
      <w:r>
        <w:tab/>
        <w:t>Solicitor</w:t>
      </w:r>
      <w:r w:rsidR="00AA6BBC">
        <w:t xml:space="preserve"> </w:t>
      </w:r>
      <w:r>
        <w:t>for the respondent:  Alberta Department of Justice, Edmonton.</w:t>
      </w:r>
    </w:p>
    <w:p w:rsidR="0079010A" w:rsidRDefault="0079010A" w:rsidP="00D94FB5">
      <w:pPr>
        <w:pStyle w:val="SCCLawFirm"/>
        <w:widowControl w:val="0"/>
      </w:pPr>
    </w:p>
    <w:sectPr w:rsidR="0079010A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40426"/>
    <w:rsid w:val="00042096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C7E06"/>
    <w:rsid w:val="001D2AC1"/>
    <w:rsid w:val="001D4E88"/>
    <w:rsid w:val="001F0A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90689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459"/>
    <w:rsid w:val="00480C90"/>
    <w:rsid w:val="0048396F"/>
    <w:rsid w:val="00493C18"/>
    <w:rsid w:val="004A600C"/>
    <w:rsid w:val="004A6118"/>
    <w:rsid w:val="004C478D"/>
    <w:rsid w:val="004E2C26"/>
    <w:rsid w:val="004F21AD"/>
    <w:rsid w:val="004F36FF"/>
    <w:rsid w:val="005125A8"/>
    <w:rsid w:val="00521AE8"/>
    <w:rsid w:val="00527180"/>
    <w:rsid w:val="0054201E"/>
    <w:rsid w:val="00554745"/>
    <w:rsid w:val="00555291"/>
    <w:rsid w:val="0056395F"/>
    <w:rsid w:val="00566AD1"/>
    <w:rsid w:val="00570EEB"/>
    <w:rsid w:val="00583EDE"/>
    <w:rsid w:val="005A59EA"/>
    <w:rsid w:val="005A6079"/>
    <w:rsid w:val="005C2EE1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2A45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9010A"/>
    <w:rsid w:val="007A05F6"/>
    <w:rsid w:val="007B6F4A"/>
    <w:rsid w:val="007E1C47"/>
    <w:rsid w:val="007E337A"/>
    <w:rsid w:val="007E5C70"/>
    <w:rsid w:val="007F2FF5"/>
    <w:rsid w:val="007F3F08"/>
    <w:rsid w:val="007F4B69"/>
    <w:rsid w:val="00804CC6"/>
    <w:rsid w:val="00817190"/>
    <w:rsid w:val="00820EE5"/>
    <w:rsid w:val="008260E2"/>
    <w:rsid w:val="0083201A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A6CCA"/>
    <w:rsid w:val="008B660A"/>
    <w:rsid w:val="008C01DA"/>
    <w:rsid w:val="008C6C6D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B6055"/>
    <w:rsid w:val="009C5B92"/>
    <w:rsid w:val="009D1E9C"/>
    <w:rsid w:val="009D2920"/>
    <w:rsid w:val="009D5AEB"/>
    <w:rsid w:val="009F0E33"/>
    <w:rsid w:val="00A030CE"/>
    <w:rsid w:val="00A149DF"/>
    <w:rsid w:val="00A1755C"/>
    <w:rsid w:val="00A20560"/>
    <w:rsid w:val="00A21B90"/>
    <w:rsid w:val="00A41805"/>
    <w:rsid w:val="00A41ABF"/>
    <w:rsid w:val="00A42DCD"/>
    <w:rsid w:val="00A52AFB"/>
    <w:rsid w:val="00A548CB"/>
    <w:rsid w:val="00A5521C"/>
    <w:rsid w:val="00A62ABE"/>
    <w:rsid w:val="00A643E7"/>
    <w:rsid w:val="00A6646C"/>
    <w:rsid w:val="00A73C38"/>
    <w:rsid w:val="00A9308F"/>
    <w:rsid w:val="00AA6BBC"/>
    <w:rsid w:val="00AB670D"/>
    <w:rsid w:val="00AE0BA3"/>
    <w:rsid w:val="00AE4535"/>
    <w:rsid w:val="00AF03C5"/>
    <w:rsid w:val="00B000D8"/>
    <w:rsid w:val="00B00F75"/>
    <w:rsid w:val="00B0307F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E3E65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29FB"/>
    <w:rsid w:val="00C86719"/>
    <w:rsid w:val="00C90817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4FB5"/>
    <w:rsid w:val="00D95F8E"/>
    <w:rsid w:val="00DA0590"/>
    <w:rsid w:val="00DB7BEA"/>
    <w:rsid w:val="00DC1739"/>
    <w:rsid w:val="00DC1788"/>
    <w:rsid w:val="00DD4EB1"/>
    <w:rsid w:val="00DE319C"/>
    <w:rsid w:val="00DF0534"/>
    <w:rsid w:val="00DF0CA8"/>
    <w:rsid w:val="00DF2B48"/>
    <w:rsid w:val="00DF49A7"/>
    <w:rsid w:val="00E04B0C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D291F"/>
    <w:rsid w:val="00EE643C"/>
    <w:rsid w:val="00EF0683"/>
    <w:rsid w:val="00EF69D2"/>
    <w:rsid w:val="00EF766E"/>
    <w:rsid w:val="00F0070C"/>
    <w:rsid w:val="00F00EB7"/>
    <w:rsid w:val="00F15288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A20560"/>
    <w:pPr>
      <w:tabs>
        <w:tab w:val="num" w:pos="1242"/>
      </w:tabs>
      <w:spacing w:before="480" w:after="480" w:line="480" w:lineRule="auto"/>
      <w:ind w:left="90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9068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39068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9068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2015-12-22T21:53:00Z</dcterms:created>
  <dcterms:modified xsi:type="dcterms:W3CDTF">2016-02-26T13:59:00Z</dcterms:modified>
</cp:coreProperties>
</file>