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C3" w:rsidRDefault="00B246C3" w:rsidP="00B246C3">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64.2pt" o:ole="">
            <v:imagedata r:id="rId6" o:title=""/>
          </v:shape>
          <o:OLEObject Type="Embed" ProgID="Presentations.Drawing.13" ShapeID="_x0000_i1025" DrawAspect="Content" ObjectID="_1772603230" r:id="rId7"/>
        </w:object>
      </w:r>
      <w:r>
        <w:t xml:space="preserve"> </w:t>
      </w:r>
      <w:r>
        <w:ptab w:relativeTo="margin" w:alignment="right" w:leader="none"/>
      </w:r>
    </w:p>
    <w:p w:rsidR="00B246C3" w:rsidRDefault="00B246C3" w:rsidP="00B246C3">
      <w:pPr>
        <w:pStyle w:val="Header"/>
      </w:pPr>
    </w:p>
    <w:p w:rsidR="00B246C3" w:rsidRPr="006B210C" w:rsidRDefault="00B246C3" w:rsidP="00B246C3">
      <w:pPr>
        <w:jc w:val="center"/>
        <w:rPr>
          <w:b/>
        </w:rPr>
      </w:pPr>
      <w:r w:rsidRPr="006B210C">
        <w:rPr>
          <w:b/>
        </w:rPr>
        <w:t>SUPREME COURT OF CANADA</w:t>
      </w:r>
    </w:p>
    <w:p w:rsidR="00B246C3" w:rsidRDefault="00B246C3" w:rsidP="00B246C3"/>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6768"/>
        <w:gridCol w:w="2808"/>
      </w:tblGrid>
      <w:tr w:rsidR="00B246C3" w:rsidRPr="006B210C" w:rsidTr="00496864">
        <w:trPr>
          <w:cantSplit/>
        </w:trPr>
        <w:tc>
          <w:tcPr>
            <w:tcW w:w="6768" w:type="dxa"/>
          </w:tcPr>
          <w:p w:rsidR="00B246C3" w:rsidRPr="00CB7A45" w:rsidRDefault="00B246C3" w:rsidP="00496864">
            <w:pPr>
              <w:rPr>
                <w:lang w:val="fr-CA"/>
              </w:rPr>
            </w:pPr>
            <w:r w:rsidRPr="00CB7A45">
              <w:rPr>
                <w:b/>
                <w:smallCaps/>
                <w:lang w:val="fr-CA"/>
              </w:rPr>
              <w:t>Citation:</w:t>
            </w:r>
            <w:r w:rsidRPr="00CB7A45">
              <w:rPr>
                <w:lang w:val="fr-CA"/>
              </w:rPr>
              <w:t xml:space="preserve"> R. </w:t>
            </w:r>
            <w:r w:rsidRPr="00CB7A45">
              <w:rPr>
                <w:i/>
                <w:lang w:val="fr-CA"/>
              </w:rPr>
              <w:t>v.</w:t>
            </w:r>
            <w:r w:rsidRPr="00CB7A45">
              <w:rPr>
                <w:lang w:val="fr-CA"/>
              </w:rPr>
              <w:t xml:space="preserve"> </w:t>
            </w:r>
            <w:r w:rsidRPr="00CF4BB1">
              <w:rPr>
                <w:rStyle w:val="SCCRespondentForRunningHeadChar"/>
                <w:smallCaps w:val="0"/>
              </w:rPr>
              <w:t>McKenna</w:t>
            </w:r>
            <w:r>
              <w:rPr>
                <w:rStyle w:val="SCCRespondentForRunningHeadChar"/>
                <w:smallCaps w:val="0"/>
              </w:rPr>
              <w:t xml:space="preserve">, </w:t>
            </w:r>
            <w:r>
              <w:t>2015 SCC 63, [2015] 3 S.C.R. 1087</w:t>
            </w:r>
          </w:p>
        </w:tc>
        <w:tc>
          <w:tcPr>
            <w:tcW w:w="2808" w:type="dxa"/>
          </w:tcPr>
          <w:p w:rsidR="00B246C3" w:rsidRPr="006B210C" w:rsidRDefault="00B246C3" w:rsidP="00496864">
            <w:r w:rsidRPr="006B210C">
              <w:rPr>
                <w:b/>
                <w:smallCaps/>
              </w:rPr>
              <w:t>Date</w:t>
            </w:r>
            <w:r>
              <w:rPr>
                <w:b/>
                <w:smallCaps/>
              </w:rPr>
              <w:t>:</w:t>
            </w:r>
            <w:r w:rsidRPr="006B210C">
              <w:t xml:space="preserve"> </w:t>
            </w:r>
            <w:r>
              <w:t>20151211</w:t>
            </w:r>
          </w:p>
          <w:p w:rsidR="00B246C3" w:rsidRPr="006B210C" w:rsidRDefault="00B246C3" w:rsidP="00496864">
            <w:r w:rsidRPr="006B210C">
              <w:rPr>
                <w:b/>
                <w:smallCaps/>
              </w:rPr>
              <w:t>Docket</w:t>
            </w:r>
            <w:r>
              <w:rPr>
                <w:b/>
                <w:smallCaps/>
              </w:rPr>
              <w:t>:</w:t>
            </w:r>
            <w:r w:rsidRPr="006B210C">
              <w:t xml:space="preserve"> </w:t>
            </w:r>
            <w:r>
              <w:t>36506</w:t>
            </w:r>
          </w:p>
        </w:tc>
      </w:tr>
    </w:tbl>
    <w:p w:rsidR="00B246C3" w:rsidRPr="006B210C" w:rsidRDefault="00B246C3" w:rsidP="00B246C3"/>
    <w:p w:rsidR="00B246C3" w:rsidRDefault="00B246C3" w:rsidP="00B246C3">
      <w:pPr>
        <w:pStyle w:val="SCCLsocPrefix"/>
      </w:pPr>
      <w:r>
        <w:t>Between:</w:t>
      </w:r>
    </w:p>
    <w:p w:rsidR="00B246C3" w:rsidRDefault="00B246C3" w:rsidP="00B246C3">
      <w:pPr>
        <w:pStyle w:val="SCCLsocParty"/>
        <w:jc w:val="center"/>
      </w:pPr>
      <w:r>
        <w:t>Her Majesty The Queen</w:t>
      </w:r>
    </w:p>
    <w:p w:rsidR="00B246C3" w:rsidRDefault="00B246C3" w:rsidP="00B246C3">
      <w:pPr>
        <w:jc w:val="center"/>
      </w:pPr>
      <w:r>
        <w:t>Appellant</w:t>
      </w:r>
    </w:p>
    <w:p w:rsidR="00B246C3" w:rsidRPr="00B246C3" w:rsidRDefault="00B246C3" w:rsidP="00B246C3">
      <w:pPr>
        <w:pStyle w:val="SCCLsocVersus"/>
        <w:spacing w:after="0"/>
        <w:jc w:val="center"/>
        <w:rPr>
          <w:i w:val="0"/>
        </w:rPr>
      </w:pPr>
      <w:r w:rsidRPr="00B246C3">
        <w:rPr>
          <w:i w:val="0"/>
        </w:rPr>
        <w:t>and</w:t>
      </w:r>
    </w:p>
    <w:p w:rsidR="00B246C3" w:rsidRDefault="00B246C3" w:rsidP="00B246C3">
      <w:pPr>
        <w:pStyle w:val="SCCLsocParty"/>
        <w:jc w:val="center"/>
      </w:pPr>
      <w:r>
        <w:t>Harry McKenna</w:t>
      </w:r>
    </w:p>
    <w:p w:rsidR="00B246C3" w:rsidRDefault="00B246C3" w:rsidP="00B246C3">
      <w:pPr>
        <w:jc w:val="center"/>
      </w:pPr>
      <w:r>
        <w:t>Respondent</w:t>
      </w:r>
    </w:p>
    <w:p w:rsidR="00B246C3" w:rsidRDefault="00B246C3" w:rsidP="00B246C3">
      <w:pPr>
        <w:jc w:val="center"/>
      </w:pPr>
    </w:p>
    <w:p w:rsidR="00B246C3" w:rsidRPr="006B210C" w:rsidRDefault="00B246C3" w:rsidP="00B246C3"/>
    <w:p w:rsidR="00B246C3" w:rsidRPr="006B210C" w:rsidRDefault="00B246C3" w:rsidP="00B246C3">
      <w:r w:rsidRPr="006B210C">
        <w:rPr>
          <w:b/>
          <w:smallCaps/>
        </w:rPr>
        <w:t>Coram</w:t>
      </w:r>
      <w:r>
        <w:rPr>
          <w:b/>
          <w:smallCaps/>
        </w:rPr>
        <w:t>:</w:t>
      </w:r>
      <w:r w:rsidRPr="006B210C">
        <w:t xml:space="preserve"> </w:t>
      </w:r>
      <w:r>
        <w:t>Abella, Moldaver, Wagner, Gascon and Côté JJ.</w:t>
      </w:r>
    </w:p>
    <w:p w:rsidR="00B246C3" w:rsidRPr="006B210C" w:rsidRDefault="00B246C3" w:rsidP="00B246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B246C3" w:rsidRPr="006B210C" w:rsidTr="00496864">
        <w:trPr>
          <w:cantSplit/>
        </w:trPr>
        <w:tc>
          <w:tcPr>
            <w:tcW w:w="3618" w:type="dxa"/>
          </w:tcPr>
          <w:p w:rsidR="00B246C3" w:rsidRDefault="00B246C3" w:rsidP="00496864">
            <w:pPr>
              <w:rPr>
                <w:b/>
                <w:smallCaps/>
              </w:rPr>
            </w:pPr>
            <w:r w:rsidRPr="006B210C">
              <w:rPr>
                <w:b/>
                <w:smallCaps/>
              </w:rPr>
              <w:t>Reasons for Judgment</w:t>
            </w:r>
            <w:r>
              <w:rPr>
                <w:b/>
                <w:smallCaps/>
              </w:rPr>
              <w:t>:</w:t>
            </w:r>
          </w:p>
          <w:p w:rsidR="00B246C3" w:rsidRPr="00CB7A45" w:rsidRDefault="00B246C3" w:rsidP="00496864">
            <w:r w:rsidRPr="00CB7A45">
              <w:t>(paras. 1 to 2)</w:t>
            </w:r>
          </w:p>
        </w:tc>
        <w:tc>
          <w:tcPr>
            <w:tcW w:w="5958" w:type="dxa"/>
          </w:tcPr>
          <w:p w:rsidR="00B246C3" w:rsidRPr="006B210C" w:rsidRDefault="00B246C3" w:rsidP="00496864">
            <w:r>
              <w:t>Abella J. (Moldaver, Wagner, Gascon and Côté JJ. concurring)</w:t>
            </w:r>
          </w:p>
        </w:tc>
      </w:tr>
    </w:tbl>
    <w:p w:rsidR="00B246C3" w:rsidRDefault="00B246C3" w:rsidP="00B246C3"/>
    <w:p w:rsidR="00B246C3" w:rsidRPr="006B210C" w:rsidRDefault="00B246C3" w:rsidP="00B246C3">
      <w:r>
        <w:rPr>
          <w:noProof/>
          <w:lang w:val="fr-CA" w:eastAsia="fr-CA"/>
        </w:rPr>
        <mc:AlternateContent>
          <mc:Choice Requires="wps">
            <w:drawing>
              <wp:anchor distT="0" distB="0" distL="114300" distR="114300" simplePos="0" relativeHeight="251659264" behindDoc="0" locked="0" layoutInCell="1" allowOverlap="1" wp14:anchorId="069F6BAE" wp14:editId="2CF29AD3">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D03C0"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B246C3" w:rsidRDefault="00B246C3" w:rsidP="00B246C3"/>
    <w:p w:rsidR="00B246C3" w:rsidRDefault="00B246C3" w:rsidP="0035169A">
      <w:pPr>
        <w:spacing w:line="480" w:lineRule="auto"/>
        <w:jc w:val="both"/>
        <w:rPr>
          <w:rStyle w:val="SCCAppellantForRunningHeadChar"/>
          <w:smallCaps w:val="0"/>
        </w:rPr>
      </w:pPr>
    </w:p>
    <w:p w:rsidR="008322BD" w:rsidRPr="005C2AFA" w:rsidRDefault="005C2AFA" w:rsidP="0035169A">
      <w:pPr>
        <w:spacing w:line="480" w:lineRule="auto"/>
        <w:jc w:val="both"/>
        <w:rPr>
          <w:smallCaps/>
        </w:rPr>
      </w:pPr>
      <w:r>
        <w:rPr>
          <w:rStyle w:val="SCCAppellantForRunningHeadChar"/>
          <w:smallCaps w:val="0"/>
        </w:rPr>
        <w:t>R</w:t>
      </w:r>
      <w:r w:rsidR="008F78E9" w:rsidRPr="005C2AFA">
        <w:rPr>
          <w:rStyle w:val="SCCAppellantForRunningHeadChar"/>
          <w:smallCaps w:val="0"/>
        </w:rPr>
        <w:t>.</w:t>
      </w:r>
      <w:r w:rsidR="00480C90" w:rsidRPr="005C2AFA">
        <w:rPr>
          <w:smallCaps/>
        </w:rPr>
        <w:t xml:space="preserve"> </w:t>
      </w:r>
      <w:r w:rsidR="009B57B3" w:rsidRPr="005C2AFA">
        <w:rPr>
          <w:i/>
        </w:rPr>
        <w:t>v.</w:t>
      </w:r>
      <w:r w:rsidR="00B000D8" w:rsidRPr="005C2AFA">
        <w:rPr>
          <w:smallCaps/>
        </w:rPr>
        <w:t xml:space="preserve"> </w:t>
      </w:r>
      <w:r>
        <w:rPr>
          <w:rStyle w:val="SCCRespondentForRunningHeadChar"/>
          <w:smallCaps w:val="0"/>
        </w:rPr>
        <w:t>M</w:t>
      </w:r>
      <w:r w:rsidR="00AB6CF1" w:rsidRPr="005C2AFA">
        <w:rPr>
          <w:rStyle w:val="SCCRespondentForRunningHeadChar"/>
          <w:smallCaps w:val="0"/>
        </w:rPr>
        <w:t>c</w:t>
      </w:r>
      <w:r>
        <w:rPr>
          <w:rStyle w:val="SCCRespondentForRunningHeadChar"/>
          <w:smallCaps w:val="0"/>
        </w:rPr>
        <w:t>K</w:t>
      </w:r>
      <w:r w:rsidR="008F78E9" w:rsidRPr="005C2AFA">
        <w:rPr>
          <w:rStyle w:val="SCCRespondentForRunningHeadChar"/>
          <w:smallCaps w:val="0"/>
        </w:rPr>
        <w:t>enna</w:t>
      </w:r>
      <w:r>
        <w:rPr>
          <w:rStyle w:val="SCCRespondentForRunningHeadChar"/>
          <w:smallCaps w:val="0"/>
        </w:rPr>
        <w:t xml:space="preserve">, </w:t>
      </w:r>
      <w:r>
        <w:t>2015 SCC 63, [2015] 3 S.C.R. 1087</w:t>
      </w:r>
    </w:p>
    <w:p w:rsidR="00766D14" w:rsidRDefault="00766D14" w:rsidP="00FC4EFB">
      <w:pPr>
        <w:jc w:val="both"/>
      </w:pPr>
    </w:p>
    <w:p w:rsidR="00A149DF" w:rsidRDefault="00A149DF" w:rsidP="00FC4EFB">
      <w:pPr>
        <w:jc w:val="both"/>
      </w:pPr>
    </w:p>
    <w:p w:rsidR="00A149DF" w:rsidRPr="001426A9" w:rsidRDefault="00A149DF" w:rsidP="00FC4EFB">
      <w:pPr>
        <w:jc w:val="both"/>
      </w:pPr>
    </w:p>
    <w:p w:rsidR="00031E1A" w:rsidRDefault="00AB6CF1">
      <w:pPr>
        <w:pStyle w:val="SCCLsocLastPartyInRole"/>
      </w:pPr>
      <w:r>
        <w:t>Her Majesty T</w:t>
      </w:r>
      <w:r w:rsidR="005E6503">
        <w:t>he Queen</w:t>
      </w:r>
      <w:r w:rsidR="005E6503">
        <w:rPr>
          <w:rStyle w:val="SCCLsocPartyRole"/>
        </w:rPr>
        <w:tab/>
        <w:t>Appellant</w:t>
      </w:r>
    </w:p>
    <w:p w:rsidR="00031E1A" w:rsidRDefault="005E6503">
      <w:pPr>
        <w:pStyle w:val="SCCLsocVersus"/>
      </w:pPr>
      <w:r>
        <w:t>v.</w:t>
      </w:r>
    </w:p>
    <w:p w:rsidR="00031E1A" w:rsidRDefault="005E6503">
      <w:pPr>
        <w:pStyle w:val="SCCLsocLastPartyInRole"/>
      </w:pPr>
      <w:r>
        <w:t>Harry McKenna</w:t>
      </w:r>
      <w:r>
        <w:rPr>
          <w:rStyle w:val="SCCLsocPartyRole"/>
        </w:rPr>
        <w:tab/>
        <w:t>Respondent</w:t>
      </w:r>
    </w:p>
    <w:p w:rsidR="00766D14" w:rsidRDefault="00766D14" w:rsidP="00FC4EFB">
      <w:pPr>
        <w:jc w:val="both"/>
      </w:pPr>
    </w:p>
    <w:p w:rsidR="00A149DF" w:rsidRDefault="00A149DF" w:rsidP="00FC4EFB">
      <w:pPr>
        <w:jc w:val="both"/>
      </w:pPr>
    </w:p>
    <w:p w:rsidR="00A149DF" w:rsidRPr="001426A9" w:rsidRDefault="00A149DF" w:rsidP="00FC4EFB">
      <w:pPr>
        <w:jc w:val="both"/>
      </w:pPr>
    </w:p>
    <w:p w:rsidR="00426659" w:rsidRPr="00426659" w:rsidRDefault="00426659" w:rsidP="00FC4EFB">
      <w:pPr>
        <w:jc w:val="both"/>
        <w:rPr>
          <w:b/>
        </w:rPr>
      </w:pPr>
      <w:r w:rsidRPr="00426659">
        <w:rPr>
          <w:b/>
        </w:rPr>
        <w:t>Indexed as:</w:t>
      </w:r>
      <w:r>
        <w:rPr>
          <w:b/>
        </w:rPr>
        <w:t xml:space="preserve"> </w:t>
      </w:r>
      <w:r>
        <w:rPr>
          <w:rStyle w:val="SCCAppellantForIndexChar"/>
        </w:rPr>
        <w:t>R.</w:t>
      </w:r>
      <w:r w:rsidRPr="00426659">
        <w:rPr>
          <w:b/>
        </w:rPr>
        <w:t xml:space="preserve"> </w:t>
      </w:r>
      <w:r w:rsidRPr="00426659">
        <w:rPr>
          <w:b/>
          <w:i/>
        </w:rPr>
        <w:t>v.</w:t>
      </w:r>
      <w:r w:rsidRPr="00426659">
        <w:rPr>
          <w:b/>
        </w:rPr>
        <w:t xml:space="preserve"> </w:t>
      </w:r>
      <w:r>
        <w:rPr>
          <w:rStyle w:val="SCCRespondentForIndexChar"/>
        </w:rPr>
        <w:t>McKenna</w:t>
      </w:r>
    </w:p>
    <w:p w:rsidR="00426659" w:rsidRDefault="00426659" w:rsidP="00FC4EFB">
      <w:pPr>
        <w:jc w:val="both"/>
      </w:pPr>
    </w:p>
    <w:p w:rsidR="00A149DF" w:rsidRDefault="00A149DF" w:rsidP="00FC4EFB">
      <w:pPr>
        <w:jc w:val="both"/>
      </w:pPr>
    </w:p>
    <w:p w:rsidR="00A149DF" w:rsidRDefault="00A149DF" w:rsidP="00FC4EFB">
      <w:pPr>
        <w:jc w:val="both"/>
      </w:pPr>
    </w:p>
    <w:p w:rsidR="00426659" w:rsidRPr="00C02092" w:rsidRDefault="00AE4535" w:rsidP="00FC4EFB">
      <w:pPr>
        <w:pStyle w:val="SCCSystemYear"/>
        <w:jc w:val="both"/>
      </w:pPr>
      <w:r>
        <w:t>2015</w:t>
      </w:r>
      <w:r w:rsidR="003D0399">
        <w:t xml:space="preserve"> </w:t>
      </w:r>
      <w:r w:rsidR="000D0C3A">
        <w:t>SCC 63</w:t>
      </w:r>
    </w:p>
    <w:p w:rsidR="00426659" w:rsidRDefault="00426659" w:rsidP="00FC4EFB">
      <w:pPr>
        <w:jc w:val="both"/>
      </w:pPr>
    </w:p>
    <w:p w:rsidR="00A149DF" w:rsidRDefault="00A149DF" w:rsidP="00FC4EFB">
      <w:pPr>
        <w:jc w:val="both"/>
      </w:pPr>
    </w:p>
    <w:p w:rsidR="00A149DF" w:rsidRDefault="00A149DF" w:rsidP="00FC4EFB">
      <w:pPr>
        <w:jc w:val="both"/>
      </w:pPr>
    </w:p>
    <w:p w:rsidR="008322BD" w:rsidRDefault="00AB6CF1" w:rsidP="00FC4EFB">
      <w:pPr>
        <w:jc w:val="both"/>
      </w:pPr>
      <w:r>
        <w:t xml:space="preserve">File No.: </w:t>
      </w:r>
      <w:r w:rsidR="009B57B3">
        <w:t>36506</w:t>
      </w:r>
      <w:r w:rsidR="009B57B3" w:rsidRPr="001426A9">
        <w:t>.</w:t>
      </w:r>
    </w:p>
    <w:p w:rsidR="00E97830" w:rsidRDefault="00E97830" w:rsidP="00FC4EFB">
      <w:pPr>
        <w:jc w:val="both"/>
      </w:pPr>
    </w:p>
    <w:p w:rsidR="00A149DF" w:rsidRDefault="00A149DF" w:rsidP="00FC4EFB">
      <w:pPr>
        <w:jc w:val="both"/>
      </w:pPr>
    </w:p>
    <w:p w:rsidR="00A149DF" w:rsidRDefault="00A149DF" w:rsidP="00FC4EFB">
      <w:pPr>
        <w:jc w:val="both"/>
      </w:pPr>
    </w:p>
    <w:p w:rsidR="008322BD" w:rsidRDefault="00AB6CF1" w:rsidP="00FC4EFB">
      <w:pPr>
        <w:jc w:val="both"/>
      </w:pPr>
      <w:r>
        <w:t xml:space="preserve">2015: </w:t>
      </w:r>
      <w:r w:rsidR="00AE4535">
        <w:t>December 11</w:t>
      </w:r>
      <w:r w:rsidR="009B57B3" w:rsidRPr="001426A9">
        <w:t>.</w:t>
      </w:r>
    </w:p>
    <w:p w:rsidR="00E97830" w:rsidRDefault="00E97830" w:rsidP="00FC4EFB">
      <w:pPr>
        <w:jc w:val="both"/>
      </w:pPr>
    </w:p>
    <w:p w:rsidR="00A149DF" w:rsidRDefault="00A149DF" w:rsidP="00FC4EFB">
      <w:pPr>
        <w:jc w:val="both"/>
      </w:pPr>
    </w:p>
    <w:p w:rsidR="00A149DF" w:rsidRDefault="00A149DF" w:rsidP="00FC4EFB">
      <w:pPr>
        <w:jc w:val="both"/>
      </w:pPr>
    </w:p>
    <w:p w:rsidR="008322BD" w:rsidRDefault="00AB6CF1" w:rsidP="00FC4EFB">
      <w:pPr>
        <w:jc w:val="both"/>
      </w:pPr>
      <w:r>
        <w:t xml:space="preserve">Present: </w:t>
      </w:r>
      <w:r w:rsidR="009B57B3">
        <w:t>Abella, Moldaver, Wagner, Gascon and Côté JJ.</w:t>
      </w:r>
    </w:p>
    <w:p w:rsidR="00E97830" w:rsidRDefault="00E97830" w:rsidP="00FC4EFB">
      <w:pPr>
        <w:jc w:val="both"/>
      </w:pPr>
    </w:p>
    <w:p w:rsidR="006A1551" w:rsidRDefault="006A1551" w:rsidP="00FC4EFB">
      <w:pPr>
        <w:jc w:val="both"/>
      </w:pPr>
    </w:p>
    <w:p w:rsidR="006A1551" w:rsidRDefault="006A1551" w:rsidP="00FC4EFB">
      <w:pPr>
        <w:jc w:val="both"/>
      </w:pPr>
    </w:p>
    <w:p w:rsidR="008322BD" w:rsidRPr="001C779F" w:rsidRDefault="00656313" w:rsidP="00FC4EFB">
      <w:pPr>
        <w:pStyle w:val="SCCLowerCourtNameLowercase"/>
      </w:pPr>
      <w:r>
        <w:t>o</w:t>
      </w:r>
      <w:r w:rsidR="00170592">
        <w:t>n</w:t>
      </w:r>
      <w:r w:rsidR="00224FC0">
        <w:t xml:space="preserve"> </w:t>
      </w:r>
      <w:r>
        <w:t>a</w:t>
      </w:r>
      <w:r w:rsidR="00170592">
        <w:t>ppeal</w:t>
      </w:r>
      <w:r w:rsidR="00224FC0">
        <w:t xml:space="preserve"> </w:t>
      </w:r>
      <w:r w:rsidR="00170592">
        <w:t>from</w:t>
      </w:r>
      <w:r w:rsidR="009567AA">
        <w:t xml:space="preserve"> the</w:t>
      </w:r>
      <w:r w:rsidR="00224FC0">
        <w:t xml:space="preserve"> </w:t>
      </w:r>
      <w:r w:rsidR="009B57B3">
        <w:t>court of appeal f</w:t>
      </w:r>
      <w:r w:rsidR="00AB6CF1">
        <w:t>or</w:t>
      </w:r>
      <w:r w:rsidR="009B57B3">
        <w:t xml:space="preserve"> new brunswick</w:t>
      </w:r>
    </w:p>
    <w:p w:rsidR="003A4C70" w:rsidRPr="001426A9" w:rsidRDefault="003A4C70" w:rsidP="00FC4EFB">
      <w:pPr>
        <w:pStyle w:val="SCCNormalDoubleSpacing"/>
      </w:pPr>
    </w:p>
    <w:p w:rsidR="00D7151E" w:rsidRDefault="00D7151E" w:rsidP="00FC4EFB">
      <w:pPr>
        <w:pStyle w:val="SCCNormalDoubleSpacing"/>
        <w:rPr>
          <w:i/>
        </w:rPr>
      </w:pPr>
      <w:r>
        <w:tab/>
      </w:r>
      <w:r>
        <w:rPr>
          <w:i/>
        </w:rPr>
        <w:t xml:space="preserve">Criminal law — Trial — Charge to jury — Accused convicted of second degree murder — Meaning of manslaughter not explained to jury — Court of Appeal finding errors in trial judge’s instructions and ordering new trial — Court of Appeal correct in </w:t>
      </w:r>
      <w:r w:rsidR="00E75675">
        <w:rPr>
          <w:i/>
        </w:rPr>
        <w:t>de</w:t>
      </w:r>
      <w:bookmarkStart w:id="0" w:name="_GoBack"/>
      <w:bookmarkEnd w:id="0"/>
      <w:r w:rsidR="00E75675">
        <w:rPr>
          <w:i/>
        </w:rPr>
        <w:t>clining to apply</w:t>
      </w:r>
      <w:r>
        <w:rPr>
          <w:i/>
        </w:rPr>
        <w:t xml:space="preserve"> curative proviso — </w:t>
      </w:r>
      <w:r w:rsidRPr="00D7151E">
        <w:rPr>
          <w:i/>
        </w:rPr>
        <w:t>Criminal Code, R.S.C. 1985, c. C-46</w:t>
      </w:r>
      <w:r>
        <w:rPr>
          <w:i/>
        </w:rPr>
        <w:t xml:space="preserve">, </w:t>
      </w:r>
      <w:r w:rsidRPr="00D7151E">
        <w:rPr>
          <w:i/>
        </w:rPr>
        <w:t>s. 686(1)(b)(iii)</w:t>
      </w:r>
      <w:r>
        <w:rPr>
          <w:i/>
        </w:rPr>
        <w:t>.</w:t>
      </w:r>
    </w:p>
    <w:p w:rsidR="00A149DF" w:rsidRDefault="00D7151E" w:rsidP="00FC4EFB">
      <w:pPr>
        <w:pStyle w:val="SCCNormalDoubleSpacing"/>
      </w:pPr>
      <w:r w:rsidRPr="00D7151E">
        <w:rPr>
          <w:i/>
        </w:rPr>
        <w:t xml:space="preserve">  </w:t>
      </w:r>
    </w:p>
    <w:p w:rsidR="00656313" w:rsidRDefault="009B57B3" w:rsidP="002C21B4">
      <w:pPr>
        <w:pStyle w:val="SCCNormalDoubleSpacing"/>
      </w:pPr>
      <w:r w:rsidRPr="001426A9">
        <w:tab/>
        <w:t xml:space="preserve">APPEAL from a judgment of the </w:t>
      </w:r>
      <w:r w:rsidR="00AB6CF1">
        <w:t xml:space="preserve">New Brunswick </w:t>
      </w:r>
      <w:r>
        <w:t>Court of Appeal</w:t>
      </w:r>
      <w:r w:rsidR="002C21B4">
        <w:t xml:space="preserve"> (Deschênes, Bell and Quigg JJ.A.), </w:t>
      </w:r>
      <w:r w:rsidR="002C21B4" w:rsidRPr="002C21B4">
        <w:t>2015 NBCA 32, 436 N.B.R. (2d) 264, 324 C.C.C. (3d) 452, 1139 A.P.R. 264, [2015] N.B.J. No. 125 (QL), 2015 CarswellNB 233 (WL Can.),</w:t>
      </w:r>
      <w:r w:rsidR="00FB7277">
        <w:t xml:space="preserve"> setting aside </w:t>
      </w:r>
      <w:r w:rsidR="004717A5">
        <w:t>the accused’s</w:t>
      </w:r>
      <w:r w:rsidR="00FB7277">
        <w:t xml:space="preserve"> conviction for second degree murder and ordering a new trial</w:t>
      </w:r>
      <w:r w:rsidR="00AB6CF1">
        <w:t>. Appeal dismissed.</w:t>
      </w:r>
    </w:p>
    <w:p w:rsidR="00656313" w:rsidRDefault="00656313" w:rsidP="00FC4EFB">
      <w:pPr>
        <w:pStyle w:val="SCCNormalDoubleSpacing"/>
      </w:pPr>
    </w:p>
    <w:p w:rsidR="00031E1A" w:rsidRDefault="002C21B4">
      <w:pPr>
        <w:pStyle w:val="SCCNormalDoubleSpacing"/>
      </w:pPr>
      <w:r>
        <w:rPr>
          <w:rStyle w:val="SCCCounselNameChar"/>
          <w:i w:val="0"/>
        </w:rPr>
        <w:tab/>
      </w:r>
      <w:r>
        <w:rPr>
          <w:rStyle w:val="SCCCounselNameChar"/>
        </w:rPr>
        <w:t>Kathryn A. Gregory</w:t>
      </w:r>
      <w:r w:rsidRPr="002C21B4">
        <w:rPr>
          <w:rStyle w:val="SCCCounselNameChar"/>
          <w:i w:val="0"/>
        </w:rPr>
        <w:t xml:space="preserve"> </w:t>
      </w:r>
      <w:r>
        <w:rPr>
          <w:rStyle w:val="SCCCounselSeparatorChar"/>
        </w:rPr>
        <w:t>and</w:t>
      </w:r>
      <w:r w:rsidRPr="002C21B4">
        <w:rPr>
          <w:rStyle w:val="SCCCounselNameChar"/>
          <w:i w:val="0"/>
        </w:rPr>
        <w:t xml:space="preserve"> </w:t>
      </w:r>
      <w:r>
        <w:rPr>
          <w:rStyle w:val="SCCCounselNameChar"/>
        </w:rPr>
        <w:t>Hilary J. </w:t>
      </w:r>
      <w:r w:rsidR="005E6503">
        <w:rPr>
          <w:rStyle w:val="SCCCounselNameChar"/>
        </w:rPr>
        <w:t>A. Drain</w:t>
      </w:r>
      <w:r w:rsidR="005E6503">
        <w:rPr>
          <w:rStyle w:val="SCCCounselPartyRoleChar"/>
        </w:rPr>
        <w:t xml:space="preserve">, </w:t>
      </w:r>
      <w:r w:rsidRPr="002C21B4">
        <w:rPr>
          <w:rStyle w:val="SCCCounselPartyRoleChar"/>
          <w:i/>
        </w:rPr>
        <w:t>Q.C.</w:t>
      </w:r>
      <w:r>
        <w:rPr>
          <w:rStyle w:val="SCCCounselPartyRoleChar"/>
        </w:rPr>
        <w:t xml:space="preserve">, </w:t>
      </w:r>
      <w:r w:rsidR="005E6503">
        <w:rPr>
          <w:rStyle w:val="SCCCounselPartyRoleChar"/>
        </w:rPr>
        <w:t>for the appellant.</w:t>
      </w:r>
    </w:p>
    <w:p w:rsidR="00031E1A" w:rsidRDefault="00031E1A">
      <w:pPr>
        <w:pStyle w:val="SCCNormalDoubleSpacing"/>
      </w:pPr>
    </w:p>
    <w:p w:rsidR="00031E1A" w:rsidRDefault="002C21B4">
      <w:pPr>
        <w:pStyle w:val="SCCNormalDoubleSpacing"/>
      </w:pPr>
      <w:r>
        <w:rPr>
          <w:rStyle w:val="SCCCounselNameChar"/>
          <w:i w:val="0"/>
        </w:rPr>
        <w:lastRenderedPageBreak/>
        <w:tab/>
      </w:r>
      <w:r w:rsidR="005E6503">
        <w:rPr>
          <w:rStyle w:val="SCCCounselNameChar"/>
        </w:rPr>
        <w:t>Margaret Gallagher</w:t>
      </w:r>
      <w:r w:rsidR="005E6503">
        <w:rPr>
          <w:rStyle w:val="SCCCounselPartyRoleChar"/>
        </w:rPr>
        <w:t xml:space="preserve">, </w:t>
      </w:r>
      <w:r w:rsidRPr="002C21B4">
        <w:rPr>
          <w:rStyle w:val="SCCCounselPartyRoleChar"/>
          <w:i/>
        </w:rPr>
        <w:t>Q.C.</w:t>
      </w:r>
      <w:r>
        <w:rPr>
          <w:rStyle w:val="SCCCounselPartyRoleChar"/>
        </w:rPr>
        <w:t xml:space="preserve">, </w:t>
      </w:r>
      <w:r w:rsidR="005E6503">
        <w:rPr>
          <w:rStyle w:val="SCCCounselPartyRoleChar"/>
        </w:rPr>
        <w:t>for the respondent.</w:t>
      </w:r>
    </w:p>
    <w:p w:rsidR="00031E1A" w:rsidRDefault="00031E1A">
      <w:pPr>
        <w:pStyle w:val="SCCNormalDoubleSpacing"/>
      </w:pPr>
    </w:p>
    <w:p w:rsidR="00AB6CF1" w:rsidRDefault="00AB6CF1" w:rsidP="00AB6CF1">
      <w:pPr>
        <w:pStyle w:val="SCCNormalDoubleSpacing"/>
      </w:pPr>
      <w:r>
        <w:tab/>
        <w:t>The judgment of the Court was delivered orally by</w:t>
      </w:r>
    </w:p>
    <w:p w:rsidR="00AB6CF1" w:rsidRDefault="00AB6CF1" w:rsidP="00AB6CF1">
      <w:pPr>
        <w:pStyle w:val="SCCNormalDoubleSpacing"/>
        <w:spacing w:before="480" w:after="480"/>
      </w:pPr>
      <w:r>
        <w:rPr>
          <w:smallCaps/>
          <w:lang w:val="en-US"/>
        </w:rPr>
        <w:t>[1]</w:t>
      </w:r>
      <w:r>
        <w:rPr>
          <w:smallCaps/>
          <w:lang w:val="en-US"/>
        </w:rPr>
        <w:tab/>
        <w:t>Abella</w:t>
      </w:r>
      <w:r>
        <w:rPr>
          <w:smallCaps/>
        </w:rPr>
        <w:t xml:space="preserve"> J.</w:t>
      </w:r>
      <w:r>
        <w:t xml:space="preserve"> — </w:t>
      </w:r>
      <w:r w:rsidRPr="00AB6CF1">
        <w:t>We are all of the view that t</w:t>
      </w:r>
      <w:r>
        <w:t xml:space="preserve">he appeal should be dismissed. </w:t>
      </w:r>
      <w:r w:rsidRPr="00AB6CF1">
        <w:t>The errors of law in connection with the failure to identify the unlawful act and to properly instruct the jury on the elements of manslaughter are such that the curative proviso is inapplicable.</w:t>
      </w:r>
    </w:p>
    <w:p w:rsidR="00AB6CF1" w:rsidRDefault="00AB6CF1" w:rsidP="00AB6CF1">
      <w:pPr>
        <w:pStyle w:val="SCCNormalDoubleSpacing"/>
        <w:spacing w:before="480" w:after="480"/>
      </w:pPr>
      <w:r>
        <w:t>[2]</w:t>
      </w:r>
      <w:r>
        <w:tab/>
      </w:r>
      <w:r w:rsidRPr="00AB6CF1">
        <w:t>The appeal is therefore dismissed.</w:t>
      </w:r>
    </w:p>
    <w:p w:rsidR="009B57B3" w:rsidRDefault="009B57B3" w:rsidP="00FC4EFB">
      <w:pPr>
        <w:pStyle w:val="SCCNormalDoubleSpacing"/>
      </w:pPr>
      <w:r w:rsidRPr="001426A9">
        <w:tab/>
      </w:r>
      <w:r w:rsidR="00AB6CF1">
        <w:rPr>
          <w:i/>
        </w:rPr>
        <w:t>Judgment accordingly.</w:t>
      </w:r>
    </w:p>
    <w:p w:rsidR="00A149DF" w:rsidRPr="001426A9" w:rsidRDefault="00A149DF" w:rsidP="00FC4EFB">
      <w:pPr>
        <w:pStyle w:val="SCCNormalDoubleSpacing"/>
      </w:pPr>
    </w:p>
    <w:p w:rsidR="00031E1A" w:rsidRDefault="005E6503">
      <w:pPr>
        <w:pStyle w:val="SCCLawFirm"/>
      </w:pPr>
      <w:r>
        <w:tab/>
        <w:t xml:space="preserve">Solicitor for the appellant: </w:t>
      </w:r>
      <w:r w:rsidR="002C21B4">
        <w:t xml:space="preserve">Attorney General </w:t>
      </w:r>
      <w:r>
        <w:t>of New Brunswick, Fredericton.</w:t>
      </w:r>
    </w:p>
    <w:p w:rsidR="00031E1A" w:rsidRDefault="00031E1A">
      <w:pPr>
        <w:pStyle w:val="SCCLawFirm"/>
      </w:pPr>
    </w:p>
    <w:p w:rsidR="00031E1A" w:rsidRDefault="005E6503">
      <w:pPr>
        <w:pStyle w:val="SCCLawFirm"/>
      </w:pPr>
      <w:r>
        <w:tab/>
        <w:t>Solicitor for the respondent: New Brunswick Legal Aid Services Commission, Saint John.</w:t>
      </w:r>
    </w:p>
    <w:sectPr w:rsidR="00031E1A" w:rsidSect="000648CC">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35" w:rsidRDefault="00AE4535">
      <w:r>
        <w:separator/>
      </w:r>
    </w:p>
  </w:endnote>
  <w:endnote w:type="continuationSeparator" w:id="0">
    <w:p w:rsidR="00AE4535" w:rsidRDefault="00A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35" w:rsidRDefault="00AE4535">
      <w:r>
        <w:separator/>
      </w:r>
    </w:p>
  </w:footnote>
  <w:footnote w:type="continuationSeparator" w:id="0">
    <w:p w:rsidR="00AE4535" w:rsidRDefault="00AE4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5198"/>
    <w:rsid w:val="00031E1A"/>
    <w:rsid w:val="000578A3"/>
    <w:rsid w:val="000648CC"/>
    <w:rsid w:val="000C59B8"/>
    <w:rsid w:val="000C6AF0"/>
    <w:rsid w:val="000D0C3A"/>
    <w:rsid w:val="00104F33"/>
    <w:rsid w:val="00111DE2"/>
    <w:rsid w:val="00116B38"/>
    <w:rsid w:val="00135406"/>
    <w:rsid w:val="00135972"/>
    <w:rsid w:val="001426A9"/>
    <w:rsid w:val="00154D7C"/>
    <w:rsid w:val="001570B0"/>
    <w:rsid w:val="0015752C"/>
    <w:rsid w:val="00157737"/>
    <w:rsid w:val="00165277"/>
    <w:rsid w:val="00170592"/>
    <w:rsid w:val="00186351"/>
    <w:rsid w:val="00195D83"/>
    <w:rsid w:val="001A00C1"/>
    <w:rsid w:val="001B33E0"/>
    <w:rsid w:val="001B4573"/>
    <w:rsid w:val="001C779F"/>
    <w:rsid w:val="001D2AC1"/>
    <w:rsid w:val="001D4E88"/>
    <w:rsid w:val="00220FC2"/>
    <w:rsid w:val="002222F4"/>
    <w:rsid w:val="00224FC0"/>
    <w:rsid w:val="00225EA4"/>
    <w:rsid w:val="00226EAF"/>
    <w:rsid w:val="00231F3A"/>
    <w:rsid w:val="00234199"/>
    <w:rsid w:val="002406EE"/>
    <w:rsid w:val="00241820"/>
    <w:rsid w:val="00243EC8"/>
    <w:rsid w:val="00270D93"/>
    <w:rsid w:val="002745CC"/>
    <w:rsid w:val="002B7924"/>
    <w:rsid w:val="002C21B4"/>
    <w:rsid w:val="002D28C3"/>
    <w:rsid w:val="002D39A4"/>
    <w:rsid w:val="002E6705"/>
    <w:rsid w:val="00301D08"/>
    <w:rsid w:val="0030329A"/>
    <w:rsid w:val="0031086F"/>
    <w:rsid w:val="0031414C"/>
    <w:rsid w:val="00314E01"/>
    <w:rsid w:val="0032089D"/>
    <w:rsid w:val="003310DE"/>
    <w:rsid w:val="003323B0"/>
    <w:rsid w:val="0035169A"/>
    <w:rsid w:val="0035259D"/>
    <w:rsid w:val="00364B18"/>
    <w:rsid w:val="003A125D"/>
    <w:rsid w:val="003A4C70"/>
    <w:rsid w:val="003B215F"/>
    <w:rsid w:val="003C799C"/>
    <w:rsid w:val="003D0399"/>
    <w:rsid w:val="003E1C71"/>
    <w:rsid w:val="003F327B"/>
    <w:rsid w:val="00406166"/>
    <w:rsid w:val="0040704B"/>
    <w:rsid w:val="00410A55"/>
    <w:rsid w:val="00411300"/>
    <w:rsid w:val="00415417"/>
    <w:rsid w:val="00426659"/>
    <w:rsid w:val="00450352"/>
    <w:rsid w:val="00454BDB"/>
    <w:rsid w:val="00464800"/>
    <w:rsid w:val="00465132"/>
    <w:rsid w:val="004717A5"/>
    <w:rsid w:val="00480C90"/>
    <w:rsid w:val="0048396F"/>
    <w:rsid w:val="00493C18"/>
    <w:rsid w:val="004A600C"/>
    <w:rsid w:val="004A6118"/>
    <w:rsid w:val="004C478D"/>
    <w:rsid w:val="004E2C26"/>
    <w:rsid w:val="004F36FF"/>
    <w:rsid w:val="005125A8"/>
    <w:rsid w:val="00521AE8"/>
    <w:rsid w:val="00527180"/>
    <w:rsid w:val="0054201E"/>
    <w:rsid w:val="00555291"/>
    <w:rsid w:val="00566AD1"/>
    <w:rsid w:val="00583EDE"/>
    <w:rsid w:val="005A6079"/>
    <w:rsid w:val="005C2AFA"/>
    <w:rsid w:val="005E4698"/>
    <w:rsid w:val="005E6503"/>
    <w:rsid w:val="00610539"/>
    <w:rsid w:val="00613969"/>
    <w:rsid w:val="00625C35"/>
    <w:rsid w:val="00656313"/>
    <w:rsid w:val="006565F4"/>
    <w:rsid w:val="00684EEA"/>
    <w:rsid w:val="0069689B"/>
    <w:rsid w:val="006A1551"/>
    <w:rsid w:val="006B5FF5"/>
    <w:rsid w:val="006F30AF"/>
    <w:rsid w:val="00701759"/>
    <w:rsid w:val="00705C15"/>
    <w:rsid w:val="0071600E"/>
    <w:rsid w:val="007208D1"/>
    <w:rsid w:val="00747288"/>
    <w:rsid w:val="00747DD3"/>
    <w:rsid w:val="007549C8"/>
    <w:rsid w:val="00754A0B"/>
    <w:rsid w:val="00766D14"/>
    <w:rsid w:val="00767A0F"/>
    <w:rsid w:val="007A05F6"/>
    <w:rsid w:val="007B6F4A"/>
    <w:rsid w:val="007E1C47"/>
    <w:rsid w:val="007E337A"/>
    <w:rsid w:val="007E5C70"/>
    <w:rsid w:val="007F2FF5"/>
    <w:rsid w:val="007F3F08"/>
    <w:rsid w:val="00804CC6"/>
    <w:rsid w:val="00817190"/>
    <w:rsid w:val="00820EE5"/>
    <w:rsid w:val="008260E2"/>
    <w:rsid w:val="008322BD"/>
    <w:rsid w:val="00833E0A"/>
    <w:rsid w:val="00834F73"/>
    <w:rsid w:val="00864CF8"/>
    <w:rsid w:val="00872819"/>
    <w:rsid w:val="00874914"/>
    <w:rsid w:val="00891422"/>
    <w:rsid w:val="00892E1A"/>
    <w:rsid w:val="008A3F29"/>
    <w:rsid w:val="008B660A"/>
    <w:rsid w:val="008C01DA"/>
    <w:rsid w:val="008F78E9"/>
    <w:rsid w:val="00911989"/>
    <w:rsid w:val="009179F9"/>
    <w:rsid w:val="00933E5E"/>
    <w:rsid w:val="00935218"/>
    <w:rsid w:val="009403F3"/>
    <w:rsid w:val="009555B7"/>
    <w:rsid w:val="009567AA"/>
    <w:rsid w:val="00967374"/>
    <w:rsid w:val="009A343A"/>
    <w:rsid w:val="009B2F23"/>
    <w:rsid w:val="009B57B3"/>
    <w:rsid w:val="009C5B92"/>
    <w:rsid w:val="009D2920"/>
    <w:rsid w:val="009D5AEB"/>
    <w:rsid w:val="009F0E33"/>
    <w:rsid w:val="00A030CE"/>
    <w:rsid w:val="00A149DF"/>
    <w:rsid w:val="00A1755C"/>
    <w:rsid w:val="00A21B90"/>
    <w:rsid w:val="00A41805"/>
    <w:rsid w:val="00A42DCD"/>
    <w:rsid w:val="00A52AFB"/>
    <w:rsid w:val="00A548CB"/>
    <w:rsid w:val="00A5521C"/>
    <w:rsid w:val="00A643E7"/>
    <w:rsid w:val="00A73C38"/>
    <w:rsid w:val="00AB670D"/>
    <w:rsid w:val="00AB6CF1"/>
    <w:rsid w:val="00AE4535"/>
    <w:rsid w:val="00AF03C5"/>
    <w:rsid w:val="00B000D8"/>
    <w:rsid w:val="00B00F75"/>
    <w:rsid w:val="00B145B6"/>
    <w:rsid w:val="00B246C3"/>
    <w:rsid w:val="00B279EB"/>
    <w:rsid w:val="00B50C81"/>
    <w:rsid w:val="00B557F8"/>
    <w:rsid w:val="00B815FC"/>
    <w:rsid w:val="00B93FBC"/>
    <w:rsid w:val="00BA7DA0"/>
    <w:rsid w:val="00BB2EE4"/>
    <w:rsid w:val="00BC2108"/>
    <w:rsid w:val="00BC7D9E"/>
    <w:rsid w:val="00BD0E9E"/>
    <w:rsid w:val="00BD1BEC"/>
    <w:rsid w:val="00BD32FF"/>
    <w:rsid w:val="00C02092"/>
    <w:rsid w:val="00C24D91"/>
    <w:rsid w:val="00C53F14"/>
    <w:rsid w:val="00C600CF"/>
    <w:rsid w:val="00C6084F"/>
    <w:rsid w:val="00C62A66"/>
    <w:rsid w:val="00C71458"/>
    <w:rsid w:val="00C77613"/>
    <w:rsid w:val="00C828E7"/>
    <w:rsid w:val="00C86719"/>
    <w:rsid w:val="00C921DD"/>
    <w:rsid w:val="00CA6391"/>
    <w:rsid w:val="00CC34BD"/>
    <w:rsid w:val="00CE161A"/>
    <w:rsid w:val="00CE3171"/>
    <w:rsid w:val="00CF1601"/>
    <w:rsid w:val="00D0172F"/>
    <w:rsid w:val="00D068A7"/>
    <w:rsid w:val="00D17476"/>
    <w:rsid w:val="00D32086"/>
    <w:rsid w:val="00D37A3F"/>
    <w:rsid w:val="00D4431D"/>
    <w:rsid w:val="00D4667A"/>
    <w:rsid w:val="00D63A1C"/>
    <w:rsid w:val="00D7151E"/>
    <w:rsid w:val="00D7516F"/>
    <w:rsid w:val="00D8579F"/>
    <w:rsid w:val="00D95F8E"/>
    <w:rsid w:val="00DA0590"/>
    <w:rsid w:val="00DB7BEA"/>
    <w:rsid w:val="00DC1739"/>
    <w:rsid w:val="00DC1788"/>
    <w:rsid w:val="00DE319C"/>
    <w:rsid w:val="00DF0CA8"/>
    <w:rsid w:val="00DF2B48"/>
    <w:rsid w:val="00DF49A7"/>
    <w:rsid w:val="00E07EE2"/>
    <w:rsid w:val="00E07FD1"/>
    <w:rsid w:val="00E176D8"/>
    <w:rsid w:val="00E24573"/>
    <w:rsid w:val="00E25E1E"/>
    <w:rsid w:val="00E27EE7"/>
    <w:rsid w:val="00E35404"/>
    <w:rsid w:val="00E45109"/>
    <w:rsid w:val="00E47B7A"/>
    <w:rsid w:val="00E56A44"/>
    <w:rsid w:val="00E60269"/>
    <w:rsid w:val="00E75675"/>
    <w:rsid w:val="00E77932"/>
    <w:rsid w:val="00E97830"/>
    <w:rsid w:val="00EE643C"/>
    <w:rsid w:val="00EF0683"/>
    <w:rsid w:val="00EF69D2"/>
    <w:rsid w:val="00EF766E"/>
    <w:rsid w:val="00F0070C"/>
    <w:rsid w:val="00F00EB7"/>
    <w:rsid w:val="00F36AB6"/>
    <w:rsid w:val="00F37A09"/>
    <w:rsid w:val="00F409CE"/>
    <w:rsid w:val="00F4379D"/>
    <w:rsid w:val="00F50D2D"/>
    <w:rsid w:val="00F56C8B"/>
    <w:rsid w:val="00F66810"/>
    <w:rsid w:val="00F846D9"/>
    <w:rsid w:val="00F84DF4"/>
    <w:rsid w:val="00F85C97"/>
    <w:rsid w:val="00FB37D2"/>
    <w:rsid w:val="00FB7277"/>
    <w:rsid w:val="00FC4EFB"/>
    <w:rsid w:val="00FD068D"/>
    <w:rsid w:val="00FD4F28"/>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table" w:styleId="TableGrid">
    <w:name w:val="Table Grid"/>
    <w:basedOn w:val="TableNormal"/>
    <w:uiPriority w:val="59"/>
    <w:rsid w:val="00B246C3"/>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B246C3"/>
    <w:rPr>
      <w:rFonts w:ascii="Times New Roman" w:hAnsi="Times New Roman"/>
      <w:sz w:val="24"/>
      <w:szCs w:val="24"/>
      <w:lang w:val="en-CA"/>
    </w:rPr>
  </w:style>
  <w:style w:type="paragraph" w:customStyle="1" w:styleId="SCCLsocPrefix">
    <w:name w:val="SCC.Lsoc.Prefix"/>
    <w:basedOn w:val="Normal"/>
    <w:next w:val="Normal"/>
    <w:link w:val="SCCLsocPrefixChar"/>
    <w:rsid w:val="00B246C3"/>
    <w:rPr>
      <w:rFonts w:eastAsiaTheme="minorHAnsi" w:cstheme="minorBidi"/>
      <w:b/>
      <w:smallCaps/>
      <w:szCs w:val="24"/>
      <w:lang w:eastAsia="en-US"/>
    </w:rPr>
  </w:style>
  <w:style w:type="character" w:customStyle="1" w:styleId="SCCLsocPrefixChar">
    <w:name w:val="SCC.Lsoc.Prefix Char"/>
    <w:basedOn w:val="DefaultParagraphFont"/>
    <w:link w:val="SCCLsocPrefix"/>
    <w:rsid w:val="00B246C3"/>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6339">
      <w:bodyDiv w:val="1"/>
      <w:marLeft w:val="0"/>
      <w:marRight w:val="0"/>
      <w:marTop w:val="0"/>
      <w:marBottom w:val="0"/>
      <w:divBdr>
        <w:top w:val="none" w:sz="0" w:space="0" w:color="auto"/>
        <w:left w:val="none" w:sz="0" w:space="0" w:color="auto"/>
        <w:bottom w:val="none" w:sz="0" w:space="0" w:color="auto"/>
        <w:right w:val="none" w:sz="0" w:space="0" w:color="auto"/>
      </w:divBdr>
    </w:div>
    <w:div w:id="14465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2015-12-16T15:22:00Z</dcterms:created>
  <dcterms:modified xsi:type="dcterms:W3CDTF">2024-03-22T13:00:00Z</dcterms:modified>
</cp:coreProperties>
</file>