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A" w:rsidRDefault="00392A0A" w:rsidP="00392A0A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8" o:title=""/>
          </v:shape>
          <o:OLEObject Type="Embed" ProgID="Presentations.Drawing.13" ShapeID="_x0000_i1025" DrawAspect="Content" ObjectID="_1540102851" r:id="rId9"/>
        </w:object>
      </w:r>
      <w:r>
        <w:t xml:space="preserve"> </w:t>
      </w:r>
      <w:r>
        <w:ptab w:relativeTo="margin" w:alignment="right" w:leader="none"/>
      </w:r>
    </w:p>
    <w:p w:rsidR="00392A0A" w:rsidRDefault="00392A0A" w:rsidP="00392A0A">
      <w:pPr>
        <w:pStyle w:val="Header"/>
      </w:pPr>
    </w:p>
    <w:p w:rsidR="00392A0A" w:rsidRPr="006B210C" w:rsidRDefault="00392A0A" w:rsidP="00392A0A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392A0A" w:rsidRDefault="00392A0A" w:rsidP="00392A0A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4446"/>
      </w:tblGrid>
      <w:tr w:rsidR="00392A0A" w:rsidRPr="006B210C" w:rsidTr="002D5228">
        <w:trPr>
          <w:cantSplit/>
        </w:trPr>
        <w:tc>
          <w:tcPr>
            <w:tcW w:w="5130" w:type="dxa"/>
          </w:tcPr>
          <w:p w:rsidR="00392A0A" w:rsidRDefault="00392A0A" w:rsidP="00392A0A">
            <w:pPr>
              <w:ind w:left="-58"/>
            </w:pPr>
            <w:r w:rsidRPr="006B210C">
              <w:rPr>
                <w:b/>
                <w:smallCaps/>
              </w:rPr>
              <w:t>Citation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 w:rsidRPr="009013D3">
              <w:t xml:space="preserve">Canadian Pacific Railway Co. </w:t>
            </w:r>
            <w:r w:rsidRPr="009013D3">
              <w:rPr>
                <w:i/>
              </w:rPr>
              <w:t>v.</w:t>
            </w:r>
            <w:r w:rsidRPr="009013D3">
              <w:t xml:space="preserve"> Canada (Attorney General)</w:t>
            </w:r>
            <w:r>
              <w:t>, 2016 SCC 1, [2016] 1 S.C.R. 6</w:t>
            </w:r>
          </w:p>
          <w:p w:rsidR="00392A0A" w:rsidRPr="006B210C" w:rsidRDefault="00392A0A" w:rsidP="00392A0A">
            <w:pPr>
              <w:ind w:left="-58"/>
            </w:pPr>
          </w:p>
        </w:tc>
        <w:tc>
          <w:tcPr>
            <w:tcW w:w="4446" w:type="dxa"/>
          </w:tcPr>
          <w:p w:rsidR="00392A0A" w:rsidRPr="006B210C" w:rsidRDefault="00392A0A" w:rsidP="002D5228">
            <w:pPr>
              <w:ind w:left="302"/>
            </w:pPr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December 9, 2015</w:t>
            </w:r>
          </w:p>
          <w:p w:rsidR="00392A0A" w:rsidRDefault="00392A0A" w:rsidP="002D5228">
            <w:pPr>
              <w:ind w:left="392" w:hanging="90"/>
            </w:pPr>
            <w:r>
              <w:rPr>
                <w:b/>
                <w:smallCaps/>
              </w:rPr>
              <w:t>Judgment rendered</w:t>
            </w:r>
            <w:r w:rsidRPr="0079323E">
              <w:rPr>
                <w:b/>
                <w:smallCaps/>
              </w:rPr>
              <w:t>:</w:t>
            </w:r>
            <w:r w:rsidRPr="0079323E">
              <w:t xml:space="preserve"> </w:t>
            </w:r>
            <w:r>
              <w:t>January 15</w:t>
            </w:r>
            <w:r w:rsidRPr="00991DB3">
              <w:t>, 2016</w:t>
            </w:r>
          </w:p>
          <w:p w:rsidR="00392A0A" w:rsidRPr="006B210C" w:rsidRDefault="00392A0A" w:rsidP="002D5228">
            <w:pPr>
              <w:ind w:left="302"/>
            </w:pPr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36223</w:t>
            </w:r>
          </w:p>
        </w:tc>
      </w:tr>
    </w:tbl>
    <w:p w:rsidR="00392A0A" w:rsidRDefault="00392A0A" w:rsidP="00392A0A">
      <w:pPr>
        <w:pStyle w:val="SCCLsocPrefix"/>
      </w:pPr>
    </w:p>
    <w:p w:rsidR="00392A0A" w:rsidRDefault="00392A0A" w:rsidP="00392A0A">
      <w:pPr>
        <w:pStyle w:val="SCCLsocPrefix"/>
      </w:pPr>
    </w:p>
    <w:p w:rsidR="00392A0A" w:rsidRDefault="00392A0A" w:rsidP="00392A0A">
      <w:pPr>
        <w:pStyle w:val="SCCLsocPrefix"/>
      </w:pPr>
      <w:bookmarkStart w:id="0" w:name="_GoBack"/>
      <w:bookmarkEnd w:id="0"/>
      <w:r>
        <w:t>Between:</w:t>
      </w:r>
    </w:p>
    <w:p w:rsidR="00392A0A" w:rsidRDefault="00392A0A" w:rsidP="006B4804">
      <w:pPr>
        <w:pStyle w:val="SCCLsocParty"/>
        <w:jc w:val="center"/>
      </w:pPr>
      <w:r>
        <w:t>Canadian Pacific Railway Company</w:t>
      </w:r>
    </w:p>
    <w:p w:rsidR="00392A0A" w:rsidRDefault="00392A0A" w:rsidP="006B4804">
      <w:pPr>
        <w:jc w:val="center"/>
      </w:pPr>
      <w:r>
        <w:t>Appellant</w:t>
      </w:r>
    </w:p>
    <w:p w:rsidR="007433CC" w:rsidRDefault="007433CC" w:rsidP="006B4804">
      <w:pPr>
        <w:jc w:val="center"/>
      </w:pPr>
    </w:p>
    <w:p w:rsidR="00392A0A" w:rsidRPr="00392A0A" w:rsidRDefault="00392A0A" w:rsidP="006B4804">
      <w:pPr>
        <w:pStyle w:val="SCCLsocVersus"/>
        <w:spacing w:after="0"/>
        <w:jc w:val="center"/>
        <w:rPr>
          <w:i w:val="0"/>
        </w:rPr>
      </w:pPr>
      <w:proofErr w:type="gramStart"/>
      <w:r w:rsidRPr="00392A0A">
        <w:rPr>
          <w:i w:val="0"/>
        </w:rPr>
        <w:t>and</w:t>
      </w:r>
      <w:proofErr w:type="gramEnd"/>
    </w:p>
    <w:p w:rsidR="00392A0A" w:rsidRPr="00A02B68" w:rsidRDefault="00392A0A" w:rsidP="006B4804">
      <w:pPr>
        <w:jc w:val="center"/>
      </w:pPr>
    </w:p>
    <w:p w:rsidR="00392A0A" w:rsidRDefault="00392A0A" w:rsidP="006B4804">
      <w:pPr>
        <w:pStyle w:val="SCCLsocParty"/>
        <w:jc w:val="center"/>
      </w:pPr>
      <w:r>
        <w:t>Attorney General of Canada and Canadian Transportation Agency</w:t>
      </w:r>
    </w:p>
    <w:p w:rsidR="00392A0A" w:rsidRDefault="00392A0A" w:rsidP="006B4804">
      <w:pPr>
        <w:jc w:val="center"/>
      </w:pPr>
      <w:r>
        <w:t>Respondents</w:t>
      </w:r>
    </w:p>
    <w:p w:rsidR="00392A0A" w:rsidRDefault="00392A0A" w:rsidP="006B4804">
      <w:pPr>
        <w:jc w:val="center"/>
      </w:pPr>
    </w:p>
    <w:p w:rsidR="00392A0A" w:rsidRDefault="00392A0A" w:rsidP="006B4804">
      <w:pPr>
        <w:pStyle w:val="SCCLsocOtherPartySeparator"/>
        <w:spacing w:after="0"/>
        <w:jc w:val="center"/>
      </w:pPr>
      <w:r>
        <w:t xml:space="preserve">- </w:t>
      </w:r>
      <w:proofErr w:type="gramStart"/>
      <w:r>
        <w:t>and</w:t>
      </w:r>
      <w:proofErr w:type="gramEnd"/>
      <w:r>
        <w:t xml:space="preserve"> –</w:t>
      </w:r>
    </w:p>
    <w:p w:rsidR="00392A0A" w:rsidRPr="00A02B68" w:rsidRDefault="00392A0A" w:rsidP="006B4804">
      <w:pPr>
        <w:jc w:val="center"/>
      </w:pPr>
    </w:p>
    <w:p w:rsidR="00392A0A" w:rsidRDefault="00392A0A" w:rsidP="006B4804">
      <w:pPr>
        <w:pStyle w:val="SCCLsocParty"/>
        <w:jc w:val="center"/>
      </w:pPr>
      <w:r>
        <w:t>Railway Association of Canada</w:t>
      </w:r>
    </w:p>
    <w:p w:rsidR="00392A0A" w:rsidRDefault="00392A0A" w:rsidP="006B4804">
      <w:pPr>
        <w:jc w:val="center"/>
      </w:pPr>
      <w:r>
        <w:t>Intervener</w:t>
      </w:r>
    </w:p>
    <w:p w:rsidR="00392A0A" w:rsidRDefault="00392A0A" w:rsidP="006B4804">
      <w:pPr>
        <w:jc w:val="center"/>
      </w:pPr>
    </w:p>
    <w:p w:rsidR="00392A0A" w:rsidRDefault="00392A0A" w:rsidP="006B4804">
      <w:pPr>
        <w:pStyle w:val="SCCRestrictionOnPublicationText"/>
        <w:jc w:val="center"/>
      </w:pPr>
    </w:p>
    <w:p w:rsidR="00392A0A" w:rsidRPr="006B210C" w:rsidRDefault="00392A0A" w:rsidP="00392A0A"/>
    <w:p w:rsidR="00392A0A" w:rsidRPr="006B210C" w:rsidRDefault="00392A0A" w:rsidP="00392A0A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proofErr w:type="spellStart"/>
      <w:r>
        <w:t>McLachlin</w:t>
      </w:r>
      <w:proofErr w:type="spellEnd"/>
      <w:r>
        <w:t xml:space="preserve"> C.J. and </w:t>
      </w:r>
      <w:proofErr w:type="spellStart"/>
      <w:r>
        <w:t>Abella</w:t>
      </w:r>
      <w:proofErr w:type="spellEnd"/>
      <w:r>
        <w:t xml:space="preserve">, Cromwell,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Wagner, </w:t>
      </w:r>
      <w:proofErr w:type="spellStart"/>
      <w:r>
        <w:t>Gascon</w:t>
      </w:r>
      <w:proofErr w:type="spellEnd"/>
      <w:r>
        <w:t xml:space="preserve">, </w:t>
      </w:r>
      <w:proofErr w:type="spellStart"/>
      <w:r>
        <w:t>Côté</w:t>
      </w:r>
      <w:proofErr w:type="spellEnd"/>
      <w:r>
        <w:t xml:space="preserve"> and Brown JJ.</w:t>
      </w:r>
    </w:p>
    <w:p w:rsidR="00392A0A" w:rsidRPr="006B210C" w:rsidRDefault="00392A0A" w:rsidP="00392A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392A0A" w:rsidRPr="006B210C" w:rsidTr="002D5228">
        <w:trPr>
          <w:cantSplit/>
        </w:trPr>
        <w:tc>
          <w:tcPr>
            <w:tcW w:w="3618" w:type="dxa"/>
          </w:tcPr>
          <w:p w:rsidR="00392A0A" w:rsidRDefault="00392A0A" w:rsidP="002D5228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 Judgment</w:t>
            </w:r>
            <w:r>
              <w:rPr>
                <w:b/>
                <w:smallCaps/>
              </w:rPr>
              <w:t>:</w:t>
            </w:r>
          </w:p>
          <w:p w:rsidR="00392A0A" w:rsidRPr="006B210C" w:rsidRDefault="00392A0A" w:rsidP="002D5228">
            <w:r>
              <w:t xml:space="preserve">(paras. 1 to </w:t>
            </w:r>
            <w:r w:rsidRPr="00ED4D2E">
              <w:t>4</w:t>
            </w:r>
            <w:r>
              <w:t>)</w:t>
            </w:r>
          </w:p>
        </w:tc>
        <w:tc>
          <w:tcPr>
            <w:tcW w:w="5958" w:type="dxa"/>
          </w:tcPr>
          <w:p w:rsidR="00392A0A" w:rsidRPr="006B210C" w:rsidRDefault="00392A0A" w:rsidP="002D5228">
            <w:r>
              <w:t>The Court</w:t>
            </w:r>
          </w:p>
        </w:tc>
      </w:tr>
    </w:tbl>
    <w:p w:rsidR="00392A0A" w:rsidRDefault="00392A0A" w:rsidP="00392A0A"/>
    <w:p w:rsidR="00392A0A" w:rsidRPr="006B210C" w:rsidRDefault="00392A0A" w:rsidP="00392A0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A385D" wp14:editId="1AF11976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D7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To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pnmcxw85RvSqi0hxddTGus9cDcgLJbbOENF2rlJSQuOVSUIYcni2&#10;ztMixdXBR5VqI/o+9L+XaCzxIk/z4GBVL5hXejNr2l3VG3QgfoLCF3IEzb2ZUXvJAljHCVtfZEdE&#10;f5YheC89HiQGdC7SeUR+LOLFer6eZ5Msna0nWVzXk6dNlU1mm+Qhrz/VVVUnPz21JCs6wRiXnt11&#10;XJPs78bhsjjnQbsN7K0M0Xv0UC8ge/0H0qGzvpnnsdgpdtqaa8dhQoPxZZv8CtzfQb7f+dUvAA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xBm06B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392A0A" w:rsidRPr="00392A0A" w:rsidRDefault="00392A0A" w:rsidP="00DC00E2">
      <w:pPr>
        <w:rPr>
          <w:szCs w:val="24"/>
        </w:rPr>
      </w:pPr>
    </w:p>
    <w:p w:rsidR="00DC00E2" w:rsidRPr="00392A0A" w:rsidRDefault="00DC00E2" w:rsidP="00DC00E2">
      <w:pPr>
        <w:rPr>
          <w:szCs w:val="24"/>
          <w:lang w:val="en-US"/>
        </w:rPr>
      </w:pPr>
    </w:p>
    <w:p w:rsidR="008322BD" w:rsidRPr="004C0520" w:rsidRDefault="004C0520" w:rsidP="00127556">
      <w:pPr>
        <w:widowControl w:val="0"/>
        <w:spacing w:after="720"/>
        <w:jc w:val="both"/>
      </w:pPr>
      <w:r>
        <w:t>Canadian P</w:t>
      </w:r>
      <w:r w:rsidR="00331185" w:rsidRPr="004C0520">
        <w:t>acific</w:t>
      </w:r>
      <w:r>
        <w:t xml:space="preserve"> Railway</w:t>
      </w:r>
      <w:r w:rsidR="00480C90" w:rsidRPr="004C0520">
        <w:t xml:space="preserve"> </w:t>
      </w:r>
      <w:r w:rsidR="00D1533F">
        <w:t xml:space="preserve">Co. </w:t>
      </w:r>
      <w:r w:rsidR="009B57B3" w:rsidRPr="004C0520">
        <w:rPr>
          <w:i/>
        </w:rPr>
        <w:t>v.</w:t>
      </w:r>
      <w:r w:rsidR="00B000D8" w:rsidRPr="004C0520">
        <w:t xml:space="preserve"> </w:t>
      </w:r>
      <w:r>
        <w:t>Canada (Attorney G</w:t>
      </w:r>
      <w:r w:rsidRPr="004C0520">
        <w:t>eneral</w:t>
      </w:r>
      <w:r w:rsidR="00331185" w:rsidRPr="004C0520">
        <w:t>)</w:t>
      </w:r>
      <w:r>
        <w:t>, 2016 SCC 1, [2016] 1 S.C.R. 6</w:t>
      </w:r>
    </w:p>
    <w:p w:rsidR="0046402A" w:rsidRPr="000572CA" w:rsidRDefault="00FE2E3E" w:rsidP="00127556">
      <w:pPr>
        <w:pStyle w:val="SCCLsocLastPartyInRole"/>
        <w:widowControl w:val="0"/>
      </w:pPr>
      <w:r w:rsidRPr="000572CA">
        <w:t>Canadian Pacific Railway Company</w:t>
      </w:r>
      <w:r w:rsidRPr="000572CA">
        <w:rPr>
          <w:rStyle w:val="SCCLsocPartyRole"/>
        </w:rPr>
        <w:tab/>
        <w:t>Appellant</w:t>
      </w:r>
    </w:p>
    <w:p w:rsidR="0046402A" w:rsidRPr="000572CA" w:rsidRDefault="00FE2E3E" w:rsidP="00127556">
      <w:pPr>
        <w:pStyle w:val="SCCLsocVersus"/>
        <w:widowControl w:val="0"/>
      </w:pPr>
      <w:proofErr w:type="gramStart"/>
      <w:r w:rsidRPr="000572CA">
        <w:t>v</w:t>
      </w:r>
      <w:proofErr w:type="gramEnd"/>
      <w:r w:rsidRPr="000572CA">
        <w:t>.</w:t>
      </w:r>
    </w:p>
    <w:p w:rsidR="0046402A" w:rsidRPr="000572CA" w:rsidRDefault="00331185" w:rsidP="00127556">
      <w:pPr>
        <w:pStyle w:val="SCCLsocParty"/>
        <w:widowControl w:val="0"/>
      </w:pPr>
      <w:r w:rsidRPr="000572CA">
        <w:t>Attorney General of Canada and</w:t>
      </w:r>
    </w:p>
    <w:p w:rsidR="0046402A" w:rsidRPr="000572CA" w:rsidRDefault="00FE2E3E" w:rsidP="00127556">
      <w:pPr>
        <w:pStyle w:val="SCCLsocLastPartyInRole"/>
        <w:widowControl w:val="0"/>
      </w:pPr>
      <w:r w:rsidRPr="000572CA">
        <w:t>Canadian Transportation Agency</w:t>
      </w:r>
      <w:r w:rsidRPr="000572CA">
        <w:rPr>
          <w:rStyle w:val="SCCLsocPartyRole"/>
        </w:rPr>
        <w:tab/>
        <w:t>Respondents</w:t>
      </w:r>
    </w:p>
    <w:p w:rsidR="0046402A" w:rsidRPr="000572CA" w:rsidRDefault="00FE2E3E" w:rsidP="00127556">
      <w:pPr>
        <w:pStyle w:val="SCCLsocOtherPartySeparator"/>
        <w:widowControl w:val="0"/>
      </w:pPr>
      <w:proofErr w:type="gramStart"/>
      <w:r w:rsidRPr="000572CA">
        <w:t>and</w:t>
      </w:r>
      <w:proofErr w:type="gramEnd"/>
    </w:p>
    <w:p w:rsidR="0046402A" w:rsidRPr="000572CA" w:rsidRDefault="00FE2E3E" w:rsidP="00127556">
      <w:pPr>
        <w:pStyle w:val="SCCLsocLastPartyInRole"/>
        <w:widowControl w:val="0"/>
      </w:pPr>
      <w:r w:rsidRPr="000572CA">
        <w:t>Railway Association of Canada</w:t>
      </w:r>
      <w:r w:rsidRPr="000572CA">
        <w:rPr>
          <w:rStyle w:val="SCCLsocPartyRole"/>
        </w:rPr>
        <w:tab/>
        <w:t>Intervener</w:t>
      </w:r>
    </w:p>
    <w:p w:rsidR="00426659" w:rsidRPr="000572CA" w:rsidRDefault="00426659" w:rsidP="00127556">
      <w:pPr>
        <w:widowControl w:val="0"/>
        <w:spacing w:after="720"/>
        <w:jc w:val="both"/>
        <w:rPr>
          <w:b/>
        </w:rPr>
      </w:pPr>
      <w:r w:rsidRPr="000572CA">
        <w:rPr>
          <w:b/>
        </w:rPr>
        <w:t xml:space="preserve">Indexed as: </w:t>
      </w:r>
      <w:r w:rsidR="00331185" w:rsidRPr="000572CA">
        <w:rPr>
          <w:b/>
        </w:rPr>
        <w:t xml:space="preserve"> Canadian Pacific Railway Co.</w:t>
      </w:r>
      <w:r w:rsidRPr="000572CA">
        <w:rPr>
          <w:b/>
        </w:rPr>
        <w:t xml:space="preserve"> </w:t>
      </w:r>
      <w:r w:rsidRPr="000572CA">
        <w:rPr>
          <w:b/>
          <w:i/>
        </w:rPr>
        <w:t>v.</w:t>
      </w:r>
      <w:r w:rsidRPr="000572CA">
        <w:rPr>
          <w:b/>
        </w:rPr>
        <w:t xml:space="preserve"> </w:t>
      </w:r>
      <w:r w:rsidR="00331185" w:rsidRPr="000572CA">
        <w:rPr>
          <w:b/>
        </w:rPr>
        <w:t>Canada (Attorney General)</w:t>
      </w:r>
    </w:p>
    <w:p w:rsidR="00426659" w:rsidRPr="000572CA" w:rsidRDefault="000724FB" w:rsidP="00127556">
      <w:pPr>
        <w:pStyle w:val="SCCSystemYear"/>
        <w:widowControl w:val="0"/>
        <w:spacing w:after="720"/>
        <w:jc w:val="both"/>
      </w:pPr>
      <w:r w:rsidRPr="000572CA">
        <w:t>2016</w:t>
      </w:r>
      <w:r w:rsidR="003D0399" w:rsidRPr="000572CA">
        <w:t xml:space="preserve"> </w:t>
      </w:r>
      <w:r w:rsidR="00426659" w:rsidRPr="000572CA">
        <w:t>SCC </w:t>
      </w:r>
      <w:r w:rsidR="00F2710A">
        <w:t>1</w:t>
      </w:r>
    </w:p>
    <w:p w:rsidR="008322BD" w:rsidRPr="000572CA" w:rsidRDefault="00A26AD7" w:rsidP="00127556">
      <w:pPr>
        <w:widowControl w:val="0"/>
        <w:spacing w:after="720"/>
        <w:jc w:val="both"/>
      </w:pPr>
      <w:r w:rsidRPr="000572CA">
        <w:t xml:space="preserve">File No.: </w:t>
      </w:r>
      <w:r w:rsidR="009B57B3" w:rsidRPr="000572CA">
        <w:t>36223.</w:t>
      </w:r>
    </w:p>
    <w:p w:rsidR="008322BD" w:rsidRPr="000572CA" w:rsidRDefault="00A26AD7" w:rsidP="00127556">
      <w:pPr>
        <w:widowControl w:val="0"/>
        <w:spacing w:after="720"/>
        <w:jc w:val="both"/>
      </w:pPr>
      <w:r w:rsidRPr="000572CA">
        <w:t>2015:</w:t>
      </w:r>
      <w:r w:rsidR="008F1D51" w:rsidRPr="000572CA">
        <w:t> </w:t>
      </w:r>
      <w:r w:rsidR="00AA0415">
        <w:t> </w:t>
      </w:r>
      <w:r w:rsidR="008F1D51" w:rsidRPr="000572CA">
        <w:t>December </w:t>
      </w:r>
      <w:r w:rsidR="00AE4535" w:rsidRPr="000572CA">
        <w:t>9</w:t>
      </w:r>
      <w:r w:rsidR="009B57B3" w:rsidRPr="000572CA">
        <w:t xml:space="preserve">; </w:t>
      </w:r>
      <w:r w:rsidR="00497D2D" w:rsidRPr="000572CA">
        <w:t>2016: </w:t>
      </w:r>
      <w:r w:rsidR="00AA0415">
        <w:t> </w:t>
      </w:r>
      <w:r w:rsidR="00AF4694" w:rsidRPr="000572CA">
        <w:t>January 15</w:t>
      </w:r>
      <w:r w:rsidR="009B57B3" w:rsidRPr="000572CA">
        <w:t>.</w:t>
      </w:r>
    </w:p>
    <w:p w:rsidR="008322BD" w:rsidRPr="000572CA" w:rsidRDefault="00A26AD7" w:rsidP="00127556">
      <w:pPr>
        <w:widowControl w:val="0"/>
        <w:spacing w:after="720"/>
        <w:jc w:val="both"/>
      </w:pPr>
      <w:r w:rsidRPr="000572CA">
        <w:t xml:space="preserve">Present: </w:t>
      </w:r>
      <w:proofErr w:type="spellStart"/>
      <w:r w:rsidR="009B57B3" w:rsidRPr="000572CA">
        <w:t>McLachlin</w:t>
      </w:r>
      <w:proofErr w:type="spellEnd"/>
      <w:r w:rsidR="009B57B3" w:rsidRPr="000572CA">
        <w:t xml:space="preserve"> C.J. and </w:t>
      </w:r>
      <w:proofErr w:type="spellStart"/>
      <w:r w:rsidR="009B57B3" w:rsidRPr="000572CA">
        <w:t>Abella</w:t>
      </w:r>
      <w:proofErr w:type="spellEnd"/>
      <w:r w:rsidR="009B57B3" w:rsidRPr="000572CA">
        <w:t xml:space="preserve">, Cromwell, </w:t>
      </w:r>
      <w:proofErr w:type="spellStart"/>
      <w:r w:rsidR="009B57B3" w:rsidRPr="000572CA">
        <w:t>Moldaver</w:t>
      </w:r>
      <w:proofErr w:type="spellEnd"/>
      <w:r w:rsidR="009B57B3" w:rsidRPr="000572CA">
        <w:t xml:space="preserve">, </w:t>
      </w:r>
      <w:proofErr w:type="spellStart"/>
      <w:r w:rsidR="009B57B3" w:rsidRPr="000572CA">
        <w:t>Karakatsanis</w:t>
      </w:r>
      <w:proofErr w:type="spellEnd"/>
      <w:r w:rsidR="009B57B3" w:rsidRPr="000572CA">
        <w:t xml:space="preserve">, Wagner, </w:t>
      </w:r>
      <w:proofErr w:type="spellStart"/>
      <w:r w:rsidR="009B57B3" w:rsidRPr="000572CA">
        <w:t>Gascon</w:t>
      </w:r>
      <w:proofErr w:type="spellEnd"/>
      <w:r w:rsidR="009B57B3" w:rsidRPr="000572CA">
        <w:t xml:space="preserve">, </w:t>
      </w:r>
      <w:proofErr w:type="spellStart"/>
      <w:r w:rsidR="009B57B3" w:rsidRPr="000572CA">
        <w:t>Côté</w:t>
      </w:r>
      <w:proofErr w:type="spellEnd"/>
      <w:r w:rsidR="009B57B3" w:rsidRPr="000572CA">
        <w:t xml:space="preserve"> and Brown JJ.</w:t>
      </w:r>
    </w:p>
    <w:p w:rsidR="008322BD" w:rsidRPr="000572CA" w:rsidRDefault="00656313" w:rsidP="00127556">
      <w:pPr>
        <w:pStyle w:val="SCCLowerCourtNameLowercase"/>
        <w:widowControl w:val="0"/>
        <w:spacing w:after="720" w:line="240" w:lineRule="auto"/>
      </w:pPr>
      <w:r w:rsidRPr="000572CA">
        <w:t>o</w:t>
      </w:r>
      <w:r w:rsidR="00170592" w:rsidRPr="000572CA">
        <w:t>n</w:t>
      </w:r>
      <w:r w:rsidR="00224FC0" w:rsidRPr="000572CA">
        <w:t xml:space="preserve"> </w:t>
      </w:r>
      <w:r w:rsidRPr="000572CA">
        <w:t>a</w:t>
      </w:r>
      <w:r w:rsidR="00170592" w:rsidRPr="000572CA">
        <w:t>ppeal</w:t>
      </w:r>
      <w:r w:rsidR="00224FC0" w:rsidRPr="000572CA">
        <w:t xml:space="preserve"> </w:t>
      </w:r>
      <w:r w:rsidR="00170592" w:rsidRPr="000572CA">
        <w:t>from</w:t>
      </w:r>
      <w:r w:rsidR="009567AA" w:rsidRPr="000572CA">
        <w:t xml:space="preserve"> the</w:t>
      </w:r>
      <w:r w:rsidR="00224FC0" w:rsidRPr="000572CA">
        <w:t xml:space="preserve"> </w:t>
      </w:r>
      <w:r w:rsidR="009B57B3" w:rsidRPr="000572CA">
        <w:t>federal court of appeal</w:t>
      </w:r>
    </w:p>
    <w:p w:rsidR="008322BD" w:rsidRPr="000572CA" w:rsidRDefault="00F24F9F" w:rsidP="00127556">
      <w:pPr>
        <w:pStyle w:val="SCCNormalDoubleSpacing"/>
        <w:widowControl w:val="0"/>
        <w:spacing w:before="480" w:after="480"/>
        <w:rPr>
          <w:i/>
          <w:lang w:val="en-US"/>
        </w:rPr>
      </w:pPr>
      <w:r w:rsidRPr="000572CA">
        <w:tab/>
      </w:r>
      <w:r w:rsidR="00D8576D" w:rsidRPr="000572CA">
        <w:rPr>
          <w:i/>
        </w:rPr>
        <w:t xml:space="preserve">Administrative law — </w:t>
      </w:r>
      <w:r w:rsidR="009B013C" w:rsidRPr="000572CA">
        <w:rPr>
          <w:i/>
        </w:rPr>
        <w:t>Boards and tribunals — Regulatory board</w:t>
      </w:r>
      <w:r w:rsidR="00004DB4" w:rsidRPr="000572CA">
        <w:rPr>
          <w:i/>
        </w:rPr>
        <w:t xml:space="preserve">s — Canadian Transportation Agency — </w:t>
      </w:r>
      <w:r w:rsidRPr="000572CA">
        <w:rPr>
          <w:i/>
        </w:rPr>
        <w:t>Transportation law — Railways</w:t>
      </w:r>
      <w:r w:rsidR="00D8576D" w:rsidRPr="000572CA">
        <w:rPr>
          <w:i/>
        </w:rPr>
        <w:t xml:space="preserve"> —</w:t>
      </w:r>
      <w:r w:rsidR="009B013C" w:rsidRPr="000572CA">
        <w:rPr>
          <w:i/>
        </w:rPr>
        <w:t xml:space="preserve"> </w:t>
      </w:r>
      <w:r w:rsidR="001364FC" w:rsidRPr="000572CA">
        <w:rPr>
          <w:i/>
        </w:rPr>
        <w:t xml:space="preserve">Regulatory </w:t>
      </w:r>
      <w:r w:rsidR="009B013C" w:rsidRPr="000572CA">
        <w:rPr>
          <w:i/>
        </w:rPr>
        <w:t>process</w:t>
      </w:r>
      <w:r w:rsidR="001364FC" w:rsidRPr="000572CA">
        <w:rPr>
          <w:i/>
        </w:rPr>
        <w:t xml:space="preserve"> </w:t>
      </w:r>
      <w:r w:rsidR="00B82CA6" w:rsidRPr="000572CA">
        <w:rPr>
          <w:i/>
        </w:rPr>
        <w:t>—</w:t>
      </w:r>
      <w:r w:rsidR="007F1791" w:rsidRPr="000572CA">
        <w:rPr>
          <w:i/>
        </w:rPr>
        <w:t xml:space="preserve"> </w:t>
      </w:r>
      <w:r w:rsidR="00B82CA6" w:rsidRPr="000572CA">
        <w:rPr>
          <w:i/>
        </w:rPr>
        <w:t>P</w:t>
      </w:r>
      <w:r w:rsidR="00F87617" w:rsidRPr="000572CA">
        <w:rPr>
          <w:i/>
        </w:rPr>
        <w:t xml:space="preserve">resumption </w:t>
      </w:r>
      <w:r w:rsidR="00D8576D" w:rsidRPr="000572CA">
        <w:rPr>
          <w:i/>
        </w:rPr>
        <w:t xml:space="preserve">Agency acted properly in amending </w:t>
      </w:r>
      <w:r w:rsidR="00004DB4" w:rsidRPr="000572CA">
        <w:rPr>
          <w:i/>
        </w:rPr>
        <w:t xml:space="preserve">rail </w:t>
      </w:r>
      <w:r w:rsidR="00D8576D" w:rsidRPr="000572CA">
        <w:rPr>
          <w:i/>
        </w:rPr>
        <w:t xml:space="preserve">regulations </w:t>
      </w:r>
      <w:r w:rsidR="00B82CA6" w:rsidRPr="000572CA">
        <w:rPr>
          <w:i/>
        </w:rPr>
        <w:t>— No facts adduced rebutting presumption</w:t>
      </w:r>
      <w:r w:rsidR="00004DB4" w:rsidRPr="000572CA">
        <w:rPr>
          <w:i/>
        </w:rPr>
        <w:t xml:space="preserve"> </w:t>
      </w:r>
      <w:r w:rsidR="00D33507" w:rsidRPr="000572CA">
        <w:rPr>
          <w:i/>
        </w:rPr>
        <w:t xml:space="preserve">— Regulations Amending the Railway </w:t>
      </w:r>
      <w:proofErr w:type="spellStart"/>
      <w:r w:rsidR="00D33507" w:rsidRPr="000572CA">
        <w:rPr>
          <w:i/>
        </w:rPr>
        <w:t>Interswitching</w:t>
      </w:r>
      <w:proofErr w:type="spellEnd"/>
      <w:r w:rsidR="00D33507" w:rsidRPr="000572CA">
        <w:rPr>
          <w:i/>
        </w:rPr>
        <w:t xml:space="preserve"> Regulations, SOR/2014</w:t>
      </w:r>
      <w:r w:rsidR="008F1D51" w:rsidRPr="000572CA">
        <w:rPr>
          <w:i/>
        </w:rPr>
        <w:noBreakHyphen/>
      </w:r>
      <w:r w:rsidR="00D33507" w:rsidRPr="000572CA">
        <w:rPr>
          <w:i/>
        </w:rPr>
        <w:t>193.</w:t>
      </w:r>
    </w:p>
    <w:p w:rsidR="008322BD" w:rsidRPr="000572CA" w:rsidRDefault="005A3A48" w:rsidP="00127556">
      <w:pPr>
        <w:pStyle w:val="SCCNormalDoubleSpacing"/>
        <w:widowControl w:val="0"/>
        <w:spacing w:before="480" w:after="480"/>
      </w:pPr>
      <w:r w:rsidRPr="000572CA">
        <w:tab/>
      </w:r>
      <w:r w:rsidR="009B57B3" w:rsidRPr="000572CA">
        <w:rPr>
          <w:i/>
        </w:rPr>
        <w:t>Held</w:t>
      </w:r>
      <w:r w:rsidR="009B57B3" w:rsidRPr="001817F5">
        <w:t>:</w:t>
      </w:r>
      <w:r w:rsidR="00A26AD7" w:rsidRPr="001817F5">
        <w:t xml:space="preserve"> </w:t>
      </w:r>
      <w:r w:rsidR="009B57B3" w:rsidRPr="000572CA">
        <w:t>The appeal should be</w:t>
      </w:r>
      <w:r w:rsidRPr="000572CA">
        <w:t xml:space="preserve"> dismissed.</w:t>
      </w:r>
    </w:p>
    <w:p w:rsidR="003B215F" w:rsidRPr="000572CA" w:rsidRDefault="002E6705" w:rsidP="00127556">
      <w:pPr>
        <w:pStyle w:val="SCCNormalDoubleSpacing"/>
        <w:widowControl w:val="0"/>
        <w:spacing w:after="720" w:line="240" w:lineRule="auto"/>
      </w:pPr>
      <w:r w:rsidRPr="000572CA">
        <w:rPr>
          <w:b/>
        </w:rPr>
        <w:t>Statutes and Regulations Cite</w:t>
      </w:r>
      <w:r w:rsidR="00A41805" w:rsidRPr="000572CA">
        <w:rPr>
          <w:b/>
        </w:rPr>
        <w:t>d</w:t>
      </w:r>
    </w:p>
    <w:p w:rsidR="00AA0415" w:rsidRDefault="00AA0415" w:rsidP="00127556">
      <w:pPr>
        <w:pStyle w:val="SCCNormalDoubleSpacing"/>
        <w:widowControl w:val="0"/>
        <w:spacing w:after="240" w:line="240" w:lineRule="auto"/>
        <w:ind w:left="547" w:hanging="547"/>
        <w:rPr>
          <w:szCs w:val="24"/>
        </w:rPr>
      </w:pPr>
      <w:r w:rsidRPr="000572CA">
        <w:rPr>
          <w:i/>
          <w:szCs w:val="24"/>
        </w:rPr>
        <w:t>Canada Transportation Act</w:t>
      </w:r>
      <w:r w:rsidRPr="000572CA">
        <w:rPr>
          <w:szCs w:val="24"/>
        </w:rPr>
        <w:t>, S.C. 1996, c. 10.</w:t>
      </w:r>
    </w:p>
    <w:p w:rsidR="00AA0415" w:rsidRDefault="00AA0415" w:rsidP="00127556">
      <w:pPr>
        <w:pStyle w:val="SCCNormalDoubleSpacing"/>
        <w:widowControl w:val="0"/>
        <w:spacing w:after="240" w:line="240" w:lineRule="auto"/>
        <w:ind w:left="547" w:hanging="547"/>
        <w:rPr>
          <w:szCs w:val="24"/>
        </w:rPr>
      </w:pPr>
      <w:r w:rsidRPr="000572CA">
        <w:rPr>
          <w:i/>
          <w:szCs w:val="24"/>
        </w:rPr>
        <w:t>Fair Rail for Grain Farmers Act</w:t>
      </w:r>
      <w:r w:rsidRPr="000572CA">
        <w:rPr>
          <w:szCs w:val="24"/>
        </w:rPr>
        <w:t>, S.C. 2014, c. 8</w:t>
      </w:r>
      <w:r w:rsidR="001817F5">
        <w:rPr>
          <w:szCs w:val="24"/>
        </w:rPr>
        <w:t>.</w:t>
      </w:r>
    </w:p>
    <w:p w:rsidR="00AA0415" w:rsidRPr="000572CA" w:rsidRDefault="00AA0415" w:rsidP="00127556">
      <w:pPr>
        <w:pStyle w:val="SCCNormalDoubleSpacing"/>
        <w:widowControl w:val="0"/>
        <w:spacing w:after="720" w:line="240" w:lineRule="auto"/>
        <w:ind w:left="547" w:hanging="547"/>
        <w:rPr>
          <w:lang w:val="en-US"/>
        </w:rPr>
      </w:pPr>
      <w:r w:rsidRPr="000572CA">
        <w:rPr>
          <w:i/>
          <w:lang w:val="en-US"/>
        </w:rPr>
        <w:t>Regulations Amending the</w:t>
      </w:r>
      <w:r w:rsidRPr="000572CA">
        <w:rPr>
          <w:lang w:val="en-US"/>
        </w:rPr>
        <w:t xml:space="preserve"> </w:t>
      </w:r>
      <w:r w:rsidRPr="000572CA">
        <w:rPr>
          <w:i/>
          <w:lang w:val="en-US"/>
        </w:rPr>
        <w:t xml:space="preserve">Railway </w:t>
      </w:r>
      <w:proofErr w:type="spellStart"/>
      <w:r w:rsidRPr="000572CA">
        <w:rPr>
          <w:i/>
          <w:lang w:val="en-US"/>
        </w:rPr>
        <w:t>Interswitching</w:t>
      </w:r>
      <w:proofErr w:type="spellEnd"/>
      <w:r w:rsidRPr="000572CA">
        <w:rPr>
          <w:i/>
          <w:lang w:val="en-US"/>
        </w:rPr>
        <w:t xml:space="preserve"> Regulations</w:t>
      </w:r>
      <w:r w:rsidRPr="000572CA">
        <w:rPr>
          <w:lang w:val="en-US"/>
        </w:rPr>
        <w:t>, SOR/2014</w:t>
      </w:r>
      <w:r w:rsidRPr="000572CA">
        <w:rPr>
          <w:lang w:val="en-US"/>
        </w:rPr>
        <w:noBreakHyphen/>
        <w:t>193.</w:t>
      </w:r>
    </w:p>
    <w:p w:rsidR="00656313" w:rsidRPr="000572CA" w:rsidRDefault="009B57B3" w:rsidP="00127556">
      <w:pPr>
        <w:pStyle w:val="SCCNormalDoubleSpacing"/>
        <w:widowControl w:val="0"/>
        <w:spacing w:before="480" w:after="480"/>
      </w:pPr>
      <w:r w:rsidRPr="000572CA">
        <w:tab/>
        <w:t>APPEAL from a judgment of the Federal Court of Appeal</w:t>
      </w:r>
      <w:r w:rsidR="008F1D51" w:rsidRPr="000572CA">
        <w:t xml:space="preserve"> (Noël </w:t>
      </w:r>
      <w:r w:rsidR="00F366D6" w:rsidRPr="000572CA">
        <w:t>C.J. and Dawson and Webb</w:t>
      </w:r>
      <w:r w:rsidR="008F1D51" w:rsidRPr="000572CA">
        <w:t> </w:t>
      </w:r>
      <w:r w:rsidR="00F366D6" w:rsidRPr="000572CA">
        <w:t>JJ.</w:t>
      </w:r>
      <w:r w:rsidR="00A26AD7" w:rsidRPr="000572CA">
        <w:t>A.</w:t>
      </w:r>
      <w:r w:rsidR="00F366D6" w:rsidRPr="000572CA">
        <w:t xml:space="preserve">), </w:t>
      </w:r>
      <w:r w:rsidR="008F1D51" w:rsidRPr="000572CA">
        <w:t>No. </w:t>
      </w:r>
      <w:r w:rsidR="00CB3267" w:rsidRPr="000572CA">
        <w:t>14</w:t>
      </w:r>
      <w:r w:rsidR="008F1D51" w:rsidRPr="000572CA">
        <w:noBreakHyphen/>
      </w:r>
      <w:r w:rsidR="00CB3267" w:rsidRPr="000572CA">
        <w:t>A</w:t>
      </w:r>
      <w:r w:rsidR="008F1D51" w:rsidRPr="000572CA">
        <w:noBreakHyphen/>
        <w:t>56, dated October </w:t>
      </w:r>
      <w:r w:rsidR="00CB3267" w:rsidRPr="000572CA">
        <w:t xml:space="preserve">28, 2014, dismissing an application </w:t>
      </w:r>
      <w:r w:rsidR="00563D70" w:rsidRPr="000572CA">
        <w:t>for leave to appeal</w:t>
      </w:r>
      <w:r w:rsidR="008F1D51" w:rsidRPr="000572CA">
        <w:t>, pursuant to s. </w:t>
      </w:r>
      <w:r w:rsidR="00B100C3" w:rsidRPr="000572CA">
        <w:t xml:space="preserve">41 of the </w:t>
      </w:r>
      <w:r w:rsidR="00B100C3" w:rsidRPr="000572CA">
        <w:rPr>
          <w:i/>
        </w:rPr>
        <w:t>Canada Transportation Act</w:t>
      </w:r>
      <w:r w:rsidR="00B100C3" w:rsidRPr="000572CA">
        <w:t>,</w:t>
      </w:r>
      <w:r w:rsidR="00563D70" w:rsidRPr="000572CA">
        <w:t xml:space="preserve"> </w:t>
      </w:r>
      <w:r w:rsidR="00CF6B66" w:rsidRPr="000572CA">
        <w:t xml:space="preserve">the </w:t>
      </w:r>
      <w:r w:rsidR="00B100C3" w:rsidRPr="000572CA">
        <w:rPr>
          <w:i/>
          <w:lang w:val="en-US"/>
        </w:rPr>
        <w:t>Regulations Amending the</w:t>
      </w:r>
      <w:r w:rsidR="00B100C3" w:rsidRPr="000572CA">
        <w:rPr>
          <w:lang w:val="en-US"/>
        </w:rPr>
        <w:t xml:space="preserve"> </w:t>
      </w:r>
      <w:r w:rsidR="00B100C3" w:rsidRPr="000572CA">
        <w:rPr>
          <w:i/>
          <w:lang w:val="en-US"/>
        </w:rPr>
        <w:t xml:space="preserve">Railway </w:t>
      </w:r>
      <w:proofErr w:type="spellStart"/>
      <w:r w:rsidR="00B100C3" w:rsidRPr="000572CA">
        <w:rPr>
          <w:i/>
          <w:lang w:val="en-US"/>
        </w:rPr>
        <w:t>Interswitching</w:t>
      </w:r>
      <w:proofErr w:type="spellEnd"/>
      <w:r w:rsidR="00B100C3" w:rsidRPr="000572CA">
        <w:rPr>
          <w:i/>
          <w:lang w:val="en-US"/>
        </w:rPr>
        <w:t xml:space="preserve"> Regulations</w:t>
      </w:r>
      <w:r w:rsidR="00B100C3" w:rsidRPr="000572CA">
        <w:t xml:space="preserve"> issued by the Canadian Transportation Agency</w:t>
      </w:r>
      <w:r w:rsidR="00CB3267" w:rsidRPr="000572CA">
        <w:t>. Appeal dismissed.</w:t>
      </w:r>
    </w:p>
    <w:p w:rsidR="0046402A" w:rsidRPr="000572CA" w:rsidRDefault="008F1D51" w:rsidP="00127556">
      <w:pPr>
        <w:pStyle w:val="SCCNormalDoubleSpacing"/>
        <w:widowControl w:val="0"/>
        <w:spacing w:before="480" w:after="480"/>
      </w:pPr>
      <w:r w:rsidRPr="000572CA">
        <w:rPr>
          <w:i/>
        </w:rPr>
        <w:tab/>
        <w:t>Douglas </w:t>
      </w:r>
      <w:r w:rsidR="00FE2E3E" w:rsidRPr="000572CA">
        <w:rPr>
          <w:i/>
        </w:rPr>
        <w:t xml:space="preserve">C. </w:t>
      </w:r>
      <w:proofErr w:type="spellStart"/>
      <w:r w:rsidR="00FE2E3E" w:rsidRPr="000572CA">
        <w:rPr>
          <w:i/>
        </w:rPr>
        <w:t>Hodson</w:t>
      </w:r>
      <w:proofErr w:type="spellEnd"/>
      <w:r w:rsidR="00FE2E3E" w:rsidRPr="00D07DCF">
        <w:t>,</w:t>
      </w:r>
      <w:r w:rsidR="00FE2E3E" w:rsidRPr="000572CA">
        <w:rPr>
          <w:i/>
        </w:rPr>
        <w:t xml:space="preserve"> Q.C.</w:t>
      </w:r>
      <w:r w:rsidR="002E23F8" w:rsidRPr="00D07DCF">
        <w:t>,</w:t>
      </w:r>
      <w:r w:rsidR="00FE2E3E" w:rsidRPr="00D07DCF">
        <w:t xml:space="preserve"> </w:t>
      </w:r>
      <w:r w:rsidR="00FE2E3E" w:rsidRPr="000572CA">
        <w:t xml:space="preserve">and </w:t>
      </w:r>
      <w:r w:rsidRPr="000572CA">
        <w:rPr>
          <w:i/>
        </w:rPr>
        <w:t>Kristen </w:t>
      </w:r>
      <w:r w:rsidR="00FE2E3E" w:rsidRPr="000572CA">
        <w:rPr>
          <w:i/>
        </w:rPr>
        <w:t>A. MacDonald</w:t>
      </w:r>
      <w:r w:rsidR="00FE2E3E" w:rsidRPr="000572CA">
        <w:t>, for the appellant.</w:t>
      </w:r>
    </w:p>
    <w:p w:rsidR="0046402A" w:rsidRPr="000572CA" w:rsidRDefault="008F1D51" w:rsidP="00127556">
      <w:pPr>
        <w:pStyle w:val="SCCNormalDoubleSpacing"/>
        <w:widowControl w:val="0"/>
        <w:spacing w:before="480" w:after="480"/>
      </w:pPr>
      <w:r w:rsidRPr="000572CA">
        <w:rPr>
          <w:i/>
        </w:rPr>
        <w:tab/>
        <w:t>Mark </w:t>
      </w:r>
      <w:r w:rsidR="00FE2E3E" w:rsidRPr="000572CA">
        <w:rPr>
          <w:i/>
        </w:rPr>
        <w:t xml:space="preserve">R. </w:t>
      </w:r>
      <w:proofErr w:type="spellStart"/>
      <w:r w:rsidR="00FE2E3E" w:rsidRPr="000572CA">
        <w:rPr>
          <w:i/>
        </w:rPr>
        <w:t>Kindrachuk</w:t>
      </w:r>
      <w:proofErr w:type="spellEnd"/>
      <w:r w:rsidR="00FE2E3E" w:rsidRPr="00D07DCF">
        <w:t xml:space="preserve">, </w:t>
      </w:r>
      <w:r w:rsidR="00FE2E3E" w:rsidRPr="000572CA">
        <w:rPr>
          <w:i/>
        </w:rPr>
        <w:t>Q.C.</w:t>
      </w:r>
      <w:r w:rsidR="00FE2E3E" w:rsidRPr="000572CA">
        <w:t xml:space="preserve">, and </w:t>
      </w:r>
      <w:r w:rsidR="00FE2E3E" w:rsidRPr="000572CA">
        <w:rPr>
          <w:i/>
        </w:rPr>
        <w:t xml:space="preserve">Alexander </w:t>
      </w:r>
      <w:proofErr w:type="spellStart"/>
      <w:r w:rsidR="00FE2E3E" w:rsidRPr="000572CA">
        <w:rPr>
          <w:i/>
        </w:rPr>
        <w:t>Pless</w:t>
      </w:r>
      <w:proofErr w:type="spellEnd"/>
      <w:r w:rsidR="00FE2E3E" w:rsidRPr="000572CA">
        <w:t>, for the respondent</w:t>
      </w:r>
      <w:r w:rsidR="002E23F8" w:rsidRPr="000572CA">
        <w:t xml:space="preserve"> the Attorney General of Canada</w:t>
      </w:r>
      <w:r w:rsidR="00FE2E3E" w:rsidRPr="000572CA">
        <w:t>.</w:t>
      </w:r>
    </w:p>
    <w:p w:rsidR="0046402A" w:rsidRPr="000572CA" w:rsidRDefault="00FE2E3E" w:rsidP="00127556">
      <w:pPr>
        <w:pStyle w:val="SCCNormalDoubleSpacing"/>
        <w:widowControl w:val="0"/>
        <w:spacing w:before="480" w:after="480"/>
      </w:pPr>
      <w:r w:rsidRPr="000572CA">
        <w:rPr>
          <w:i/>
        </w:rPr>
        <w:tab/>
        <w:t xml:space="preserve">Valérie </w:t>
      </w:r>
      <w:proofErr w:type="spellStart"/>
      <w:r w:rsidRPr="000572CA">
        <w:rPr>
          <w:i/>
        </w:rPr>
        <w:t>Lagacé</w:t>
      </w:r>
      <w:proofErr w:type="spellEnd"/>
      <w:r w:rsidRPr="000572CA">
        <w:t>, for the respondent</w:t>
      </w:r>
      <w:r w:rsidR="002E23F8" w:rsidRPr="000572CA">
        <w:t xml:space="preserve"> the Canadian Transportation Agency</w:t>
      </w:r>
      <w:r w:rsidRPr="000572CA">
        <w:t>.</w:t>
      </w:r>
    </w:p>
    <w:p w:rsidR="0046402A" w:rsidRDefault="00FE2E3E" w:rsidP="00127556">
      <w:pPr>
        <w:pStyle w:val="SCCNormalDoubleSpacing"/>
        <w:widowControl w:val="0"/>
        <w:spacing w:before="480" w:after="480"/>
      </w:pPr>
      <w:r w:rsidRPr="000572CA">
        <w:rPr>
          <w:i/>
        </w:rPr>
        <w:tab/>
      </w:r>
      <w:r w:rsidR="002E23F8" w:rsidRPr="000572CA">
        <w:rPr>
          <w:i/>
        </w:rPr>
        <w:t xml:space="preserve">Nadia Effendi </w:t>
      </w:r>
      <w:r w:rsidR="002E23F8" w:rsidRPr="00F2710A">
        <w:t>and</w:t>
      </w:r>
      <w:r w:rsidR="002E23F8" w:rsidRPr="000572CA">
        <w:rPr>
          <w:i/>
        </w:rPr>
        <w:t xml:space="preserve"> </w:t>
      </w:r>
      <w:r w:rsidR="008F1D51" w:rsidRPr="000572CA">
        <w:rPr>
          <w:i/>
        </w:rPr>
        <w:t>Guy </w:t>
      </w:r>
      <w:r w:rsidR="002E23F8" w:rsidRPr="000572CA">
        <w:rPr>
          <w:i/>
        </w:rPr>
        <w:t xml:space="preserve">J. </w:t>
      </w:r>
      <w:r w:rsidRPr="000572CA">
        <w:rPr>
          <w:i/>
        </w:rPr>
        <w:t>Pratte</w:t>
      </w:r>
      <w:r w:rsidRPr="000572CA">
        <w:t>, for the intervener.</w:t>
      </w:r>
    </w:p>
    <w:p w:rsidR="00B23E98" w:rsidRPr="007F1F21" w:rsidRDefault="00B23E98" w:rsidP="00127556">
      <w:pPr>
        <w:pStyle w:val="JudgeJuge"/>
        <w:widowControl w:val="0"/>
        <w:rPr>
          <w:smallCaps w:val="0"/>
        </w:rPr>
      </w:pPr>
      <w:r>
        <w:tab/>
      </w:r>
      <w:r w:rsidR="007F1F21" w:rsidRPr="007F1F21">
        <w:rPr>
          <w:smallCaps w:val="0"/>
        </w:rPr>
        <w:t>The f</w:t>
      </w:r>
      <w:r w:rsidR="007F1F21">
        <w:rPr>
          <w:smallCaps w:val="0"/>
        </w:rPr>
        <w:t>ollowing is the judgment delivered by</w:t>
      </w:r>
    </w:p>
    <w:p w:rsidR="00B23E98" w:rsidRDefault="007F1F21" w:rsidP="00127556">
      <w:pPr>
        <w:pStyle w:val="ParaNoNdepar-AltN"/>
        <w:widowControl w:val="0"/>
      </w:pPr>
      <w:r w:rsidRPr="007F1F21">
        <w:rPr>
          <w:smallCaps/>
        </w:rPr>
        <w:t>The Court</w:t>
      </w:r>
      <w:r w:rsidRPr="000B0B7C">
        <w:t xml:space="preserve"> — </w:t>
      </w:r>
      <w:r w:rsidR="00B23E98">
        <w:t xml:space="preserve">On August 1, 2014, </w:t>
      </w:r>
      <w:r w:rsidR="00B23E98" w:rsidRPr="008F41E7">
        <w:rPr>
          <w:i/>
        </w:rPr>
        <w:t>R</w:t>
      </w:r>
      <w:r w:rsidR="00B23E98">
        <w:rPr>
          <w:i/>
        </w:rPr>
        <w:t>egulations A</w:t>
      </w:r>
      <w:r w:rsidR="00B23E98" w:rsidRPr="008F41E7">
        <w:rPr>
          <w:i/>
        </w:rPr>
        <w:t>mending the</w:t>
      </w:r>
      <w:r w:rsidR="00B23E98">
        <w:t xml:space="preserve"> </w:t>
      </w:r>
      <w:r w:rsidR="00B23E98" w:rsidRPr="00AE63B8">
        <w:rPr>
          <w:i/>
        </w:rPr>
        <w:t xml:space="preserve">Railway </w:t>
      </w:r>
      <w:proofErr w:type="spellStart"/>
      <w:r w:rsidR="00B23E98" w:rsidRPr="00AE63B8">
        <w:rPr>
          <w:i/>
        </w:rPr>
        <w:t>Interswitching</w:t>
      </w:r>
      <w:proofErr w:type="spellEnd"/>
      <w:r w:rsidR="00B23E98" w:rsidRPr="00AE63B8">
        <w:rPr>
          <w:i/>
        </w:rPr>
        <w:t xml:space="preserve"> Regulations</w:t>
      </w:r>
      <w:r w:rsidR="00B23E98">
        <w:t xml:space="preserve">, SOR/2014-193 (the “amending Regulations”), came into force. The amending Regulations were issued by the Canadian Transportation Agency, pursuant to its powers under the </w:t>
      </w:r>
      <w:r w:rsidR="00B23E98" w:rsidRPr="008640B7">
        <w:rPr>
          <w:i/>
        </w:rPr>
        <w:t xml:space="preserve">Canada </w:t>
      </w:r>
      <w:r w:rsidR="00B23E98" w:rsidRPr="00E23463">
        <w:rPr>
          <w:i/>
        </w:rPr>
        <w:t>Transportation Act</w:t>
      </w:r>
      <w:r w:rsidR="00B23E98">
        <w:t xml:space="preserve">, S.C. 1996, c. 10, and following passage by Parliament of the </w:t>
      </w:r>
      <w:r w:rsidR="00B23E98" w:rsidRPr="00E23463">
        <w:rPr>
          <w:i/>
        </w:rPr>
        <w:t>Fair Rail for Grain Farmers Act</w:t>
      </w:r>
      <w:r w:rsidR="00B23E98">
        <w:t xml:space="preserve">, S.C. 2014, </w:t>
      </w:r>
      <w:proofErr w:type="gramStart"/>
      <w:r w:rsidR="00B23E98">
        <w:t>c</w:t>
      </w:r>
      <w:proofErr w:type="gramEnd"/>
      <w:r w:rsidR="00B23E98">
        <w:t xml:space="preserve">. 8. The amending Regulations extend the </w:t>
      </w:r>
      <w:proofErr w:type="spellStart"/>
      <w:r w:rsidR="00B23E98">
        <w:t>interswitching</w:t>
      </w:r>
      <w:proofErr w:type="spellEnd"/>
      <w:r w:rsidR="00B23E98">
        <w:t xml:space="preserve"> distance limit from 30 km to 160 km for all commodities in the three Prairie Provinces, and prescribe new rates for </w:t>
      </w:r>
      <w:proofErr w:type="spellStart"/>
      <w:r w:rsidR="00B23E98">
        <w:t>interswitching</w:t>
      </w:r>
      <w:proofErr w:type="spellEnd"/>
      <w:r w:rsidR="00B23E98">
        <w:t xml:space="preserve"> rail traffic within </w:t>
      </w:r>
      <w:r w:rsidR="00B23E98" w:rsidRPr="008640B7">
        <w:t>that</w:t>
      </w:r>
      <w:r w:rsidR="00B23E98">
        <w:rPr>
          <w:color w:val="FF0000"/>
        </w:rPr>
        <w:t xml:space="preserve"> </w:t>
      </w:r>
      <w:r w:rsidR="00B23E98">
        <w:t xml:space="preserve">zone. </w:t>
      </w:r>
    </w:p>
    <w:p w:rsidR="00B23E98" w:rsidRDefault="00B23E98" w:rsidP="00127556">
      <w:pPr>
        <w:pStyle w:val="ParaNoNdepar-AltN"/>
        <w:widowControl w:val="0"/>
      </w:pPr>
      <w:r>
        <w:t xml:space="preserve">The appellant, Canadian Pacific Railway Company, asks this Court to declare the amending Regulations to be null and void, on the ground that the Agency </w:t>
      </w:r>
      <w:r w:rsidRPr="00862130">
        <w:t>acted improperly in issuing them by following</w:t>
      </w:r>
      <w:r>
        <w:t xml:space="preserve"> government directives</w:t>
      </w:r>
      <w:r>
        <w:rPr>
          <w:color w:val="FF0000"/>
        </w:rPr>
        <w:t xml:space="preserve"> </w:t>
      </w:r>
      <w:r w:rsidRPr="008640B7">
        <w:t xml:space="preserve">to expand the </w:t>
      </w:r>
      <w:proofErr w:type="spellStart"/>
      <w:r w:rsidRPr="008640B7">
        <w:t>interswitching</w:t>
      </w:r>
      <w:proofErr w:type="spellEnd"/>
      <w:r w:rsidRPr="008640B7">
        <w:t xml:space="preserve"> distance limit in the Prairie Provinces</w:t>
      </w:r>
      <w:r>
        <w:t xml:space="preserve">. The appellant concedes that the Agency was empowered to issue the amending Regulations; its complaint is not with the </w:t>
      </w:r>
      <w:r w:rsidRPr="008640B7">
        <w:t>content of the amending Regulations</w:t>
      </w:r>
      <w:r>
        <w:t>, but with the process followed</w:t>
      </w:r>
      <w:r>
        <w:rPr>
          <w:color w:val="FF0000"/>
        </w:rPr>
        <w:t xml:space="preserve"> </w:t>
      </w:r>
      <w:r w:rsidRPr="008640B7">
        <w:t>by the Agency</w:t>
      </w:r>
      <w:r>
        <w:t>.</w:t>
      </w:r>
    </w:p>
    <w:p w:rsidR="00B23E98" w:rsidRDefault="00B23E98" w:rsidP="00127556">
      <w:pPr>
        <w:pStyle w:val="ParaNoNdepar-AltN"/>
        <w:widowControl w:val="0"/>
      </w:pPr>
      <w:r>
        <w:t>The appellant</w:t>
      </w:r>
      <w:r>
        <w:rPr>
          <w:color w:val="FF0000"/>
        </w:rPr>
        <w:t xml:space="preserve"> </w:t>
      </w:r>
      <w:r w:rsidRPr="008640B7">
        <w:t xml:space="preserve">also </w:t>
      </w:r>
      <w:r>
        <w:t xml:space="preserve">concedes that the Agency is presumed to have acted properly in </w:t>
      </w:r>
      <w:r w:rsidRPr="00862130">
        <w:t>making its decision to issue</w:t>
      </w:r>
      <w:r>
        <w:t xml:space="preserve"> the </w:t>
      </w:r>
      <w:r w:rsidRPr="008640B7">
        <w:t>amending</w:t>
      </w:r>
      <w:r>
        <w:rPr>
          <w:color w:val="FF0000"/>
        </w:rPr>
        <w:t xml:space="preserve"> </w:t>
      </w:r>
      <w:r>
        <w:t xml:space="preserve">Regulations. The question, therefore, is whether the appellant has adduced facts rebutting this presumption. In our view, it has not done so. </w:t>
      </w:r>
    </w:p>
    <w:p w:rsidR="00B23E98" w:rsidRDefault="00B23E98" w:rsidP="00127556">
      <w:pPr>
        <w:pStyle w:val="ParaNoNdepar-AltN"/>
        <w:widowControl w:val="0"/>
      </w:pPr>
      <w:r>
        <w:t xml:space="preserve">The appeal is dismissed, with costs to the Attorney General of Canada.  </w:t>
      </w:r>
    </w:p>
    <w:p w:rsidR="009B57B3" w:rsidRPr="000572CA" w:rsidRDefault="002E23F8" w:rsidP="00127556">
      <w:pPr>
        <w:pStyle w:val="SCCNormalDoubleSpacing"/>
        <w:widowControl w:val="0"/>
        <w:spacing w:before="480" w:after="480"/>
      </w:pPr>
      <w:r w:rsidRPr="000572CA">
        <w:tab/>
      </w:r>
      <w:r w:rsidRPr="000572CA">
        <w:rPr>
          <w:i/>
        </w:rPr>
        <w:t>A</w:t>
      </w:r>
      <w:r w:rsidR="00656313" w:rsidRPr="000572CA">
        <w:rPr>
          <w:i/>
        </w:rPr>
        <w:t>ppeal</w:t>
      </w:r>
      <w:r w:rsidRPr="000572CA">
        <w:rPr>
          <w:i/>
        </w:rPr>
        <w:t xml:space="preserve"> dismissed</w:t>
      </w:r>
      <w:r w:rsidR="005436AB" w:rsidRPr="000572CA">
        <w:rPr>
          <w:i/>
        </w:rPr>
        <w:t xml:space="preserve"> with costs</w:t>
      </w:r>
      <w:r w:rsidR="00BB3AF7" w:rsidRPr="000572CA">
        <w:rPr>
          <w:i/>
        </w:rPr>
        <w:t xml:space="preserve"> to the Attorney General of Canada</w:t>
      </w:r>
      <w:r w:rsidRPr="000572CA">
        <w:rPr>
          <w:i/>
        </w:rPr>
        <w:t>.</w:t>
      </w:r>
    </w:p>
    <w:p w:rsidR="002E23F8" w:rsidRPr="000572CA" w:rsidRDefault="00FE2E3E" w:rsidP="00127556">
      <w:pPr>
        <w:pStyle w:val="SCCLawFirm"/>
        <w:widowControl w:val="0"/>
        <w:spacing w:before="480" w:after="480"/>
      </w:pPr>
      <w:r w:rsidRPr="000572CA">
        <w:tab/>
      </w:r>
      <w:r w:rsidR="002E23F8" w:rsidRPr="000572CA">
        <w:t>Solicitors for the appellant</w:t>
      </w:r>
      <w:r w:rsidR="008F1D51" w:rsidRPr="000572CA">
        <w:t>: </w:t>
      </w:r>
      <w:r w:rsidR="002E23F8" w:rsidRPr="000572CA">
        <w:t xml:space="preserve">MacPherson Leslie &amp; </w:t>
      </w:r>
      <w:proofErr w:type="spellStart"/>
      <w:r w:rsidR="002E23F8" w:rsidRPr="000572CA">
        <w:t>Tyerman</w:t>
      </w:r>
      <w:proofErr w:type="spellEnd"/>
      <w:r w:rsidR="002E23F8" w:rsidRPr="000572CA">
        <w:t>, Saskatoon.</w:t>
      </w:r>
    </w:p>
    <w:p w:rsidR="002E23F8" w:rsidRPr="000572CA" w:rsidRDefault="002E23F8" w:rsidP="00127556">
      <w:pPr>
        <w:pStyle w:val="SCCLawFirm"/>
        <w:widowControl w:val="0"/>
        <w:spacing w:before="480" w:after="480"/>
      </w:pPr>
      <w:r w:rsidRPr="000572CA">
        <w:tab/>
        <w:t>Solicitor for the respondent the Attorney General of Canada</w:t>
      </w:r>
      <w:r w:rsidR="008F1D51" w:rsidRPr="000572CA">
        <w:t>: </w:t>
      </w:r>
      <w:r w:rsidRPr="000572CA">
        <w:t>Attorney General of Canada, Saskatoon.</w:t>
      </w:r>
    </w:p>
    <w:p w:rsidR="002E23F8" w:rsidRPr="000572CA" w:rsidRDefault="002E23F8" w:rsidP="00127556">
      <w:pPr>
        <w:pStyle w:val="SCCLawFirm"/>
        <w:widowControl w:val="0"/>
        <w:spacing w:before="480" w:after="480"/>
      </w:pPr>
      <w:r w:rsidRPr="000572CA">
        <w:tab/>
        <w:t>Solicit</w:t>
      </w:r>
      <w:r w:rsidR="008B43DD">
        <w:t>or for the respondent the Canadian</w:t>
      </w:r>
      <w:r w:rsidRPr="000572CA">
        <w:t xml:space="preserve"> Transportation Agency</w:t>
      </w:r>
      <w:r w:rsidR="008F1D51" w:rsidRPr="000572CA">
        <w:t>: </w:t>
      </w:r>
      <w:r w:rsidR="008B43DD">
        <w:t>Canadian</w:t>
      </w:r>
      <w:r w:rsidRPr="000572CA">
        <w:t xml:space="preserve"> Transportation Agency, Gatineau.</w:t>
      </w:r>
    </w:p>
    <w:p w:rsidR="00B23E98" w:rsidRDefault="002E23F8" w:rsidP="00127556">
      <w:pPr>
        <w:pStyle w:val="SCCLawFirm"/>
        <w:widowControl w:val="0"/>
      </w:pPr>
      <w:r w:rsidRPr="000572CA">
        <w:tab/>
        <w:t>Solicitors for the intervener</w:t>
      </w:r>
      <w:r w:rsidR="008F1D51" w:rsidRPr="000572CA">
        <w:t>: </w:t>
      </w:r>
      <w:r w:rsidRPr="000572CA">
        <w:t>Borden Ladner Gervais, Toronto.</w:t>
      </w:r>
    </w:p>
    <w:p w:rsidR="009B57B3" w:rsidRPr="00B23E98" w:rsidRDefault="00B23E98" w:rsidP="00127556">
      <w:pPr>
        <w:pStyle w:val="SCCLawFirm"/>
        <w:widowControl w:val="0"/>
      </w:pPr>
      <w:r w:rsidRPr="00B23E98">
        <w:t xml:space="preserve"> </w:t>
      </w:r>
    </w:p>
    <w:sectPr w:rsidR="009B57B3" w:rsidRPr="00B23E98" w:rsidSect="000648CC">
      <w:headerReference w:type="default" r:id="rId10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04DB4"/>
    <w:rsid w:val="00025198"/>
    <w:rsid w:val="000522B1"/>
    <w:rsid w:val="000572CA"/>
    <w:rsid w:val="000578A3"/>
    <w:rsid w:val="000648CC"/>
    <w:rsid w:val="000724FB"/>
    <w:rsid w:val="000C305B"/>
    <w:rsid w:val="000C59B8"/>
    <w:rsid w:val="000C6AF0"/>
    <w:rsid w:val="000D3390"/>
    <w:rsid w:val="00104F33"/>
    <w:rsid w:val="00111DE2"/>
    <w:rsid w:val="00116B38"/>
    <w:rsid w:val="00127556"/>
    <w:rsid w:val="00135406"/>
    <w:rsid w:val="00135972"/>
    <w:rsid w:val="001364FC"/>
    <w:rsid w:val="001426A9"/>
    <w:rsid w:val="00154D7C"/>
    <w:rsid w:val="001570B0"/>
    <w:rsid w:val="0015752C"/>
    <w:rsid w:val="00157737"/>
    <w:rsid w:val="00165277"/>
    <w:rsid w:val="00170592"/>
    <w:rsid w:val="001817F5"/>
    <w:rsid w:val="00186351"/>
    <w:rsid w:val="00195D83"/>
    <w:rsid w:val="001A00C1"/>
    <w:rsid w:val="001B33E0"/>
    <w:rsid w:val="001B4573"/>
    <w:rsid w:val="001C3C57"/>
    <w:rsid w:val="001C779F"/>
    <w:rsid w:val="001D2AC1"/>
    <w:rsid w:val="001D4E88"/>
    <w:rsid w:val="001F556F"/>
    <w:rsid w:val="00220FC2"/>
    <w:rsid w:val="002222F4"/>
    <w:rsid w:val="00224FC0"/>
    <w:rsid w:val="00225EA4"/>
    <w:rsid w:val="00226EAF"/>
    <w:rsid w:val="00231F3A"/>
    <w:rsid w:val="00234199"/>
    <w:rsid w:val="002365D2"/>
    <w:rsid w:val="002406EE"/>
    <w:rsid w:val="00243EC8"/>
    <w:rsid w:val="00270D93"/>
    <w:rsid w:val="002745CC"/>
    <w:rsid w:val="002B7924"/>
    <w:rsid w:val="002D28C3"/>
    <w:rsid w:val="002D39A4"/>
    <w:rsid w:val="002E23F8"/>
    <w:rsid w:val="002E6705"/>
    <w:rsid w:val="00301D08"/>
    <w:rsid w:val="0030329A"/>
    <w:rsid w:val="0031086F"/>
    <w:rsid w:val="0031414C"/>
    <w:rsid w:val="00314E01"/>
    <w:rsid w:val="0032089D"/>
    <w:rsid w:val="003310DE"/>
    <w:rsid w:val="00331185"/>
    <w:rsid w:val="003323B0"/>
    <w:rsid w:val="0035169A"/>
    <w:rsid w:val="0035259D"/>
    <w:rsid w:val="00364B18"/>
    <w:rsid w:val="003708DB"/>
    <w:rsid w:val="00392A0A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02A"/>
    <w:rsid w:val="00464800"/>
    <w:rsid w:val="00465132"/>
    <w:rsid w:val="00480C90"/>
    <w:rsid w:val="00481CF7"/>
    <w:rsid w:val="0048396F"/>
    <w:rsid w:val="00493C18"/>
    <w:rsid w:val="00497D2D"/>
    <w:rsid w:val="004A600C"/>
    <w:rsid w:val="004A6118"/>
    <w:rsid w:val="004C0520"/>
    <w:rsid w:val="004C478D"/>
    <w:rsid w:val="004E2C26"/>
    <w:rsid w:val="004F36FF"/>
    <w:rsid w:val="005124C9"/>
    <w:rsid w:val="005125A8"/>
    <w:rsid w:val="00521AE8"/>
    <w:rsid w:val="00527180"/>
    <w:rsid w:val="0054201E"/>
    <w:rsid w:val="005436AB"/>
    <w:rsid w:val="00555291"/>
    <w:rsid w:val="00563D70"/>
    <w:rsid w:val="005651D0"/>
    <w:rsid w:val="00566AD1"/>
    <w:rsid w:val="00583EDE"/>
    <w:rsid w:val="005A3A48"/>
    <w:rsid w:val="005A6079"/>
    <w:rsid w:val="005E4698"/>
    <w:rsid w:val="00610539"/>
    <w:rsid w:val="00613969"/>
    <w:rsid w:val="00625C35"/>
    <w:rsid w:val="00656313"/>
    <w:rsid w:val="006565F4"/>
    <w:rsid w:val="00684EEA"/>
    <w:rsid w:val="0069689B"/>
    <w:rsid w:val="006A1551"/>
    <w:rsid w:val="006B4804"/>
    <w:rsid w:val="006B5FF5"/>
    <w:rsid w:val="006F30AF"/>
    <w:rsid w:val="00701759"/>
    <w:rsid w:val="00705C15"/>
    <w:rsid w:val="0071600E"/>
    <w:rsid w:val="007208D1"/>
    <w:rsid w:val="007433CC"/>
    <w:rsid w:val="00747288"/>
    <w:rsid w:val="00747DD3"/>
    <w:rsid w:val="007549C8"/>
    <w:rsid w:val="00754A0B"/>
    <w:rsid w:val="00766D14"/>
    <w:rsid w:val="00767A0F"/>
    <w:rsid w:val="007825C2"/>
    <w:rsid w:val="007A05F6"/>
    <w:rsid w:val="007B6F4A"/>
    <w:rsid w:val="007E1C47"/>
    <w:rsid w:val="007E337A"/>
    <w:rsid w:val="007E5C70"/>
    <w:rsid w:val="007F1791"/>
    <w:rsid w:val="007F1F21"/>
    <w:rsid w:val="007F2FF5"/>
    <w:rsid w:val="007F3F08"/>
    <w:rsid w:val="00804CC6"/>
    <w:rsid w:val="00817190"/>
    <w:rsid w:val="00820EE5"/>
    <w:rsid w:val="00822002"/>
    <w:rsid w:val="008260E2"/>
    <w:rsid w:val="008322BD"/>
    <w:rsid w:val="00833E0A"/>
    <w:rsid w:val="00834F73"/>
    <w:rsid w:val="00864CF8"/>
    <w:rsid w:val="00872819"/>
    <w:rsid w:val="00874914"/>
    <w:rsid w:val="00891422"/>
    <w:rsid w:val="00892E1A"/>
    <w:rsid w:val="008A3F29"/>
    <w:rsid w:val="008B43DD"/>
    <w:rsid w:val="008B660A"/>
    <w:rsid w:val="008C01DA"/>
    <w:rsid w:val="008F1D51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75C11"/>
    <w:rsid w:val="009A343A"/>
    <w:rsid w:val="009B013C"/>
    <w:rsid w:val="009B2F23"/>
    <w:rsid w:val="009B57B3"/>
    <w:rsid w:val="009C5B92"/>
    <w:rsid w:val="009D2920"/>
    <w:rsid w:val="009D52AC"/>
    <w:rsid w:val="009D5AEB"/>
    <w:rsid w:val="009F040E"/>
    <w:rsid w:val="009F0E33"/>
    <w:rsid w:val="00A030CE"/>
    <w:rsid w:val="00A149DF"/>
    <w:rsid w:val="00A1755C"/>
    <w:rsid w:val="00A21B90"/>
    <w:rsid w:val="00A26AD7"/>
    <w:rsid w:val="00A41805"/>
    <w:rsid w:val="00A42DCD"/>
    <w:rsid w:val="00A52AFB"/>
    <w:rsid w:val="00A548CB"/>
    <w:rsid w:val="00A5521C"/>
    <w:rsid w:val="00A643E7"/>
    <w:rsid w:val="00A73C38"/>
    <w:rsid w:val="00AA0415"/>
    <w:rsid w:val="00AB670D"/>
    <w:rsid w:val="00AE2756"/>
    <w:rsid w:val="00AE4535"/>
    <w:rsid w:val="00AF03C5"/>
    <w:rsid w:val="00AF4694"/>
    <w:rsid w:val="00B000D8"/>
    <w:rsid w:val="00B00F75"/>
    <w:rsid w:val="00B100C3"/>
    <w:rsid w:val="00B145B6"/>
    <w:rsid w:val="00B23E98"/>
    <w:rsid w:val="00B279EB"/>
    <w:rsid w:val="00B50C81"/>
    <w:rsid w:val="00B557F8"/>
    <w:rsid w:val="00B815FC"/>
    <w:rsid w:val="00B82CA6"/>
    <w:rsid w:val="00B82CFC"/>
    <w:rsid w:val="00B93FBC"/>
    <w:rsid w:val="00BA7DA0"/>
    <w:rsid w:val="00BB2EE4"/>
    <w:rsid w:val="00BB3AF7"/>
    <w:rsid w:val="00BC2108"/>
    <w:rsid w:val="00BD0E9E"/>
    <w:rsid w:val="00BD1BEC"/>
    <w:rsid w:val="00BD32FF"/>
    <w:rsid w:val="00C02092"/>
    <w:rsid w:val="00C0685E"/>
    <w:rsid w:val="00C24D91"/>
    <w:rsid w:val="00C53F14"/>
    <w:rsid w:val="00C600CF"/>
    <w:rsid w:val="00C6084F"/>
    <w:rsid w:val="00C62A66"/>
    <w:rsid w:val="00C66670"/>
    <w:rsid w:val="00C71458"/>
    <w:rsid w:val="00C77613"/>
    <w:rsid w:val="00C828E7"/>
    <w:rsid w:val="00C86719"/>
    <w:rsid w:val="00C921DD"/>
    <w:rsid w:val="00CA6391"/>
    <w:rsid w:val="00CB3267"/>
    <w:rsid w:val="00CC34BD"/>
    <w:rsid w:val="00CE161A"/>
    <w:rsid w:val="00CE3171"/>
    <w:rsid w:val="00CF1601"/>
    <w:rsid w:val="00CF6B66"/>
    <w:rsid w:val="00D0172F"/>
    <w:rsid w:val="00D068A7"/>
    <w:rsid w:val="00D07DCF"/>
    <w:rsid w:val="00D1533F"/>
    <w:rsid w:val="00D17476"/>
    <w:rsid w:val="00D2737B"/>
    <w:rsid w:val="00D32086"/>
    <w:rsid w:val="00D33507"/>
    <w:rsid w:val="00D37A3F"/>
    <w:rsid w:val="00D4431D"/>
    <w:rsid w:val="00D4667A"/>
    <w:rsid w:val="00D63A1C"/>
    <w:rsid w:val="00D7516F"/>
    <w:rsid w:val="00D8576D"/>
    <w:rsid w:val="00D8579F"/>
    <w:rsid w:val="00D95F8E"/>
    <w:rsid w:val="00DA0590"/>
    <w:rsid w:val="00DB7BEA"/>
    <w:rsid w:val="00DC00E2"/>
    <w:rsid w:val="00DC1739"/>
    <w:rsid w:val="00DC1788"/>
    <w:rsid w:val="00DD73CD"/>
    <w:rsid w:val="00DE01B4"/>
    <w:rsid w:val="00DE319C"/>
    <w:rsid w:val="00DE7148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7830"/>
    <w:rsid w:val="00EE643C"/>
    <w:rsid w:val="00EF0683"/>
    <w:rsid w:val="00EF69D2"/>
    <w:rsid w:val="00EF766E"/>
    <w:rsid w:val="00F0070C"/>
    <w:rsid w:val="00F00EB7"/>
    <w:rsid w:val="00F24F9F"/>
    <w:rsid w:val="00F2710A"/>
    <w:rsid w:val="00F366D6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87617"/>
    <w:rsid w:val="00FB37D2"/>
    <w:rsid w:val="00FC4EFB"/>
    <w:rsid w:val="00FD068D"/>
    <w:rsid w:val="00FD4F28"/>
    <w:rsid w:val="00FE2E3E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JudgeJuge">
    <w:name w:val="Judge / Juge"/>
    <w:uiPriority w:val="3"/>
    <w:rsid w:val="00B23E98"/>
    <w:pPr>
      <w:tabs>
        <w:tab w:val="left" w:pos="1166"/>
      </w:tabs>
      <w:spacing w:after="480" w:line="480" w:lineRule="auto"/>
    </w:pPr>
    <w:rPr>
      <w:smallCaps/>
      <w:sz w:val="24"/>
      <w:szCs w:val="24"/>
    </w:rPr>
  </w:style>
  <w:style w:type="paragraph" w:customStyle="1" w:styleId="ParaNoNdepar-AltN">
    <w:name w:val="Para. No. / Nº de par. - Alt N"/>
    <w:qFormat/>
    <w:rsid w:val="00B23E98"/>
    <w:pPr>
      <w:numPr>
        <w:numId w:val="1"/>
      </w:numPr>
      <w:tabs>
        <w:tab w:val="clear" w:pos="1152"/>
        <w:tab w:val="left" w:pos="1166"/>
      </w:tabs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DC00E2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392A0A"/>
    <w:rPr>
      <w:rFonts w:eastAsiaTheme="minorHAnsi" w:cstheme="minorBidi"/>
      <w:szCs w:val="24"/>
      <w:lang w:eastAsia="en-US"/>
    </w:rPr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392A0A"/>
    <w:rPr>
      <w:rFonts w:eastAsiaTheme="minorHAnsi" w:cstheme="minorBidi"/>
      <w:sz w:val="24"/>
      <w:szCs w:val="24"/>
      <w:lang w:eastAsia="en-US"/>
    </w:rPr>
  </w:style>
  <w:style w:type="character" w:customStyle="1" w:styleId="SCCLsocPartyRoleChar">
    <w:name w:val="SCC.Lsoc.PartyRole Char"/>
    <w:basedOn w:val="DefaultParagraphFont"/>
    <w:rsid w:val="00392A0A"/>
    <w:rPr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392A0A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392A0A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7204-B058-4A80-9276-192E7998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2016-02-08T19:39:00Z</dcterms:created>
  <dcterms:modified xsi:type="dcterms:W3CDTF">2016-11-08T14:34:00Z</dcterms:modified>
</cp:coreProperties>
</file>