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E4" w:rsidRDefault="005756E4" w:rsidP="005756E4">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65.1pt" o:ole="">
            <v:imagedata r:id="rId8" o:title=""/>
          </v:shape>
          <o:OLEObject Type="Embed" ProgID="Presentations.Drawing.13" ShapeID="_x0000_i1025" DrawAspect="Content" ObjectID="_1754826507" r:id="rId9"/>
        </w:object>
      </w:r>
      <w:r>
        <w:t xml:space="preserve"> </w:t>
      </w:r>
      <w:r>
        <w:ptab w:relativeTo="margin" w:alignment="right" w:leader="none"/>
      </w:r>
    </w:p>
    <w:p w:rsidR="005756E4" w:rsidRDefault="005756E4" w:rsidP="005756E4">
      <w:pPr>
        <w:pStyle w:val="Header"/>
      </w:pPr>
    </w:p>
    <w:p w:rsidR="005756E4" w:rsidRPr="006B210C" w:rsidRDefault="005756E4" w:rsidP="005756E4">
      <w:pPr>
        <w:jc w:val="center"/>
        <w:rPr>
          <w:b/>
        </w:rPr>
      </w:pPr>
      <w:r w:rsidRPr="006B210C">
        <w:rPr>
          <w:b/>
        </w:rPr>
        <w:t>SUPREME COURT OF CANADA</w:t>
      </w:r>
    </w:p>
    <w:p w:rsidR="005756E4" w:rsidRDefault="005756E4" w:rsidP="005756E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5756E4" w:rsidRPr="006B210C" w:rsidTr="000F72C6">
        <w:trPr>
          <w:cantSplit/>
        </w:trPr>
        <w:tc>
          <w:tcPr>
            <w:tcW w:w="5130" w:type="dxa"/>
          </w:tcPr>
          <w:p w:rsidR="005756E4" w:rsidRPr="006B210C" w:rsidRDefault="005756E4" w:rsidP="000F72C6">
            <w:pPr>
              <w:ind w:right="-58"/>
            </w:pPr>
            <w:r w:rsidRPr="006B210C">
              <w:rPr>
                <w:b/>
                <w:smallCaps/>
              </w:rPr>
              <w:t>Citation</w:t>
            </w:r>
            <w:r>
              <w:rPr>
                <w:b/>
                <w:smallCaps/>
              </w:rPr>
              <w:t>:</w:t>
            </w:r>
            <w:r w:rsidRPr="006B210C">
              <w:t xml:space="preserve"> </w:t>
            </w:r>
            <w:r w:rsidRPr="00B71475">
              <w:rPr>
                <w:smallCaps/>
              </w:rPr>
              <w:t xml:space="preserve">R. </w:t>
            </w:r>
            <w:r w:rsidRPr="00B71475">
              <w:rPr>
                <w:i/>
              </w:rPr>
              <w:t>v.</w:t>
            </w:r>
            <w:r w:rsidRPr="00B71475">
              <w:rPr>
                <w:smallCaps/>
              </w:rPr>
              <w:t xml:space="preserve"> </w:t>
            </w:r>
            <w:r w:rsidRPr="00B71475">
              <w:rPr>
                <w:rStyle w:val="SCCAppellantForRunningHeadChar"/>
                <w:smallCaps w:val="0"/>
              </w:rPr>
              <w:t>Knapczyk</w:t>
            </w:r>
            <w:r>
              <w:rPr>
                <w:rStyle w:val="SCCAppellantForRunningHeadChar"/>
                <w:smallCaps w:val="0"/>
              </w:rPr>
              <w:t xml:space="preserve">, </w:t>
            </w:r>
            <w:r>
              <w:t xml:space="preserve">2016 </w:t>
            </w:r>
            <w:r w:rsidRPr="00C02092">
              <w:t>SCC </w:t>
            </w:r>
            <w:r>
              <w:t>10, [2016] 1 S.C.R. 78</w:t>
            </w:r>
          </w:p>
        </w:tc>
        <w:tc>
          <w:tcPr>
            <w:tcW w:w="4446" w:type="dxa"/>
          </w:tcPr>
          <w:p w:rsidR="005756E4" w:rsidRPr="006B210C" w:rsidRDefault="005756E4" w:rsidP="000F72C6">
            <w:r>
              <w:rPr>
                <w:b/>
                <w:smallCaps/>
              </w:rPr>
              <w:t>Appeals heard:</w:t>
            </w:r>
            <w:r w:rsidRPr="006B210C">
              <w:t xml:space="preserve"> </w:t>
            </w:r>
            <w:r>
              <w:t>March 22, 2016</w:t>
            </w:r>
          </w:p>
          <w:p w:rsidR="005756E4" w:rsidRPr="00D549FF" w:rsidRDefault="005756E4" w:rsidP="000F72C6">
            <w:r>
              <w:rPr>
                <w:b/>
                <w:smallCaps/>
              </w:rPr>
              <w:t>Judgment rendered:</w:t>
            </w:r>
            <w:r>
              <w:t xml:space="preserve"> March 22, 2016</w:t>
            </w:r>
          </w:p>
          <w:p w:rsidR="005756E4" w:rsidRPr="006B210C" w:rsidRDefault="005756E4" w:rsidP="00097F2D">
            <w:r w:rsidRPr="006B210C">
              <w:rPr>
                <w:b/>
                <w:smallCaps/>
              </w:rPr>
              <w:t>Docket</w:t>
            </w:r>
            <w:r>
              <w:rPr>
                <w:b/>
                <w:smallCaps/>
              </w:rPr>
              <w:t>s:</w:t>
            </w:r>
            <w:r w:rsidRPr="006B210C">
              <w:t xml:space="preserve"> </w:t>
            </w:r>
            <w:r>
              <w:t xml:space="preserve">36612, </w:t>
            </w:r>
            <w:r w:rsidR="00097F2D">
              <w:t>3</w:t>
            </w:r>
            <w:bookmarkStart w:id="0" w:name="_GoBack"/>
            <w:bookmarkEnd w:id="0"/>
            <w:r>
              <w:t>6613</w:t>
            </w:r>
          </w:p>
        </w:tc>
      </w:tr>
    </w:tbl>
    <w:p w:rsidR="005756E4" w:rsidRPr="006B210C" w:rsidRDefault="005756E4" w:rsidP="005756E4"/>
    <w:p w:rsidR="005756E4" w:rsidRPr="006B210C" w:rsidRDefault="005756E4" w:rsidP="005756E4"/>
    <w:p w:rsidR="005756E4" w:rsidRDefault="005756E4" w:rsidP="005756E4">
      <w:pPr>
        <w:pStyle w:val="SCCLsocPrefix"/>
      </w:pPr>
      <w:r>
        <w:t>Between:</w:t>
      </w:r>
    </w:p>
    <w:p w:rsidR="005756E4" w:rsidRPr="007E2413" w:rsidRDefault="005756E4" w:rsidP="005756E4">
      <w:pPr>
        <w:jc w:val="center"/>
        <w:rPr>
          <w:b/>
        </w:rPr>
      </w:pPr>
      <w:r w:rsidRPr="007E2413">
        <w:rPr>
          <w:b/>
        </w:rPr>
        <w:t>Alan Peter Knapczyk</w:t>
      </w:r>
    </w:p>
    <w:p w:rsidR="005756E4" w:rsidRDefault="005756E4" w:rsidP="005756E4">
      <w:pPr>
        <w:jc w:val="center"/>
      </w:pPr>
      <w:r>
        <w:t>Appellant</w:t>
      </w:r>
    </w:p>
    <w:p w:rsidR="005756E4" w:rsidRDefault="005756E4" w:rsidP="005756E4">
      <w:pPr>
        <w:jc w:val="center"/>
      </w:pPr>
    </w:p>
    <w:p w:rsidR="005756E4" w:rsidRDefault="005756E4" w:rsidP="005756E4">
      <w:pPr>
        <w:pStyle w:val="SCCLsocVersus"/>
        <w:spacing w:after="0"/>
        <w:jc w:val="center"/>
        <w:rPr>
          <w:i w:val="0"/>
        </w:rPr>
      </w:pPr>
      <w:r>
        <w:rPr>
          <w:i w:val="0"/>
        </w:rPr>
        <w:t>a</w:t>
      </w:r>
      <w:r w:rsidRPr="005756E4">
        <w:rPr>
          <w:i w:val="0"/>
        </w:rPr>
        <w:t>nd</w:t>
      </w:r>
    </w:p>
    <w:p w:rsidR="005756E4" w:rsidRPr="005756E4" w:rsidRDefault="005756E4" w:rsidP="005756E4"/>
    <w:p w:rsidR="005756E4" w:rsidRDefault="005756E4" w:rsidP="005756E4">
      <w:pPr>
        <w:pStyle w:val="SCCLsocParty"/>
        <w:jc w:val="center"/>
      </w:pPr>
      <w:r>
        <w:t>Her Majesty The Queen</w:t>
      </w:r>
    </w:p>
    <w:p w:rsidR="005756E4" w:rsidRDefault="005756E4" w:rsidP="005756E4">
      <w:pPr>
        <w:jc w:val="center"/>
      </w:pPr>
      <w:r>
        <w:t>Respondent</w:t>
      </w:r>
    </w:p>
    <w:p w:rsidR="005756E4" w:rsidRDefault="005756E4" w:rsidP="005756E4"/>
    <w:p w:rsidR="005756E4" w:rsidRPr="001E7D93" w:rsidRDefault="001E7D93" w:rsidP="001E7D93">
      <w:pPr>
        <w:rPr>
          <w:b/>
        </w:rPr>
      </w:pPr>
      <w:r w:rsidRPr="001E7D93">
        <w:rPr>
          <w:b/>
          <w:smallCaps/>
        </w:rPr>
        <w:t>And Between</w:t>
      </w:r>
      <w:r>
        <w:rPr>
          <w:b/>
        </w:rPr>
        <w:t xml:space="preserve"> </w:t>
      </w:r>
      <w:r w:rsidRPr="001E7D93">
        <w:rPr>
          <w:b/>
        </w:rPr>
        <w:t>:</w:t>
      </w:r>
    </w:p>
    <w:p w:rsidR="005756E4" w:rsidRDefault="005756E4" w:rsidP="005756E4"/>
    <w:p w:rsidR="005756E4" w:rsidRDefault="005756E4" w:rsidP="005756E4">
      <w:pPr>
        <w:jc w:val="center"/>
        <w:rPr>
          <w:b/>
        </w:rPr>
      </w:pPr>
      <w:r w:rsidRPr="007E2413">
        <w:rPr>
          <w:b/>
        </w:rPr>
        <w:t>John Reginald Alcantara</w:t>
      </w:r>
    </w:p>
    <w:p w:rsidR="005756E4" w:rsidRPr="007E2413" w:rsidRDefault="005756E4" w:rsidP="005756E4">
      <w:pPr>
        <w:jc w:val="center"/>
      </w:pPr>
      <w:r w:rsidRPr="007E2413">
        <w:t>Appellant</w:t>
      </w:r>
    </w:p>
    <w:p w:rsidR="005756E4" w:rsidRDefault="005756E4" w:rsidP="005756E4">
      <w:pPr>
        <w:jc w:val="center"/>
        <w:rPr>
          <w:b/>
        </w:rPr>
      </w:pPr>
    </w:p>
    <w:p w:rsidR="001E7D93" w:rsidRPr="001E7D93" w:rsidRDefault="001E7D93" w:rsidP="005756E4">
      <w:pPr>
        <w:jc w:val="center"/>
      </w:pPr>
      <w:r w:rsidRPr="001E7D93">
        <w:t>and</w:t>
      </w:r>
    </w:p>
    <w:p w:rsidR="005756E4" w:rsidRDefault="005756E4" w:rsidP="005756E4">
      <w:pPr>
        <w:jc w:val="center"/>
        <w:rPr>
          <w:b/>
        </w:rPr>
      </w:pPr>
    </w:p>
    <w:p w:rsidR="005756E4" w:rsidRDefault="005756E4" w:rsidP="005756E4">
      <w:pPr>
        <w:pStyle w:val="SCCLsocParty"/>
        <w:jc w:val="center"/>
      </w:pPr>
      <w:r>
        <w:t>Her Majesty The Queen</w:t>
      </w:r>
    </w:p>
    <w:p w:rsidR="005756E4" w:rsidRDefault="005756E4" w:rsidP="005756E4">
      <w:pPr>
        <w:jc w:val="center"/>
      </w:pPr>
      <w:r>
        <w:t>Respondent</w:t>
      </w:r>
    </w:p>
    <w:p w:rsidR="005756E4" w:rsidRPr="007E2413" w:rsidRDefault="005756E4" w:rsidP="005756E4">
      <w:pPr>
        <w:jc w:val="center"/>
        <w:rPr>
          <w:b/>
        </w:rPr>
      </w:pPr>
    </w:p>
    <w:p w:rsidR="005756E4" w:rsidRDefault="005756E4" w:rsidP="005756E4"/>
    <w:p w:rsidR="005756E4" w:rsidRPr="006B210C" w:rsidRDefault="005756E4" w:rsidP="005756E4"/>
    <w:p w:rsidR="005756E4" w:rsidRPr="006B210C" w:rsidRDefault="005756E4" w:rsidP="005756E4">
      <w:r w:rsidRPr="006B210C">
        <w:rPr>
          <w:b/>
          <w:smallCaps/>
        </w:rPr>
        <w:t>Coram</w:t>
      </w:r>
      <w:r>
        <w:rPr>
          <w:b/>
          <w:smallCaps/>
        </w:rPr>
        <w:t>:</w:t>
      </w:r>
      <w:r w:rsidRPr="006B210C">
        <w:t xml:space="preserve"> </w:t>
      </w:r>
      <w:r>
        <w:t>McLachlin C.J. and Abella, Moldaver, Karakatsanis, Gascon, Côté and Brown JJ.</w:t>
      </w:r>
    </w:p>
    <w:p w:rsidR="005756E4" w:rsidRPr="006B210C" w:rsidRDefault="005756E4" w:rsidP="005756E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756E4" w:rsidRPr="006B210C" w:rsidTr="000F72C6">
        <w:trPr>
          <w:cantSplit/>
        </w:trPr>
        <w:tc>
          <w:tcPr>
            <w:tcW w:w="3618" w:type="dxa"/>
          </w:tcPr>
          <w:p w:rsidR="005756E4" w:rsidRDefault="005756E4" w:rsidP="000F72C6">
            <w:pPr>
              <w:rPr>
                <w:b/>
                <w:smallCaps/>
              </w:rPr>
            </w:pPr>
            <w:r w:rsidRPr="006B210C">
              <w:rPr>
                <w:b/>
                <w:smallCaps/>
              </w:rPr>
              <w:t>Reasons for Judgment</w:t>
            </w:r>
            <w:r>
              <w:rPr>
                <w:b/>
                <w:smallCaps/>
              </w:rPr>
              <w:t>:</w:t>
            </w:r>
          </w:p>
          <w:p w:rsidR="005756E4" w:rsidRPr="00623FDD" w:rsidRDefault="005756E4" w:rsidP="000F72C6">
            <w:r w:rsidRPr="00623FDD">
              <w:t>(paras. 1 to 2)</w:t>
            </w:r>
          </w:p>
        </w:tc>
        <w:tc>
          <w:tcPr>
            <w:tcW w:w="5958" w:type="dxa"/>
          </w:tcPr>
          <w:p w:rsidR="005756E4" w:rsidRPr="006B210C" w:rsidRDefault="005756E4" w:rsidP="000F72C6">
            <w:r>
              <w:t>McLachlin C.J. (Abella, Moldaver, Karakatsanis, Gascon, Côté and Brown JJ. concurring)</w:t>
            </w:r>
          </w:p>
        </w:tc>
      </w:tr>
    </w:tbl>
    <w:p w:rsidR="005756E4" w:rsidRDefault="005756E4" w:rsidP="005756E4"/>
    <w:p w:rsidR="005756E4" w:rsidRPr="006B210C" w:rsidRDefault="005756E4" w:rsidP="005756E4">
      <w:r>
        <w:rPr>
          <w:noProof/>
          <w:lang w:val="en-US" w:eastAsia="en-US"/>
        </w:rPr>
        <mc:AlternateContent>
          <mc:Choice Requires="wps">
            <w:drawing>
              <wp:anchor distT="0" distB="0" distL="114300" distR="114300" simplePos="0" relativeHeight="251659264" behindDoc="0" locked="0" layoutInCell="1" allowOverlap="1" wp14:anchorId="5E434B73" wp14:editId="56B25750">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F390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756E4" w:rsidRDefault="005756E4" w:rsidP="005756E4"/>
    <w:p w:rsidR="005756E4" w:rsidRDefault="005756E4" w:rsidP="0044538D">
      <w:pPr>
        <w:widowControl w:val="0"/>
        <w:spacing w:line="480" w:lineRule="auto"/>
        <w:jc w:val="both"/>
      </w:pPr>
    </w:p>
    <w:p w:rsidR="008322BD" w:rsidRPr="004E2C3B" w:rsidRDefault="004E2C3B" w:rsidP="0044538D">
      <w:pPr>
        <w:widowControl w:val="0"/>
        <w:spacing w:line="480" w:lineRule="auto"/>
        <w:jc w:val="both"/>
      </w:pPr>
      <w:r>
        <w:t>R</w:t>
      </w:r>
      <w:r w:rsidR="004C701C" w:rsidRPr="004E2C3B">
        <w:t xml:space="preserve">. </w:t>
      </w:r>
      <w:r w:rsidR="004C701C" w:rsidRPr="004E2C3B">
        <w:rPr>
          <w:i/>
        </w:rPr>
        <w:t>v.</w:t>
      </w:r>
      <w:r w:rsidR="004C701C" w:rsidRPr="004E2C3B">
        <w:t xml:space="preserve"> </w:t>
      </w:r>
      <w:r>
        <w:rPr>
          <w:rStyle w:val="SCCAppellantForRunningHeadChar"/>
          <w:smallCaps w:val="0"/>
        </w:rPr>
        <w:t>K</w:t>
      </w:r>
      <w:r w:rsidR="008F78E9" w:rsidRPr="004E2C3B">
        <w:rPr>
          <w:rStyle w:val="SCCAppellantForRunningHeadChar"/>
          <w:smallCaps w:val="0"/>
        </w:rPr>
        <w:t>napczyk</w:t>
      </w:r>
      <w:r>
        <w:rPr>
          <w:rStyle w:val="SCCAppellantForRunningHeadChar"/>
          <w:smallCaps w:val="0"/>
        </w:rPr>
        <w:t xml:space="preserve">, </w:t>
      </w:r>
      <w:r>
        <w:t xml:space="preserve">2016 </w:t>
      </w:r>
      <w:r w:rsidRPr="00C02092">
        <w:t>SCC </w:t>
      </w:r>
      <w:r>
        <w:t>10, [2016] 1 S.C.R. 78</w:t>
      </w:r>
    </w:p>
    <w:p w:rsidR="00766D14" w:rsidRDefault="00766D14" w:rsidP="0044538D">
      <w:pPr>
        <w:widowControl w:val="0"/>
        <w:spacing w:after="720"/>
        <w:jc w:val="both"/>
      </w:pPr>
    </w:p>
    <w:p w:rsidR="00265F01" w:rsidRDefault="00D86773" w:rsidP="0044538D">
      <w:pPr>
        <w:pStyle w:val="SCCLsocLastPartyInRole"/>
        <w:widowControl w:val="0"/>
      </w:pPr>
      <w:r>
        <w:lastRenderedPageBreak/>
        <w:t>Alan Peter Knapczyk</w:t>
      </w:r>
      <w:r>
        <w:rPr>
          <w:rStyle w:val="SCCLsocPartyRole"/>
        </w:rPr>
        <w:tab/>
        <w:t>Appellant</w:t>
      </w:r>
    </w:p>
    <w:p w:rsidR="00265F01" w:rsidRDefault="00D86773" w:rsidP="0044538D">
      <w:pPr>
        <w:pStyle w:val="SCCLsocVersus"/>
        <w:widowControl w:val="0"/>
      </w:pPr>
      <w:r>
        <w:t>v.</w:t>
      </w:r>
    </w:p>
    <w:p w:rsidR="00766D14" w:rsidRDefault="004C701C" w:rsidP="0044538D">
      <w:pPr>
        <w:pStyle w:val="SCCLsocLastPartyInRole"/>
        <w:widowControl w:val="0"/>
      </w:pPr>
      <w:r>
        <w:t>Her Majesty T</w:t>
      </w:r>
      <w:r w:rsidR="00D86773">
        <w:t>he Queen</w:t>
      </w:r>
      <w:r w:rsidR="00D86773">
        <w:rPr>
          <w:rStyle w:val="SCCLsocPartyRole"/>
        </w:rPr>
        <w:tab/>
        <w:t>Respondent</w:t>
      </w:r>
    </w:p>
    <w:p w:rsidR="00A149DF" w:rsidRDefault="004C701C" w:rsidP="0044538D">
      <w:pPr>
        <w:widowControl w:val="0"/>
        <w:spacing w:after="720"/>
        <w:jc w:val="both"/>
      </w:pPr>
      <w:r>
        <w:t>- and -</w:t>
      </w:r>
    </w:p>
    <w:p w:rsidR="004C701C" w:rsidRDefault="004C701C" w:rsidP="0044538D">
      <w:pPr>
        <w:pStyle w:val="SCCLsocLastPartyInRole"/>
        <w:widowControl w:val="0"/>
      </w:pPr>
      <w:r>
        <w:t>John Reginald Alcantara</w:t>
      </w:r>
      <w:r>
        <w:rPr>
          <w:rStyle w:val="SCCLsocPartyRole"/>
        </w:rPr>
        <w:tab/>
        <w:t>Appellant</w:t>
      </w:r>
    </w:p>
    <w:p w:rsidR="004C701C" w:rsidRDefault="004C701C" w:rsidP="0044538D">
      <w:pPr>
        <w:pStyle w:val="SCCLsocVersus"/>
        <w:widowControl w:val="0"/>
      </w:pPr>
      <w:r>
        <w:t>v.</w:t>
      </w:r>
    </w:p>
    <w:p w:rsidR="004C701C" w:rsidRDefault="004C701C" w:rsidP="0044538D">
      <w:pPr>
        <w:pStyle w:val="SCCLsocLastPartyInRole"/>
        <w:widowControl w:val="0"/>
      </w:pPr>
      <w:r>
        <w:t>Her Majesty The Queen</w:t>
      </w:r>
      <w:r>
        <w:rPr>
          <w:rStyle w:val="SCCLsocPartyRole"/>
        </w:rPr>
        <w:tab/>
        <w:t>Respondent</w:t>
      </w:r>
    </w:p>
    <w:p w:rsidR="00426659" w:rsidRPr="00426659" w:rsidRDefault="00426659" w:rsidP="0044538D">
      <w:pPr>
        <w:widowControl w:val="0"/>
        <w:spacing w:after="720"/>
        <w:jc w:val="both"/>
        <w:rPr>
          <w:b/>
        </w:rPr>
      </w:pPr>
      <w:r w:rsidRPr="00426659">
        <w:rPr>
          <w:b/>
        </w:rPr>
        <w:t>Indexed as:</w:t>
      </w:r>
      <w:r>
        <w:rPr>
          <w:b/>
        </w:rPr>
        <w:t xml:space="preserve"> </w:t>
      </w:r>
      <w:r w:rsidR="004C701C">
        <w:rPr>
          <w:b/>
        </w:rPr>
        <w:t xml:space="preserve"> R. </w:t>
      </w:r>
      <w:r w:rsidR="004C701C" w:rsidRPr="005A015B">
        <w:rPr>
          <w:b/>
          <w:i/>
        </w:rPr>
        <w:t>v.</w:t>
      </w:r>
      <w:r w:rsidR="004C701C">
        <w:rPr>
          <w:b/>
        </w:rPr>
        <w:t xml:space="preserve"> </w:t>
      </w:r>
      <w:r w:rsidR="004C701C">
        <w:rPr>
          <w:rStyle w:val="SCCAppellantForIndexChar"/>
        </w:rPr>
        <w:t>K</w:t>
      </w:r>
      <w:r>
        <w:rPr>
          <w:rStyle w:val="SCCAppellantForIndexChar"/>
        </w:rPr>
        <w:t>napczyk</w:t>
      </w:r>
    </w:p>
    <w:p w:rsidR="00426659" w:rsidRPr="00C02092" w:rsidRDefault="00AE4535" w:rsidP="0044538D">
      <w:pPr>
        <w:pStyle w:val="SCCSystemYear"/>
        <w:widowControl w:val="0"/>
        <w:spacing w:after="720"/>
        <w:jc w:val="both"/>
      </w:pPr>
      <w:r>
        <w:t>2016</w:t>
      </w:r>
      <w:r w:rsidR="003D0399">
        <w:t xml:space="preserve"> </w:t>
      </w:r>
      <w:r w:rsidR="00426659" w:rsidRPr="00C02092">
        <w:t>SCC </w:t>
      </w:r>
      <w:r w:rsidR="004C701C">
        <w:t>10</w:t>
      </w:r>
    </w:p>
    <w:p w:rsidR="00A149DF" w:rsidRDefault="009B57B3" w:rsidP="0044538D">
      <w:pPr>
        <w:widowControl w:val="0"/>
        <w:spacing w:after="720"/>
        <w:jc w:val="both"/>
      </w:pPr>
      <w:r w:rsidRPr="001426A9">
        <w:t>File No</w:t>
      </w:r>
      <w:r w:rsidR="005A015B">
        <w:t>s</w:t>
      </w:r>
      <w:r w:rsidRPr="001426A9">
        <w:t xml:space="preserve">.:  </w:t>
      </w:r>
      <w:r>
        <w:t>36612</w:t>
      </w:r>
      <w:r w:rsidR="004C701C">
        <w:t>, 36613</w:t>
      </w:r>
      <w:r w:rsidRPr="001426A9">
        <w:t>.</w:t>
      </w:r>
      <w:r w:rsidR="004C701C">
        <w:t xml:space="preserve"> </w:t>
      </w:r>
    </w:p>
    <w:p w:rsidR="008322BD" w:rsidRDefault="00AE4535" w:rsidP="0044538D">
      <w:pPr>
        <w:widowControl w:val="0"/>
        <w:spacing w:after="720"/>
        <w:jc w:val="both"/>
      </w:pPr>
      <w:r>
        <w:t>2016:  March 22</w:t>
      </w:r>
      <w:r w:rsidR="00962924">
        <w:t>.</w:t>
      </w:r>
    </w:p>
    <w:p w:rsidR="008322BD" w:rsidRDefault="009B57B3" w:rsidP="0044538D">
      <w:pPr>
        <w:widowControl w:val="0"/>
        <w:jc w:val="both"/>
      </w:pPr>
      <w:r w:rsidRPr="001426A9">
        <w:t xml:space="preserve">Present:  </w:t>
      </w:r>
      <w:r>
        <w:t>McLachlin C.J. and Abella, Moldaver, Karakatsanis, Gascon, Côté and Brown JJ.</w:t>
      </w:r>
    </w:p>
    <w:p w:rsidR="00E97830" w:rsidRDefault="00E97830" w:rsidP="0044538D">
      <w:pPr>
        <w:widowControl w:val="0"/>
        <w:spacing w:after="720"/>
        <w:jc w:val="both"/>
      </w:pPr>
    </w:p>
    <w:p w:rsidR="008322BD" w:rsidRPr="001C779F" w:rsidRDefault="00656313" w:rsidP="0044538D">
      <w:pPr>
        <w:pStyle w:val="SCCLowerCourtNameLowercase"/>
        <w:widowControl w:val="0"/>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w:t>
      </w:r>
      <w:r w:rsidR="002964EC">
        <w:t xml:space="preserve">for </w:t>
      </w:r>
      <w:r w:rsidR="009B57B3">
        <w:t xml:space="preserve">alberta </w:t>
      </w:r>
    </w:p>
    <w:p w:rsidR="003A4C70" w:rsidRPr="001426A9" w:rsidRDefault="003A4C70" w:rsidP="0044538D">
      <w:pPr>
        <w:pStyle w:val="SCCNormalDoubleSpacing"/>
        <w:widowControl w:val="0"/>
      </w:pPr>
    </w:p>
    <w:p w:rsidR="008322BD" w:rsidRPr="009216C4" w:rsidRDefault="009B57B3" w:rsidP="0044538D">
      <w:pPr>
        <w:pStyle w:val="SCCNormalDoubleSpacing"/>
        <w:widowControl w:val="0"/>
        <w:rPr>
          <w:i/>
        </w:rPr>
      </w:pPr>
      <w:r w:rsidRPr="00583EDE">
        <w:lastRenderedPageBreak/>
        <w:tab/>
      </w:r>
      <w:r w:rsidR="00473867">
        <w:rPr>
          <w:i/>
        </w:rPr>
        <w:t>Criminal law —</w:t>
      </w:r>
      <w:r w:rsidR="009216C4">
        <w:rPr>
          <w:i/>
        </w:rPr>
        <w:t xml:space="preserve"> </w:t>
      </w:r>
      <w:r w:rsidR="00283744">
        <w:rPr>
          <w:i/>
        </w:rPr>
        <w:t xml:space="preserve">Controlled drugs and substances </w:t>
      </w:r>
      <w:r w:rsidR="00473867">
        <w:rPr>
          <w:i/>
        </w:rPr>
        <w:t>—</w:t>
      </w:r>
      <w:r w:rsidR="00283744">
        <w:rPr>
          <w:i/>
        </w:rPr>
        <w:t xml:space="preserve"> </w:t>
      </w:r>
      <w:r w:rsidR="00473867">
        <w:rPr>
          <w:i/>
        </w:rPr>
        <w:t>Trafficking —</w:t>
      </w:r>
      <w:r w:rsidR="009216C4">
        <w:rPr>
          <w:i/>
        </w:rPr>
        <w:t xml:space="preserve"> </w:t>
      </w:r>
      <w:r w:rsidR="00473867">
        <w:rPr>
          <w:i/>
        </w:rPr>
        <w:t>Parties to offence —</w:t>
      </w:r>
      <w:r w:rsidR="003B74C9">
        <w:rPr>
          <w:i/>
        </w:rPr>
        <w:t xml:space="preserve"> </w:t>
      </w:r>
      <w:r w:rsidR="009D2FD3">
        <w:rPr>
          <w:i/>
        </w:rPr>
        <w:t xml:space="preserve">Aiding and abetting </w:t>
      </w:r>
      <w:r w:rsidR="00473867">
        <w:rPr>
          <w:i/>
        </w:rPr>
        <w:t xml:space="preserve">— </w:t>
      </w:r>
      <w:r w:rsidR="009216C4">
        <w:rPr>
          <w:i/>
        </w:rPr>
        <w:t xml:space="preserve">Accused provided protection </w:t>
      </w:r>
      <w:r w:rsidR="005A0F96">
        <w:rPr>
          <w:i/>
        </w:rPr>
        <w:t>to</w:t>
      </w:r>
      <w:r w:rsidR="009216C4">
        <w:rPr>
          <w:i/>
        </w:rPr>
        <w:t xml:space="preserve"> cocaine distribution </w:t>
      </w:r>
      <w:r w:rsidR="005A0F96">
        <w:rPr>
          <w:i/>
        </w:rPr>
        <w:t>business</w:t>
      </w:r>
      <w:r w:rsidR="009216C4">
        <w:rPr>
          <w:i/>
        </w:rPr>
        <w:t xml:space="preserve"> </w:t>
      </w:r>
      <w:r w:rsidR="00473867">
        <w:rPr>
          <w:i/>
        </w:rPr>
        <w:t>—</w:t>
      </w:r>
      <w:r w:rsidR="009216C4">
        <w:rPr>
          <w:i/>
        </w:rPr>
        <w:t xml:space="preserve"> Court of Appeal properly holding that accused aided and abetted offence of tr</w:t>
      </w:r>
      <w:r w:rsidR="00473867">
        <w:rPr>
          <w:i/>
        </w:rPr>
        <w:t>afficking through distribution —</w:t>
      </w:r>
      <w:r w:rsidR="009216C4">
        <w:rPr>
          <w:i/>
        </w:rPr>
        <w:t xml:space="preserve"> Accused’s convictions for trafficking in cocaine upheld.</w:t>
      </w:r>
    </w:p>
    <w:p w:rsidR="00610539" w:rsidRDefault="00610539" w:rsidP="0044538D">
      <w:pPr>
        <w:pStyle w:val="SCCNormalDoubleSpacing"/>
        <w:widowControl w:val="0"/>
      </w:pPr>
    </w:p>
    <w:p w:rsidR="00656313" w:rsidRDefault="009B57B3" w:rsidP="0044538D">
      <w:pPr>
        <w:pStyle w:val="SCCNormalDoubleSpacing"/>
        <w:widowControl w:val="0"/>
        <w:spacing w:after="480"/>
      </w:pPr>
      <w:r w:rsidRPr="001426A9">
        <w:tab/>
        <w:t>APPEAL</w:t>
      </w:r>
      <w:r w:rsidR="009216C4">
        <w:t>S</w:t>
      </w:r>
      <w:r w:rsidRPr="001426A9">
        <w:t xml:space="preserve"> from a judgment of the </w:t>
      </w:r>
      <w:r w:rsidR="0012188D">
        <w:t xml:space="preserve">Alberta </w:t>
      </w:r>
      <w:r>
        <w:t xml:space="preserve">Court of Appeal </w:t>
      </w:r>
      <w:r w:rsidR="000E4953">
        <w:t xml:space="preserve">(Côté, Costigan and Wakeling JJ.A.), </w:t>
      </w:r>
      <w:r w:rsidR="00EE66AD">
        <w:t xml:space="preserve">2015 ABCA 258, </w:t>
      </w:r>
      <w:r w:rsidR="004F3E90">
        <w:t>326 C.C.C. (3d) 377, 22 Alta. L.R. (6th) 77,</w:t>
      </w:r>
      <w:r w:rsidR="00D72838">
        <w:t xml:space="preserve"> 602 A.R. 197, 647 W.A.C. 1</w:t>
      </w:r>
      <w:r w:rsidR="00E70AD6">
        <w:t>97</w:t>
      </w:r>
      <w:r w:rsidR="00D72838">
        <w:t>,</w:t>
      </w:r>
      <w:r w:rsidR="004F3E90">
        <w:t xml:space="preserve"> [2015] 12 W.W.R. 649, [2015] A.J. No. 882 (QL), 2015 CarswellAlta 1475 (</w:t>
      </w:r>
      <w:r w:rsidR="00832969">
        <w:t>WL Can.</w:t>
      </w:r>
      <w:r w:rsidR="004F3E90">
        <w:t xml:space="preserve">), </w:t>
      </w:r>
      <w:r w:rsidR="00E33380" w:rsidRPr="005A015B">
        <w:t xml:space="preserve">setting aside the </w:t>
      </w:r>
      <w:r w:rsidR="009216C4">
        <w:t>acquittals</w:t>
      </w:r>
      <w:r w:rsidR="00E33380" w:rsidRPr="005A015B">
        <w:t xml:space="preserve"> for trafficking in cocaine entered by Greckol J.</w:t>
      </w:r>
      <w:r w:rsidR="00DC1ADC">
        <w:t>, 2012 ABQB 521, 547 A.R. 1, 80 Alta. L.R. (5</w:t>
      </w:r>
      <w:r w:rsidR="00DC1ADC" w:rsidRPr="00DC1ADC">
        <w:t>th</w:t>
      </w:r>
      <w:r w:rsidR="00DC1ADC">
        <w:t>) 1,</w:t>
      </w:r>
      <w:r w:rsidR="009216C4">
        <w:t xml:space="preserve"> </w:t>
      </w:r>
      <w:r w:rsidR="00DC1ADC">
        <w:t xml:space="preserve">[2013] 6 W.W.R. 1, [2012] A.J. No. 929 (QL), 2012 CarswellAlta 1524 (WL Can.), </w:t>
      </w:r>
      <w:r w:rsidR="009216C4">
        <w:t>and entering convictions.</w:t>
      </w:r>
      <w:r w:rsidR="00E33380">
        <w:t xml:space="preserve">  Appeal</w:t>
      </w:r>
      <w:r w:rsidR="007748A6">
        <w:t>s dismissed.</w:t>
      </w:r>
    </w:p>
    <w:p w:rsidR="00265F01" w:rsidRDefault="00D86773" w:rsidP="0044538D">
      <w:pPr>
        <w:pStyle w:val="SCCNormalDoubleSpacing"/>
        <w:widowControl w:val="0"/>
      </w:pPr>
      <w:r>
        <w:rPr>
          <w:rStyle w:val="SCCCounselNameChar"/>
        </w:rPr>
        <w:tab/>
        <w:t>Simon Renouf</w:t>
      </w:r>
      <w:r w:rsidRPr="00120E4F">
        <w:rPr>
          <w:rStyle w:val="SCCCounselNameChar"/>
          <w:i w:val="0"/>
        </w:rPr>
        <w:t xml:space="preserve">, </w:t>
      </w:r>
      <w:r>
        <w:rPr>
          <w:rStyle w:val="SCCCounselNameChar"/>
        </w:rPr>
        <w:t>Q.C.</w:t>
      </w:r>
      <w:r>
        <w:rPr>
          <w:rStyle w:val="SCCCounselSeparatorChar"/>
        </w:rPr>
        <w:t xml:space="preserve">, </w:t>
      </w:r>
      <w:r>
        <w:rPr>
          <w:rStyle w:val="SCCCounselPartyRoleChar"/>
        </w:rPr>
        <w:t>for the appellant</w:t>
      </w:r>
      <w:r w:rsidR="00120E4F">
        <w:rPr>
          <w:rStyle w:val="SCCCounselPartyRoleChar"/>
        </w:rPr>
        <w:t xml:space="preserve"> </w:t>
      </w:r>
      <w:r w:rsidR="00120E4F">
        <w:t>Alan Peter Knapczyk</w:t>
      </w:r>
      <w:r>
        <w:rPr>
          <w:rStyle w:val="SCCCounselPartyRoleChar"/>
        </w:rPr>
        <w:t>.</w:t>
      </w:r>
    </w:p>
    <w:p w:rsidR="00120E4F" w:rsidRDefault="00120E4F" w:rsidP="0044538D">
      <w:pPr>
        <w:pStyle w:val="SCCNormalDoubleSpacing"/>
        <w:widowControl w:val="0"/>
        <w:rPr>
          <w:rStyle w:val="SCCCounselNameChar"/>
        </w:rPr>
      </w:pPr>
    </w:p>
    <w:p w:rsidR="00265F01" w:rsidRDefault="00120E4F" w:rsidP="0044538D">
      <w:pPr>
        <w:pStyle w:val="SCCNormalDoubleSpacing"/>
        <w:widowControl w:val="0"/>
      </w:pPr>
      <w:r>
        <w:rPr>
          <w:rStyle w:val="SCCCounselNameChar"/>
        </w:rPr>
        <w:tab/>
        <w:t>A. Clayton Rice</w:t>
      </w:r>
      <w:r>
        <w:rPr>
          <w:rStyle w:val="SCCCounselPartyRoleChar"/>
        </w:rPr>
        <w:t xml:space="preserve"> and </w:t>
      </w:r>
      <w:r w:rsidRPr="00120E4F">
        <w:rPr>
          <w:rStyle w:val="SCCCounselPartyRoleChar"/>
          <w:i/>
        </w:rPr>
        <w:t>Heather Ferg</w:t>
      </w:r>
      <w:r>
        <w:rPr>
          <w:rStyle w:val="SCCCounselPartyRoleChar"/>
        </w:rPr>
        <w:t>, for the appellant</w:t>
      </w:r>
      <w:r w:rsidR="005E3628">
        <w:rPr>
          <w:rStyle w:val="SCCCounselPartyRoleChar"/>
        </w:rPr>
        <w:t xml:space="preserve"> </w:t>
      </w:r>
      <w:r w:rsidR="005E3628">
        <w:t>John Reginald Alcantara.</w:t>
      </w:r>
    </w:p>
    <w:p w:rsidR="00120E4F" w:rsidRDefault="00120E4F" w:rsidP="0044538D">
      <w:pPr>
        <w:pStyle w:val="SCCNormalDoubleSpacing"/>
        <w:widowControl w:val="0"/>
      </w:pPr>
    </w:p>
    <w:p w:rsidR="00265F01" w:rsidRDefault="00D86773" w:rsidP="0044538D">
      <w:pPr>
        <w:pStyle w:val="SCCNormalDoubleSpacing"/>
        <w:widowControl w:val="0"/>
        <w:spacing w:after="480"/>
        <w:rPr>
          <w:rStyle w:val="SCCCounselPartyRoleChar"/>
        </w:rPr>
      </w:pPr>
      <w:r>
        <w:rPr>
          <w:rStyle w:val="SCCCounselNameChar"/>
        </w:rPr>
        <w:tab/>
        <w:t>Ronald C. Reimer</w:t>
      </w:r>
      <w:r w:rsidR="005E3628">
        <w:rPr>
          <w:rStyle w:val="SCCCounselPartyRoleChar"/>
        </w:rPr>
        <w:t xml:space="preserve"> and </w:t>
      </w:r>
      <w:r w:rsidR="005E3628" w:rsidRPr="005E3628">
        <w:rPr>
          <w:rStyle w:val="SCCCounselPartyRoleChar"/>
          <w:i/>
        </w:rPr>
        <w:t>Jonathan Martin</w:t>
      </w:r>
      <w:r w:rsidR="005E3628">
        <w:rPr>
          <w:rStyle w:val="SCCCounselPartyRoleChar"/>
        </w:rPr>
        <w:t>,</w:t>
      </w:r>
      <w:r>
        <w:rPr>
          <w:rStyle w:val="SCCCounselPartyRoleChar"/>
        </w:rPr>
        <w:t xml:space="preserve"> for the respondent.</w:t>
      </w:r>
    </w:p>
    <w:p w:rsidR="000B215A" w:rsidRDefault="000B215A" w:rsidP="0044538D">
      <w:pPr>
        <w:pStyle w:val="SCCNormalDoubleSpacing"/>
        <w:widowControl w:val="0"/>
      </w:pPr>
      <w:r>
        <w:rPr>
          <w:rStyle w:val="SCCCounselPartyRoleChar"/>
        </w:rPr>
        <w:tab/>
        <w:t>The judgment of the Court was delivered orally by</w:t>
      </w:r>
    </w:p>
    <w:p w:rsidR="00855ACF" w:rsidRDefault="00855ACF" w:rsidP="0044538D">
      <w:pPr>
        <w:pStyle w:val="ParaNoNdepar-AltN"/>
        <w:widowControl w:val="0"/>
        <w:numPr>
          <w:ilvl w:val="0"/>
          <w:numId w:val="2"/>
        </w:numPr>
        <w:rPr>
          <w:lang w:val="en-US"/>
        </w:rPr>
      </w:pPr>
      <w:r>
        <w:rPr>
          <w:smallCaps/>
          <w:lang w:val="en-US"/>
        </w:rPr>
        <w:t xml:space="preserve">The Chief Justice </w:t>
      </w:r>
      <w:r w:rsidRPr="00464086">
        <w:rPr>
          <w:smallCaps/>
          <w:lang w:val="en-US"/>
        </w:rPr>
        <w:t xml:space="preserve"> </w:t>
      </w:r>
      <w:r w:rsidRPr="00464086">
        <w:rPr>
          <w:lang w:val="en-US"/>
        </w:rPr>
        <w:t xml:space="preserve">— We </w:t>
      </w:r>
      <w:r w:rsidRPr="007748A6">
        <w:rPr>
          <w:rFonts w:cs="Times New Roman"/>
          <w:lang w:val="en-US"/>
        </w:rPr>
        <w:t>are</w:t>
      </w:r>
      <w:r w:rsidRPr="00464086">
        <w:rPr>
          <w:lang w:val="en-US"/>
        </w:rPr>
        <w:t xml:space="preserve"> </w:t>
      </w:r>
      <w:r>
        <w:rPr>
          <w:lang w:val="en-US"/>
        </w:rPr>
        <w:t>agreed that the appeals should be dismissed</w:t>
      </w:r>
      <w:r w:rsidRPr="00464086">
        <w:rPr>
          <w:lang w:val="en-US"/>
        </w:rPr>
        <w:t xml:space="preserve">. </w:t>
      </w:r>
      <w:r>
        <w:rPr>
          <w:lang w:val="en-US"/>
        </w:rPr>
        <w:t>We agree with the following statement of the Court of Appeal:</w:t>
      </w:r>
    </w:p>
    <w:p w:rsidR="00855ACF" w:rsidRDefault="0091727F" w:rsidP="0044538D">
      <w:pPr>
        <w:widowControl w:val="0"/>
        <w:tabs>
          <w:tab w:val="left" w:pos="1530"/>
        </w:tabs>
        <w:spacing w:after="720"/>
        <w:ind w:left="1170" w:right="230"/>
        <w:jc w:val="both"/>
      </w:pPr>
      <w:r>
        <w:rPr>
          <w:lang w:val="en-US"/>
        </w:rPr>
        <w:tab/>
      </w:r>
      <w:r w:rsidR="00855ACF">
        <w:t>On the correct application of the legal principles to the facts found by the trial judge, it is an inescapable conclusion that the respondents aided and abetted the offence of trafficking through distribution. Their acts prevented or hindered interference with the accomplishment of a criminal act. In this way, the respondents provided assistance and encouragement to Mr. Caines in the commission of the offence of trafficking. There is a clear link between the respondents’ acts and the commission of the offence. [para. 15]</w:t>
      </w:r>
    </w:p>
    <w:p w:rsidR="00855ACF" w:rsidRDefault="00855ACF" w:rsidP="0044538D">
      <w:pPr>
        <w:pStyle w:val="ParaNoNdepar-AltN"/>
        <w:widowControl w:val="0"/>
        <w:numPr>
          <w:ilvl w:val="0"/>
          <w:numId w:val="2"/>
        </w:numPr>
      </w:pPr>
      <w:r>
        <w:t xml:space="preserve">The appeals are </w:t>
      </w:r>
      <w:r w:rsidRPr="005A015B">
        <w:rPr>
          <w:rFonts w:cs="Times New Roman"/>
          <w:lang w:val="en-US"/>
        </w:rPr>
        <w:t>dismissed</w:t>
      </w:r>
      <w:r>
        <w:t xml:space="preserve"> and the order of the Court of Appeal affirmed.</w:t>
      </w:r>
    </w:p>
    <w:p w:rsidR="009B57B3" w:rsidRPr="005A79AC" w:rsidRDefault="009B57B3" w:rsidP="0044538D">
      <w:pPr>
        <w:pStyle w:val="SCCNormalDoubleSpacing"/>
        <w:widowControl w:val="0"/>
        <w:rPr>
          <w:i/>
        </w:rPr>
      </w:pPr>
      <w:r w:rsidRPr="005A015B">
        <w:rPr>
          <w:lang w:val="en-US"/>
        </w:rPr>
        <w:tab/>
      </w:r>
      <w:r w:rsidR="005A79AC" w:rsidRPr="005A79AC">
        <w:rPr>
          <w:i/>
        </w:rPr>
        <w:t>Judgment accordingly.</w:t>
      </w:r>
    </w:p>
    <w:p w:rsidR="00A149DF" w:rsidRPr="001426A9" w:rsidRDefault="00A149DF" w:rsidP="0044538D">
      <w:pPr>
        <w:pStyle w:val="SCCNormalDoubleSpacing"/>
        <w:widowControl w:val="0"/>
      </w:pPr>
    </w:p>
    <w:p w:rsidR="00265F01" w:rsidRDefault="00D86773" w:rsidP="0044538D">
      <w:pPr>
        <w:pStyle w:val="SCCLawFirm"/>
        <w:widowControl w:val="0"/>
      </w:pPr>
      <w:r>
        <w:tab/>
        <w:t>Solicitor</w:t>
      </w:r>
      <w:r w:rsidR="00E03372">
        <w:t>s</w:t>
      </w:r>
      <w:r w:rsidR="005A79AC">
        <w:t xml:space="preserve"> </w:t>
      </w:r>
      <w:r>
        <w:t>for the appellant</w:t>
      </w:r>
      <w:r w:rsidR="00B037B0">
        <w:t xml:space="preserve"> Alan Peter Knapczyk</w:t>
      </w:r>
      <w:r>
        <w:t>: Simon Renouf Professional Corporation, Edmonton.</w:t>
      </w:r>
    </w:p>
    <w:p w:rsidR="006E541D" w:rsidRDefault="006E541D" w:rsidP="0044538D">
      <w:pPr>
        <w:pStyle w:val="SCCLawFirm"/>
        <w:widowControl w:val="0"/>
      </w:pPr>
    </w:p>
    <w:p w:rsidR="006E541D" w:rsidRDefault="00A53771" w:rsidP="0044538D">
      <w:pPr>
        <w:pStyle w:val="SCCLawFirm"/>
        <w:widowControl w:val="0"/>
      </w:pPr>
      <w:r>
        <w:tab/>
        <w:t>Solicitors for the appellant John Reginald Alcantara</w:t>
      </w:r>
      <w:r w:rsidR="00B037B0">
        <w:t xml:space="preserve">: </w:t>
      </w:r>
      <w:r>
        <w:t>Evans Fagan Rice McKay, Calgary.</w:t>
      </w:r>
    </w:p>
    <w:p w:rsidR="006E541D" w:rsidRDefault="006E541D" w:rsidP="0044538D">
      <w:pPr>
        <w:pStyle w:val="SCCLawFirm"/>
        <w:widowControl w:val="0"/>
      </w:pPr>
    </w:p>
    <w:p w:rsidR="00265F01" w:rsidRDefault="006E541D" w:rsidP="0044538D">
      <w:pPr>
        <w:pStyle w:val="SCCLawFirm"/>
        <w:widowControl w:val="0"/>
      </w:pPr>
      <w:r>
        <w:tab/>
        <w:t xml:space="preserve">Solicitor </w:t>
      </w:r>
      <w:r w:rsidR="00D86773">
        <w:t>for the respondent: Public Prosecution Service of Canada, Edmonton.</w:t>
      </w:r>
    </w:p>
    <w:sectPr w:rsidR="00265F01"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72DDB"/>
    <w:multiLevelType w:val="hybridMultilevel"/>
    <w:tmpl w:val="512C5B7E"/>
    <w:lvl w:ilvl="0" w:tplc="4BF0A206">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3130A"/>
    <w:multiLevelType w:val="multilevel"/>
    <w:tmpl w:val="A8A40EE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Title5LevelTitre5Niveau"/>
      <w:lvlText w:val="(%5)"/>
      <w:lvlJc w:val="left"/>
      <w:pPr>
        <w:tabs>
          <w:tab w:val="num" w:pos="1728"/>
        </w:tabs>
        <w:ind w:left="1728" w:hanging="576"/>
      </w:pPr>
      <w:rPr>
        <w:rFonts w:hint="default"/>
        <w:i w:val="0"/>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B3624262"/>
    <w:lvl w:ilvl="0">
      <w:start w:val="1"/>
      <w:numFmt w:val="decimal"/>
      <w:lvlText w:val="[%1]"/>
      <w:lvlJc w:val="left"/>
      <w:pPr>
        <w:tabs>
          <w:tab w:val="num" w:pos="1152"/>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97F2D"/>
    <w:rsid w:val="000B215A"/>
    <w:rsid w:val="000C59B8"/>
    <w:rsid w:val="000C6AF0"/>
    <w:rsid w:val="000E4953"/>
    <w:rsid w:val="00104A01"/>
    <w:rsid w:val="00104F33"/>
    <w:rsid w:val="00111DE2"/>
    <w:rsid w:val="001133AC"/>
    <w:rsid w:val="00116B38"/>
    <w:rsid w:val="00120E4F"/>
    <w:rsid w:val="0012188D"/>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1E7D93"/>
    <w:rsid w:val="00220FC2"/>
    <w:rsid w:val="002222F4"/>
    <w:rsid w:val="00224FC0"/>
    <w:rsid w:val="00225EA4"/>
    <w:rsid w:val="00226EAF"/>
    <w:rsid w:val="00231F3A"/>
    <w:rsid w:val="00234199"/>
    <w:rsid w:val="002406EE"/>
    <w:rsid w:val="00243EC8"/>
    <w:rsid w:val="00265F01"/>
    <w:rsid w:val="00270D93"/>
    <w:rsid w:val="002745CC"/>
    <w:rsid w:val="00283744"/>
    <w:rsid w:val="002964EC"/>
    <w:rsid w:val="002B7924"/>
    <w:rsid w:val="002C373A"/>
    <w:rsid w:val="002D28C3"/>
    <w:rsid w:val="002D39A4"/>
    <w:rsid w:val="002E6705"/>
    <w:rsid w:val="00301D08"/>
    <w:rsid w:val="0030329A"/>
    <w:rsid w:val="0031086F"/>
    <w:rsid w:val="0031414C"/>
    <w:rsid w:val="00314E01"/>
    <w:rsid w:val="0032089D"/>
    <w:rsid w:val="003310DE"/>
    <w:rsid w:val="003323B0"/>
    <w:rsid w:val="00350318"/>
    <w:rsid w:val="0035169A"/>
    <w:rsid w:val="0035259D"/>
    <w:rsid w:val="00364B18"/>
    <w:rsid w:val="003A125D"/>
    <w:rsid w:val="003A4C70"/>
    <w:rsid w:val="003B215F"/>
    <w:rsid w:val="003B74C9"/>
    <w:rsid w:val="003C799C"/>
    <w:rsid w:val="003D0399"/>
    <w:rsid w:val="003E1C71"/>
    <w:rsid w:val="003F327B"/>
    <w:rsid w:val="00405425"/>
    <w:rsid w:val="00406166"/>
    <w:rsid w:val="0040704B"/>
    <w:rsid w:val="00410A55"/>
    <w:rsid w:val="00411300"/>
    <w:rsid w:val="00415417"/>
    <w:rsid w:val="00415F5D"/>
    <w:rsid w:val="00416A77"/>
    <w:rsid w:val="00426659"/>
    <w:rsid w:val="0044538D"/>
    <w:rsid w:val="00450352"/>
    <w:rsid w:val="00454BDB"/>
    <w:rsid w:val="00464800"/>
    <w:rsid w:val="00465132"/>
    <w:rsid w:val="00473867"/>
    <w:rsid w:val="00480C90"/>
    <w:rsid w:val="0048396F"/>
    <w:rsid w:val="00493C18"/>
    <w:rsid w:val="004A600C"/>
    <w:rsid w:val="004A6118"/>
    <w:rsid w:val="004C478D"/>
    <w:rsid w:val="004C701C"/>
    <w:rsid w:val="004E2C26"/>
    <w:rsid w:val="004E2C3B"/>
    <w:rsid w:val="004F36FF"/>
    <w:rsid w:val="004F3E90"/>
    <w:rsid w:val="005125A8"/>
    <w:rsid w:val="00521AE8"/>
    <w:rsid w:val="00527180"/>
    <w:rsid w:val="0054201E"/>
    <w:rsid w:val="00555291"/>
    <w:rsid w:val="00566AD1"/>
    <w:rsid w:val="005756E4"/>
    <w:rsid w:val="00583EDE"/>
    <w:rsid w:val="005A015B"/>
    <w:rsid w:val="005A0F96"/>
    <w:rsid w:val="005A6079"/>
    <w:rsid w:val="005A79AC"/>
    <w:rsid w:val="005E3628"/>
    <w:rsid w:val="005E4698"/>
    <w:rsid w:val="00610539"/>
    <w:rsid w:val="00613969"/>
    <w:rsid w:val="00625C35"/>
    <w:rsid w:val="00656313"/>
    <w:rsid w:val="006565F4"/>
    <w:rsid w:val="00684EEA"/>
    <w:rsid w:val="0069689B"/>
    <w:rsid w:val="006A1551"/>
    <w:rsid w:val="006B5FF5"/>
    <w:rsid w:val="006E541D"/>
    <w:rsid w:val="006F30AF"/>
    <w:rsid w:val="006F534E"/>
    <w:rsid w:val="00701759"/>
    <w:rsid w:val="00705C15"/>
    <w:rsid w:val="0071600E"/>
    <w:rsid w:val="007208D1"/>
    <w:rsid w:val="00747288"/>
    <w:rsid w:val="00747DD3"/>
    <w:rsid w:val="007549C8"/>
    <w:rsid w:val="00754A0B"/>
    <w:rsid w:val="00766D14"/>
    <w:rsid w:val="00767A0F"/>
    <w:rsid w:val="007748A6"/>
    <w:rsid w:val="007A05F6"/>
    <w:rsid w:val="007B6F4A"/>
    <w:rsid w:val="007E1C47"/>
    <w:rsid w:val="007E337A"/>
    <w:rsid w:val="007E43F7"/>
    <w:rsid w:val="007E5C70"/>
    <w:rsid w:val="007F2FF5"/>
    <w:rsid w:val="007F3F08"/>
    <w:rsid w:val="00804CC6"/>
    <w:rsid w:val="00817190"/>
    <w:rsid w:val="00820EE5"/>
    <w:rsid w:val="008260E2"/>
    <w:rsid w:val="008322BD"/>
    <w:rsid w:val="00832969"/>
    <w:rsid w:val="00833E0A"/>
    <w:rsid w:val="00834F73"/>
    <w:rsid w:val="00855ACF"/>
    <w:rsid w:val="00864CF8"/>
    <w:rsid w:val="00872819"/>
    <w:rsid w:val="00874914"/>
    <w:rsid w:val="00891422"/>
    <w:rsid w:val="00892E1A"/>
    <w:rsid w:val="008A3F29"/>
    <w:rsid w:val="008B660A"/>
    <w:rsid w:val="008C01DA"/>
    <w:rsid w:val="008F16E1"/>
    <w:rsid w:val="008F78E9"/>
    <w:rsid w:val="00911989"/>
    <w:rsid w:val="0091727F"/>
    <w:rsid w:val="009179F9"/>
    <w:rsid w:val="009216C4"/>
    <w:rsid w:val="00933E5E"/>
    <w:rsid w:val="00935218"/>
    <w:rsid w:val="009403F3"/>
    <w:rsid w:val="009555B7"/>
    <w:rsid w:val="009567AA"/>
    <w:rsid w:val="00962924"/>
    <w:rsid w:val="00967374"/>
    <w:rsid w:val="009A343A"/>
    <w:rsid w:val="009B2F23"/>
    <w:rsid w:val="009B57B3"/>
    <w:rsid w:val="009C5B92"/>
    <w:rsid w:val="009D2920"/>
    <w:rsid w:val="009D2FD3"/>
    <w:rsid w:val="009D5AEB"/>
    <w:rsid w:val="009E0764"/>
    <w:rsid w:val="009F0E33"/>
    <w:rsid w:val="00A030CE"/>
    <w:rsid w:val="00A149DF"/>
    <w:rsid w:val="00A1755C"/>
    <w:rsid w:val="00A21B90"/>
    <w:rsid w:val="00A41805"/>
    <w:rsid w:val="00A42DCD"/>
    <w:rsid w:val="00A46EE0"/>
    <w:rsid w:val="00A52AFB"/>
    <w:rsid w:val="00A53771"/>
    <w:rsid w:val="00A548CB"/>
    <w:rsid w:val="00A5521C"/>
    <w:rsid w:val="00A643E7"/>
    <w:rsid w:val="00A73C38"/>
    <w:rsid w:val="00AB670D"/>
    <w:rsid w:val="00AE4535"/>
    <w:rsid w:val="00AF03C5"/>
    <w:rsid w:val="00B000D8"/>
    <w:rsid w:val="00B00F75"/>
    <w:rsid w:val="00B037B0"/>
    <w:rsid w:val="00B145B6"/>
    <w:rsid w:val="00B279EB"/>
    <w:rsid w:val="00B50C81"/>
    <w:rsid w:val="00B557F8"/>
    <w:rsid w:val="00B561A1"/>
    <w:rsid w:val="00B815FC"/>
    <w:rsid w:val="00B93FBC"/>
    <w:rsid w:val="00BA390A"/>
    <w:rsid w:val="00BA7DA0"/>
    <w:rsid w:val="00BB2EE4"/>
    <w:rsid w:val="00BC2108"/>
    <w:rsid w:val="00BD0E9E"/>
    <w:rsid w:val="00BD1BEC"/>
    <w:rsid w:val="00BD32FF"/>
    <w:rsid w:val="00BF14BD"/>
    <w:rsid w:val="00C02092"/>
    <w:rsid w:val="00C24D91"/>
    <w:rsid w:val="00C53F14"/>
    <w:rsid w:val="00C600CF"/>
    <w:rsid w:val="00C6084F"/>
    <w:rsid w:val="00C62A66"/>
    <w:rsid w:val="00C71458"/>
    <w:rsid w:val="00C77613"/>
    <w:rsid w:val="00C828E7"/>
    <w:rsid w:val="00C86719"/>
    <w:rsid w:val="00C921DD"/>
    <w:rsid w:val="00CA6391"/>
    <w:rsid w:val="00CC34BD"/>
    <w:rsid w:val="00CE161A"/>
    <w:rsid w:val="00CE3171"/>
    <w:rsid w:val="00CF1601"/>
    <w:rsid w:val="00D0172F"/>
    <w:rsid w:val="00D068A7"/>
    <w:rsid w:val="00D17476"/>
    <w:rsid w:val="00D32086"/>
    <w:rsid w:val="00D37A3F"/>
    <w:rsid w:val="00D4431D"/>
    <w:rsid w:val="00D4667A"/>
    <w:rsid w:val="00D63A1C"/>
    <w:rsid w:val="00D72838"/>
    <w:rsid w:val="00D7516F"/>
    <w:rsid w:val="00D8579F"/>
    <w:rsid w:val="00D86773"/>
    <w:rsid w:val="00D95F8E"/>
    <w:rsid w:val="00DA0590"/>
    <w:rsid w:val="00DB7BEA"/>
    <w:rsid w:val="00DC1739"/>
    <w:rsid w:val="00DC1788"/>
    <w:rsid w:val="00DC1ADC"/>
    <w:rsid w:val="00DE319C"/>
    <w:rsid w:val="00DF0CA8"/>
    <w:rsid w:val="00DF2B48"/>
    <w:rsid w:val="00DF49A7"/>
    <w:rsid w:val="00E03372"/>
    <w:rsid w:val="00E07EE2"/>
    <w:rsid w:val="00E07FD1"/>
    <w:rsid w:val="00E176D8"/>
    <w:rsid w:val="00E24573"/>
    <w:rsid w:val="00E25E1E"/>
    <w:rsid w:val="00E27EE7"/>
    <w:rsid w:val="00E33380"/>
    <w:rsid w:val="00E35404"/>
    <w:rsid w:val="00E371B8"/>
    <w:rsid w:val="00E45109"/>
    <w:rsid w:val="00E47B7A"/>
    <w:rsid w:val="00E56A44"/>
    <w:rsid w:val="00E60269"/>
    <w:rsid w:val="00E70AD6"/>
    <w:rsid w:val="00E77932"/>
    <w:rsid w:val="00E97830"/>
    <w:rsid w:val="00EE643C"/>
    <w:rsid w:val="00EE66AD"/>
    <w:rsid w:val="00EF0683"/>
    <w:rsid w:val="00EF69D2"/>
    <w:rsid w:val="00EF766E"/>
    <w:rsid w:val="00F0070C"/>
    <w:rsid w:val="00F00EB7"/>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ListParagraph">
    <w:name w:val="List Paragraph"/>
    <w:basedOn w:val="Normal"/>
    <w:uiPriority w:val="34"/>
    <w:qFormat/>
    <w:rsid w:val="004C701C"/>
    <w:pPr>
      <w:ind w:left="720"/>
      <w:contextualSpacing/>
    </w:pPr>
  </w:style>
  <w:style w:type="paragraph" w:customStyle="1" w:styleId="ParaNoNdepar-AltN">
    <w:name w:val="Para. No. / Nº de par. - Alt N"/>
    <w:qFormat/>
    <w:rsid w:val="007748A6"/>
    <w:p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uiPriority w:val="4"/>
    <w:qFormat/>
    <w:rsid w:val="007748A6"/>
    <w:pPr>
      <w:numPr>
        <w:numId w:val="3"/>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3LevelTitre3Niveau"/>
    <w:next w:val="ParaNoNdepar-AltN"/>
    <w:uiPriority w:val="4"/>
    <w:qFormat/>
    <w:rsid w:val="007748A6"/>
    <w:pPr>
      <w:numPr>
        <w:ilvl w:val="1"/>
      </w:numPr>
    </w:pPr>
    <w:rPr>
      <w:i/>
      <w:u w:val="none"/>
    </w:rPr>
  </w:style>
  <w:style w:type="paragraph" w:customStyle="1" w:styleId="Title3LevelTitre3Niveau">
    <w:name w:val="Title 3 Level / Titre 3 Niveau"/>
    <w:basedOn w:val="Title1LevelTitre1Niveau-AltL"/>
    <w:next w:val="Title4LevelTitre4Niveau"/>
    <w:uiPriority w:val="4"/>
    <w:qFormat/>
    <w:rsid w:val="007748A6"/>
    <w:pPr>
      <w:numPr>
        <w:ilvl w:val="2"/>
      </w:numPr>
    </w:pPr>
  </w:style>
  <w:style w:type="paragraph" w:customStyle="1" w:styleId="Title4LevelTitre4Niveau">
    <w:name w:val="Title 4 Level / Titre 4 Niveau"/>
    <w:basedOn w:val="Title3LevelTitre3Niveau"/>
    <w:next w:val="ParaNoNdepar-AltN"/>
    <w:uiPriority w:val="4"/>
    <w:qFormat/>
    <w:rsid w:val="007748A6"/>
    <w:pPr>
      <w:numPr>
        <w:ilvl w:val="3"/>
      </w:numPr>
    </w:pPr>
    <w:rPr>
      <w:i/>
      <w:u w:val="none"/>
    </w:rPr>
  </w:style>
  <w:style w:type="paragraph" w:customStyle="1" w:styleId="Title5LevelTitre5Niveau">
    <w:name w:val="Title 5 Level / Titre 5 Niveau"/>
    <w:basedOn w:val="Title4LevelTitre4Niveau"/>
    <w:next w:val="ParaNoNdepar-AltN"/>
    <w:uiPriority w:val="4"/>
    <w:qFormat/>
    <w:rsid w:val="007748A6"/>
    <w:pPr>
      <w:numPr>
        <w:ilvl w:val="4"/>
      </w:numPr>
    </w:pPr>
  </w:style>
  <w:style w:type="paragraph" w:customStyle="1" w:styleId="Title6LevelTitre6Niveau">
    <w:name w:val="Title 6 Level / Titre 6 Niveau"/>
    <w:basedOn w:val="Title5LevelTitre5Niveau"/>
    <w:next w:val="ParaNoNdepar-AltN"/>
    <w:uiPriority w:val="4"/>
    <w:qFormat/>
    <w:rsid w:val="007748A6"/>
    <w:pPr>
      <w:numPr>
        <w:ilvl w:val="5"/>
      </w:numPr>
    </w:pPr>
  </w:style>
  <w:style w:type="table" w:styleId="TableGrid">
    <w:name w:val="Table Grid"/>
    <w:basedOn w:val="TableNormal"/>
    <w:uiPriority w:val="59"/>
    <w:rsid w:val="005756E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5756E4"/>
    <w:rPr>
      <w:rFonts w:ascii="Times New Roman" w:hAnsi="Times New Roman"/>
      <w:sz w:val="24"/>
      <w:szCs w:val="24"/>
      <w:lang w:val="en-CA"/>
    </w:rPr>
  </w:style>
  <w:style w:type="paragraph" w:customStyle="1" w:styleId="SCCLsocPrefix">
    <w:name w:val="SCC.Lsoc.Prefix"/>
    <w:basedOn w:val="Normal"/>
    <w:next w:val="Normal"/>
    <w:link w:val="SCCLsocPrefixChar"/>
    <w:rsid w:val="005756E4"/>
    <w:rPr>
      <w:rFonts w:eastAsiaTheme="minorHAnsi" w:cstheme="minorBidi"/>
      <w:b/>
      <w:smallCaps/>
      <w:szCs w:val="24"/>
      <w:lang w:eastAsia="en-US"/>
    </w:rPr>
  </w:style>
  <w:style w:type="character" w:customStyle="1" w:styleId="SCCLsocPrefixChar">
    <w:name w:val="SCC.Lsoc.Prefix Char"/>
    <w:basedOn w:val="DefaultParagraphFont"/>
    <w:link w:val="SCCLsocPrefix"/>
    <w:rsid w:val="005756E4"/>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F0AC4-AB26-4D6C-BD9B-A0F0A1F1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478</Words>
  <Characters>2674</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2016-03-29T15:12:00Z</dcterms:created>
  <dcterms:modified xsi:type="dcterms:W3CDTF">2023-08-29T19:02:00Z</dcterms:modified>
</cp:coreProperties>
</file>