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19" w:rsidRDefault="00434119" w:rsidP="0043411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0116184" r:id="rId9"/>
        </w:object>
      </w:r>
      <w:r>
        <w:t xml:space="preserve"> </w:t>
      </w:r>
      <w:r>
        <w:ptab w:relativeTo="margin" w:alignment="right" w:leader="none"/>
      </w:r>
    </w:p>
    <w:p w:rsidR="00434119" w:rsidRDefault="00434119" w:rsidP="00434119">
      <w:pPr>
        <w:pStyle w:val="Header"/>
      </w:pPr>
    </w:p>
    <w:p w:rsidR="00434119" w:rsidRPr="006B210C" w:rsidRDefault="00434119" w:rsidP="00434119">
      <w:pPr>
        <w:jc w:val="center"/>
        <w:rPr>
          <w:b/>
        </w:rPr>
      </w:pPr>
      <w:r w:rsidRPr="006B210C">
        <w:rPr>
          <w:b/>
        </w:rPr>
        <w:t>SUPREME COURT OF CANADA</w:t>
      </w:r>
    </w:p>
    <w:p w:rsidR="00434119" w:rsidRDefault="00434119" w:rsidP="0043411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434119" w:rsidRPr="006B210C" w:rsidTr="00F05A94">
        <w:trPr>
          <w:cantSplit/>
        </w:trPr>
        <w:tc>
          <w:tcPr>
            <w:tcW w:w="5130" w:type="dxa"/>
          </w:tcPr>
          <w:p w:rsidR="00434119" w:rsidRPr="00E93F0A" w:rsidRDefault="00434119" w:rsidP="00F05A94">
            <w:pPr>
              <w:rPr>
                <w:lang w:val="fr-CA"/>
              </w:rPr>
            </w:pPr>
            <w:r w:rsidRPr="00E93F0A">
              <w:rPr>
                <w:b/>
                <w:smallCaps/>
                <w:lang w:val="fr-CA"/>
              </w:rPr>
              <w:t>Citation:</w:t>
            </w:r>
            <w:r w:rsidRPr="00E93F0A">
              <w:rPr>
                <w:lang w:val="fr-CA"/>
              </w:rPr>
              <w:t xml:space="preserve"> </w:t>
            </w:r>
            <w:r w:rsidRPr="00E93F0A">
              <w:rPr>
                <w:rStyle w:val="SCCAppellantForRunningHeadChar"/>
                <w:lang w:val="fr-CA"/>
              </w:rPr>
              <w:t xml:space="preserve">R. </w:t>
            </w:r>
            <w:r w:rsidRPr="00741220">
              <w:rPr>
                <w:rStyle w:val="SCCAppellantForRunningHeadChar"/>
                <w:i/>
                <w:smallCaps w:val="0"/>
                <w:lang w:val="fr-CA"/>
              </w:rPr>
              <w:t>v.</w:t>
            </w:r>
            <w:r w:rsidRPr="00E93F0A">
              <w:rPr>
                <w:rStyle w:val="SCCAppellantForRunningHeadChar"/>
                <w:lang w:val="fr-CA"/>
              </w:rPr>
              <w:t xml:space="preserve"> </w:t>
            </w:r>
            <w:r w:rsidRPr="00E93F0A">
              <w:rPr>
                <w:rStyle w:val="SCCAppellantForRunningHeadChar"/>
                <w:smallCaps w:val="0"/>
                <w:lang w:val="fr-CA"/>
              </w:rPr>
              <w:t>Laliberté</w:t>
            </w:r>
            <w:r w:rsidRPr="00E93F0A">
              <w:rPr>
                <w:rStyle w:val="SCCAppellantForRunningHeadChar"/>
                <w:lang w:val="fr-CA"/>
              </w:rPr>
              <w:t xml:space="preserve">, </w:t>
            </w:r>
            <w:r w:rsidRPr="00E93F0A">
              <w:rPr>
                <w:lang w:val="fr-CA"/>
              </w:rPr>
              <w:t>2016 SCC </w:t>
            </w:r>
            <w:r>
              <w:rPr>
                <w:lang w:val="fr-CA"/>
              </w:rPr>
              <w:t>17, [2016] 1 S.C.R. 270</w:t>
            </w:r>
          </w:p>
          <w:p w:rsidR="00434119" w:rsidRPr="00E93F0A" w:rsidRDefault="00434119" w:rsidP="00F05A94">
            <w:pPr>
              <w:rPr>
                <w:lang w:val="fr-CA"/>
              </w:rPr>
            </w:pPr>
          </w:p>
        </w:tc>
        <w:tc>
          <w:tcPr>
            <w:tcW w:w="4446" w:type="dxa"/>
          </w:tcPr>
          <w:p w:rsidR="00434119" w:rsidRPr="006B210C" w:rsidRDefault="00434119" w:rsidP="00F05A94">
            <w:pPr>
              <w:ind w:left="302"/>
            </w:pPr>
            <w:r>
              <w:rPr>
                <w:b/>
                <w:smallCaps/>
              </w:rPr>
              <w:t>Appeal heard:</w:t>
            </w:r>
            <w:r w:rsidRPr="006B210C">
              <w:t xml:space="preserve"> </w:t>
            </w:r>
            <w:r>
              <w:t>April 29, 2016</w:t>
            </w:r>
          </w:p>
          <w:p w:rsidR="00434119" w:rsidRDefault="00434119" w:rsidP="00F05A94">
            <w:pPr>
              <w:ind w:left="392" w:hanging="90"/>
            </w:pPr>
            <w:r>
              <w:rPr>
                <w:b/>
                <w:smallCaps/>
              </w:rPr>
              <w:t>Judgment rendered</w:t>
            </w:r>
            <w:r w:rsidRPr="0079323E">
              <w:rPr>
                <w:b/>
                <w:smallCaps/>
              </w:rPr>
              <w:t>:</w:t>
            </w:r>
            <w:r w:rsidRPr="0079323E">
              <w:t xml:space="preserve"> </w:t>
            </w:r>
            <w:r>
              <w:t>April 29</w:t>
            </w:r>
            <w:r w:rsidRPr="00991DB3">
              <w:t>, 2016</w:t>
            </w:r>
          </w:p>
          <w:p w:rsidR="00434119" w:rsidRPr="006B210C" w:rsidRDefault="00434119" w:rsidP="00F05A94">
            <w:pPr>
              <w:ind w:left="302"/>
            </w:pPr>
            <w:r w:rsidRPr="006B210C">
              <w:rPr>
                <w:b/>
                <w:smallCaps/>
              </w:rPr>
              <w:t>Docket</w:t>
            </w:r>
            <w:r>
              <w:rPr>
                <w:b/>
                <w:smallCaps/>
              </w:rPr>
              <w:t>:</w:t>
            </w:r>
            <w:r w:rsidRPr="006B210C">
              <w:t xml:space="preserve"> </w:t>
            </w:r>
            <w:r>
              <w:t>36712</w:t>
            </w:r>
          </w:p>
        </w:tc>
      </w:tr>
    </w:tbl>
    <w:p w:rsidR="00434119" w:rsidRDefault="00434119" w:rsidP="00434119">
      <w:pPr>
        <w:pStyle w:val="SCCLsocPrefix"/>
      </w:pPr>
      <w:bookmarkStart w:id="0" w:name="_GoBack"/>
      <w:bookmarkEnd w:id="0"/>
    </w:p>
    <w:p w:rsidR="00434119" w:rsidRDefault="00434119" w:rsidP="00434119">
      <w:pPr>
        <w:pStyle w:val="SCCLsocPrefix"/>
      </w:pPr>
    </w:p>
    <w:p w:rsidR="00434119" w:rsidRDefault="00434119" w:rsidP="00434119">
      <w:pPr>
        <w:pStyle w:val="SCCLsocPrefix"/>
      </w:pPr>
      <w:r>
        <w:t>Between:</w:t>
      </w:r>
    </w:p>
    <w:p w:rsidR="00434119" w:rsidRDefault="00434119" w:rsidP="00434119">
      <w:pPr>
        <w:pStyle w:val="SCCLsocParty"/>
        <w:jc w:val="center"/>
      </w:pPr>
      <w:r>
        <w:t>Pierre-Olivier Laliberté</w:t>
      </w:r>
    </w:p>
    <w:p w:rsidR="00434119" w:rsidRDefault="00434119" w:rsidP="00434119">
      <w:pPr>
        <w:jc w:val="center"/>
      </w:pPr>
      <w:r>
        <w:t>Appellant</w:t>
      </w:r>
    </w:p>
    <w:p w:rsidR="00434119" w:rsidRPr="00797AC3" w:rsidRDefault="00434119" w:rsidP="00434119">
      <w:pPr>
        <w:jc w:val="center"/>
      </w:pPr>
    </w:p>
    <w:p w:rsidR="00434119" w:rsidRPr="00434119" w:rsidRDefault="00434119" w:rsidP="00434119">
      <w:pPr>
        <w:jc w:val="center"/>
      </w:pPr>
      <w:r>
        <w:t>a</w:t>
      </w:r>
      <w:r w:rsidRPr="00434119">
        <w:t>nd</w:t>
      </w:r>
    </w:p>
    <w:p w:rsidR="00434119" w:rsidRPr="00434119" w:rsidRDefault="00434119" w:rsidP="00434119">
      <w:pPr>
        <w:jc w:val="center"/>
        <w:rPr>
          <w:i/>
        </w:rPr>
      </w:pPr>
    </w:p>
    <w:p w:rsidR="00434119" w:rsidRDefault="00434119" w:rsidP="00434119">
      <w:pPr>
        <w:pStyle w:val="SCCLsocParty"/>
        <w:jc w:val="center"/>
      </w:pPr>
      <w:r>
        <w:t>Her Majesty The Queen</w:t>
      </w:r>
    </w:p>
    <w:p w:rsidR="00434119" w:rsidRDefault="00434119" w:rsidP="00434119">
      <w:pPr>
        <w:jc w:val="center"/>
      </w:pPr>
      <w:r>
        <w:t>Respondent</w:t>
      </w:r>
    </w:p>
    <w:p w:rsidR="00434119" w:rsidRDefault="00434119" w:rsidP="00434119"/>
    <w:p w:rsidR="00AF07E4" w:rsidRDefault="00AF07E4" w:rsidP="00434119"/>
    <w:p w:rsidR="00AF07E4" w:rsidRPr="00AF07E4" w:rsidRDefault="00AF07E4" w:rsidP="00AF07E4">
      <w:pPr>
        <w:jc w:val="center"/>
        <w:rPr>
          <w:b/>
          <w:smallCaps/>
        </w:rPr>
      </w:pPr>
      <w:r w:rsidRPr="00AF07E4">
        <w:rPr>
          <w:b/>
          <w:smallCaps/>
        </w:rPr>
        <w:t>Official English Translation</w:t>
      </w:r>
    </w:p>
    <w:p w:rsidR="00434119" w:rsidRPr="006B210C" w:rsidRDefault="00434119" w:rsidP="00434119"/>
    <w:p w:rsidR="00434119" w:rsidRPr="006B210C" w:rsidRDefault="00434119" w:rsidP="00434119">
      <w:r w:rsidRPr="006B210C">
        <w:rPr>
          <w:b/>
          <w:smallCaps/>
        </w:rPr>
        <w:t>Coram</w:t>
      </w:r>
      <w:r>
        <w:rPr>
          <w:b/>
          <w:smallCaps/>
        </w:rPr>
        <w:t>:</w:t>
      </w:r>
      <w:r w:rsidRPr="006B210C">
        <w:t xml:space="preserve"> </w:t>
      </w:r>
      <w:r>
        <w:t xml:space="preserve"> McLachlin C.J. and Cromwell, Wagner, Gascon and Brown JJ.</w:t>
      </w:r>
    </w:p>
    <w:p w:rsidR="00434119" w:rsidRPr="006B210C" w:rsidRDefault="00434119" w:rsidP="004341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34119" w:rsidRPr="006B210C" w:rsidTr="00F05A94">
        <w:trPr>
          <w:cantSplit/>
        </w:trPr>
        <w:tc>
          <w:tcPr>
            <w:tcW w:w="3618" w:type="dxa"/>
          </w:tcPr>
          <w:p w:rsidR="00434119" w:rsidRDefault="00434119" w:rsidP="00F05A94">
            <w:pPr>
              <w:rPr>
                <w:b/>
                <w:smallCaps/>
              </w:rPr>
            </w:pPr>
            <w:r w:rsidRPr="006B210C">
              <w:rPr>
                <w:b/>
                <w:smallCaps/>
              </w:rPr>
              <w:t>Reasons for Judgment</w:t>
            </w:r>
            <w:r>
              <w:rPr>
                <w:b/>
                <w:smallCaps/>
              </w:rPr>
              <w:t>:</w:t>
            </w:r>
          </w:p>
          <w:p w:rsidR="00434119" w:rsidRPr="006B210C" w:rsidRDefault="00434119" w:rsidP="00F05A94">
            <w:r w:rsidRPr="00623FDD">
              <w:t>(para</w:t>
            </w:r>
            <w:r>
              <w:t>s. 1 to 6</w:t>
            </w:r>
            <w:r w:rsidRPr="00623FDD">
              <w:t>)</w:t>
            </w:r>
          </w:p>
        </w:tc>
        <w:tc>
          <w:tcPr>
            <w:tcW w:w="5958" w:type="dxa"/>
          </w:tcPr>
          <w:p w:rsidR="00434119" w:rsidRPr="006B210C" w:rsidRDefault="00434119" w:rsidP="00F05A94">
            <w:r>
              <w:t>Wagner J. (McLachlin C.J. and Cromwell, Gascon and Brown JJ. concurring)</w:t>
            </w:r>
          </w:p>
        </w:tc>
      </w:tr>
    </w:tbl>
    <w:p w:rsidR="00434119" w:rsidRDefault="00434119" w:rsidP="00434119"/>
    <w:p w:rsidR="00434119" w:rsidRPr="006B210C" w:rsidRDefault="00434119" w:rsidP="00434119"/>
    <w:p w:rsidR="00434119" w:rsidRPr="006B210C" w:rsidRDefault="00434119" w:rsidP="00434119">
      <w:r>
        <w:rPr>
          <w:noProof/>
          <w:lang w:val="en-US" w:eastAsia="en-US"/>
        </w:rPr>
        <mc:AlternateContent>
          <mc:Choice Requires="wps">
            <w:drawing>
              <wp:anchor distT="0" distB="0" distL="114300" distR="114300" simplePos="0" relativeHeight="251659264" behindDoc="0" locked="0" layoutInCell="1" allowOverlap="1" wp14:anchorId="5139B481" wp14:editId="2DCE9FF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118C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34119" w:rsidRDefault="00434119" w:rsidP="00434119"/>
    <w:p w:rsidR="00434119" w:rsidRPr="00434119" w:rsidRDefault="00434119" w:rsidP="002A224F">
      <w:pPr>
        <w:spacing w:after="720"/>
        <w:jc w:val="both"/>
        <w:rPr>
          <w:rStyle w:val="SCCAppellantForRunningHeadChar"/>
          <w:smallCaps w:val="0"/>
        </w:rPr>
      </w:pPr>
    </w:p>
    <w:p w:rsidR="008322BD" w:rsidRPr="0082130F" w:rsidRDefault="0082130F" w:rsidP="002A224F">
      <w:pPr>
        <w:spacing w:after="720"/>
        <w:jc w:val="both"/>
        <w:rPr>
          <w:smallCaps/>
          <w:lang w:val="fr-CA"/>
        </w:rPr>
      </w:pPr>
      <w:r>
        <w:rPr>
          <w:rStyle w:val="SCCAppellantForRunningHeadChar"/>
          <w:smallCaps w:val="0"/>
          <w:lang w:val="fr-CA"/>
        </w:rPr>
        <w:t>R</w:t>
      </w:r>
      <w:r w:rsidR="0041347F" w:rsidRPr="0082130F">
        <w:rPr>
          <w:rStyle w:val="SCCAppellantForRunningHeadChar"/>
          <w:smallCaps w:val="0"/>
          <w:lang w:val="fr-CA"/>
        </w:rPr>
        <w:t xml:space="preserve">. </w:t>
      </w:r>
      <w:r w:rsidR="00055B0C" w:rsidRPr="0082130F">
        <w:rPr>
          <w:rStyle w:val="SCCAppellantForRunningHeadChar"/>
          <w:i/>
          <w:smallCaps w:val="0"/>
          <w:lang w:val="fr-CA"/>
        </w:rPr>
        <w:t>v</w:t>
      </w:r>
      <w:r w:rsidR="0041347F" w:rsidRPr="0082130F">
        <w:rPr>
          <w:rStyle w:val="SCCAppellantForRunningHeadChar"/>
          <w:i/>
          <w:smallCaps w:val="0"/>
          <w:lang w:val="fr-CA"/>
        </w:rPr>
        <w:t>.</w:t>
      </w:r>
      <w:r>
        <w:rPr>
          <w:rStyle w:val="SCCAppellantForRunningHeadChar"/>
          <w:smallCaps w:val="0"/>
          <w:lang w:val="fr-CA"/>
        </w:rPr>
        <w:t xml:space="preserve"> L</w:t>
      </w:r>
      <w:r w:rsidR="008F78E9" w:rsidRPr="0082130F">
        <w:rPr>
          <w:rStyle w:val="SCCAppellantForRunningHeadChar"/>
          <w:smallCaps w:val="0"/>
          <w:lang w:val="fr-CA"/>
        </w:rPr>
        <w:t>aliberté</w:t>
      </w:r>
      <w:r>
        <w:rPr>
          <w:smallCaps/>
          <w:lang w:val="fr-CA"/>
        </w:rPr>
        <w:t xml:space="preserve">, </w:t>
      </w:r>
      <w:r w:rsidRPr="0082130F">
        <w:rPr>
          <w:lang w:val="fr-CA"/>
        </w:rPr>
        <w:t>2016 SCC 17, [2016] 1 S.C.R. 270</w:t>
      </w:r>
    </w:p>
    <w:p w:rsidR="001152DE" w:rsidRPr="00BC7573" w:rsidRDefault="003D3533" w:rsidP="002A224F">
      <w:pPr>
        <w:pStyle w:val="SCCLsocLastPartyInRole"/>
        <w:rPr>
          <w:lang w:val="fr-CA"/>
        </w:rPr>
      </w:pPr>
      <w:r w:rsidRPr="00BC7573">
        <w:rPr>
          <w:lang w:val="fr-CA"/>
        </w:rPr>
        <w:t>Pierre-Olivier Laliberté</w:t>
      </w:r>
      <w:r w:rsidRPr="00BC7573">
        <w:rPr>
          <w:rStyle w:val="SCCLsocPartyRole"/>
          <w:lang w:val="fr-CA"/>
        </w:rPr>
        <w:tab/>
        <w:t>Appellant</w:t>
      </w:r>
    </w:p>
    <w:p w:rsidR="001152DE" w:rsidRPr="00434119" w:rsidRDefault="003D3533" w:rsidP="002A224F">
      <w:pPr>
        <w:pStyle w:val="SCCLsocVersus"/>
        <w:rPr>
          <w:lang w:val="fr-CA"/>
        </w:rPr>
      </w:pPr>
      <w:r w:rsidRPr="00434119">
        <w:rPr>
          <w:lang w:val="fr-CA"/>
        </w:rPr>
        <w:t>v.</w:t>
      </w:r>
    </w:p>
    <w:p w:rsidR="001152DE" w:rsidRDefault="0041347F" w:rsidP="002A224F">
      <w:pPr>
        <w:pStyle w:val="SCCLsocLastPartyInRole"/>
      </w:pPr>
      <w:r>
        <w:t>Her Majesty T</w:t>
      </w:r>
      <w:r w:rsidR="003D3533">
        <w:t>he Queen</w:t>
      </w:r>
      <w:r w:rsidR="003D3533">
        <w:rPr>
          <w:rStyle w:val="SCCLsocPartyRole"/>
        </w:rPr>
        <w:tab/>
        <w:t>Respondent</w:t>
      </w:r>
    </w:p>
    <w:p w:rsidR="00A149DF" w:rsidRDefault="00426659" w:rsidP="002A224F">
      <w:pPr>
        <w:spacing w:after="720"/>
        <w:jc w:val="both"/>
        <w:rPr>
          <w:b/>
        </w:rPr>
      </w:pPr>
      <w:r w:rsidRPr="00426659">
        <w:rPr>
          <w:b/>
        </w:rPr>
        <w:lastRenderedPageBreak/>
        <w:t>Indexed as:</w:t>
      </w:r>
      <w:r>
        <w:rPr>
          <w:b/>
        </w:rPr>
        <w:t xml:space="preserve"> </w:t>
      </w:r>
      <w:r w:rsidR="00B1049F">
        <w:rPr>
          <w:b/>
        </w:rPr>
        <w:t xml:space="preserve"> R. </w:t>
      </w:r>
      <w:r w:rsidR="00B1049F" w:rsidRPr="00B1049F">
        <w:rPr>
          <w:b/>
          <w:i/>
        </w:rPr>
        <w:t>v.</w:t>
      </w:r>
      <w:r w:rsidR="00B1049F">
        <w:rPr>
          <w:b/>
        </w:rPr>
        <w:t xml:space="preserve"> </w:t>
      </w:r>
      <w:r>
        <w:rPr>
          <w:rStyle w:val="SCCAppellantForIndexChar"/>
        </w:rPr>
        <w:t>Laliberté</w:t>
      </w:r>
    </w:p>
    <w:p w:rsidR="00426659" w:rsidRPr="00C02092" w:rsidRDefault="00AE4535" w:rsidP="002A224F">
      <w:pPr>
        <w:pStyle w:val="SCCSystemYear"/>
        <w:spacing w:after="720"/>
        <w:jc w:val="both"/>
      </w:pPr>
      <w:r>
        <w:t>2016</w:t>
      </w:r>
      <w:r w:rsidR="003D0399">
        <w:t xml:space="preserve"> </w:t>
      </w:r>
      <w:r w:rsidR="00426659" w:rsidRPr="00C02092">
        <w:t>SCC </w:t>
      </w:r>
      <w:r w:rsidR="00B1049F">
        <w:t>17</w:t>
      </w:r>
    </w:p>
    <w:p w:rsidR="008322BD" w:rsidRDefault="009B57B3" w:rsidP="002A224F">
      <w:pPr>
        <w:spacing w:after="720"/>
        <w:jc w:val="both"/>
      </w:pPr>
      <w:r w:rsidRPr="001426A9">
        <w:t xml:space="preserve">File No.:  </w:t>
      </w:r>
      <w:r>
        <w:t>36712</w:t>
      </w:r>
      <w:r w:rsidRPr="001426A9">
        <w:t>.</w:t>
      </w:r>
    </w:p>
    <w:p w:rsidR="008322BD" w:rsidRDefault="00AE4535" w:rsidP="002A224F">
      <w:pPr>
        <w:spacing w:after="720"/>
        <w:jc w:val="both"/>
      </w:pPr>
      <w:r>
        <w:t>2016:  April 29</w:t>
      </w:r>
      <w:r w:rsidR="00FE0735">
        <w:t>.</w:t>
      </w:r>
    </w:p>
    <w:p w:rsidR="008322BD" w:rsidRDefault="009B57B3" w:rsidP="002A224F">
      <w:pPr>
        <w:spacing w:after="720"/>
        <w:jc w:val="both"/>
      </w:pPr>
      <w:r w:rsidRPr="001426A9">
        <w:t xml:space="preserve">Present:  </w:t>
      </w:r>
      <w:r>
        <w:t>McLachlin C.J. and Cromwell, Wagner, Gascon and Brown JJ.</w:t>
      </w:r>
    </w:p>
    <w:p w:rsidR="008322BD" w:rsidRPr="001C779F" w:rsidRDefault="00656313" w:rsidP="002A224F">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2A5441">
        <w:t>for</w:t>
      </w:r>
      <w:r w:rsidR="009B57B3">
        <w:t xml:space="preserve"> quebec </w:t>
      </w:r>
    </w:p>
    <w:p w:rsidR="000E1AE4" w:rsidRPr="000E1AE4" w:rsidRDefault="009B57B3" w:rsidP="000E1AE4">
      <w:pPr>
        <w:pStyle w:val="SCCNormalDoubleSpacing"/>
        <w:rPr>
          <w:i/>
        </w:rPr>
      </w:pPr>
      <w:r w:rsidRPr="00583EDE">
        <w:tab/>
      </w:r>
      <w:r w:rsidR="00BB7E99">
        <w:rPr>
          <w:i/>
        </w:rPr>
        <w:t>Criminal law — Charge to jury — Defences —</w:t>
      </w:r>
      <w:r w:rsidR="000E1AE4" w:rsidRPr="000E1AE4">
        <w:rPr>
          <w:i/>
        </w:rPr>
        <w:t xml:space="preserve"> Alibi </w:t>
      </w:r>
      <w:r w:rsidR="00BB7E99">
        <w:rPr>
          <w:i/>
        </w:rPr>
        <w:t>—</w:t>
      </w:r>
      <w:r w:rsidR="000E1AE4" w:rsidRPr="000E1AE4">
        <w:rPr>
          <w:i/>
        </w:rPr>
        <w:t xml:space="preserve"> Fabrication of alibi </w:t>
      </w:r>
      <w:r w:rsidR="00BB7E99">
        <w:rPr>
          <w:i/>
        </w:rPr>
        <w:t>—</w:t>
      </w:r>
      <w:r w:rsidR="000E1AE4" w:rsidRPr="000E1AE4">
        <w:rPr>
          <w:i/>
        </w:rPr>
        <w:t xml:space="preserve"> Application of curative proviso </w:t>
      </w:r>
      <w:r w:rsidR="00BB7E99">
        <w:rPr>
          <w:i/>
        </w:rPr>
        <w:t>—</w:t>
      </w:r>
      <w:r w:rsidR="000E1AE4" w:rsidRPr="000E1AE4">
        <w:rPr>
          <w:i/>
        </w:rPr>
        <w:t xml:space="preserve"> Trial judge’s instruction to jury with respect to fabrication of alibi was erroneous, but evidence </w:t>
      </w:r>
      <w:r w:rsidR="006A6B4C">
        <w:rPr>
          <w:i/>
        </w:rPr>
        <w:t xml:space="preserve">is </w:t>
      </w:r>
      <w:r w:rsidR="000E1AE4" w:rsidRPr="000E1AE4">
        <w:rPr>
          <w:i/>
        </w:rPr>
        <w:t>so overwhelming that trier of fact would inevitably have ente</w:t>
      </w:r>
      <w:r w:rsidR="00BB7E99">
        <w:rPr>
          <w:i/>
        </w:rPr>
        <w:t>red conviction against accused —</w:t>
      </w:r>
      <w:r w:rsidR="000E1AE4" w:rsidRPr="000E1AE4">
        <w:rPr>
          <w:i/>
        </w:rPr>
        <w:t xml:space="preserve"> Convictions for first degree murd</w:t>
      </w:r>
      <w:r w:rsidR="00BB7E99">
        <w:rPr>
          <w:i/>
        </w:rPr>
        <w:t>er and attempted murder upheld —</w:t>
      </w:r>
      <w:r w:rsidR="000E1AE4" w:rsidRPr="000E1AE4">
        <w:rPr>
          <w:i/>
        </w:rPr>
        <w:t xml:space="preserve"> Criminal Code, R.S.C. 1985, c. C-46, s. 686(1)(b)(iii).</w:t>
      </w:r>
    </w:p>
    <w:p w:rsidR="00A149DF" w:rsidRDefault="00A149DF" w:rsidP="000E1AE4">
      <w:pPr>
        <w:pStyle w:val="SCCNormalDoubleSpacing"/>
        <w:spacing w:after="720" w:line="240" w:lineRule="auto"/>
      </w:pPr>
    </w:p>
    <w:p w:rsidR="007E1C47" w:rsidRDefault="002E6705" w:rsidP="00FC4EFB">
      <w:pPr>
        <w:pStyle w:val="SCCNormalDoubleSpacing"/>
        <w:keepNext/>
        <w:keepLines/>
        <w:rPr>
          <w:b/>
        </w:rPr>
      </w:pPr>
      <w:r w:rsidRPr="00314E01">
        <w:rPr>
          <w:b/>
        </w:rPr>
        <w:t>Cases Cited</w:t>
      </w:r>
    </w:p>
    <w:p w:rsidR="00A149DF" w:rsidRPr="00613969" w:rsidRDefault="00A149DF" w:rsidP="00FC4EFB">
      <w:pPr>
        <w:pStyle w:val="SCCNormalDoubleSpacing"/>
        <w:keepNext/>
        <w:keepLines/>
      </w:pPr>
    </w:p>
    <w:p w:rsidR="004E2C26" w:rsidRPr="007E1C47" w:rsidRDefault="002E6705" w:rsidP="00FC4EFB">
      <w:pPr>
        <w:pStyle w:val="SCCNormalDoubleSpacing"/>
        <w:keepNext/>
        <w:keepLines/>
      </w:pPr>
      <w:r>
        <w:tab/>
      </w:r>
      <w:r w:rsidRPr="00314E01">
        <w:rPr>
          <w:b/>
        </w:rPr>
        <w:t>Referred to:</w:t>
      </w:r>
      <w:r w:rsidR="00690EA9" w:rsidRPr="008D4515">
        <w:rPr>
          <w:i/>
        </w:rPr>
        <w:t xml:space="preserve"> R. v. O’Connor </w:t>
      </w:r>
      <w:r w:rsidR="00690EA9" w:rsidRPr="008D4515">
        <w:t>(2002), 62 O.R</w:t>
      </w:r>
      <w:r w:rsidR="000B67A0">
        <w:t>.</w:t>
      </w:r>
      <w:r w:rsidR="00690EA9" w:rsidRPr="008D4515">
        <w:t xml:space="preserve"> (3d) 263;</w:t>
      </w:r>
      <w:r w:rsidR="00690EA9" w:rsidRPr="008D4515">
        <w:rPr>
          <w:i/>
        </w:rPr>
        <w:t xml:space="preserve"> R. v. Hibbert</w:t>
      </w:r>
      <w:r w:rsidR="00690EA9" w:rsidRPr="008D4515">
        <w:t xml:space="preserve">, 2002 SCC 39, [2002] 2 S.C.R. 445; </w:t>
      </w:r>
      <w:r w:rsidR="00690EA9" w:rsidRPr="008D4515">
        <w:rPr>
          <w:i/>
        </w:rPr>
        <w:t>R. v. Tessier</w:t>
      </w:r>
      <w:r w:rsidR="00690EA9" w:rsidRPr="008D4515">
        <w:t xml:space="preserve"> (1997), 113 C.C.C. (3d) 538</w:t>
      </w:r>
      <w:r w:rsidR="00690EA9">
        <w:t xml:space="preserve">; </w:t>
      </w:r>
      <w:r w:rsidR="00690EA9" w:rsidRPr="008D4515">
        <w:rPr>
          <w:i/>
        </w:rPr>
        <w:t>R. v. Trochym</w:t>
      </w:r>
      <w:r w:rsidR="00690EA9" w:rsidRPr="008D4515">
        <w:t>, 2007 SCC 6, [2007] 1 S.C.R. 239</w:t>
      </w:r>
      <w:r w:rsidR="00690EA9">
        <w:t>.</w:t>
      </w:r>
    </w:p>
    <w:p w:rsidR="00A149DF" w:rsidRDefault="00A149DF" w:rsidP="004E2C26">
      <w:pPr>
        <w:pStyle w:val="SCCNormalDoubleSpacing"/>
      </w:pPr>
    </w:p>
    <w:p w:rsidR="003B215F" w:rsidRDefault="002E6705" w:rsidP="00FC4EFB">
      <w:pPr>
        <w:pStyle w:val="SCCNormalDoubleSpacing"/>
        <w:spacing w:line="240" w:lineRule="auto"/>
      </w:pPr>
      <w:r w:rsidRPr="00314E01">
        <w:rPr>
          <w:b/>
        </w:rPr>
        <w:t>Statutes and Regulations Cite</w:t>
      </w:r>
      <w:r w:rsidR="00A41805">
        <w:rPr>
          <w:b/>
        </w:rPr>
        <w:t>d</w:t>
      </w:r>
    </w:p>
    <w:p w:rsidR="00A41805" w:rsidRDefault="00A41805" w:rsidP="00FC4EFB">
      <w:pPr>
        <w:pStyle w:val="SCCNormalDoubleSpacing"/>
        <w:spacing w:line="240" w:lineRule="auto"/>
        <w:ind w:left="540" w:hanging="540"/>
      </w:pPr>
    </w:p>
    <w:p w:rsidR="00690EA9" w:rsidRDefault="00690EA9" w:rsidP="00FC4EFB">
      <w:pPr>
        <w:pStyle w:val="SCCNormalDoubleSpacing"/>
        <w:spacing w:line="240" w:lineRule="auto"/>
        <w:ind w:left="540" w:hanging="540"/>
      </w:pPr>
    </w:p>
    <w:p w:rsidR="00A149DF" w:rsidRPr="00F72088" w:rsidRDefault="00690EA9" w:rsidP="00690EA9">
      <w:pPr>
        <w:pStyle w:val="SCCNormalDoubleSpacing"/>
        <w:spacing w:after="720" w:line="240" w:lineRule="auto"/>
        <w:ind w:left="547" w:hanging="547"/>
        <w:rPr>
          <w:lang w:val="en-US"/>
        </w:rPr>
      </w:pPr>
      <w:r w:rsidRPr="00F72088">
        <w:rPr>
          <w:i/>
          <w:iCs/>
          <w:lang w:val="en-US"/>
        </w:rPr>
        <w:t>Criminal Code</w:t>
      </w:r>
      <w:r w:rsidRPr="00F72088">
        <w:rPr>
          <w:iCs/>
          <w:lang w:val="en-US"/>
        </w:rPr>
        <w:t xml:space="preserve">, R.S.C. 1985, c. C-46, </w:t>
      </w:r>
      <w:r w:rsidRPr="00F72088">
        <w:rPr>
          <w:lang w:val="en-US"/>
        </w:rPr>
        <w:t>s. 686(1)(</w:t>
      </w:r>
      <w:r w:rsidRPr="000B67A0">
        <w:rPr>
          <w:iCs/>
          <w:lang w:val="en-US"/>
        </w:rPr>
        <w:t>b</w:t>
      </w:r>
      <w:r w:rsidRPr="00F72088">
        <w:rPr>
          <w:lang w:val="en-US"/>
        </w:rPr>
        <w:t>)(iii).</w:t>
      </w:r>
    </w:p>
    <w:p w:rsidR="00F22D67" w:rsidRPr="00501DD1" w:rsidRDefault="009B57B3" w:rsidP="00FC4EFB">
      <w:pPr>
        <w:pStyle w:val="SCCNormalDoubleSpacing"/>
        <w:rPr>
          <w:lang w:val="en-US"/>
        </w:rPr>
      </w:pPr>
      <w:r w:rsidRPr="00F72088">
        <w:rPr>
          <w:lang w:val="en-US"/>
        </w:rPr>
        <w:tab/>
      </w:r>
      <w:r w:rsidRPr="001426A9">
        <w:t xml:space="preserve">APPEAL from a judgment of the </w:t>
      </w:r>
      <w:r w:rsidR="00A50917">
        <w:t xml:space="preserve">Quebec </w:t>
      </w:r>
      <w:r>
        <w:t xml:space="preserve">Court of Appeal </w:t>
      </w:r>
      <w:r w:rsidR="00A50917">
        <w:t xml:space="preserve">(Chamberland, Hilton and Bélanger JJ.A.), </w:t>
      </w:r>
      <w:r w:rsidR="001717F0" w:rsidRPr="001717F0">
        <w:rPr>
          <w:lang w:val="en-US"/>
        </w:rPr>
        <w:t>2015 QCCA 1633,</w:t>
      </w:r>
      <w:r w:rsidR="001717F0">
        <w:rPr>
          <w:lang w:val="en-US"/>
        </w:rPr>
        <w:t xml:space="preserve"> </w:t>
      </w:r>
      <w:r w:rsidR="00501DD1" w:rsidRPr="00501DD1">
        <w:rPr>
          <w:lang w:val="en-US"/>
        </w:rPr>
        <w:t>[2015] AZ-51220898, [2015] J.Q. n</w:t>
      </w:r>
      <w:r w:rsidR="00501DD1" w:rsidRPr="00501DD1">
        <w:rPr>
          <w:vertAlign w:val="superscript"/>
          <w:lang w:val="en-US"/>
        </w:rPr>
        <w:t>o</w:t>
      </w:r>
      <w:r w:rsidR="00501DD1" w:rsidRPr="00501DD1">
        <w:rPr>
          <w:lang w:val="en-US"/>
        </w:rPr>
        <w:t xml:space="preserve"> 9961 (QL), 2015 CarswellQue 9461</w:t>
      </w:r>
      <w:r w:rsidR="0039425A">
        <w:rPr>
          <w:lang w:val="en-US"/>
        </w:rPr>
        <w:t xml:space="preserve"> </w:t>
      </w:r>
      <w:r w:rsidR="00501DD1" w:rsidRPr="00501DD1">
        <w:rPr>
          <w:lang w:val="en-US"/>
        </w:rPr>
        <w:t>(WL Can.)</w:t>
      </w:r>
      <w:r w:rsidR="00501DD1">
        <w:rPr>
          <w:lang w:val="en-US"/>
        </w:rPr>
        <w:t xml:space="preserve">, </w:t>
      </w:r>
      <w:r w:rsidR="00501DD1" w:rsidRPr="00B521B2">
        <w:rPr>
          <w:lang w:val="en-US"/>
        </w:rPr>
        <w:t>upholding the accused’s conviction</w:t>
      </w:r>
      <w:r w:rsidR="00B521B2">
        <w:rPr>
          <w:lang w:val="en-US"/>
        </w:rPr>
        <w:t>s</w:t>
      </w:r>
      <w:r w:rsidR="00501DD1" w:rsidRPr="00B521B2">
        <w:rPr>
          <w:lang w:val="en-US"/>
        </w:rPr>
        <w:t xml:space="preserve"> for first degree murder and attempted murder entered by Grenier J</w:t>
      </w:r>
      <w:r w:rsidR="00F22D67" w:rsidRPr="00B521B2">
        <w:rPr>
          <w:lang w:val="en-US"/>
        </w:rPr>
        <w:t>.</w:t>
      </w:r>
      <w:r w:rsidR="00990480">
        <w:rPr>
          <w:lang w:val="en-US"/>
        </w:rPr>
        <w:t xml:space="preserve">  </w:t>
      </w:r>
      <w:r w:rsidR="00397067">
        <w:rPr>
          <w:lang w:val="en-US"/>
        </w:rPr>
        <w:t>Appeal dismissed</w:t>
      </w:r>
      <w:r w:rsidR="00F22D67">
        <w:rPr>
          <w:lang w:val="en-US"/>
        </w:rPr>
        <w:t>.</w:t>
      </w:r>
    </w:p>
    <w:p w:rsidR="00990480" w:rsidRDefault="00990480" w:rsidP="00FC4EFB">
      <w:pPr>
        <w:pStyle w:val="SCCNormalDoubleSpacing"/>
      </w:pPr>
    </w:p>
    <w:p w:rsidR="001152DE" w:rsidRDefault="003D3533">
      <w:pPr>
        <w:pStyle w:val="SCCNormalDoubleSpacing"/>
      </w:pPr>
      <w:r>
        <w:rPr>
          <w:rStyle w:val="SCCCounselNameChar"/>
        </w:rPr>
        <w:tab/>
        <w:t>Ariane Gagnon-Rocque</w:t>
      </w:r>
      <w:r>
        <w:rPr>
          <w:rStyle w:val="SCCCounselSeparatorChar"/>
        </w:rPr>
        <w:t xml:space="preserve"> and </w:t>
      </w:r>
      <w:r>
        <w:rPr>
          <w:rStyle w:val="SCCCounselNameChar"/>
        </w:rPr>
        <w:t>Carl Thibault</w:t>
      </w:r>
      <w:r>
        <w:rPr>
          <w:rStyle w:val="SCCCounselPartyRoleChar"/>
        </w:rPr>
        <w:t>, for the appellant.</w:t>
      </w:r>
    </w:p>
    <w:p w:rsidR="001152DE" w:rsidRDefault="001152DE">
      <w:pPr>
        <w:pStyle w:val="SCCNormalDoubleSpacing"/>
      </w:pPr>
    </w:p>
    <w:p w:rsidR="001152DE" w:rsidRDefault="003D3533">
      <w:pPr>
        <w:pStyle w:val="SCCNormalDoubleSpacing"/>
      </w:pPr>
      <w:r>
        <w:rPr>
          <w:rStyle w:val="SCCCounselNameChar"/>
        </w:rPr>
        <w:tab/>
        <w:t>Régis Boisvert</w:t>
      </w:r>
      <w:r>
        <w:rPr>
          <w:rStyle w:val="SCCCounselSeparatorChar"/>
        </w:rPr>
        <w:t xml:space="preserve"> and </w:t>
      </w:r>
      <w:r>
        <w:rPr>
          <w:rStyle w:val="SCCCounselNameChar"/>
        </w:rPr>
        <w:t>Justin Tremblay</w:t>
      </w:r>
      <w:r>
        <w:rPr>
          <w:rStyle w:val="SCCCounselPartyRoleChar"/>
        </w:rPr>
        <w:t>, for the respondent.</w:t>
      </w:r>
    </w:p>
    <w:p w:rsidR="001152DE" w:rsidRDefault="001152DE">
      <w:pPr>
        <w:pStyle w:val="SCCNormalDoubleSpacing"/>
      </w:pPr>
    </w:p>
    <w:p w:rsidR="00990480" w:rsidRDefault="00990480" w:rsidP="00690EA9">
      <w:pPr>
        <w:pStyle w:val="SCCNormalDoubleSpacing"/>
        <w:spacing w:after="480"/>
      </w:pPr>
      <w:r>
        <w:tab/>
        <w:t>English version of the judgment of the Court delivered orally by</w:t>
      </w:r>
    </w:p>
    <w:p w:rsidR="00690EA9" w:rsidRPr="008D4515" w:rsidRDefault="00690EA9" w:rsidP="00F72088">
      <w:pPr>
        <w:pStyle w:val="ParaNoNdepar-AltN"/>
        <w:numPr>
          <w:ilvl w:val="0"/>
          <w:numId w:val="7"/>
        </w:numPr>
        <w:rPr>
          <w:rFonts w:cs="Times New Roman"/>
        </w:rPr>
      </w:pPr>
      <w:r w:rsidRPr="008D4515">
        <w:rPr>
          <w:rFonts w:cs="Times New Roman"/>
          <w:smallCaps/>
        </w:rPr>
        <w:t>Wagner J.</w:t>
      </w:r>
      <w:r w:rsidRPr="008D4515">
        <w:rPr>
          <w:rFonts w:cs="Times New Roman"/>
        </w:rPr>
        <w:t xml:space="preserve"> — This </w:t>
      </w:r>
      <w:r w:rsidRPr="00055B0C">
        <w:rPr>
          <w:rFonts w:cs="Times New Roman"/>
          <w:lang w:val="en-US"/>
        </w:rPr>
        <w:t>appeal</w:t>
      </w:r>
      <w:r w:rsidRPr="008D4515">
        <w:rPr>
          <w:rFonts w:cs="Times New Roman"/>
        </w:rPr>
        <w:t xml:space="preserve"> as </w:t>
      </w:r>
      <w:r w:rsidRPr="00F72088">
        <w:rPr>
          <w:szCs w:val="24"/>
          <w:lang w:val="en-US"/>
        </w:rPr>
        <w:t>of</w:t>
      </w:r>
      <w:r w:rsidRPr="008D4515">
        <w:rPr>
          <w:rFonts w:cs="Times New Roman"/>
        </w:rPr>
        <w:t xml:space="preserve"> right is based on the dissent of Hilton J.A. in the Quebec Court of Appeal. In Hilton J.A.’s view, the trial judge erred in not admitting in evidence out-of-court statements made by one of the victims and in giving the jury an instruction, the content of which was also erroneous, with respect to the fabrication of an alibi even though sufficient evidence had not been adduced to link the appellant to the fabrication of an alibi. The dissenting judge found that the trial judge’s instruction was so inappropriate and so seriously in error that the curative proviso of s. 686(1)(</w:t>
      </w:r>
      <w:r w:rsidRPr="000B67A0">
        <w:rPr>
          <w:rFonts w:cs="Times New Roman"/>
          <w:iCs/>
        </w:rPr>
        <w:t>b</w:t>
      </w:r>
      <w:r w:rsidRPr="008D4515">
        <w:rPr>
          <w:rFonts w:cs="Times New Roman"/>
        </w:rPr>
        <w:t xml:space="preserve">)(iii) of the </w:t>
      </w:r>
      <w:r w:rsidRPr="00B521B2">
        <w:rPr>
          <w:i/>
          <w:szCs w:val="24"/>
          <w:lang w:val="en-US"/>
        </w:rPr>
        <w:t>Criminal</w:t>
      </w:r>
      <w:r w:rsidRPr="00B521B2">
        <w:rPr>
          <w:rFonts w:cs="Times New Roman"/>
          <w:i/>
          <w:iCs/>
        </w:rPr>
        <w:t xml:space="preserve"> </w:t>
      </w:r>
      <w:r w:rsidRPr="008D4515">
        <w:rPr>
          <w:rFonts w:cs="Times New Roman"/>
          <w:i/>
          <w:iCs/>
        </w:rPr>
        <w:t>Code</w:t>
      </w:r>
      <w:r w:rsidRPr="008D4515">
        <w:rPr>
          <w:rFonts w:cs="Times New Roman"/>
          <w:iCs/>
        </w:rPr>
        <w:t xml:space="preserve">, R.S.C. 1985, c. C-46, </w:t>
      </w:r>
      <w:r w:rsidRPr="008D4515">
        <w:rPr>
          <w:rFonts w:cs="Times New Roman"/>
        </w:rPr>
        <w:t>was inapplicable.</w:t>
      </w:r>
    </w:p>
    <w:p w:rsidR="00690EA9" w:rsidRPr="008D4515" w:rsidRDefault="00690EA9" w:rsidP="00F72088">
      <w:pPr>
        <w:pStyle w:val="ParaNoNdepar-AltN"/>
        <w:numPr>
          <w:ilvl w:val="0"/>
          <w:numId w:val="7"/>
        </w:numPr>
        <w:rPr>
          <w:rFonts w:cs="Times New Roman"/>
        </w:rPr>
      </w:pPr>
      <w:r w:rsidRPr="008D4515">
        <w:rPr>
          <w:rFonts w:cs="Times New Roman"/>
        </w:rPr>
        <w:t xml:space="preserve">The majority agreed </w:t>
      </w:r>
      <w:r w:rsidRPr="00F72088">
        <w:rPr>
          <w:szCs w:val="24"/>
          <w:lang w:val="en-US"/>
        </w:rPr>
        <w:t>with</w:t>
      </w:r>
      <w:r w:rsidRPr="008D4515">
        <w:rPr>
          <w:rFonts w:cs="Times New Roman"/>
        </w:rPr>
        <w:t xml:space="preserve"> Hilton J.A.’s conclusion regarding the out-of-court statements of one of the victims and also agreed that the content of the instruction with respect to the fabrication of an alibi was erroneous. However, they found that deference was owed to the trial judge’s decision to give an instruction in that regard. Concluding that the case against the accused was overwhelming, they applied the curative proviso of s. 686(1)(</w:t>
      </w:r>
      <w:r w:rsidRPr="000B67A0">
        <w:rPr>
          <w:rFonts w:cs="Times New Roman"/>
        </w:rPr>
        <w:t>b</w:t>
      </w:r>
      <w:r w:rsidRPr="008D4515">
        <w:rPr>
          <w:rFonts w:cs="Times New Roman"/>
        </w:rPr>
        <w:t xml:space="preserve">)(iii) of the </w:t>
      </w:r>
      <w:r w:rsidRPr="008D4515">
        <w:rPr>
          <w:rFonts w:cs="Times New Roman"/>
          <w:i/>
          <w:iCs/>
        </w:rPr>
        <w:t>Criminal Code</w:t>
      </w:r>
      <w:r w:rsidRPr="008D4515">
        <w:rPr>
          <w:rFonts w:cs="Times New Roman"/>
          <w:iCs/>
        </w:rPr>
        <w:t>.</w:t>
      </w:r>
      <w:r w:rsidRPr="008D4515">
        <w:rPr>
          <w:rFonts w:cs="Times New Roman"/>
        </w:rPr>
        <w:t xml:space="preserve"> </w:t>
      </w:r>
    </w:p>
    <w:p w:rsidR="00690EA9" w:rsidRPr="008D4515" w:rsidRDefault="00690EA9" w:rsidP="00F72088">
      <w:pPr>
        <w:pStyle w:val="ParaNoNdepar-AltN"/>
        <w:numPr>
          <w:ilvl w:val="0"/>
          <w:numId w:val="7"/>
        </w:numPr>
      </w:pPr>
      <w:r w:rsidRPr="008D4515">
        <w:t xml:space="preserve">We agree with the </w:t>
      </w:r>
      <w:r w:rsidRPr="00055B0C">
        <w:rPr>
          <w:rFonts w:cs="Times New Roman"/>
          <w:lang w:val="en-US"/>
        </w:rPr>
        <w:t>majority</w:t>
      </w:r>
      <w:r w:rsidRPr="008D4515">
        <w:t xml:space="preserve"> and with the dissenting judge that the instruction the trial judge gave with respect to the fabrication of an alibi was erroneous. A trial judge must specify in such an instruction that the fabrication of an alibi supports an inference of </w:t>
      </w:r>
      <w:r w:rsidRPr="008D4515">
        <w:rPr>
          <w:i/>
        </w:rPr>
        <w:t>consciousness</w:t>
      </w:r>
      <w:r w:rsidRPr="008D4515">
        <w:t xml:space="preserve"> of guilt, but no more than that. The instruction in this case did not satisfy this requirement.</w:t>
      </w:r>
    </w:p>
    <w:p w:rsidR="00690EA9" w:rsidRPr="008D4515" w:rsidRDefault="00690EA9" w:rsidP="00F72088">
      <w:pPr>
        <w:pStyle w:val="ParaNoNdepar-AltN"/>
        <w:numPr>
          <w:ilvl w:val="0"/>
          <w:numId w:val="7"/>
        </w:numPr>
      </w:pPr>
      <w:r w:rsidRPr="008D4515">
        <w:t>Moreover, there must be other evidence independent of the finding that the alibi is false on the basis of which a reasonable jury could conclude that the alibi was deliberately fabricated and that the accused was involved in that attempt to mislead the jury:</w:t>
      </w:r>
      <w:r w:rsidRPr="008D4515">
        <w:rPr>
          <w:i/>
        </w:rPr>
        <w:t xml:space="preserve"> R. v. O’Connor </w:t>
      </w:r>
      <w:r w:rsidRPr="008D4515">
        <w:t>(2002), 62 O.R</w:t>
      </w:r>
      <w:r w:rsidR="000B67A0">
        <w:t>.</w:t>
      </w:r>
      <w:r w:rsidRPr="008D4515">
        <w:t xml:space="preserve"> (3d) 263 (C.A.);</w:t>
      </w:r>
      <w:r w:rsidRPr="008D4515">
        <w:rPr>
          <w:i/>
        </w:rPr>
        <w:t xml:space="preserve"> R. v. Hibbert</w:t>
      </w:r>
      <w:r w:rsidRPr="008D4515">
        <w:t xml:space="preserve">, 2002 SCC 39, [2002] 2 S.C.R. 445; </w:t>
      </w:r>
      <w:r w:rsidRPr="008D4515">
        <w:rPr>
          <w:i/>
        </w:rPr>
        <w:t>R. v. Tessier</w:t>
      </w:r>
      <w:r w:rsidRPr="008D4515">
        <w:t xml:space="preserve"> (1997), 113 C.C.C. (3d) 538 (B.C.C.A.) (per Ryan J.A.).</w:t>
      </w:r>
    </w:p>
    <w:p w:rsidR="00690EA9" w:rsidRPr="008D4515" w:rsidRDefault="00690EA9" w:rsidP="00F72088">
      <w:pPr>
        <w:pStyle w:val="ParaNoNdepar-AltN"/>
        <w:numPr>
          <w:ilvl w:val="0"/>
          <w:numId w:val="7"/>
        </w:numPr>
      </w:pPr>
      <w:r w:rsidRPr="008D4515">
        <w:t xml:space="preserve">However, we are of the opinion that, despite the trial judge’s errors, the evidence in the case at bar is so </w:t>
      </w:r>
      <w:r w:rsidRPr="00055B0C">
        <w:rPr>
          <w:rFonts w:cs="Times New Roman"/>
          <w:lang w:val="en-US"/>
        </w:rPr>
        <w:t>overwhelming</w:t>
      </w:r>
      <w:r w:rsidRPr="008D4515">
        <w:t xml:space="preserve"> that the trier of fact would inevitably have entered a conviction against the accused: </w:t>
      </w:r>
      <w:r w:rsidRPr="008D4515">
        <w:rPr>
          <w:i/>
        </w:rPr>
        <w:t>R. v. Trochym</w:t>
      </w:r>
      <w:r w:rsidRPr="008D4515">
        <w:t>, 2007 SCC 6, [2007] 1 S.C.R. 239.</w:t>
      </w:r>
    </w:p>
    <w:p w:rsidR="00990480" w:rsidRDefault="00690EA9" w:rsidP="00F72088">
      <w:pPr>
        <w:pStyle w:val="ParaNoNdepar-AltN"/>
        <w:numPr>
          <w:ilvl w:val="0"/>
          <w:numId w:val="7"/>
        </w:numPr>
      </w:pPr>
      <w:r w:rsidRPr="008D4515">
        <w:t>For these reasons, the appeal is dismissed.</w:t>
      </w:r>
    </w:p>
    <w:p w:rsidR="009B57B3" w:rsidRPr="008407F4" w:rsidRDefault="009B57B3" w:rsidP="00690EA9">
      <w:pPr>
        <w:pStyle w:val="SCCNormalDoubleSpacing"/>
        <w:spacing w:after="480"/>
        <w:rPr>
          <w:i/>
        </w:rPr>
      </w:pPr>
      <w:r w:rsidRPr="00990480">
        <w:rPr>
          <w:lang w:val="en-US"/>
        </w:rPr>
        <w:tab/>
      </w:r>
      <w:r w:rsidR="008407F4" w:rsidRPr="008407F4">
        <w:rPr>
          <w:i/>
        </w:rPr>
        <w:t>Judgment accordingly.</w:t>
      </w:r>
    </w:p>
    <w:p w:rsidR="001152DE" w:rsidRDefault="003D3533" w:rsidP="00690EA9">
      <w:pPr>
        <w:pStyle w:val="SCCLawFirm"/>
        <w:spacing w:after="480"/>
      </w:pPr>
      <w:r>
        <w:tab/>
        <w:t>Solicitors for the appellant:  Thibault, Roy, Avocats, Québec.</w:t>
      </w:r>
    </w:p>
    <w:p w:rsidR="00F72088" w:rsidRPr="00017532" w:rsidRDefault="003D3533" w:rsidP="00F72088">
      <w:pPr>
        <w:pStyle w:val="SCCLawFirm"/>
        <w:spacing w:after="480"/>
        <w:rPr>
          <w:lang w:val="fr-CA"/>
        </w:rPr>
      </w:pPr>
      <w:r>
        <w:tab/>
      </w:r>
      <w:r>
        <w:rPr>
          <w:lang w:val="fr-CA"/>
        </w:rPr>
        <w:t>Solicitors</w:t>
      </w:r>
      <w:r w:rsidRPr="00BC7573">
        <w:rPr>
          <w:lang w:val="fr-CA"/>
        </w:rPr>
        <w:t xml:space="preserve"> for the respondent: Poursuites criminelles et pénales du </w:t>
      </w:r>
      <w:r w:rsidR="008276CE">
        <w:rPr>
          <w:lang w:val="fr-CA"/>
        </w:rPr>
        <w:t>Québec, Québec.</w:t>
      </w:r>
    </w:p>
    <w:p w:rsidR="00F72088" w:rsidRPr="00F72088" w:rsidRDefault="00F72088" w:rsidP="00F72088">
      <w:pPr>
        <w:pStyle w:val="SCCNormalDoubleSpacing"/>
        <w:rPr>
          <w:lang w:val="fr-CA"/>
        </w:rPr>
      </w:pPr>
    </w:p>
    <w:sectPr w:rsidR="00F72088" w:rsidRPr="00F72088"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FEC"/>
    <w:multiLevelType w:val="hybridMultilevel"/>
    <w:tmpl w:val="B44A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7129E"/>
    <w:multiLevelType w:val="hybridMultilevel"/>
    <w:tmpl w:val="E86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83F61"/>
    <w:multiLevelType w:val="multilevel"/>
    <w:tmpl w:val="669CEBC0"/>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8650F0"/>
    <w:multiLevelType w:val="hybridMultilevel"/>
    <w:tmpl w:val="AD4E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FB8A723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54283EE8"/>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 w:numId="5">
    <w:abstractNumId w:val="2"/>
  </w:num>
  <w:num w:numId="6">
    <w:abstractNumId w:val="2"/>
  </w:num>
  <w:num w:numId="7">
    <w:abstractNumId w:val="5"/>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01EC"/>
    <w:rsid w:val="00055B0C"/>
    <w:rsid w:val="000578A3"/>
    <w:rsid w:val="000648CC"/>
    <w:rsid w:val="000B67A0"/>
    <w:rsid w:val="000C59B8"/>
    <w:rsid w:val="000C6AF0"/>
    <w:rsid w:val="000E1AE4"/>
    <w:rsid w:val="00104F33"/>
    <w:rsid w:val="00111DE2"/>
    <w:rsid w:val="001152DE"/>
    <w:rsid w:val="00116B38"/>
    <w:rsid w:val="00135406"/>
    <w:rsid w:val="00135972"/>
    <w:rsid w:val="001426A9"/>
    <w:rsid w:val="00154D7C"/>
    <w:rsid w:val="001570B0"/>
    <w:rsid w:val="0015752C"/>
    <w:rsid w:val="00157737"/>
    <w:rsid w:val="00165277"/>
    <w:rsid w:val="00170592"/>
    <w:rsid w:val="001717F0"/>
    <w:rsid w:val="00186351"/>
    <w:rsid w:val="00195D83"/>
    <w:rsid w:val="001A00C1"/>
    <w:rsid w:val="001B33E0"/>
    <w:rsid w:val="001B4573"/>
    <w:rsid w:val="001C779F"/>
    <w:rsid w:val="001D2AC1"/>
    <w:rsid w:val="001D4E88"/>
    <w:rsid w:val="00203B95"/>
    <w:rsid w:val="00220FC2"/>
    <w:rsid w:val="002222F4"/>
    <w:rsid w:val="00224FC0"/>
    <w:rsid w:val="00225EA4"/>
    <w:rsid w:val="00226EAF"/>
    <w:rsid w:val="00231F3A"/>
    <w:rsid w:val="00234199"/>
    <w:rsid w:val="002406EE"/>
    <w:rsid w:val="00243EC8"/>
    <w:rsid w:val="00270D93"/>
    <w:rsid w:val="002745CC"/>
    <w:rsid w:val="002A224F"/>
    <w:rsid w:val="002A5441"/>
    <w:rsid w:val="002B7924"/>
    <w:rsid w:val="002D28C3"/>
    <w:rsid w:val="002D39A4"/>
    <w:rsid w:val="002D53AC"/>
    <w:rsid w:val="002E6705"/>
    <w:rsid w:val="00301D08"/>
    <w:rsid w:val="0030329A"/>
    <w:rsid w:val="0031086F"/>
    <w:rsid w:val="0031414C"/>
    <w:rsid w:val="00314E01"/>
    <w:rsid w:val="0032089D"/>
    <w:rsid w:val="003310DE"/>
    <w:rsid w:val="003323B0"/>
    <w:rsid w:val="0035169A"/>
    <w:rsid w:val="0035259D"/>
    <w:rsid w:val="00364B18"/>
    <w:rsid w:val="0039425A"/>
    <w:rsid w:val="00397067"/>
    <w:rsid w:val="003A125D"/>
    <w:rsid w:val="003A4C70"/>
    <w:rsid w:val="003B215F"/>
    <w:rsid w:val="003C799C"/>
    <w:rsid w:val="003D0399"/>
    <w:rsid w:val="003D3533"/>
    <w:rsid w:val="003E1C71"/>
    <w:rsid w:val="003F327B"/>
    <w:rsid w:val="00406166"/>
    <w:rsid w:val="0040704B"/>
    <w:rsid w:val="00410A55"/>
    <w:rsid w:val="00411300"/>
    <w:rsid w:val="0041347F"/>
    <w:rsid w:val="00415417"/>
    <w:rsid w:val="00426659"/>
    <w:rsid w:val="00434119"/>
    <w:rsid w:val="00450352"/>
    <w:rsid w:val="00454BDB"/>
    <w:rsid w:val="00464800"/>
    <w:rsid w:val="00465132"/>
    <w:rsid w:val="00480C90"/>
    <w:rsid w:val="0048396F"/>
    <w:rsid w:val="00493C18"/>
    <w:rsid w:val="004A600C"/>
    <w:rsid w:val="004A6118"/>
    <w:rsid w:val="004B0AD1"/>
    <w:rsid w:val="004B5787"/>
    <w:rsid w:val="004C478D"/>
    <w:rsid w:val="004E2C26"/>
    <w:rsid w:val="004F36FF"/>
    <w:rsid w:val="00501DD1"/>
    <w:rsid w:val="005125A8"/>
    <w:rsid w:val="00517D06"/>
    <w:rsid w:val="00521AE8"/>
    <w:rsid w:val="00527180"/>
    <w:rsid w:val="0054201E"/>
    <w:rsid w:val="00555291"/>
    <w:rsid w:val="00566AD1"/>
    <w:rsid w:val="00583EDE"/>
    <w:rsid w:val="005A6079"/>
    <w:rsid w:val="005E4698"/>
    <w:rsid w:val="00610539"/>
    <w:rsid w:val="00613969"/>
    <w:rsid w:val="00625C35"/>
    <w:rsid w:val="00656313"/>
    <w:rsid w:val="006565F4"/>
    <w:rsid w:val="00684EEA"/>
    <w:rsid w:val="00690EA9"/>
    <w:rsid w:val="0069689B"/>
    <w:rsid w:val="006A1551"/>
    <w:rsid w:val="006A6B4C"/>
    <w:rsid w:val="006B5FF5"/>
    <w:rsid w:val="006F30AF"/>
    <w:rsid w:val="00701759"/>
    <w:rsid w:val="00705C15"/>
    <w:rsid w:val="0071600E"/>
    <w:rsid w:val="007208D1"/>
    <w:rsid w:val="00741220"/>
    <w:rsid w:val="00747288"/>
    <w:rsid w:val="00747DD3"/>
    <w:rsid w:val="007549C8"/>
    <w:rsid w:val="00754A0B"/>
    <w:rsid w:val="00766D14"/>
    <w:rsid w:val="00767A0F"/>
    <w:rsid w:val="007A05F6"/>
    <w:rsid w:val="007B6F4A"/>
    <w:rsid w:val="007E1C47"/>
    <w:rsid w:val="007E337A"/>
    <w:rsid w:val="007E5C70"/>
    <w:rsid w:val="007F2FF5"/>
    <w:rsid w:val="007F3F08"/>
    <w:rsid w:val="00804CC6"/>
    <w:rsid w:val="00817190"/>
    <w:rsid w:val="00820EE5"/>
    <w:rsid w:val="0082130F"/>
    <w:rsid w:val="008260E2"/>
    <w:rsid w:val="008276CE"/>
    <w:rsid w:val="008322BD"/>
    <w:rsid w:val="00833E0A"/>
    <w:rsid w:val="00834F73"/>
    <w:rsid w:val="008407F4"/>
    <w:rsid w:val="00864CF8"/>
    <w:rsid w:val="00872819"/>
    <w:rsid w:val="00874914"/>
    <w:rsid w:val="00891422"/>
    <w:rsid w:val="00892E1A"/>
    <w:rsid w:val="008A3F29"/>
    <w:rsid w:val="008B660A"/>
    <w:rsid w:val="008C01DA"/>
    <w:rsid w:val="008F78E9"/>
    <w:rsid w:val="00911989"/>
    <w:rsid w:val="009179F9"/>
    <w:rsid w:val="0093232D"/>
    <w:rsid w:val="00933E5E"/>
    <w:rsid w:val="00935218"/>
    <w:rsid w:val="009403F3"/>
    <w:rsid w:val="009555B7"/>
    <w:rsid w:val="009567AA"/>
    <w:rsid w:val="00967374"/>
    <w:rsid w:val="00990480"/>
    <w:rsid w:val="009A343A"/>
    <w:rsid w:val="009B2F23"/>
    <w:rsid w:val="009B57B3"/>
    <w:rsid w:val="009C5B92"/>
    <w:rsid w:val="009D2920"/>
    <w:rsid w:val="009D5AEB"/>
    <w:rsid w:val="009F0E33"/>
    <w:rsid w:val="00A030CE"/>
    <w:rsid w:val="00A149DF"/>
    <w:rsid w:val="00A1755C"/>
    <w:rsid w:val="00A21B90"/>
    <w:rsid w:val="00A41805"/>
    <w:rsid w:val="00A42DCD"/>
    <w:rsid w:val="00A50917"/>
    <w:rsid w:val="00A52AFB"/>
    <w:rsid w:val="00A548CB"/>
    <w:rsid w:val="00A5521C"/>
    <w:rsid w:val="00A643E7"/>
    <w:rsid w:val="00A73C38"/>
    <w:rsid w:val="00AB670D"/>
    <w:rsid w:val="00AE4535"/>
    <w:rsid w:val="00AF03C5"/>
    <w:rsid w:val="00AF07E4"/>
    <w:rsid w:val="00B000D8"/>
    <w:rsid w:val="00B00F75"/>
    <w:rsid w:val="00B1049F"/>
    <w:rsid w:val="00B145B6"/>
    <w:rsid w:val="00B279EB"/>
    <w:rsid w:val="00B50C81"/>
    <w:rsid w:val="00B521B2"/>
    <w:rsid w:val="00B557F8"/>
    <w:rsid w:val="00B815FC"/>
    <w:rsid w:val="00B93FBC"/>
    <w:rsid w:val="00BA7DA0"/>
    <w:rsid w:val="00BB2EE4"/>
    <w:rsid w:val="00BB7E99"/>
    <w:rsid w:val="00BC2108"/>
    <w:rsid w:val="00BC7573"/>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06B4B"/>
    <w:rsid w:val="00D17476"/>
    <w:rsid w:val="00D23FCB"/>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70C"/>
    <w:rsid w:val="00F00EB7"/>
    <w:rsid w:val="00F22D67"/>
    <w:rsid w:val="00F36AB6"/>
    <w:rsid w:val="00F37A09"/>
    <w:rsid w:val="00F409CE"/>
    <w:rsid w:val="00F4379D"/>
    <w:rsid w:val="00F50D2D"/>
    <w:rsid w:val="00F56C8B"/>
    <w:rsid w:val="00F66810"/>
    <w:rsid w:val="00F72088"/>
    <w:rsid w:val="00F846D9"/>
    <w:rsid w:val="00F84DF4"/>
    <w:rsid w:val="00F85C97"/>
    <w:rsid w:val="00FB1873"/>
    <w:rsid w:val="00FB37D2"/>
    <w:rsid w:val="00FC4EFB"/>
    <w:rsid w:val="00FD068D"/>
    <w:rsid w:val="00FD4F28"/>
    <w:rsid w:val="00FE0735"/>
    <w:rsid w:val="00FE6784"/>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FF1006"/>
    <w:pPr>
      <w:numPr>
        <w:numId w:val="1"/>
      </w:numPr>
      <w:tabs>
        <w:tab w:val="num" w:pos="1152"/>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72088"/>
    <w:pPr>
      <w:numPr>
        <w:numId w:val="8"/>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72088"/>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F72088"/>
    <w:pPr>
      <w:numPr>
        <w:ilvl w:val="2"/>
      </w:numPr>
    </w:pPr>
  </w:style>
  <w:style w:type="paragraph" w:customStyle="1" w:styleId="Title4LevelTitre4Niveau">
    <w:name w:val="Title 4 Level / Titre 4 Niveau"/>
    <w:basedOn w:val="Title3LevelTitre3Niveau"/>
    <w:next w:val="ParaNoNdepar-AltN"/>
    <w:uiPriority w:val="4"/>
    <w:qFormat/>
    <w:rsid w:val="00F7208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72088"/>
    <w:pPr>
      <w:numPr>
        <w:ilvl w:val="4"/>
      </w:numPr>
    </w:pPr>
  </w:style>
  <w:style w:type="paragraph" w:customStyle="1" w:styleId="Title6LevelTitre6Niveau">
    <w:name w:val="Title 6 Level / Titre 6 Niveau"/>
    <w:basedOn w:val="Title5LevelTitre5Niveau"/>
    <w:next w:val="ParaNoNdepar-AltN"/>
    <w:uiPriority w:val="4"/>
    <w:qFormat/>
    <w:rsid w:val="00F72088"/>
    <w:pPr>
      <w:numPr>
        <w:ilvl w:val="5"/>
      </w:numPr>
    </w:pPr>
    <w:rPr>
      <w:i/>
      <w:u w:val="none"/>
    </w:rPr>
  </w:style>
  <w:style w:type="table" w:styleId="TableGrid">
    <w:name w:val="Table Grid"/>
    <w:basedOn w:val="TableNormal"/>
    <w:uiPriority w:val="59"/>
    <w:rsid w:val="0043411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34119"/>
    <w:rPr>
      <w:rFonts w:ascii="Times New Roman" w:hAnsi="Times New Roman"/>
      <w:sz w:val="24"/>
      <w:szCs w:val="24"/>
      <w:lang w:val="en-CA"/>
    </w:rPr>
  </w:style>
  <w:style w:type="paragraph" w:customStyle="1" w:styleId="SCCLsocPrefix">
    <w:name w:val="SCC.Lsoc.Prefix"/>
    <w:basedOn w:val="Normal"/>
    <w:next w:val="Normal"/>
    <w:link w:val="SCCLsocPrefixChar"/>
    <w:rsid w:val="00434119"/>
    <w:rPr>
      <w:rFonts w:eastAsiaTheme="minorHAnsi" w:cstheme="minorBidi"/>
      <w:b/>
      <w:smallCaps/>
      <w:szCs w:val="24"/>
      <w:lang w:eastAsia="en-US"/>
    </w:rPr>
  </w:style>
  <w:style w:type="character" w:customStyle="1" w:styleId="SCCLsocPrefixChar">
    <w:name w:val="SCC.Lsoc.Prefix Char"/>
    <w:basedOn w:val="DefaultParagraphFont"/>
    <w:link w:val="SCCLsocPrefix"/>
    <w:rsid w:val="0043411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7B67-82B3-4EA8-B23A-9D1FAF9C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2016-05-02T17:21:00Z</dcterms:created>
  <dcterms:modified xsi:type="dcterms:W3CDTF">2016-11-08T18:17:00Z</dcterms:modified>
</cp:coreProperties>
</file>