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2B" w:rsidRDefault="0033022B" w:rsidP="0033022B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6" o:title=""/>
          </v:shape>
          <o:OLEObject Type="Embed" ProgID="Presentations.Drawing.13" ShapeID="_x0000_i1025" DrawAspect="Content" ObjectID="_1550467356" r:id="rId7"/>
        </w:object>
      </w:r>
      <w:r>
        <w:t xml:space="preserve"> </w:t>
      </w:r>
      <w:r>
        <w:ptab w:relativeTo="margin" w:alignment="right" w:leader="none"/>
      </w:r>
    </w:p>
    <w:p w:rsidR="0033022B" w:rsidRDefault="0033022B" w:rsidP="0033022B">
      <w:pPr>
        <w:pStyle w:val="Header"/>
      </w:pPr>
    </w:p>
    <w:p w:rsidR="0033022B" w:rsidRPr="006B210C" w:rsidRDefault="0033022B" w:rsidP="0033022B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33022B" w:rsidRDefault="0033022B" w:rsidP="0033022B"/>
    <w:tbl>
      <w:tblPr>
        <w:tblStyle w:val="TableGrid"/>
        <w:tblW w:w="9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427"/>
        <w:gridCol w:w="4139"/>
      </w:tblGrid>
      <w:tr w:rsidR="0033022B" w:rsidRPr="006B210C" w:rsidTr="005979A2">
        <w:trPr>
          <w:cantSplit/>
          <w:trHeight w:val="1514"/>
        </w:trPr>
        <w:tc>
          <w:tcPr>
            <w:tcW w:w="5427" w:type="dxa"/>
          </w:tcPr>
          <w:p w:rsidR="0033022B" w:rsidRPr="00EC6BA1" w:rsidRDefault="0033022B" w:rsidP="005979A2">
            <w:pPr>
              <w:ind w:right="-148"/>
            </w:pPr>
            <w:r w:rsidRPr="006B210C">
              <w:rPr>
                <w:b/>
                <w:smallCaps/>
              </w:rPr>
              <w:t>Citation</w:t>
            </w:r>
            <w:r>
              <w:rPr>
                <w:b/>
                <w:smallCaps/>
              </w:rPr>
              <w:t>:</w:t>
            </w:r>
            <w:r>
              <w:t xml:space="preserve"> </w:t>
            </w:r>
            <w:r w:rsidRPr="0033022B">
              <w:rPr>
                <w:rStyle w:val="SCCAppellantForIndexChar"/>
                <w:b w:val="0"/>
              </w:rPr>
              <w:t>British Columbia Teachers’ Federation</w:t>
            </w:r>
            <w:r w:rsidRPr="0033022B">
              <w:rPr>
                <w:b/>
              </w:rPr>
              <w:t xml:space="preserve"> </w:t>
            </w:r>
            <w:r w:rsidRPr="00405025">
              <w:rPr>
                <w:i/>
              </w:rPr>
              <w:t>v.</w:t>
            </w:r>
            <w:r w:rsidRPr="00405025">
              <w:t xml:space="preserve"> British Columbia</w:t>
            </w:r>
            <w:r w:rsidRPr="0033022B">
              <w:rPr>
                <w:rStyle w:val="SCCRespondentForIndexChar"/>
                <w:b w:val="0"/>
              </w:rPr>
              <w:t>, 2016 SCC</w:t>
            </w:r>
            <w:r w:rsidRPr="00EC6BA1">
              <w:rPr>
                <w:b/>
              </w:rPr>
              <w:t xml:space="preserve"> </w:t>
            </w:r>
            <w:r>
              <w:t>49</w:t>
            </w:r>
            <w:r>
              <w:t xml:space="preserve">, </w:t>
            </w:r>
            <w:bookmarkStart w:id="0" w:name="_GoBack"/>
            <w:bookmarkEnd w:id="0"/>
            <w:r>
              <w:t>[2016] 2 S.C.R. 407</w:t>
            </w:r>
          </w:p>
          <w:p w:rsidR="0033022B" w:rsidRPr="00405025" w:rsidRDefault="0033022B" w:rsidP="005979A2">
            <w:pPr>
              <w:jc w:val="center"/>
            </w:pPr>
          </w:p>
        </w:tc>
        <w:tc>
          <w:tcPr>
            <w:tcW w:w="4139" w:type="dxa"/>
          </w:tcPr>
          <w:p w:rsidR="0033022B" w:rsidRDefault="0033022B" w:rsidP="005979A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Appeal heard:</w:t>
            </w:r>
            <w:r w:rsidRPr="00FA1E3B">
              <w:rPr>
                <w:smallCaps/>
              </w:rPr>
              <w:t xml:space="preserve"> </w:t>
            </w:r>
            <w:r>
              <w:t>November 10, 2016</w:t>
            </w:r>
          </w:p>
          <w:p w:rsidR="0033022B" w:rsidRDefault="0033022B" w:rsidP="005979A2">
            <w:r>
              <w:rPr>
                <w:b/>
                <w:smallCaps/>
              </w:rPr>
              <w:t>Judgment rendered:</w:t>
            </w:r>
            <w:r>
              <w:t xml:space="preserve"> November 10, 2016</w:t>
            </w:r>
          </w:p>
          <w:p w:rsidR="0033022B" w:rsidRPr="006B210C" w:rsidRDefault="0033022B" w:rsidP="005979A2">
            <w:r w:rsidRPr="006B210C">
              <w:rPr>
                <w:b/>
                <w:smallCaps/>
              </w:rPr>
              <w:t>Docket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36500</w:t>
            </w:r>
          </w:p>
        </w:tc>
      </w:tr>
    </w:tbl>
    <w:p w:rsidR="0033022B" w:rsidRDefault="0033022B" w:rsidP="0033022B">
      <w:pPr>
        <w:pStyle w:val="SCCLsocPrefix"/>
      </w:pPr>
      <w:r>
        <w:t>Between:</w:t>
      </w:r>
    </w:p>
    <w:p w:rsidR="0033022B" w:rsidRDefault="0033022B" w:rsidP="0033022B">
      <w:pPr>
        <w:pStyle w:val="SCCLsocParty"/>
        <w:jc w:val="center"/>
      </w:pPr>
      <w:r>
        <w:t>British Columbia Teachers’ Federation, on behalf of all members of the</w:t>
      </w:r>
    </w:p>
    <w:p w:rsidR="0033022B" w:rsidRDefault="0033022B" w:rsidP="0033022B">
      <w:pPr>
        <w:pStyle w:val="SCCLsocParty"/>
        <w:jc w:val="center"/>
      </w:pPr>
      <w:r>
        <w:t>British Columbia Teachers</w:t>
      </w:r>
      <w:r>
        <w:rPr>
          <w:lang w:val="en-US"/>
        </w:rPr>
        <w:t>’</w:t>
      </w:r>
      <w:r>
        <w:t xml:space="preserve"> Federation</w:t>
      </w:r>
    </w:p>
    <w:p w:rsidR="0033022B" w:rsidRDefault="0033022B" w:rsidP="0033022B">
      <w:pPr>
        <w:jc w:val="center"/>
      </w:pPr>
      <w:r>
        <w:t>Appellant</w:t>
      </w:r>
    </w:p>
    <w:p w:rsidR="0033022B" w:rsidRPr="00405025" w:rsidRDefault="0033022B" w:rsidP="0033022B">
      <w:pPr>
        <w:jc w:val="center"/>
      </w:pPr>
    </w:p>
    <w:p w:rsidR="0033022B" w:rsidRPr="0033022B" w:rsidRDefault="0033022B" w:rsidP="0033022B">
      <w:pPr>
        <w:pStyle w:val="SCCLsocVersus"/>
        <w:spacing w:after="0"/>
        <w:jc w:val="center"/>
        <w:rPr>
          <w:i w:val="0"/>
        </w:rPr>
      </w:pPr>
      <w:proofErr w:type="gramStart"/>
      <w:r w:rsidRPr="0033022B">
        <w:rPr>
          <w:i w:val="0"/>
        </w:rPr>
        <w:t>and</w:t>
      </w:r>
      <w:proofErr w:type="gramEnd"/>
    </w:p>
    <w:p w:rsidR="0033022B" w:rsidRPr="00405025" w:rsidRDefault="0033022B" w:rsidP="0033022B">
      <w:pPr>
        <w:jc w:val="center"/>
      </w:pPr>
    </w:p>
    <w:p w:rsidR="0033022B" w:rsidRDefault="0033022B" w:rsidP="0033022B">
      <w:pPr>
        <w:pStyle w:val="SCCLsocParty"/>
        <w:jc w:val="center"/>
      </w:pPr>
      <w:r>
        <w:t xml:space="preserve">Her </w:t>
      </w:r>
      <w:r w:rsidRPr="00361BEB">
        <w:t>Majesty the Queen</w:t>
      </w:r>
      <w:r>
        <w:t xml:space="preserve"> in Right of the Province of British Columbia</w:t>
      </w:r>
    </w:p>
    <w:p w:rsidR="0033022B" w:rsidRDefault="0033022B" w:rsidP="0033022B">
      <w:pPr>
        <w:jc w:val="center"/>
      </w:pPr>
      <w:r>
        <w:t>Respondent</w:t>
      </w:r>
    </w:p>
    <w:p w:rsidR="0033022B" w:rsidRPr="00405025" w:rsidRDefault="0033022B" w:rsidP="0033022B">
      <w:pPr>
        <w:jc w:val="center"/>
      </w:pPr>
    </w:p>
    <w:p w:rsidR="0033022B" w:rsidRDefault="0033022B" w:rsidP="0033022B">
      <w:pPr>
        <w:pStyle w:val="SCCLsocOtherPartySeparator"/>
        <w:spacing w:after="0"/>
        <w:jc w:val="center"/>
      </w:pPr>
      <w:r>
        <w:t xml:space="preserve">- </w:t>
      </w:r>
      <w:proofErr w:type="gramStart"/>
      <w:r>
        <w:t>and</w:t>
      </w:r>
      <w:proofErr w:type="gramEnd"/>
      <w:r>
        <w:t xml:space="preserve"> -</w:t>
      </w:r>
    </w:p>
    <w:p w:rsidR="0033022B" w:rsidRPr="00405025" w:rsidRDefault="0033022B" w:rsidP="0033022B">
      <w:pPr>
        <w:jc w:val="center"/>
      </w:pPr>
    </w:p>
    <w:p w:rsidR="0033022B" w:rsidRDefault="0033022B" w:rsidP="0033022B">
      <w:pPr>
        <w:pStyle w:val="SCCLsocParty"/>
        <w:widowControl w:val="0"/>
        <w:jc w:val="center"/>
      </w:pPr>
      <w:r>
        <w:t>Attorney General of Canada,</w:t>
      </w:r>
    </w:p>
    <w:p w:rsidR="0033022B" w:rsidRDefault="0033022B" w:rsidP="0033022B">
      <w:pPr>
        <w:pStyle w:val="SCCLsocParty"/>
        <w:widowControl w:val="0"/>
        <w:jc w:val="center"/>
      </w:pPr>
      <w:r>
        <w:t>Attorney General of Ontario,</w:t>
      </w:r>
    </w:p>
    <w:p w:rsidR="0033022B" w:rsidRDefault="0033022B" w:rsidP="0033022B">
      <w:pPr>
        <w:pStyle w:val="SCCLsocParty"/>
        <w:widowControl w:val="0"/>
        <w:jc w:val="center"/>
      </w:pPr>
      <w:r>
        <w:t>Attorney General of Quebec,</w:t>
      </w:r>
    </w:p>
    <w:p w:rsidR="0033022B" w:rsidRDefault="0033022B" w:rsidP="0033022B">
      <w:pPr>
        <w:pStyle w:val="SCCLsocParty"/>
        <w:widowControl w:val="0"/>
        <w:jc w:val="center"/>
      </w:pPr>
      <w:r>
        <w:t>Attorney General of Manitoba,</w:t>
      </w:r>
    </w:p>
    <w:p w:rsidR="0033022B" w:rsidRDefault="0033022B" w:rsidP="0033022B">
      <w:pPr>
        <w:pStyle w:val="SCCLsocParty"/>
        <w:widowControl w:val="0"/>
        <w:jc w:val="center"/>
      </w:pPr>
      <w:r>
        <w:t>Attorney General of Saskatchewan,</w:t>
      </w:r>
    </w:p>
    <w:p w:rsidR="0033022B" w:rsidRPr="006D4212" w:rsidRDefault="0033022B" w:rsidP="0033022B">
      <w:pPr>
        <w:pStyle w:val="SCCLsocParty"/>
        <w:widowControl w:val="0"/>
        <w:jc w:val="center"/>
        <w:rPr>
          <w:lang w:val="fr-CA"/>
        </w:rPr>
      </w:pPr>
      <w:r w:rsidRPr="006D4212">
        <w:rPr>
          <w:lang w:val="fr-CA"/>
        </w:rPr>
        <w:t>Centrale des syndicats du Québec,</w:t>
      </w:r>
    </w:p>
    <w:p w:rsidR="0033022B" w:rsidRDefault="0033022B" w:rsidP="0033022B">
      <w:pPr>
        <w:pStyle w:val="SCCLsocParty"/>
        <w:widowControl w:val="0"/>
        <w:jc w:val="center"/>
      </w:pPr>
      <w:r>
        <w:t>Canadian Labour Congress,</w:t>
      </w:r>
    </w:p>
    <w:p w:rsidR="0033022B" w:rsidRDefault="0033022B" w:rsidP="0033022B">
      <w:pPr>
        <w:pStyle w:val="SCCLsocParty"/>
        <w:widowControl w:val="0"/>
        <w:jc w:val="center"/>
      </w:pPr>
      <w:r>
        <w:t>Canadian Association of Counsel to Employers,</w:t>
      </w:r>
    </w:p>
    <w:p w:rsidR="0033022B" w:rsidRDefault="0033022B" w:rsidP="0033022B">
      <w:pPr>
        <w:pStyle w:val="SCCLsocParty"/>
        <w:widowControl w:val="0"/>
        <w:jc w:val="center"/>
      </w:pPr>
      <w:r>
        <w:t>National Union of Public and General Employees,</w:t>
      </w:r>
    </w:p>
    <w:p w:rsidR="0033022B" w:rsidRDefault="0033022B" w:rsidP="0033022B">
      <w:pPr>
        <w:pStyle w:val="SCCLsocParty"/>
        <w:widowControl w:val="0"/>
        <w:jc w:val="center"/>
      </w:pPr>
      <w:r>
        <w:t>Public Service Alliance of Canada,</w:t>
      </w:r>
    </w:p>
    <w:p w:rsidR="0033022B" w:rsidRDefault="0033022B" w:rsidP="0033022B">
      <w:pPr>
        <w:pStyle w:val="SCCLsocParty"/>
        <w:widowControl w:val="0"/>
        <w:jc w:val="center"/>
      </w:pPr>
      <w:r>
        <w:t>Professional Institute of the Public Service of Canada,</w:t>
      </w:r>
    </w:p>
    <w:p w:rsidR="0033022B" w:rsidRDefault="0033022B" w:rsidP="0033022B">
      <w:pPr>
        <w:pStyle w:val="SCCLsocParty"/>
        <w:widowControl w:val="0"/>
        <w:jc w:val="center"/>
      </w:pPr>
      <w:r>
        <w:t>Association of Canadian Financial Officers,</w:t>
      </w:r>
    </w:p>
    <w:p w:rsidR="0033022B" w:rsidRDefault="0033022B" w:rsidP="0033022B">
      <w:pPr>
        <w:pStyle w:val="SCCLsocParty"/>
        <w:widowControl w:val="0"/>
        <w:jc w:val="center"/>
      </w:pPr>
      <w:r>
        <w:t>Association of Justice Counsel,</w:t>
      </w:r>
    </w:p>
    <w:p w:rsidR="0033022B" w:rsidRDefault="0033022B" w:rsidP="0033022B">
      <w:pPr>
        <w:pStyle w:val="SCCLsocParty"/>
        <w:widowControl w:val="0"/>
        <w:jc w:val="center"/>
      </w:pPr>
      <w:r>
        <w:t>Canadian Association of Professional Employees and</w:t>
      </w:r>
    </w:p>
    <w:p w:rsidR="0033022B" w:rsidRDefault="0033022B" w:rsidP="0033022B">
      <w:pPr>
        <w:pStyle w:val="SCCLsocParty"/>
        <w:jc w:val="center"/>
      </w:pPr>
      <w:r>
        <w:t>Coalition of Ontario Teacher Affiliates</w:t>
      </w:r>
    </w:p>
    <w:p w:rsidR="0033022B" w:rsidRDefault="0033022B" w:rsidP="0033022B">
      <w:pPr>
        <w:jc w:val="center"/>
      </w:pPr>
      <w:r>
        <w:t>Interveners</w:t>
      </w:r>
    </w:p>
    <w:p w:rsidR="0033022B" w:rsidRDefault="0033022B" w:rsidP="0033022B"/>
    <w:p w:rsidR="0033022B" w:rsidRPr="006B210C" w:rsidRDefault="0033022B" w:rsidP="0033022B"/>
    <w:p w:rsidR="0033022B" w:rsidRPr="006B210C" w:rsidRDefault="0033022B" w:rsidP="0033022B">
      <w:r w:rsidRPr="006B210C">
        <w:rPr>
          <w:b/>
          <w:smallCaps/>
        </w:rPr>
        <w:t>Coram</w:t>
      </w:r>
      <w:r>
        <w:rPr>
          <w:b/>
          <w:smallCaps/>
        </w:rPr>
        <w:t>:</w:t>
      </w:r>
      <w:r w:rsidRPr="006B210C">
        <w:t xml:space="preserve"> </w:t>
      </w:r>
      <w:proofErr w:type="spellStart"/>
      <w:r>
        <w:t>McLachlin</w:t>
      </w:r>
      <w:proofErr w:type="spellEnd"/>
      <w:r>
        <w:t xml:space="preserve"> C.J. and </w:t>
      </w:r>
      <w:proofErr w:type="spellStart"/>
      <w:r>
        <w:t>Abella</w:t>
      </w:r>
      <w:proofErr w:type="spellEnd"/>
      <w:r>
        <w:t xml:space="preserve">, </w:t>
      </w:r>
      <w:proofErr w:type="spellStart"/>
      <w:r>
        <w:t>Moldaver</w:t>
      </w:r>
      <w:proofErr w:type="spellEnd"/>
      <w:r>
        <w:t xml:space="preserve">, </w:t>
      </w:r>
      <w:proofErr w:type="spellStart"/>
      <w:r>
        <w:t>Karakatsanis</w:t>
      </w:r>
      <w:proofErr w:type="spellEnd"/>
      <w:r>
        <w:t xml:space="preserve">, Wagner, </w:t>
      </w:r>
      <w:proofErr w:type="spellStart"/>
      <w:r>
        <w:t>Gascon</w:t>
      </w:r>
      <w:proofErr w:type="spellEnd"/>
      <w:r>
        <w:t xml:space="preserve">, </w:t>
      </w:r>
      <w:proofErr w:type="spellStart"/>
      <w:r>
        <w:t>Côté</w:t>
      </w:r>
      <w:proofErr w:type="spellEnd"/>
      <w:r>
        <w:t>, Brown and Rowe JJ.</w:t>
      </w:r>
    </w:p>
    <w:p w:rsidR="0033022B" w:rsidRPr="006B210C" w:rsidRDefault="0033022B" w:rsidP="0033022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33022B" w:rsidRPr="006B210C" w:rsidTr="005979A2">
        <w:trPr>
          <w:cantSplit/>
        </w:trPr>
        <w:tc>
          <w:tcPr>
            <w:tcW w:w="3618" w:type="dxa"/>
          </w:tcPr>
          <w:p w:rsidR="0033022B" w:rsidRDefault="0033022B" w:rsidP="005979A2">
            <w:pPr>
              <w:ind w:left="-58"/>
            </w:pPr>
            <w:r w:rsidRPr="006B210C">
              <w:rPr>
                <w:b/>
                <w:smallCaps/>
              </w:rPr>
              <w:lastRenderedPageBreak/>
              <w:t>Reasons for Judgment</w:t>
            </w:r>
            <w:r>
              <w:rPr>
                <w:b/>
                <w:smallCaps/>
              </w:rPr>
              <w:t>:</w:t>
            </w:r>
          </w:p>
          <w:p w:rsidR="0033022B" w:rsidRPr="00405025" w:rsidRDefault="0033022B" w:rsidP="005979A2">
            <w:pPr>
              <w:ind w:left="-58"/>
            </w:pPr>
            <w:r>
              <w:t>(para</w:t>
            </w:r>
            <w:r w:rsidRPr="00CB7837">
              <w:t>. 1)</w:t>
            </w:r>
          </w:p>
        </w:tc>
        <w:tc>
          <w:tcPr>
            <w:tcW w:w="5958" w:type="dxa"/>
          </w:tcPr>
          <w:p w:rsidR="0033022B" w:rsidRPr="006B210C" w:rsidRDefault="0033022B" w:rsidP="005979A2">
            <w:proofErr w:type="spellStart"/>
            <w:r w:rsidRPr="00DE25BF">
              <w:t>McLachlin</w:t>
            </w:r>
            <w:proofErr w:type="spellEnd"/>
            <w:r w:rsidRPr="00DE25BF">
              <w:t xml:space="preserve"> C.J. (</w:t>
            </w:r>
            <w:proofErr w:type="spellStart"/>
            <w:r>
              <w:t>Abella</w:t>
            </w:r>
            <w:proofErr w:type="spellEnd"/>
            <w:r>
              <w:t xml:space="preserve">, </w:t>
            </w:r>
            <w:proofErr w:type="spellStart"/>
            <w:r w:rsidRPr="00DE25BF">
              <w:t>Moldaver</w:t>
            </w:r>
            <w:proofErr w:type="spellEnd"/>
            <w:r w:rsidRPr="00DE25BF">
              <w:t xml:space="preserve">, </w:t>
            </w:r>
            <w:proofErr w:type="spellStart"/>
            <w:r w:rsidRPr="00DE25BF">
              <w:t>Karakatsanis</w:t>
            </w:r>
            <w:proofErr w:type="spellEnd"/>
            <w:r w:rsidRPr="00DE25BF">
              <w:t xml:space="preserve">, Wagner, </w:t>
            </w:r>
            <w:proofErr w:type="spellStart"/>
            <w:r w:rsidRPr="00DE25BF">
              <w:t>Gascon</w:t>
            </w:r>
            <w:proofErr w:type="spellEnd"/>
            <w:r w:rsidRPr="00DE25BF">
              <w:t xml:space="preserve">, </w:t>
            </w:r>
            <w:proofErr w:type="spellStart"/>
            <w:r w:rsidRPr="00DE25BF">
              <w:t>Côté</w:t>
            </w:r>
            <w:proofErr w:type="spellEnd"/>
            <w:r>
              <w:t>, Brown</w:t>
            </w:r>
            <w:r w:rsidRPr="00DE25BF">
              <w:t xml:space="preserve"> and </w:t>
            </w:r>
            <w:r>
              <w:t>Rowe</w:t>
            </w:r>
            <w:r w:rsidRPr="00DE25BF">
              <w:t xml:space="preserve"> JJ. concurring)</w:t>
            </w:r>
          </w:p>
        </w:tc>
      </w:tr>
    </w:tbl>
    <w:p w:rsidR="0033022B" w:rsidRDefault="0033022B" w:rsidP="0033022B"/>
    <w:p w:rsidR="0033022B" w:rsidRPr="006B210C" w:rsidRDefault="0033022B" w:rsidP="0033022B"/>
    <w:p w:rsidR="0033022B" w:rsidRPr="006B210C" w:rsidRDefault="0033022B" w:rsidP="0033022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9911E" wp14:editId="02A0FA81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5CE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33022B" w:rsidRDefault="0033022B" w:rsidP="0033022B"/>
    <w:p w:rsidR="006565F4" w:rsidRPr="001426A9" w:rsidRDefault="006565F4" w:rsidP="000D6681">
      <w:pPr>
        <w:widowControl w:val="0"/>
        <w:jc w:val="both"/>
      </w:pPr>
    </w:p>
    <w:p w:rsidR="008322BD" w:rsidRPr="004D26DB" w:rsidRDefault="004D26DB" w:rsidP="004D26DB">
      <w:pPr>
        <w:widowControl w:val="0"/>
        <w:jc w:val="both"/>
        <w:rPr>
          <w:smallCaps/>
        </w:rPr>
      </w:pPr>
      <w:r>
        <w:rPr>
          <w:rStyle w:val="SCCAppellantForRunningHeadChar"/>
          <w:smallCaps w:val="0"/>
        </w:rPr>
        <w:t>British Co</w:t>
      </w:r>
      <w:r w:rsidRPr="004D26DB">
        <w:rPr>
          <w:rStyle w:val="SCCAppellantForRunningHeadChar"/>
          <w:smallCaps w:val="0"/>
        </w:rPr>
        <w:t>lumbia</w:t>
      </w:r>
      <w:r>
        <w:rPr>
          <w:rStyle w:val="SCCAppellantForRunningHeadChar"/>
          <w:smallCaps w:val="0"/>
        </w:rPr>
        <w:t xml:space="preserve"> T</w:t>
      </w:r>
      <w:r w:rsidR="002A1E29" w:rsidRPr="004D26DB">
        <w:rPr>
          <w:rStyle w:val="SCCAppellantForRunningHeadChar"/>
          <w:smallCaps w:val="0"/>
        </w:rPr>
        <w:t>eachers</w:t>
      </w:r>
      <w:r w:rsidR="002B331C" w:rsidRPr="004D26DB">
        <w:rPr>
          <w:rStyle w:val="SCCAppellantForRunningHeadChar"/>
          <w:smallCaps w:val="0"/>
        </w:rPr>
        <w:t>’</w:t>
      </w:r>
      <w:r>
        <w:rPr>
          <w:rStyle w:val="SCCAppellantForRunningHeadChar"/>
          <w:smallCaps w:val="0"/>
        </w:rPr>
        <w:t xml:space="preserve"> F</w:t>
      </w:r>
      <w:r w:rsidR="008F78E9" w:rsidRPr="004D26DB">
        <w:rPr>
          <w:rStyle w:val="SCCAppellantForRunningHeadChar"/>
          <w:smallCaps w:val="0"/>
        </w:rPr>
        <w:t>ederation</w:t>
      </w:r>
      <w:r w:rsidR="002A1E29" w:rsidRPr="004D26DB">
        <w:rPr>
          <w:rStyle w:val="SCCAppellantForRunningHeadChar"/>
          <w:smallCaps w:val="0"/>
        </w:rPr>
        <w:t xml:space="preserve"> </w:t>
      </w:r>
      <w:r w:rsidR="009B57B3" w:rsidRPr="004D26DB">
        <w:rPr>
          <w:i/>
        </w:rPr>
        <w:t>v.</w:t>
      </w:r>
      <w:r w:rsidR="00B000D8" w:rsidRPr="004D26DB">
        <w:rPr>
          <w:smallCaps/>
        </w:rPr>
        <w:t xml:space="preserve"> </w:t>
      </w:r>
      <w:r>
        <w:rPr>
          <w:rStyle w:val="SCCRespondentForRunningHeadChar"/>
          <w:smallCaps w:val="0"/>
        </w:rPr>
        <w:t>British C</w:t>
      </w:r>
      <w:r w:rsidR="002A1E29" w:rsidRPr="004D26DB">
        <w:rPr>
          <w:rStyle w:val="SCCRespondentForRunningHeadChar"/>
          <w:smallCaps w:val="0"/>
        </w:rPr>
        <w:t>olumbia</w:t>
      </w:r>
      <w:r>
        <w:rPr>
          <w:rStyle w:val="SCCRespondentForRunningHeadChar"/>
          <w:smallCaps w:val="0"/>
        </w:rPr>
        <w:t xml:space="preserve">, </w:t>
      </w:r>
      <w:r>
        <w:t>2016 SCC 49, [2016] 2 S.C.R. 407</w:t>
      </w:r>
    </w:p>
    <w:p w:rsidR="00766D14" w:rsidRDefault="00766D14" w:rsidP="000D6681">
      <w:pPr>
        <w:widowControl w:val="0"/>
        <w:jc w:val="both"/>
      </w:pPr>
    </w:p>
    <w:p w:rsidR="00A149DF" w:rsidRDefault="00A149DF" w:rsidP="000D6681">
      <w:pPr>
        <w:widowControl w:val="0"/>
        <w:jc w:val="both"/>
      </w:pPr>
    </w:p>
    <w:p w:rsidR="00A149DF" w:rsidRPr="001426A9" w:rsidRDefault="00A149DF" w:rsidP="000D6681">
      <w:pPr>
        <w:widowControl w:val="0"/>
        <w:jc w:val="both"/>
      </w:pPr>
    </w:p>
    <w:p w:rsidR="00110042" w:rsidRDefault="005233B8" w:rsidP="000D6681">
      <w:pPr>
        <w:pStyle w:val="SCCLsocLastPartyInRole"/>
        <w:widowControl w:val="0"/>
      </w:pPr>
      <w:r>
        <w:t>British Columbia Teachers</w:t>
      </w:r>
      <w:r w:rsidR="002B331C">
        <w:t>’</w:t>
      </w:r>
      <w:r>
        <w:t xml:space="preserve"> Federation, on behalf of all members o</w:t>
      </w:r>
      <w:r w:rsidR="002B331C">
        <w:t>f the British Columbia Teachers</w:t>
      </w:r>
      <w:r w:rsidR="002B331C">
        <w:rPr>
          <w:lang w:val="en-US"/>
        </w:rPr>
        <w:t>’</w:t>
      </w:r>
      <w:r>
        <w:t xml:space="preserve"> Federation</w:t>
      </w:r>
      <w:r>
        <w:rPr>
          <w:rStyle w:val="SCCLsocPartyRole"/>
        </w:rPr>
        <w:tab/>
        <w:t>Appellant</w:t>
      </w:r>
    </w:p>
    <w:p w:rsidR="00110042" w:rsidRDefault="005233B8" w:rsidP="000D6681">
      <w:pPr>
        <w:pStyle w:val="SCCLsocVersus"/>
        <w:widowControl w:val="0"/>
      </w:pPr>
      <w:r>
        <w:t>v.</w:t>
      </w:r>
    </w:p>
    <w:p w:rsidR="00110042" w:rsidRDefault="005233B8" w:rsidP="000D6681">
      <w:pPr>
        <w:pStyle w:val="SCCLsocLastPartyInRole"/>
        <w:widowControl w:val="0"/>
      </w:pPr>
      <w:r>
        <w:t xml:space="preserve">Her </w:t>
      </w:r>
      <w:r w:rsidRPr="00361BEB">
        <w:t>Majesty the Queen</w:t>
      </w:r>
      <w:r>
        <w:t xml:space="preserve"> in Right of the Province of British Columbia</w:t>
      </w:r>
      <w:r>
        <w:rPr>
          <w:rStyle w:val="SCCLsocPartyRole"/>
        </w:rPr>
        <w:tab/>
        <w:t>Respondent</w:t>
      </w:r>
    </w:p>
    <w:p w:rsidR="00110042" w:rsidRDefault="005233B8" w:rsidP="000D6681">
      <w:pPr>
        <w:pStyle w:val="SCCLsocOtherPartySeparator"/>
        <w:widowControl w:val="0"/>
      </w:pPr>
      <w:r>
        <w:t>and</w:t>
      </w:r>
    </w:p>
    <w:p w:rsidR="00110042" w:rsidRDefault="005233B8" w:rsidP="000D6681">
      <w:pPr>
        <w:pStyle w:val="SCCLsocParty"/>
        <w:widowControl w:val="0"/>
      </w:pPr>
      <w:r>
        <w:t>Attorney General of Canada,</w:t>
      </w:r>
    </w:p>
    <w:p w:rsidR="00110042" w:rsidRDefault="005233B8" w:rsidP="000D6681">
      <w:pPr>
        <w:pStyle w:val="SCCLsocParty"/>
        <w:widowControl w:val="0"/>
      </w:pPr>
      <w:r>
        <w:t>Attorney General of Ontario,</w:t>
      </w:r>
    </w:p>
    <w:p w:rsidR="00110042" w:rsidRDefault="002B331C" w:rsidP="000D6681">
      <w:pPr>
        <w:pStyle w:val="SCCLsocParty"/>
        <w:widowControl w:val="0"/>
      </w:pPr>
      <w:r>
        <w:t>Attorney General of Que</w:t>
      </w:r>
      <w:r w:rsidR="005233B8">
        <w:t>bec,</w:t>
      </w:r>
    </w:p>
    <w:p w:rsidR="00110042" w:rsidRDefault="005233B8" w:rsidP="000D6681">
      <w:pPr>
        <w:pStyle w:val="SCCLsocParty"/>
        <w:widowControl w:val="0"/>
      </w:pPr>
      <w:r>
        <w:t>Attorney General of Manitoba,</w:t>
      </w:r>
    </w:p>
    <w:p w:rsidR="00110042" w:rsidRDefault="006678C5" w:rsidP="000D6681">
      <w:pPr>
        <w:pStyle w:val="SCCLsocParty"/>
        <w:widowControl w:val="0"/>
      </w:pPr>
      <w:r>
        <w:t>Attorney General of</w:t>
      </w:r>
      <w:r w:rsidR="005233B8">
        <w:t xml:space="preserve"> Saskatchewan,</w:t>
      </w:r>
    </w:p>
    <w:p w:rsidR="00110042" w:rsidRPr="005233B8" w:rsidRDefault="005233B8" w:rsidP="000D6681">
      <w:pPr>
        <w:pStyle w:val="SCCLsocParty"/>
        <w:widowControl w:val="0"/>
        <w:rPr>
          <w:lang w:val="fr-CA"/>
        </w:rPr>
      </w:pPr>
      <w:r w:rsidRPr="005233B8">
        <w:rPr>
          <w:lang w:val="fr-CA"/>
        </w:rPr>
        <w:t>Centrale des syndicats du Québec,</w:t>
      </w:r>
    </w:p>
    <w:p w:rsidR="00110042" w:rsidRDefault="005233B8" w:rsidP="000D6681">
      <w:pPr>
        <w:pStyle w:val="SCCLsocParty"/>
        <w:widowControl w:val="0"/>
      </w:pPr>
      <w:r>
        <w:t>Canadian Labour Congress,</w:t>
      </w:r>
    </w:p>
    <w:p w:rsidR="00110042" w:rsidRDefault="005233B8" w:rsidP="000D6681">
      <w:pPr>
        <w:pStyle w:val="SCCLsocParty"/>
        <w:widowControl w:val="0"/>
      </w:pPr>
      <w:r>
        <w:t>Canadian Association of Counsel to Employers,</w:t>
      </w:r>
    </w:p>
    <w:p w:rsidR="00110042" w:rsidRDefault="005233B8" w:rsidP="000D6681">
      <w:pPr>
        <w:pStyle w:val="SCCLsocParty"/>
        <w:widowControl w:val="0"/>
      </w:pPr>
      <w:r>
        <w:t>National Union of Public and General Employees,</w:t>
      </w:r>
    </w:p>
    <w:p w:rsidR="00110042" w:rsidRDefault="005233B8" w:rsidP="000D6681">
      <w:pPr>
        <w:pStyle w:val="SCCLsocParty"/>
        <w:widowControl w:val="0"/>
      </w:pPr>
      <w:r>
        <w:t>Public Service Alliance of Canada,</w:t>
      </w:r>
    </w:p>
    <w:p w:rsidR="00110042" w:rsidRDefault="005233B8" w:rsidP="000D6681">
      <w:pPr>
        <w:pStyle w:val="SCCLsocParty"/>
        <w:widowControl w:val="0"/>
      </w:pPr>
      <w:r>
        <w:t>Professional Institute of the Public Service of Canada,</w:t>
      </w:r>
    </w:p>
    <w:p w:rsidR="00110042" w:rsidRDefault="005233B8" w:rsidP="000D6681">
      <w:pPr>
        <w:pStyle w:val="SCCLsocParty"/>
        <w:widowControl w:val="0"/>
      </w:pPr>
      <w:r>
        <w:t>Association of Canadian Financial Officers,</w:t>
      </w:r>
    </w:p>
    <w:p w:rsidR="00110042" w:rsidRDefault="005233B8" w:rsidP="000D6681">
      <w:pPr>
        <w:pStyle w:val="SCCLsocParty"/>
        <w:widowControl w:val="0"/>
      </w:pPr>
      <w:r>
        <w:t>Association of Justice Counsel,</w:t>
      </w:r>
    </w:p>
    <w:p w:rsidR="00110042" w:rsidRDefault="005233B8" w:rsidP="000D6681">
      <w:pPr>
        <w:pStyle w:val="SCCLsocParty"/>
        <w:widowControl w:val="0"/>
      </w:pPr>
      <w:r>
        <w:t>Canadian Associ</w:t>
      </w:r>
      <w:r w:rsidR="00EF5F42">
        <w:t>ation of Professional Employees and</w:t>
      </w:r>
    </w:p>
    <w:p w:rsidR="00110042" w:rsidRDefault="005233B8" w:rsidP="000D6681">
      <w:pPr>
        <w:pStyle w:val="SCCLsocLastPartyInRole"/>
        <w:widowControl w:val="0"/>
      </w:pPr>
      <w:r>
        <w:t>Coalition of Ontario Teacher Affiliates</w:t>
      </w:r>
      <w:r>
        <w:rPr>
          <w:rStyle w:val="SCCLsocPartyRole"/>
        </w:rPr>
        <w:tab/>
        <w:t>Interveners</w:t>
      </w:r>
    </w:p>
    <w:p w:rsidR="00766D14" w:rsidRDefault="00766D14" w:rsidP="000D6681">
      <w:pPr>
        <w:widowControl w:val="0"/>
        <w:jc w:val="both"/>
      </w:pPr>
    </w:p>
    <w:p w:rsidR="00A149DF" w:rsidRDefault="00A149DF" w:rsidP="000D6681">
      <w:pPr>
        <w:widowControl w:val="0"/>
        <w:jc w:val="both"/>
      </w:pPr>
    </w:p>
    <w:p w:rsidR="00426659" w:rsidRPr="00426659" w:rsidRDefault="00426659" w:rsidP="000D6681">
      <w:pPr>
        <w:widowControl w:val="0"/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="002E4037">
        <w:rPr>
          <w:b/>
        </w:rPr>
        <w:t xml:space="preserve"> </w:t>
      </w:r>
      <w:r w:rsidR="002E4037">
        <w:rPr>
          <w:rStyle w:val="SCCAppellantForIndexChar"/>
        </w:rPr>
        <w:t>British Columbia Teachers</w:t>
      </w:r>
      <w:r w:rsidR="002B331C">
        <w:rPr>
          <w:rStyle w:val="SCCAppellantForIndexChar"/>
        </w:rPr>
        <w:t>’</w:t>
      </w:r>
      <w:r>
        <w:rPr>
          <w:rStyle w:val="SCCAppellantForIndexChar"/>
        </w:rPr>
        <w:t xml:space="preserve"> Federation</w:t>
      </w:r>
      <w:r w:rsidR="002E4037">
        <w:rPr>
          <w:rStyle w:val="SCCAppellantForIndexChar"/>
        </w:rPr>
        <w:t xml:space="preserve"> </w:t>
      </w:r>
      <w:r w:rsidR="002E4037" w:rsidRPr="002E4037">
        <w:rPr>
          <w:rStyle w:val="SCCAppellantForIndexChar"/>
          <w:i/>
        </w:rPr>
        <w:t>v.</w:t>
      </w:r>
      <w:r w:rsidR="002E4037">
        <w:rPr>
          <w:rStyle w:val="SCCAppellantForIndexChar"/>
        </w:rPr>
        <w:t xml:space="preserve"> British Columbia</w:t>
      </w:r>
    </w:p>
    <w:p w:rsidR="00426659" w:rsidRDefault="00426659" w:rsidP="000D6681">
      <w:pPr>
        <w:widowControl w:val="0"/>
        <w:jc w:val="both"/>
      </w:pPr>
    </w:p>
    <w:p w:rsidR="00A149DF" w:rsidRDefault="00A149DF" w:rsidP="000D6681">
      <w:pPr>
        <w:widowControl w:val="0"/>
        <w:jc w:val="both"/>
      </w:pPr>
    </w:p>
    <w:p w:rsidR="00A149DF" w:rsidRDefault="00A149DF" w:rsidP="000D6681">
      <w:pPr>
        <w:widowControl w:val="0"/>
        <w:jc w:val="both"/>
      </w:pPr>
    </w:p>
    <w:p w:rsidR="00426659" w:rsidRPr="00C02092" w:rsidRDefault="00AE4535" w:rsidP="000D6681">
      <w:pPr>
        <w:pStyle w:val="SCCSystemYear"/>
        <w:widowControl w:val="0"/>
        <w:jc w:val="both"/>
      </w:pPr>
      <w:r>
        <w:t>2016</w:t>
      </w:r>
      <w:r w:rsidR="003D0399">
        <w:t xml:space="preserve"> </w:t>
      </w:r>
      <w:r w:rsidR="002E4037">
        <w:t>SCC 49</w:t>
      </w:r>
    </w:p>
    <w:p w:rsidR="00426659" w:rsidRDefault="00426659" w:rsidP="000D6681">
      <w:pPr>
        <w:widowControl w:val="0"/>
        <w:jc w:val="both"/>
      </w:pPr>
    </w:p>
    <w:p w:rsidR="00A149DF" w:rsidRDefault="00A149DF" w:rsidP="000D6681">
      <w:pPr>
        <w:widowControl w:val="0"/>
        <w:jc w:val="both"/>
      </w:pPr>
    </w:p>
    <w:p w:rsidR="00A149DF" w:rsidRDefault="00A149DF" w:rsidP="000D6681">
      <w:pPr>
        <w:widowControl w:val="0"/>
        <w:jc w:val="both"/>
      </w:pPr>
    </w:p>
    <w:p w:rsidR="008322BD" w:rsidRDefault="009B57B3" w:rsidP="000D6681">
      <w:pPr>
        <w:widowControl w:val="0"/>
        <w:jc w:val="both"/>
      </w:pPr>
      <w:r w:rsidRPr="001426A9">
        <w:t xml:space="preserve">File No.:  </w:t>
      </w:r>
      <w:r>
        <w:t>36500</w:t>
      </w:r>
      <w:r w:rsidRPr="001426A9">
        <w:t>.</w:t>
      </w:r>
    </w:p>
    <w:p w:rsidR="00E97830" w:rsidRDefault="00E97830" w:rsidP="000D6681">
      <w:pPr>
        <w:widowControl w:val="0"/>
        <w:jc w:val="both"/>
      </w:pPr>
    </w:p>
    <w:p w:rsidR="00A149DF" w:rsidRDefault="00A149DF" w:rsidP="000D6681">
      <w:pPr>
        <w:widowControl w:val="0"/>
        <w:jc w:val="both"/>
      </w:pPr>
    </w:p>
    <w:p w:rsidR="00A149DF" w:rsidRDefault="00A149DF" w:rsidP="000D6681">
      <w:pPr>
        <w:widowControl w:val="0"/>
        <w:jc w:val="both"/>
      </w:pPr>
    </w:p>
    <w:p w:rsidR="008322BD" w:rsidRDefault="00AE4535" w:rsidP="000D6681">
      <w:pPr>
        <w:widowControl w:val="0"/>
        <w:jc w:val="both"/>
      </w:pPr>
      <w:r>
        <w:t>2016:  November 10</w:t>
      </w:r>
      <w:r w:rsidR="002E4037">
        <w:t>.</w:t>
      </w:r>
    </w:p>
    <w:p w:rsidR="00E97830" w:rsidRDefault="00E97830" w:rsidP="000D6681">
      <w:pPr>
        <w:widowControl w:val="0"/>
        <w:jc w:val="both"/>
      </w:pPr>
    </w:p>
    <w:p w:rsidR="00A149DF" w:rsidRDefault="00A149DF" w:rsidP="000D6681">
      <w:pPr>
        <w:widowControl w:val="0"/>
        <w:jc w:val="both"/>
      </w:pPr>
    </w:p>
    <w:p w:rsidR="00A149DF" w:rsidRDefault="00A149DF" w:rsidP="000D6681">
      <w:pPr>
        <w:widowControl w:val="0"/>
        <w:jc w:val="both"/>
      </w:pPr>
    </w:p>
    <w:p w:rsidR="00110042" w:rsidRDefault="009B57B3" w:rsidP="000D6681">
      <w:pPr>
        <w:widowControl w:val="0"/>
        <w:jc w:val="both"/>
      </w:pPr>
      <w:r w:rsidRPr="001426A9">
        <w:t xml:space="preserve">Present:  </w:t>
      </w:r>
      <w:r>
        <w:t>McLachlin C.J. and Abella, Moldaver, Karakatsanis, Wagner, Gascon, Côté, Brown and Rowe JJ.</w:t>
      </w:r>
    </w:p>
    <w:p w:rsidR="00266AAB" w:rsidRDefault="00266AAB" w:rsidP="000D6681">
      <w:pPr>
        <w:widowControl w:val="0"/>
        <w:jc w:val="both"/>
      </w:pPr>
    </w:p>
    <w:p w:rsidR="00266AAB" w:rsidRDefault="00266AAB" w:rsidP="000D6681">
      <w:pPr>
        <w:widowControl w:val="0"/>
        <w:jc w:val="both"/>
      </w:pPr>
    </w:p>
    <w:p w:rsidR="00266AAB" w:rsidRDefault="00266AAB" w:rsidP="000D6681">
      <w:pPr>
        <w:widowControl w:val="0"/>
        <w:jc w:val="both"/>
      </w:pPr>
    </w:p>
    <w:p w:rsidR="003A4C70" w:rsidRDefault="00656313" w:rsidP="000D6681">
      <w:pPr>
        <w:pStyle w:val="SCCLowerCourtNameLowercase"/>
        <w:widowControl w:val="0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>court</w:t>
      </w:r>
      <w:r w:rsidR="008C5E01">
        <w:t xml:space="preserve"> of appeal for british columbia</w:t>
      </w:r>
    </w:p>
    <w:p w:rsidR="00266AAB" w:rsidRPr="00266AAB" w:rsidRDefault="00266AAB" w:rsidP="000D6681">
      <w:pPr>
        <w:pStyle w:val="SCCNormalDoubleSpacing"/>
        <w:widowControl w:val="0"/>
      </w:pPr>
    </w:p>
    <w:p w:rsidR="00B01967" w:rsidRDefault="00E92C50" w:rsidP="000D6681">
      <w:pPr>
        <w:pStyle w:val="SCCNormalDoubleSpacing"/>
        <w:widowControl w:val="0"/>
        <w:rPr>
          <w:i/>
        </w:rPr>
      </w:pPr>
      <w:r>
        <w:tab/>
      </w:r>
      <w:r w:rsidR="00710A08">
        <w:rPr>
          <w:i/>
        </w:rPr>
        <w:t>Constitutional law — Charter of Rights — Freedom of association —</w:t>
      </w:r>
      <w:r w:rsidR="00B01967">
        <w:rPr>
          <w:i/>
        </w:rPr>
        <w:t xml:space="preserve"> Right to </w:t>
      </w:r>
      <w:r w:rsidR="00F42D48">
        <w:rPr>
          <w:i/>
        </w:rPr>
        <w:t>collective bargaining</w:t>
      </w:r>
      <w:r w:rsidR="00710A08">
        <w:rPr>
          <w:i/>
        </w:rPr>
        <w:t xml:space="preserve"> —</w:t>
      </w:r>
      <w:r w:rsidR="00B01967">
        <w:rPr>
          <w:i/>
        </w:rPr>
        <w:t xml:space="preserve"> Province adopting legislation nullifying certain terms of public school teachers’ collective agreement and preventing similar terms from being renegotiated or included in collective</w:t>
      </w:r>
      <w:r w:rsidR="00710A08">
        <w:rPr>
          <w:i/>
        </w:rPr>
        <w:t xml:space="preserve"> agreement until specific date —</w:t>
      </w:r>
      <w:r w:rsidR="00BD3DAF">
        <w:rPr>
          <w:i/>
        </w:rPr>
        <w:t xml:space="preserve"> </w:t>
      </w:r>
      <w:r w:rsidR="00B01967">
        <w:rPr>
          <w:i/>
        </w:rPr>
        <w:t>Prior to adoption of legislation</w:t>
      </w:r>
      <w:r w:rsidR="00B01967" w:rsidRPr="00524DF9">
        <w:rPr>
          <w:i/>
        </w:rPr>
        <w:t xml:space="preserve">, teachers consulted by </w:t>
      </w:r>
      <w:r w:rsidR="00B01967">
        <w:rPr>
          <w:i/>
        </w:rPr>
        <w:t xml:space="preserve">province and </w:t>
      </w:r>
      <w:r w:rsidR="00B01967" w:rsidRPr="00524DF9">
        <w:rPr>
          <w:i/>
        </w:rPr>
        <w:t xml:space="preserve">collective bargaining </w:t>
      </w:r>
      <w:r w:rsidR="00B01967">
        <w:rPr>
          <w:i/>
        </w:rPr>
        <w:t xml:space="preserve">taking </w:t>
      </w:r>
      <w:r w:rsidR="00710A08">
        <w:rPr>
          <w:i/>
        </w:rPr>
        <w:t>place but no agreement reached —</w:t>
      </w:r>
      <w:r w:rsidR="00B01967">
        <w:rPr>
          <w:i/>
        </w:rPr>
        <w:t xml:space="preserve"> </w:t>
      </w:r>
      <w:r w:rsidR="00BD3DAF">
        <w:rPr>
          <w:i/>
        </w:rPr>
        <w:t xml:space="preserve">Teachers challenging constitutionality of legislation </w:t>
      </w:r>
      <w:r w:rsidR="00865D76">
        <w:rPr>
          <w:i/>
        </w:rPr>
        <w:t>—</w:t>
      </w:r>
      <w:r w:rsidR="00BD3DAF">
        <w:rPr>
          <w:i/>
        </w:rPr>
        <w:t xml:space="preserve"> </w:t>
      </w:r>
      <w:r w:rsidR="00B01967">
        <w:rPr>
          <w:i/>
        </w:rPr>
        <w:t>Trial judge declaring</w:t>
      </w:r>
      <w:r w:rsidR="00B01967" w:rsidRPr="00A768F8">
        <w:rPr>
          <w:i/>
        </w:rPr>
        <w:t xml:space="preserve"> legislation unconstitutional</w:t>
      </w:r>
      <w:r w:rsidR="00B01967">
        <w:rPr>
          <w:i/>
        </w:rPr>
        <w:t xml:space="preserve"> </w:t>
      </w:r>
      <w:r w:rsidR="00B01967" w:rsidRPr="00524DF9">
        <w:rPr>
          <w:i/>
        </w:rPr>
        <w:t>f</w:t>
      </w:r>
      <w:r w:rsidR="00B01967">
        <w:rPr>
          <w:i/>
        </w:rPr>
        <w:t xml:space="preserve">or infringing teachers’ freedom </w:t>
      </w:r>
      <w:r w:rsidR="00B01967" w:rsidRPr="00524DF9">
        <w:rPr>
          <w:i/>
        </w:rPr>
        <w:t>of associatio</w:t>
      </w:r>
      <w:r w:rsidR="00B01967">
        <w:rPr>
          <w:i/>
        </w:rPr>
        <w:t>n and finding that pro</w:t>
      </w:r>
      <w:r w:rsidR="00B01967" w:rsidRPr="00A768F8">
        <w:rPr>
          <w:i/>
        </w:rPr>
        <w:t xml:space="preserve">vince failed to consult in good </w:t>
      </w:r>
      <w:r w:rsidR="00710A08">
        <w:rPr>
          <w:i/>
        </w:rPr>
        <w:t>faith —</w:t>
      </w:r>
      <w:r w:rsidR="00B01967">
        <w:rPr>
          <w:i/>
        </w:rPr>
        <w:t xml:space="preserve"> Majority of Court of Appeal </w:t>
      </w:r>
      <w:r w:rsidR="00B01967" w:rsidRPr="00FB20A0">
        <w:rPr>
          <w:i/>
        </w:rPr>
        <w:t>allow</w:t>
      </w:r>
      <w:r w:rsidR="00B01967">
        <w:rPr>
          <w:i/>
        </w:rPr>
        <w:t>ing appeal</w:t>
      </w:r>
      <w:r w:rsidR="006D6E38">
        <w:rPr>
          <w:i/>
        </w:rPr>
        <w:t xml:space="preserve">, </w:t>
      </w:r>
      <w:r w:rsidR="00FA3E03">
        <w:rPr>
          <w:i/>
        </w:rPr>
        <w:t>holding</w:t>
      </w:r>
      <w:r w:rsidR="00B01967">
        <w:rPr>
          <w:i/>
        </w:rPr>
        <w:t xml:space="preserve"> that </w:t>
      </w:r>
      <w:r w:rsidR="00B01967" w:rsidRPr="00FB20A0">
        <w:rPr>
          <w:i/>
        </w:rPr>
        <w:t xml:space="preserve">legislation </w:t>
      </w:r>
      <w:r w:rsidR="00B01967">
        <w:rPr>
          <w:i/>
        </w:rPr>
        <w:t xml:space="preserve">constitutional since </w:t>
      </w:r>
      <w:r w:rsidR="00B01967" w:rsidRPr="00FB20A0">
        <w:rPr>
          <w:i/>
        </w:rPr>
        <w:t xml:space="preserve">consultations and collective bargaining leading up to </w:t>
      </w:r>
      <w:r w:rsidR="00B01967">
        <w:rPr>
          <w:i/>
        </w:rPr>
        <w:t>legislation</w:t>
      </w:r>
      <w:r w:rsidR="00B01967" w:rsidRPr="00FB20A0">
        <w:rPr>
          <w:i/>
        </w:rPr>
        <w:t xml:space="preserve"> </w:t>
      </w:r>
      <w:r w:rsidR="00B01967">
        <w:rPr>
          <w:i/>
        </w:rPr>
        <w:t xml:space="preserve">afforded </w:t>
      </w:r>
      <w:r w:rsidR="00B01967" w:rsidRPr="00FB20A0">
        <w:rPr>
          <w:i/>
        </w:rPr>
        <w:t xml:space="preserve">teachers meaningful process </w:t>
      </w:r>
      <w:r w:rsidR="00B01967">
        <w:rPr>
          <w:i/>
        </w:rPr>
        <w:t xml:space="preserve">in which </w:t>
      </w:r>
      <w:r w:rsidR="00B01967" w:rsidRPr="00FB20A0">
        <w:rPr>
          <w:i/>
        </w:rPr>
        <w:t>to advance their collective as</w:t>
      </w:r>
      <w:r w:rsidR="00B01967">
        <w:rPr>
          <w:i/>
        </w:rPr>
        <w:t>pirations</w:t>
      </w:r>
      <w:r w:rsidR="005A53C5">
        <w:rPr>
          <w:i/>
        </w:rPr>
        <w:t xml:space="preserve">, and that </w:t>
      </w:r>
      <w:r w:rsidR="00B01967">
        <w:rPr>
          <w:i/>
        </w:rPr>
        <w:t>p</w:t>
      </w:r>
      <w:r w:rsidR="00B01967" w:rsidRPr="00FB20A0">
        <w:rPr>
          <w:i/>
        </w:rPr>
        <w:t xml:space="preserve">rovince </w:t>
      </w:r>
      <w:r w:rsidR="00B01967" w:rsidRPr="00FB20A0">
        <w:rPr>
          <w:i/>
        </w:rPr>
        <w:lastRenderedPageBreak/>
        <w:t>consult</w:t>
      </w:r>
      <w:r w:rsidR="005A53C5">
        <w:rPr>
          <w:i/>
        </w:rPr>
        <w:t>ed</w:t>
      </w:r>
      <w:r w:rsidR="00B01967" w:rsidRPr="00FB20A0">
        <w:rPr>
          <w:i/>
        </w:rPr>
        <w:t xml:space="preserve"> in good faith</w:t>
      </w:r>
      <w:r w:rsidR="005A53C5">
        <w:rPr>
          <w:i/>
        </w:rPr>
        <w:t xml:space="preserve"> </w:t>
      </w:r>
      <w:r w:rsidR="00710A08">
        <w:rPr>
          <w:i/>
        </w:rPr>
        <w:t>—</w:t>
      </w:r>
      <w:r w:rsidR="00B01967">
        <w:rPr>
          <w:i/>
        </w:rPr>
        <w:t xml:space="preserve"> Dissenting judge </w:t>
      </w:r>
      <w:r w:rsidR="00F42D48">
        <w:rPr>
          <w:i/>
        </w:rPr>
        <w:t>concluding</w:t>
      </w:r>
      <w:r w:rsidR="00B01967">
        <w:rPr>
          <w:i/>
        </w:rPr>
        <w:t xml:space="preserve"> </w:t>
      </w:r>
      <w:r w:rsidR="00B01967" w:rsidRPr="00B01967">
        <w:rPr>
          <w:i/>
        </w:rPr>
        <w:t xml:space="preserve">that </w:t>
      </w:r>
      <w:r w:rsidR="00835549">
        <w:rPr>
          <w:i/>
        </w:rPr>
        <w:t>trial judge</w:t>
      </w:r>
      <w:r w:rsidR="00F42D48">
        <w:rPr>
          <w:i/>
        </w:rPr>
        <w:t xml:space="preserve">’s finding that legislation unconstitutional must be upheld, that trial judge made no appealable error in finding that province did not consult in good faith, and that </w:t>
      </w:r>
      <w:r w:rsidR="00B95F14">
        <w:rPr>
          <w:i/>
        </w:rPr>
        <w:t>infringement</w:t>
      </w:r>
      <w:r w:rsidR="00F42D48">
        <w:rPr>
          <w:i/>
        </w:rPr>
        <w:t xml:space="preserve"> of freedom of association not </w:t>
      </w:r>
      <w:r w:rsidR="008346CD">
        <w:rPr>
          <w:i/>
        </w:rPr>
        <w:t>justifiable</w:t>
      </w:r>
      <w:r w:rsidR="00F42D48">
        <w:rPr>
          <w:i/>
        </w:rPr>
        <w:t xml:space="preserve"> </w:t>
      </w:r>
      <w:r w:rsidR="00710A08">
        <w:rPr>
          <w:i/>
        </w:rPr>
        <w:t>—</w:t>
      </w:r>
      <w:r w:rsidR="00B01967">
        <w:rPr>
          <w:i/>
        </w:rPr>
        <w:t xml:space="preserve"> Canadian Charter of Rights and Freedoms, s</w:t>
      </w:r>
      <w:r w:rsidR="00F42D48">
        <w:rPr>
          <w:i/>
        </w:rPr>
        <w:t>s</w:t>
      </w:r>
      <w:r w:rsidR="00835549">
        <w:rPr>
          <w:i/>
        </w:rPr>
        <w:t xml:space="preserve">. </w:t>
      </w:r>
      <w:r w:rsidR="00F42D48">
        <w:rPr>
          <w:i/>
        </w:rPr>
        <w:t xml:space="preserve">1, </w:t>
      </w:r>
      <w:r w:rsidR="00B01967">
        <w:rPr>
          <w:i/>
        </w:rPr>
        <w:t xml:space="preserve">2(d) </w:t>
      </w:r>
      <w:r w:rsidR="00026F63">
        <w:rPr>
          <w:i/>
        </w:rPr>
        <w:t xml:space="preserve">— </w:t>
      </w:r>
      <w:r w:rsidR="00B01967">
        <w:rPr>
          <w:i/>
        </w:rPr>
        <w:t>Education Improvement Act, S.B.C. 2012, c. 3.</w:t>
      </w:r>
    </w:p>
    <w:p w:rsidR="008346CD" w:rsidRDefault="008346CD" w:rsidP="000D6681">
      <w:pPr>
        <w:pStyle w:val="SCCNormalDoubleSpacing"/>
        <w:widowControl w:val="0"/>
      </w:pPr>
    </w:p>
    <w:p w:rsidR="00656313" w:rsidRPr="00713010" w:rsidRDefault="009B57B3" w:rsidP="000D6681">
      <w:pPr>
        <w:pStyle w:val="SCCNormalDoubleSpacing"/>
        <w:widowControl w:val="0"/>
        <w:rPr>
          <w:lang w:val="en-US"/>
        </w:rPr>
      </w:pPr>
      <w:r w:rsidRPr="001426A9">
        <w:tab/>
        <w:t xml:space="preserve">APPEAL from a judgment of the </w:t>
      </w:r>
      <w:r w:rsidR="00213366">
        <w:t xml:space="preserve">British Columbia </w:t>
      </w:r>
      <w:r>
        <w:t xml:space="preserve">Court of Appeal </w:t>
      </w:r>
      <w:r w:rsidR="0001609E">
        <w:t>(</w:t>
      </w:r>
      <w:r w:rsidR="004E5436">
        <w:t>Bauman C.J.B.C</w:t>
      </w:r>
      <w:r w:rsidR="00EF5F42">
        <w:t>. and Donald, Newbury, Saunders and</w:t>
      </w:r>
      <w:r w:rsidR="004E5436">
        <w:t xml:space="preserve"> Harris JJ.A.),</w:t>
      </w:r>
      <w:r w:rsidR="00713010">
        <w:t xml:space="preserve"> </w:t>
      </w:r>
      <w:r w:rsidR="00713010" w:rsidRPr="00713010">
        <w:rPr>
          <w:lang w:val="en-US"/>
        </w:rPr>
        <w:t>2015 BCCA 184, 71 B.C.L.R. (5th) 223, 371 B.C.A.C. 204, 636 W.A.C. 204, 384 D.L.R. (4th) 385, 338</w:t>
      </w:r>
      <w:r w:rsidR="00AD1633">
        <w:rPr>
          <w:lang w:val="en-US"/>
        </w:rPr>
        <w:t xml:space="preserve"> C.R.R. (2d) 270, 2015 CLLC </w:t>
      </w:r>
      <w:r w:rsidR="00AD1633" w:rsidRPr="00AD1633">
        <w:rPr>
          <w:lang w:val="en-US"/>
        </w:rPr>
        <w:t>¶</w:t>
      </w:r>
      <w:r w:rsidR="00713010" w:rsidRPr="00713010">
        <w:rPr>
          <w:lang w:val="en-US"/>
        </w:rPr>
        <w:t>220-044, [2015] 9 W.W.R. 211, [2015] B.C.J. No. 825 (QL), 2015 CarswellBC 1113 (WL Can.),</w:t>
      </w:r>
      <w:r w:rsidR="00713010">
        <w:rPr>
          <w:lang w:val="en-US"/>
        </w:rPr>
        <w:t xml:space="preserve"> </w:t>
      </w:r>
      <w:r w:rsidR="00713010" w:rsidRPr="002565BE">
        <w:rPr>
          <w:lang w:val="en-US"/>
        </w:rPr>
        <w:t>setting aside a decision of Griffin J.</w:t>
      </w:r>
      <w:r w:rsidR="0087706D" w:rsidRPr="002565BE">
        <w:rPr>
          <w:lang w:val="en-US"/>
        </w:rPr>
        <w:t xml:space="preserve">, </w:t>
      </w:r>
      <w:r w:rsidR="0087706D">
        <w:rPr>
          <w:lang w:val="en-US"/>
        </w:rPr>
        <w:t>2014 BCSC 121, 54 B.C.L.R. (5</w:t>
      </w:r>
      <w:r w:rsidR="0087706D" w:rsidRPr="0087706D">
        <w:rPr>
          <w:lang w:val="en-US"/>
        </w:rPr>
        <w:t>th</w:t>
      </w:r>
      <w:r w:rsidR="0087706D">
        <w:rPr>
          <w:lang w:val="en-US"/>
        </w:rPr>
        <w:t>) 286, 299</w:t>
      </w:r>
      <w:r w:rsidR="00AD1633">
        <w:rPr>
          <w:lang w:val="en-US"/>
        </w:rPr>
        <w:t xml:space="preserve"> C.R.R. (2d) 106, 2014 CLLC </w:t>
      </w:r>
      <w:r w:rsidR="00AD1633" w:rsidRPr="00AD1633">
        <w:rPr>
          <w:lang w:val="en-US"/>
        </w:rPr>
        <w:t>¶</w:t>
      </w:r>
      <w:r w:rsidR="0087706D">
        <w:rPr>
          <w:lang w:val="en-US"/>
        </w:rPr>
        <w:t>220-</w:t>
      </w:r>
      <w:r w:rsidR="0038760D">
        <w:rPr>
          <w:lang w:val="en-US"/>
        </w:rPr>
        <w:t>0</w:t>
      </w:r>
      <w:r w:rsidR="0087706D">
        <w:rPr>
          <w:lang w:val="en-US"/>
        </w:rPr>
        <w:t>19, [2014] 3 W.W.R. 672, [2014] B.C.J. No. 91 (QL), 2014 CarswellBC 182 (WL Can.).</w:t>
      </w:r>
      <w:r w:rsidR="00EE14C6">
        <w:rPr>
          <w:lang w:val="en-US"/>
        </w:rPr>
        <w:t xml:space="preserve">  Appeal</w:t>
      </w:r>
      <w:r w:rsidR="00C4073F">
        <w:rPr>
          <w:lang w:val="en-US"/>
        </w:rPr>
        <w:t xml:space="preserve"> allowed, C</w:t>
      </w:r>
      <w:r w:rsidR="00C4073F" w:rsidRPr="00C4073F">
        <w:rPr>
          <w:lang w:val="en-US"/>
        </w:rPr>
        <w:t>ôté and Brown JJ.</w:t>
      </w:r>
      <w:r w:rsidR="00C4073F">
        <w:rPr>
          <w:lang w:val="en-US"/>
        </w:rPr>
        <w:t xml:space="preserve"> dissenting. </w:t>
      </w:r>
    </w:p>
    <w:p w:rsidR="00656313" w:rsidRDefault="00656313" w:rsidP="000D6681">
      <w:pPr>
        <w:pStyle w:val="SCCNormalDoubleSpacing"/>
        <w:widowControl w:val="0"/>
      </w:pPr>
    </w:p>
    <w:p w:rsidR="00110042" w:rsidRDefault="005233B8" w:rsidP="000D6681">
      <w:pPr>
        <w:pStyle w:val="SCCNormalDoubleSpacing"/>
        <w:widowControl w:val="0"/>
      </w:pPr>
      <w:r>
        <w:rPr>
          <w:rStyle w:val="SCCCounselNameChar"/>
        </w:rPr>
        <w:tab/>
        <w:t>John Rogers</w:t>
      </w:r>
      <w:r w:rsidRPr="008C588E">
        <w:rPr>
          <w:rStyle w:val="SCCCounselNameChar"/>
          <w:i w:val="0"/>
        </w:rPr>
        <w:t xml:space="preserve">, </w:t>
      </w:r>
      <w:r>
        <w:rPr>
          <w:rStyle w:val="SCCCounselNameChar"/>
        </w:rPr>
        <w:t>Q.C.</w:t>
      </w:r>
      <w:r>
        <w:rPr>
          <w:rStyle w:val="SCCCounselPartyRoleChar"/>
        </w:rPr>
        <w:t>,</w:t>
      </w:r>
      <w:r w:rsidR="00136244">
        <w:rPr>
          <w:rStyle w:val="SCCCounselPartyRoleChar"/>
        </w:rPr>
        <w:t xml:space="preserve"> </w:t>
      </w:r>
      <w:r w:rsidR="0038760D" w:rsidRPr="0038760D">
        <w:rPr>
          <w:rStyle w:val="SCCCounselPartyRoleChar"/>
          <w:i/>
        </w:rPr>
        <w:t>Diane MacDonald</w:t>
      </w:r>
      <w:r w:rsidR="0038760D">
        <w:rPr>
          <w:rStyle w:val="SCCCounselPartyRoleChar"/>
        </w:rPr>
        <w:t xml:space="preserve">, </w:t>
      </w:r>
      <w:r w:rsidR="0038760D" w:rsidRPr="0038760D">
        <w:rPr>
          <w:rStyle w:val="SCCCounselPartyRoleChar"/>
          <w:i/>
        </w:rPr>
        <w:t>Michael Sobkin</w:t>
      </w:r>
      <w:r w:rsidR="0038760D">
        <w:rPr>
          <w:rStyle w:val="SCCCounselPartyRoleChar"/>
        </w:rPr>
        <w:t xml:space="preserve"> and </w:t>
      </w:r>
      <w:r w:rsidR="0038760D" w:rsidRPr="0038760D">
        <w:rPr>
          <w:rStyle w:val="SCCCounselPartyRoleChar"/>
          <w:i/>
        </w:rPr>
        <w:t>Steven Rogers</w:t>
      </w:r>
      <w:r w:rsidR="00AE4ABB">
        <w:rPr>
          <w:rStyle w:val="SCCCounselPartyRoleChar"/>
        </w:rPr>
        <w:t>,</w:t>
      </w:r>
      <w:r>
        <w:rPr>
          <w:rStyle w:val="SCCCounselPartyRoleChar"/>
        </w:rPr>
        <w:t xml:space="preserve"> for the appellant.</w:t>
      </w:r>
    </w:p>
    <w:p w:rsidR="00110042" w:rsidRDefault="00110042" w:rsidP="000D6681">
      <w:pPr>
        <w:pStyle w:val="SCCNormalDoubleSpacing"/>
        <w:widowControl w:val="0"/>
      </w:pPr>
    </w:p>
    <w:p w:rsidR="00110042" w:rsidRDefault="005233B8" w:rsidP="000D6681">
      <w:pPr>
        <w:pStyle w:val="SCCNormalDoubleSpacing"/>
        <w:widowControl w:val="0"/>
        <w:rPr>
          <w:rStyle w:val="SCCCounselPartyRoleChar"/>
        </w:rPr>
      </w:pPr>
      <w:r>
        <w:rPr>
          <w:rStyle w:val="SCCCounselNameChar"/>
        </w:rPr>
        <w:tab/>
        <w:t>Karen A. Horsman</w:t>
      </w:r>
      <w:r w:rsidRPr="008C588E">
        <w:rPr>
          <w:rStyle w:val="SCCCounselNameChar"/>
          <w:i w:val="0"/>
        </w:rPr>
        <w:t>,</w:t>
      </w:r>
      <w:r>
        <w:rPr>
          <w:rStyle w:val="SCCCounselNameChar"/>
        </w:rPr>
        <w:t xml:space="preserve"> Q.C.</w:t>
      </w:r>
      <w:r>
        <w:rPr>
          <w:rStyle w:val="SCCCounselSeparatorChar"/>
        </w:rPr>
        <w:t xml:space="preserve">, </w:t>
      </w:r>
      <w:r>
        <w:rPr>
          <w:rStyle w:val="SCCCounselNameChar"/>
        </w:rPr>
        <w:t>Eva L. Ross</w:t>
      </w:r>
      <w:r>
        <w:rPr>
          <w:rStyle w:val="SCCCounselSeparatorChar"/>
        </w:rPr>
        <w:t xml:space="preserve"> and </w:t>
      </w:r>
      <w:r>
        <w:rPr>
          <w:rStyle w:val="SCCCounselNameChar"/>
        </w:rPr>
        <w:t>Keith Evans</w:t>
      </w:r>
      <w:r>
        <w:rPr>
          <w:rStyle w:val="SCCCounselPartyRoleChar"/>
        </w:rPr>
        <w:t>, for the respondent.</w:t>
      </w:r>
    </w:p>
    <w:p w:rsidR="002B331C" w:rsidRDefault="002B331C" w:rsidP="000D6681">
      <w:pPr>
        <w:pStyle w:val="SCCNormalDoubleSpacing"/>
        <w:widowControl w:val="0"/>
        <w:rPr>
          <w:rStyle w:val="SCCCounselPartyRoleChar"/>
        </w:rPr>
      </w:pPr>
    </w:p>
    <w:p w:rsidR="00110042" w:rsidRDefault="002B331C" w:rsidP="000D6681">
      <w:pPr>
        <w:pStyle w:val="SCCNormalDoubleSpacing"/>
        <w:widowControl w:val="0"/>
        <w:rPr>
          <w:rStyle w:val="SCCCounselPartyRoleChar"/>
        </w:rPr>
      </w:pPr>
      <w:r>
        <w:rPr>
          <w:rStyle w:val="SCCCounselNameChar"/>
        </w:rPr>
        <w:tab/>
        <w:t>Kathryn Hucal</w:t>
      </w:r>
      <w:r>
        <w:rPr>
          <w:rStyle w:val="SCCCounselPartyRoleChar"/>
        </w:rPr>
        <w:t>, for the intervener the Attorney General of Canada.</w:t>
      </w:r>
    </w:p>
    <w:p w:rsidR="002B331C" w:rsidRDefault="002B331C" w:rsidP="000D6681">
      <w:pPr>
        <w:pStyle w:val="SCCNormalDoubleSpacing"/>
        <w:widowControl w:val="0"/>
      </w:pPr>
    </w:p>
    <w:p w:rsidR="00110042" w:rsidRDefault="005233B8" w:rsidP="000D6681">
      <w:pPr>
        <w:pStyle w:val="SCCNormalDoubleSpacing"/>
        <w:widowControl w:val="0"/>
        <w:rPr>
          <w:rStyle w:val="SCCCounselPartyRoleChar"/>
        </w:rPr>
      </w:pPr>
      <w:r>
        <w:rPr>
          <w:rStyle w:val="SCCCounselNameChar"/>
        </w:rPr>
        <w:tab/>
        <w:t>Robin K. Basu</w:t>
      </w:r>
      <w:r>
        <w:rPr>
          <w:rStyle w:val="SCCCounselSeparatorChar"/>
        </w:rPr>
        <w:t xml:space="preserve">, </w:t>
      </w:r>
      <w:r>
        <w:rPr>
          <w:rStyle w:val="SCCCounselNameChar"/>
        </w:rPr>
        <w:t>Rochelle S. Fox</w:t>
      </w:r>
      <w:r>
        <w:rPr>
          <w:rStyle w:val="SCCCounselSeparatorChar"/>
        </w:rPr>
        <w:t xml:space="preserve"> and </w:t>
      </w:r>
      <w:r>
        <w:rPr>
          <w:rStyle w:val="SCCCounselNameChar"/>
        </w:rPr>
        <w:t>Michael S. Dunn</w:t>
      </w:r>
      <w:r>
        <w:rPr>
          <w:rStyle w:val="SCCCounselPartyRoleChar"/>
        </w:rPr>
        <w:t xml:space="preserve">, for the intervener </w:t>
      </w:r>
      <w:r w:rsidR="0038760D">
        <w:rPr>
          <w:rStyle w:val="SCCCounselPartyRoleChar"/>
        </w:rPr>
        <w:t xml:space="preserve">the </w:t>
      </w:r>
      <w:r>
        <w:rPr>
          <w:rStyle w:val="SCCCounselPartyRoleChar"/>
        </w:rPr>
        <w:t>Attorney General of Ontario.</w:t>
      </w:r>
    </w:p>
    <w:p w:rsidR="007A509C" w:rsidRDefault="007A509C" w:rsidP="000D6681">
      <w:pPr>
        <w:pStyle w:val="SCCNormalDoubleSpacing"/>
        <w:widowControl w:val="0"/>
        <w:rPr>
          <w:rStyle w:val="SCCCounselPartyRoleChar"/>
        </w:rPr>
      </w:pPr>
    </w:p>
    <w:p w:rsidR="007A509C" w:rsidRDefault="007A509C" w:rsidP="000D6681">
      <w:pPr>
        <w:pStyle w:val="SCCNormalDoubleSpacing"/>
        <w:widowControl w:val="0"/>
      </w:pPr>
      <w:r>
        <w:rPr>
          <w:rStyle w:val="SCCCounselNameChar"/>
          <w:i w:val="0"/>
        </w:rPr>
        <w:tab/>
      </w:r>
      <w:r w:rsidRPr="008007BF">
        <w:rPr>
          <w:rStyle w:val="SCCCounselNameChar"/>
          <w:i w:val="0"/>
        </w:rPr>
        <w:t xml:space="preserve">Written submissions only by </w:t>
      </w:r>
      <w:r w:rsidRPr="008007BF">
        <w:rPr>
          <w:rStyle w:val="SCCCounselNameChar"/>
          <w:lang w:val="en-US"/>
        </w:rPr>
        <w:t>Caroline Renaud</w:t>
      </w:r>
      <w:r w:rsidRPr="008007BF">
        <w:rPr>
          <w:rStyle w:val="SCCCounselSeparatorChar"/>
          <w:lang w:val="en-US"/>
        </w:rPr>
        <w:t xml:space="preserve"> and </w:t>
      </w:r>
      <w:r w:rsidRPr="008007BF">
        <w:rPr>
          <w:rStyle w:val="SCCCounselNameChar"/>
          <w:lang w:val="en-US"/>
        </w:rPr>
        <w:t>Gabrielle S</w:t>
      </w:r>
      <w:r w:rsidR="00D02039">
        <w:rPr>
          <w:rStyle w:val="SCCCounselNameChar"/>
          <w:lang w:val="en-US"/>
        </w:rPr>
        <w:t>ain</w:t>
      </w:r>
      <w:r w:rsidRPr="008007BF">
        <w:rPr>
          <w:rStyle w:val="SCCCounselNameChar"/>
          <w:lang w:val="en-US"/>
        </w:rPr>
        <w:t>t-Martin Deaudelin</w:t>
      </w:r>
      <w:r w:rsidRPr="008007BF">
        <w:rPr>
          <w:rStyle w:val="SCCCounselNameChar"/>
          <w:i w:val="0"/>
          <w:lang w:val="en-US"/>
        </w:rPr>
        <w:t>,</w:t>
      </w:r>
      <w:r w:rsidRPr="008007BF">
        <w:rPr>
          <w:rStyle w:val="SCCCounselNameChar"/>
          <w:i w:val="0"/>
        </w:rPr>
        <w:t xml:space="preserve"> for the intervener</w:t>
      </w:r>
      <w:r w:rsidRPr="008007BF">
        <w:rPr>
          <w:rStyle w:val="SCCCounselPartyRoleChar"/>
        </w:rPr>
        <w:t xml:space="preserve"> the Attorney General of Quebec.</w:t>
      </w:r>
    </w:p>
    <w:p w:rsidR="00110042" w:rsidRDefault="00110042" w:rsidP="000D6681">
      <w:pPr>
        <w:pStyle w:val="SCCNormalDoubleSpacing"/>
        <w:widowControl w:val="0"/>
      </w:pPr>
    </w:p>
    <w:p w:rsidR="007A509C" w:rsidRDefault="007A509C" w:rsidP="000D6681">
      <w:pPr>
        <w:pStyle w:val="SCCNormalDoubleSpacing"/>
        <w:widowControl w:val="0"/>
        <w:rPr>
          <w:rStyle w:val="SCCCounselPartyRoleChar"/>
        </w:rPr>
      </w:pPr>
      <w:r>
        <w:rPr>
          <w:rStyle w:val="SCCCounselNameChar"/>
        </w:rPr>
        <w:tab/>
        <w:t>Deborah Carlson</w:t>
      </w:r>
      <w:r w:rsidR="00AE4ABB">
        <w:rPr>
          <w:rStyle w:val="SCCCounselNameChar"/>
          <w:i w:val="0"/>
        </w:rPr>
        <w:t>,</w:t>
      </w:r>
      <w:r>
        <w:rPr>
          <w:rStyle w:val="SCCCounselPartyRoleChar"/>
        </w:rPr>
        <w:t xml:space="preserve"> for the intervener the Attorney General of Manitoba.</w:t>
      </w:r>
    </w:p>
    <w:p w:rsidR="007A509C" w:rsidRDefault="007A509C" w:rsidP="000D6681">
      <w:pPr>
        <w:pStyle w:val="SCCNormalDoubleSpacing"/>
        <w:widowControl w:val="0"/>
      </w:pPr>
    </w:p>
    <w:p w:rsidR="00110042" w:rsidRDefault="005233B8" w:rsidP="000D6681">
      <w:pPr>
        <w:pStyle w:val="SCCNormalDoubleSpacing"/>
        <w:widowControl w:val="0"/>
      </w:pPr>
      <w:r>
        <w:rPr>
          <w:rStyle w:val="SCCCounselNameChar"/>
        </w:rPr>
        <w:tab/>
        <w:t>Barbara Mysko</w:t>
      </w:r>
      <w:r>
        <w:rPr>
          <w:rStyle w:val="SCCCounselPartyRoleChar"/>
        </w:rPr>
        <w:t xml:space="preserve">, for the intervener </w:t>
      </w:r>
      <w:r w:rsidR="0038760D">
        <w:rPr>
          <w:rStyle w:val="SCCCounselPartyRoleChar"/>
        </w:rPr>
        <w:t xml:space="preserve">the </w:t>
      </w:r>
      <w:r>
        <w:rPr>
          <w:rStyle w:val="SCCCounselPartyRoleChar"/>
        </w:rPr>
        <w:t xml:space="preserve">Attorney General </w:t>
      </w:r>
      <w:r w:rsidR="006678C5">
        <w:rPr>
          <w:rStyle w:val="SCCCounselPartyRoleChar"/>
        </w:rPr>
        <w:t>of</w:t>
      </w:r>
      <w:r>
        <w:rPr>
          <w:rStyle w:val="SCCCounselPartyRoleChar"/>
        </w:rPr>
        <w:t xml:space="preserve"> Saskatchewan.</w:t>
      </w:r>
    </w:p>
    <w:p w:rsidR="007A509C" w:rsidRDefault="007A509C" w:rsidP="000D6681">
      <w:pPr>
        <w:pStyle w:val="SCCNormalDoubleSpacing"/>
        <w:widowControl w:val="0"/>
      </w:pPr>
    </w:p>
    <w:p w:rsidR="007A509C" w:rsidRPr="00AE4ABB" w:rsidRDefault="007A509C" w:rsidP="000D6681">
      <w:pPr>
        <w:pStyle w:val="SCCNormalDoubleSpacing"/>
        <w:widowControl w:val="0"/>
        <w:rPr>
          <w:lang w:val="en-US"/>
        </w:rPr>
      </w:pPr>
      <w:r>
        <w:rPr>
          <w:rStyle w:val="SCCCounselNameChar"/>
        </w:rPr>
        <w:tab/>
      </w:r>
      <w:r w:rsidRPr="00AE4ABB">
        <w:rPr>
          <w:rStyle w:val="SCCCounselNameChar"/>
          <w:lang w:val="en-US"/>
        </w:rPr>
        <w:t>Matthew Gapmann</w:t>
      </w:r>
      <w:r w:rsidRPr="00AE4ABB">
        <w:rPr>
          <w:rStyle w:val="SCCCounselNameChar"/>
          <w:i w:val="0"/>
          <w:lang w:val="en-US"/>
        </w:rPr>
        <w:t>,</w:t>
      </w:r>
      <w:r w:rsidRPr="00AE4ABB">
        <w:rPr>
          <w:rStyle w:val="SCCCounselSeparatorChar"/>
          <w:lang w:val="en-US"/>
        </w:rPr>
        <w:t xml:space="preserve"> </w:t>
      </w:r>
      <w:r w:rsidRPr="00AE4ABB">
        <w:rPr>
          <w:rStyle w:val="SCCCounselNameChar"/>
          <w:lang w:val="en-US"/>
        </w:rPr>
        <w:t>Claudine Morin</w:t>
      </w:r>
      <w:r w:rsidR="006F7058">
        <w:rPr>
          <w:rStyle w:val="SCCCounselSeparatorChar"/>
          <w:lang w:val="en-US"/>
        </w:rPr>
        <w:t xml:space="preserve"> </w:t>
      </w:r>
      <w:r w:rsidRPr="00AE4ABB">
        <w:rPr>
          <w:rStyle w:val="SCCCounselSeparatorChar"/>
          <w:lang w:val="en-US"/>
        </w:rPr>
        <w:t xml:space="preserve">and </w:t>
      </w:r>
      <w:r w:rsidRPr="00AE4ABB">
        <w:rPr>
          <w:rStyle w:val="SCCCounselNameChar"/>
          <w:lang w:val="en-US"/>
        </w:rPr>
        <w:t>Nathalie Léger</w:t>
      </w:r>
      <w:r w:rsidRPr="00AE4ABB">
        <w:rPr>
          <w:rStyle w:val="SCCCounselPartyRoleChar"/>
          <w:lang w:val="en-US"/>
        </w:rPr>
        <w:t>, for the intervener Centrale des syndicats du Québec.</w:t>
      </w:r>
    </w:p>
    <w:p w:rsidR="007A509C" w:rsidRPr="00430D9A" w:rsidRDefault="007A509C" w:rsidP="000D6681">
      <w:pPr>
        <w:pStyle w:val="SCCNormalDoubleSpacing"/>
        <w:widowControl w:val="0"/>
        <w:rPr>
          <w:lang w:val="en-US"/>
        </w:rPr>
      </w:pPr>
    </w:p>
    <w:p w:rsidR="007A509C" w:rsidRDefault="007A509C" w:rsidP="000D6681">
      <w:pPr>
        <w:pStyle w:val="SCCNormalDoubleSpacing"/>
        <w:widowControl w:val="0"/>
        <w:rPr>
          <w:rStyle w:val="SCCCounselPartyRoleChar"/>
        </w:rPr>
      </w:pPr>
      <w:r w:rsidRPr="00430D9A">
        <w:rPr>
          <w:rStyle w:val="SCCCounselNameChar"/>
          <w:lang w:val="en-US"/>
        </w:rPr>
        <w:tab/>
      </w:r>
      <w:r>
        <w:rPr>
          <w:rStyle w:val="SCCCounselNameChar"/>
        </w:rPr>
        <w:t>Steven Barrett</w:t>
      </w:r>
      <w:r>
        <w:rPr>
          <w:rStyle w:val="SCCCounselSeparatorChar"/>
        </w:rPr>
        <w:t xml:space="preserve"> and </w:t>
      </w:r>
      <w:r>
        <w:rPr>
          <w:rStyle w:val="SCCCounselNameChar"/>
        </w:rPr>
        <w:t>Ethan Poskanzer</w:t>
      </w:r>
      <w:r>
        <w:rPr>
          <w:rStyle w:val="SCCCounselPartyRoleChar"/>
        </w:rPr>
        <w:t>, for the intervener the Canadian Labour Congress.</w:t>
      </w:r>
    </w:p>
    <w:p w:rsidR="00962369" w:rsidRDefault="00962369" w:rsidP="000D6681">
      <w:pPr>
        <w:pStyle w:val="SCCNormalDoubleSpacing"/>
        <w:widowControl w:val="0"/>
      </w:pPr>
    </w:p>
    <w:p w:rsidR="00962369" w:rsidRDefault="00962369" w:rsidP="000D6681">
      <w:pPr>
        <w:pStyle w:val="SCCNormalDoubleSpacing"/>
        <w:widowControl w:val="0"/>
      </w:pPr>
      <w:r>
        <w:rPr>
          <w:rStyle w:val="SCCCounselNameChar"/>
        </w:rPr>
        <w:tab/>
        <w:t>Donald J. Jordan</w:t>
      </w:r>
      <w:r w:rsidRPr="008C588E">
        <w:rPr>
          <w:rStyle w:val="SCCCounselNameChar"/>
          <w:i w:val="0"/>
        </w:rPr>
        <w:t>,</w:t>
      </w:r>
      <w:r>
        <w:rPr>
          <w:rStyle w:val="SCCCounselNameChar"/>
        </w:rPr>
        <w:t xml:space="preserve"> Q.C.</w:t>
      </w:r>
      <w:r w:rsidR="00694193" w:rsidRPr="00694193">
        <w:rPr>
          <w:rStyle w:val="SCCCounselNameChar"/>
          <w:i w:val="0"/>
        </w:rPr>
        <w:t>,</w:t>
      </w:r>
      <w:r>
        <w:rPr>
          <w:rStyle w:val="SCCCounselSeparatorChar"/>
        </w:rPr>
        <w:t xml:space="preserve"> and </w:t>
      </w:r>
      <w:r w:rsidR="00694193">
        <w:rPr>
          <w:rStyle w:val="SCCCounselNameChar"/>
        </w:rPr>
        <w:t>Jeffrey W. Beedell</w:t>
      </w:r>
      <w:r w:rsidR="008D673E">
        <w:rPr>
          <w:rStyle w:val="SCCCounselNameChar"/>
          <w:i w:val="0"/>
        </w:rPr>
        <w:t>,</w:t>
      </w:r>
      <w:r>
        <w:rPr>
          <w:rStyle w:val="SCCCounselPartyRoleChar"/>
        </w:rPr>
        <w:t xml:space="preserve"> for the intervener </w:t>
      </w:r>
      <w:r w:rsidR="00694193">
        <w:rPr>
          <w:rStyle w:val="SCCCounselPartyRoleChar"/>
        </w:rPr>
        <w:t xml:space="preserve">the </w:t>
      </w:r>
      <w:r>
        <w:rPr>
          <w:rStyle w:val="SCCCounselPartyRoleChar"/>
        </w:rPr>
        <w:t>Canadian Association of Counsel to Employers.</w:t>
      </w:r>
    </w:p>
    <w:p w:rsidR="00110042" w:rsidRDefault="00110042" w:rsidP="000D6681">
      <w:pPr>
        <w:pStyle w:val="SCCNormalDoubleSpacing"/>
        <w:widowControl w:val="0"/>
      </w:pPr>
    </w:p>
    <w:p w:rsidR="00110042" w:rsidRDefault="005233B8" w:rsidP="000D6681">
      <w:pPr>
        <w:pStyle w:val="SCCNormalDoubleSpacing"/>
        <w:widowControl w:val="0"/>
      </w:pPr>
      <w:r>
        <w:rPr>
          <w:rStyle w:val="SCCCounselNameChar"/>
        </w:rPr>
        <w:tab/>
        <w:t>Paul Champ</w:t>
      </w:r>
      <w:r>
        <w:rPr>
          <w:rStyle w:val="SCCCounselSeparatorChar"/>
        </w:rPr>
        <w:t xml:space="preserve"> and </w:t>
      </w:r>
      <w:r>
        <w:rPr>
          <w:rStyle w:val="SCCCounselNameChar"/>
        </w:rPr>
        <w:t>Bijon Roy</w:t>
      </w:r>
      <w:r>
        <w:rPr>
          <w:rStyle w:val="SCCCounselPartyRoleChar"/>
        </w:rPr>
        <w:t xml:space="preserve">, for the intervener </w:t>
      </w:r>
      <w:r w:rsidR="00694193">
        <w:rPr>
          <w:rStyle w:val="SCCCounselPartyRoleChar"/>
        </w:rPr>
        <w:t xml:space="preserve">the </w:t>
      </w:r>
      <w:r>
        <w:rPr>
          <w:rStyle w:val="SCCCounselPartyRoleChar"/>
        </w:rPr>
        <w:t>National Union of Public and General Employees.</w:t>
      </w:r>
    </w:p>
    <w:p w:rsidR="00110042" w:rsidRDefault="00110042" w:rsidP="000D6681">
      <w:pPr>
        <w:pStyle w:val="SCCNormalDoubleSpacing"/>
        <w:widowControl w:val="0"/>
      </w:pPr>
    </w:p>
    <w:p w:rsidR="00110042" w:rsidRDefault="005233B8" w:rsidP="000D6681">
      <w:pPr>
        <w:pStyle w:val="SCCNormalDoubleSpacing"/>
        <w:widowControl w:val="0"/>
      </w:pPr>
      <w:r>
        <w:rPr>
          <w:rStyle w:val="SCCCounselNameChar"/>
        </w:rPr>
        <w:tab/>
        <w:t>Andrew Astritis</w:t>
      </w:r>
      <w:r w:rsidR="008D673E" w:rsidRPr="008D673E">
        <w:rPr>
          <w:rStyle w:val="SCCCounselNameChar"/>
        </w:rPr>
        <w:t xml:space="preserve"> </w:t>
      </w:r>
      <w:r w:rsidR="008D673E">
        <w:rPr>
          <w:rStyle w:val="SCCCounselNameChar"/>
          <w:i w:val="0"/>
        </w:rPr>
        <w:t xml:space="preserve">and </w:t>
      </w:r>
      <w:r w:rsidR="008D673E">
        <w:rPr>
          <w:rStyle w:val="SCCCounselNameChar"/>
        </w:rPr>
        <w:t>Andrew Raven</w:t>
      </w:r>
      <w:r>
        <w:rPr>
          <w:rStyle w:val="SCCCounselPartyRoleChar"/>
        </w:rPr>
        <w:t xml:space="preserve">, for the intervener </w:t>
      </w:r>
      <w:r w:rsidR="008D673E">
        <w:rPr>
          <w:rStyle w:val="SCCCounselPartyRoleChar"/>
        </w:rPr>
        <w:t xml:space="preserve">the </w:t>
      </w:r>
      <w:r>
        <w:rPr>
          <w:rStyle w:val="SCCCounselPartyRoleChar"/>
        </w:rPr>
        <w:t>Public Service Alliance of Canada.</w:t>
      </w:r>
    </w:p>
    <w:p w:rsidR="00110042" w:rsidRDefault="00110042" w:rsidP="000D6681">
      <w:pPr>
        <w:pStyle w:val="SCCNormalDoubleSpacing"/>
        <w:widowControl w:val="0"/>
      </w:pPr>
    </w:p>
    <w:p w:rsidR="00110042" w:rsidRDefault="008007BF" w:rsidP="000D6681">
      <w:pPr>
        <w:pStyle w:val="SCCNormalDoubleSpacing"/>
        <w:widowControl w:val="0"/>
      </w:pPr>
      <w:r>
        <w:rPr>
          <w:rStyle w:val="SCCCounselNameChar"/>
        </w:rPr>
        <w:tab/>
      </w:r>
      <w:r w:rsidR="006678C5">
        <w:rPr>
          <w:rStyle w:val="SCCCounselNameChar"/>
        </w:rPr>
        <w:t xml:space="preserve">Colleen Bauman </w:t>
      </w:r>
      <w:r w:rsidR="006678C5">
        <w:rPr>
          <w:rStyle w:val="SCCCounselNameChar"/>
          <w:i w:val="0"/>
        </w:rPr>
        <w:t xml:space="preserve">and </w:t>
      </w:r>
      <w:r>
        <w:rPr>
          <w:rStyle w:val="SCCCounselNameChar"/>
        </w:rPr>
        <w:t>Peter</w:t>
      </w:r>
      <w:r w:rsidR="005233B8">
        <w:rPr>
          <w:rStyle w:val="SCCCounselNameChar"/>
        </w:rPr>
        <w:t xml:space="preserve"> Engelmann</w:t>
      </w:r>
      <w:r w:rsidR="005233B8">
        <w:rPr>
          <w:rStyle w:val="SCCCounselPartyRoleChar"/>
        </w:rPr>
        <w:t>, for the intervener</w:t>
      </w:r>
      <w:r w:rsidR="006678C5">
        <w:rPr>
          <w:rStyle w:val="SCCCounselPartyRoleChar"/>
        </w:rPr>
        <w:t>s</w:t>
      </w:r>
      <w:r w:rsidR="005233B8">
        <w:rPr>
          <w:rStyle w:val="SCCCounselPartyRoleChar"/>
        </w:rPr>
        <w:t xml:space="preserve"> </w:t>
      </w:r>
      <w:r>
        <w:rPr>
          <w:rStyle w:val="SCCCounselPartyRoleChar"/>
        </w:rPr>
        <w:t xml:space="preserve">the </w:t>
      </w:r>
      <w:r w:rsidR="005233B8">
        <w:rPr>
          <w:rStyle w:val="SCCCounselPartyRoleChar"/>
        </w:rPr>
        <w:t xml:space="preserve">Professional </w:t>
      </w:r>
      <w:r w:rsidR="005233B8">
        <w:rPr>
          <w:rStyle w:val="SCCCounselPartyRoleChar"/>
        </w:rPr>
        <w:lastRenderedPageBreak/>
        <w:t>Institute of the Public Service of Canada</w:t>
      </w:r>
      <w:r w:rsidR="006678C5">
        <w:rPr>
          <w:rStyle w:val="SCCCounselPartyRoleChar"/>
        </w:rPr>
        <w:t xml:space="preserve"> et al</w:t>
      </w:r>
      <w:r w:rsidR="005233B8">
        <w:rPr>
          <w:rStyle w:val="SCCCounselPartyRoleChar"/>
        </w:rPr>
        <w:t>.</w:t>
      </w:r>
    </w:p>
    <w:p w:rsidR="00110042" w:rsidRDefault="00110042" w:rsidP="000D6681">
      <w:pPr>
        <w:pStyle w:val="SCCNormalDoubleSpacing"/>
        <w:widowControl w:val="0"/>
      </w:pPr>
    </w:p>
    <w:p w:rsidR="00110042" w:rsidRDefault="005233B8" w:rsidP="000D6681">
      <w:pPr>
        <w:pStyle w:val="SCCNormalDoubleSpacing"/>
        <w:widowControl w:val="0"/>
        <w:rPr>
          <w:rStyle w:val="SCCCounselPartyRoleChar"/>
        </w:rPr>
      </w:pPr>
      <w:r>
        <w:rPr>
          <w:rStyle w:val="SCCCounselNameChar"/>
        </w:rPr>
        <w:tab/>
        <w:t>Paul J.</w:t>
      </w:r>
      <w:r w:rsidR="008C588E">
        <w:rPr>
          <w:rStyle w:val="SCCCounselNameChar"/>
        </w:rPr>
        <w:t xml:space="preserve"> </w:t>
      </w:r>
      <w:r>
        <w:rPr>
          <w:rStyle w:val="SCCCounselNameChar"/>
        </w:rPr>
        <w:t>J. Cavalluzzo</w:t>
      </w:r>
      <w:r>
        <w:rPr>
          <w:rStyle w:val="SCCCounselSeparatorChar"/>
        </w:rPr>
        <w:t xml:space="preserve"> and </w:t>
      </w:r>
      <w:r>
        <w:rPr>
          <w:rStyle w:val="SCCCounselNameChar"/>
        </w:rPr>
        <w:t>Adrienne Telford</w:t>
      </w:r>
      <w:r>
        <w:rPr>
          <w:rStyle w:val="SCCCounselPartyRoleChar"/>
        </w:rPr>
        <w:t xml:space="preserve">, for the intervener </w:t>
      </w:r>
      <w:r w:rsidR="00BD47B4">
        <w:rPr>
          <w:rStyle w:val="SCCCounselPartyRoleChar"/>
        </w:rPr>
        <w:t xml:space="preserve">the </w:t>
      </w:r>
      <w:r>
        <w:rPr>
          <w:rStyle w:val="SCCCounselPartyRoleChar"/>
        </w:rPr>
        <w:t>Coalition of Ontario Teacher Affiliates.</w:t>
      </w:r>
    </w:p>
    <w:p w:rsidR="00C4073F" w:rsidRDefault="00C4073F" w:rsidP="000D6681">
      <w:pPr>
        <w:pStyle w:val="SCCNormalDoubleSpacing"/>
        <w:widowControl w:val="0"/>
        <w:rPr>
          <w:rStyle w:val="SCCCounselPartyRoleChar"/>
        </w:rPr>
      </w:pPr>
    </w:p>
    <w:p w:rsidR="00C4073F" w:rsidRDefault="00C4073F" w:rsidP="000D6681">
      <w:pPr>
        <w:pStyle w:val="SCCNormalDoubleSpacing"/>
        <w:widowControl w:val="0"/>
      </w:pPr>
      <w:r>
        <w:rPr>
          <w:rStyle w:val="SCCCounselPartyRoleChar"/>
        </w:rPr>
        <w:tab/>
      </w:r>
      <w:r>
        <w:t>The judgment of the Court was delivered orally by</w:t>
      </w:r>
    </w:p>
    <w:p w:rsidR="00D02039" w:rsidRDefault="00D02039" w:rsidP="000D6681">
      <w:pPr>
        <w:pStyle w:val="SCCNormalDoubleSpacing"/>
        <w:widowControl w:val="0"/>
        <w:rPr>
          <w:rStyle w:val="SCCCounselPartyRoleChar"/>
        </w:rPr>
      </w:pPr>
    </w:p>
    <w:p w:rsidR="00C4073F" w:rsidRDefault="00C4073F" w:rsidP="000D6681">
      <w:pPr>
        <w:pStyle w:val="SCCNormalDoubleSpacing"/>
        <w:widowControl w:val="0"/>
      </w:pPr>
      <w:r>
        <w:t>[1]</w:t>
      </w:r>
      <w:r>
        <w:tab/>
      </w:r>
      <w:r w:rsidRPr="00277913">
        <w:rPr>
          <w:smallCaps/>
          <w:lang w:val="en-US"/>
        </w:rPr>
        <w:t xml:space="preserve">The Chief </w:t>
      </w:r>
      <w:proofErr w:type="gramStart"/>
      <w:r w:rsidRPr="00277913">
        <w:rPr>
          <w:smallCaps/>
          <w:lang w:val="en-US"/>
        </w:rPr>
        <w:t>Justice</w:t>
      </w:r>
      <w:r>
        <w:rPr>
          <w:smallCaps/>
          <w:lang w:val="en-US"/>
        </w:rPr>
        <w:t xml:space="preserve"> </w:t>
      </w:r>
      <w:r w:rsidRPr="00277913">
        <w:rPr>
          <w:smallCaps/>
          <w:lang w:val="en-US"/>
        </w:rPr>
        <w:t xml:space="preserve"> </w:t>
      </w:r>
      <w:r>
        <w:rPr>
          <w:lang w:val="en-US"/>
        </w:rPr>
        <w:t>—</w:t>
      </w:r>
      <w:proofErr w:type="gramEnd"/>
      <w:r>
        <w:rPr>
          <w:lang w:val="en-US"/>
        </w:rPr>
        <w:t xml:space="preserve"> The majority of the Court would allow the appeal, substantially for the reasons of Justice Donald. Justices C</w:t>
      </w:r>
      <w:r w:rsidRPr="0026257C">
        <w:t>ôté and Brown would dissent and dismiss the appeal, substantially for the reasons of the majority in the Court of Appeal.</w:t>
      </w:r>
    </w:p>
    <w:p w:rsidR="00325CDC" w:rsidRDefault="00325CDC" w:rsidP="000D6681">
      <w:pPr>
        <w:pStyle w:val="SCCNormalDoubleSpacing"/>
        <w:widowControl w:val="0"/>
      </w:pPr>
    </w:p>
    <w:p w:rsidR="009B57B3" w:rsidRPr="00325CDC" w:rsidRDefault="009B57B3" w:rsidP="000D6681">
      <w:pPr>
        <w:pStyle w:val="SCCNormalDoubleSpacing"/>
        <w:widowControl w:val="0"/>
        <w:rPr>
          <w:i/>
        </w:rPr>
      </w:pPr>
      <w:r w:rsidRPr="001426A9">
        <w:tab/>
      </w:r>
      <w:r w:rsidR="00325CDC" w:rsidRPr="00325CDC">
        <w:rPr>
          <w:i/>
        </w:rPr>
        <w:t>Judgment</w:t>
      </w:r>
      <w:r w:rsidR="00325CDC">
        <w:rPr>
          <w:i/>
        </w:rPr>
        <w:t xml:space="preserve"> accordingly.</w:t>
      </w:r>
      <w:r w:rsidR="00325CDC" w:rsidRPr="00325CDC">
        <w:rPr>
          <w:i/>
        </w:rPr>
        <w:t xml:space="preserve"> </w:t>
      </w:r>
    </w:p>
    <w:p w:rsidR="00A149DF" w:rsidRPr="001426A9" w:rsidRDefault="00A149DF" w:rsidP="000D6681">
      <w:pPr>
        <w:pStyle w:val="SCCNormalDoubleSpacing"/>
        <w:widowControl w:val="0"/>
      </w:pPr>
    </w:p>
    <w:p w:rsidR="00AE4ABB" w:rsidRDefault="005233B8" w:rsidP="000D6681">
      <w:pPr>
        <w:pStyle w:val="SCCLawFirm"/>
        <w:widowControl w:val="0"/>
      </w:pPr>
      <w:r>
        <w:tab/>
      </w:r>
      <w:r w:rsidR="00AE4ABB">
        <w:t>Solicitor for the app</w:t>
      </w:r>
      <w:r w:rsidR="004C29F5">
        <w:t xml:space="preserve">ellant: </w:t>
      </w:r>
      <w:r w:rsidR="00AE4ABB">
        <w:t>British Columbia Teachers’ Federation, Vancouver.</w:t>
      </w:r>
    </w:p>
    <w:p w:rsidR="00110042" w:rsidRDefault="00110042" w:rsidP="000D6681">
      <w:pPr>
        <w:pStyle w:val="SCCLawFirm"/>
        <w:widowControl w:val="0"/>
      </w:pPr>
    </w:p>
    <w:p w:rsidR="00AE4ABB" w:rsidRDefault="005233B8" w:rsidP="000D6681">
      <w:pPr>
        <w:pStyle w:val="SCCLawFirm"/>
        <w:widowControl w:val="0"/>
      </w:pPr>
      <w:r>
        <w:tab/>
      </w:r>
      <w:r w:rsidR="00AE4ABB">
        <w:t>Solicitor for the respondent: Attorney General of British Columbia, Vancouver.</w:t>
      </w:r>
    </w:p>
    <w:p w:rsidR="00AE4ABB" w:rsidRDefault="00AE4ABB" w:rsidP="000D6681">
      <w:pPr>
        <w:pStyle w:val="SCCLawFirm"/>
        <w:widowControl w:val="0"/>
      </w:pPr>
    </w:p>
    <w:p w:rsidR="00AE4ABB" w:rsidRDefault="00AE4ABB" w:rsidP="000D6681">
      <w:pPr>
        <w:pStyle w:val="SCCNormalDoubleSpacing"/>
        <w:widowControl w:val="0"/>
        <w:rPr>
          <w:i/>
        </w:rPr>
      </w:pPr>
      <w:r>
        <w:rPr>
          <w:i/>
        </w:rPr>
        <w:tab/>
        <w:t>Solicitor</w:t>
      </w:r>
      <w:r w:rsidRPr="00AE4ABB">
        <w:rPr>
          <w:i/>
        </w:rPr>
        <w:t xml:space="preserve"> for the intervener </w:t>
      </w:r>
      <w:r>
        <w:rPr>
          <w:i/>
        </w:rPr>
        <w:t xml:space="preserve">the </w:t>
      </w:r>
      <w:r w:rsidR="008B3948">
        <w:rPr>
          <w:i/>
        </w:rPr>
        <w:t>Attorney General of Canada:</w:t>
      </w:r>
      <w:r w:rsidRPr="00AE4ABB">
        <w:rPr>
          <w:i/>
        </w:rPr>
        <w:t xml:space="preserve"> Attorney General of Canada, Toronto.</w:t>
      </w:r>
    </w:p>
    <w:p w:rsidR="00AE4ABB" w:rsidRPr="00AE4ABB" w:rsidRDefault="00AE4ABB" w:rsidP="000D6681">
      <w:pPr>
        <w:pStyle w:val="SCCNormalDoubleSpacing"/>
        <w:widowControl w:val="0"/>
        <w:rPr>
          <w:i/>
        </w:rPr>
      </w:pPr>
    </w:p>
    <w:p w:rsidR="00AE4ABB" w:rsidRDefault="00AE4ABB" w:rsidP="000D6681">
      <w:pPr>
        <w:pStyle w:val="SCCLawFirm"/>
        <w:widowControl w:val="0"/>
      </w:pPr>
      <w:r>
        <w:tab/>
        <w:t xml:space="preserve">Solicitor for the intervener the Attorney General of Ontario: Attorney </w:t>
      </w:r>
      <w:r>
        <w:lastRenderedPageBreak/>
        <w:t>General of Ontario, Toronto.</w:t>
      </w:r>
    </w:p>
    <w:p w:rsidR="00AE4ABB" w:rsidRDefault="00AE4ABB" w:rsidP="000D6681">
      <w:pPr>
        <w:pStyle w:val="SCCLawFirm"/>
        <w:widowControl w:val="0"/>
      </w:pPr>
    </w:p>
    <w:p w:rsidR="00AE4ABB" w:rsidRDefault="00AE4ABB" w:rsidP="000D6681">
      <w:pPr>
        <w:pStyle w:val="SCCNormalDoubleSpacing"/>
        <w:widowControl w:val="0"/>
        <w:rPr>
          <w:i/>
        </w:rPr>
      </w:pPr>
      <w:r>
        <w:tab/>
      </w:r>
      <w:r w:rsidRPr="00AE4ABB">
        <w:rPr>
          <w:i/>
        </w:rPr>
        <w:t>Solicitor for the intervener the Attorney General of Quebec: Attorney General of Quebec, Qu</w:t>
      </w:r>
      <w:r w:rsidRPr="00AE4ABB">
        <w:rPr>
          <w:i/>
          <w:lang w:val="en-US"/>
        </w:rPr>
        <w:t>é</w:t>
      </w:r>
      <w:r w:rsidRPr="00AE4ABB">
        <w:rPr>
          <w:i/>
        </w:rPr>
        <w:t>bec.</w:t>
      </w:r>
    </w:p>
    <w:p w:rsidR="00AE4ABB" w:rsidRDefault="00AE4ABB" w:rsidP="000D6681">
      <w:pPr>
        <w:pStyle w:val="SCCNormalDoubleSpacing"/>
        <w:widowControl w:val="0"/>
        <w:rPr>
          <w:i/>
        </w:rPr>
      </w:pPr>
    </w:p>
    <w:p w:rsidR="00AE4ABB" w:rsidRDefault="00AE4ABB" w:rsidP="000D6681">
      <w:pPr>
        <w:pStyle w:val="SCCNormalDoubleSpacing"/>
        <w:widowControl w:val="0"/>
        <w:rPr>
          <w:i/>
        </w:rPr>
      </w:pPr>
      <w:r>
        <w:rPr>
          <w:i/>
        </w:rPr>
        <w:tab/>
        <w:t>Solicitor</w:t>
      </w:r>
      <w:r w:rsidRPr="00AE4ABB">
        <w:rPr>
          <w:i/>
        </w:rPr>
        <w:t xml:space="preserve"> for the intervener </w:t>
      </w:r>
      <w:r>
        <w:rPr>
          <w:i/>
        </w:rPr>
        <w:t xml:space="preserve">the Attorney General of Manitoba: </w:t>
      </w:r>
      <w:r w:rsidRPr="00AE4ABB">
        <w:rPr>
          <w:i/>
        </w:rPr>
        <w:t>Attorney General of Manitoba, Winnipeg.</w:t>
      </w:r>
    </w:p>
    <w:p w:rsidR="00AE4ABB" w:rsidRPr="00AE4ABB" w:rsidRDefault="00AE4ABB" w:rsidP="000D6681">
      <w:pPr>
        <w:pStyle w:val="SCCNormalDoubleSpacing"/>
        <w:widowControl w:val="0"/>
        <w:rPr>
          <w:i/>
        </w:rPr>
      </w:pPr>
    </w:p>
    <w:p w:rsidR="00AE4ABB" w:rsidRDefault="00AE4ABB" w:rsidP="000D6681">
      <w:pPr>
        <w:pStyle w:val="SCCLawFirm"/>
        <w:widowControl w:val="0"/>
      </w:pPr>
      <w:r>
        <w:tab/>
        <w:t>Solicitor for the intervener the Attorney General of Saskatchewan: Attorney General of Saskatchewan, Regina.</w:t>
      </w:r>
    </w:p>
    <w:p w:rsidR="00AE4ABB" w:rsidRDefault="00AE4ABB" w:rsidP="000D6681">
      <w:pPr>
        <w:pStyle w:val="SCCLawFirm"/>
        <w:widowControl w:val="0"/>
      </w:pPr>
    </w:p>
    <w:p w:rsidR="00AE4ABB" w:rsidRPr="005233B8" w:rsidRDefault="00AE4ABB" w:rsidP="000D6681">
      <w:pPr>
        <w:pStyle w:val="SCCLawFirm"/>
        <w:widowControl w:val="0"/>
        <w:rPr>
          <w:lang w:val="fr-CA"/>
        </w:rPr>
      </w:pPr>
      <w:r>
        <w:tab/>
      </w:r>
      <w:r>
        <w:rPr>
          <w:lang w:val="fr-CA"/>
        </w:rPr>
        <w:t>Solicitors</w:t>
      </w:r>
      <w:r w:rsidRPr="005233B8">
        <w:rPr>
          <w:lang w:val="fr-CA"/>
        </w:rPr>
        <w:t xml:space="preserve"> for the intervener Cen</w:t>
      </w:r>
      <w:r>
        <w:rPr>
          <w:lang w:val="fr-CA"/>
        </w:rPr>
        <w:t xml:space="preserve">trale des syndicats du Québec: </w:t>
      </w:r>
      <w:r w:rsidRPr="005233B8">
        <w:rPr>
          <w:lang w:val="fr-CA"/>
        </w:rPr>
        <w:t>Barabé Casavant, Montréal.</w:t>
      </w:r>
    </w:p>
    <w:p w:rsidR="00AE4ABB" w:rsidRPr="005233B8" w:rsidRDefault="00AE4ABB" w:rsidP="000D6681">
      <w:pPr>
        <w:pStyle w:val="SCCLawFirm"/>
        <w:widowControl w:val="0"/>
        <w:rPr>
          <w:lang w:val="fr-CA"/>
        </w:rPr>
      </w:pPr>
    </w:p>
    <w:p w:rsidR="00AE4ABB" w:rsidRDefault="00AE4ABB" w:rsidP="000D6681">
      <w:pPr>
        <w:pStyle w:val="SCCLawFirm"/>
        <w:widowControl w:val="0"/>
      </w:pPr>
      <w:r w:rsidRPr="005233B8">
        <w:rPr>
          <w:lang w:val="fr-CA"/>
        </w:rPr>
        <w:tab/>
      </w:r>
      <w:r>
        <w:t>Solicitors for the intervener the Canadian Labour Congress: Goldblatt Partners, Toronto.</w:t>
      </w:r>
    </w:p>
    <w:p w:rsidR="00AE4ABB" w:rsidRDefault="00AE4ABB" w:rsidP="000D6681">
      <w:pPr>
        <w:pStyle w:val="SCCLawFirm"/>
        <w:widowControl w:val="0"/>
      </w:pPr>
    </w:p>
    <w:p w:rsidR="00AE4ABB" w:rsidRPr="00BD47B4" w:rsidRDefault="00AE4ABB" w:rsidP="000D6681">
      <w:pPr>
        <w:pStyle w:val="SCCLawFirm"/>
        <w:widowControl w:val="0"/>
        <w:rPr>
          <w:i w:val="0"/>
        </w:rPr>
      </w:pPr>
      <w:r>
        <w:tab/>
        <w:t>Solicitors for the intervener the Canadian Association of Counsel to Employe</w:t>
      </w:r>
      <w:r w:rsidR="00BD47B4">
        <w:t>rs: Harris &amp; Company, Vancouver</w:t>
      </w:r>
      <w:r w:rsidR="00BD47B4">
        <w:rPr>
          <w:i w:val="0"/>
        </w:rPr>
        <w:t xml:space="preserve">; </w:t>
      </w:r>
      <w:proofErr w:type="spellStart"/>
      <w:r w:rsidR="00BD47B4">
        <w:t>Gowling</w:t>
      </w:r>
      <w:proofErr w:type="spellEnd"/>
      <w:r w:rsidR="00BD47B4">
        <w:t xml:space="preserve"> </w:t>
      </w:r>
      <w:r w:rsidR="00BD47B4" w:rsidRPr="00BD47B4">
        <w:t>WLG</w:t>
      </w:r>
      <w:r w:rsidR="00BD47B4">
        <w:t xml:space="preserve"> (Canada</w:t>
      </w:r>
      <w:r w:rsidR="00BD47B4" w:rsidRPr="00BD47B4">
        <w:t>)</w:t>
      </w:r>
      <w:r w:rsidR="00BF56DC">
        <w:t xml:space="preserve"> Inc.</w:t>
      </w:r>
      <w:r w:rsidR="00BD47B4" w:rsidRPr="00BD47B4">
        <w:t>, Ottawa.</w:t>
      </w:r>
    </w:p>
    <w:p w:rsidR="00AE4ABB" w:rsidRDefault="00AE4ABB" w:rsidP="000D6681">
      <w:pPr>
        <w:pStyle w:val="SCCLawFirm"/>
        <w:widowControl w:val="0"/>
      </w:pPr>
    </w:p>
    <w:p w:rsidR="00AE4ABB" w:rsidRDefault="00AE4ABB" w:rsidP="000D6681">
      <w:pPr>
        <w:pStyle w:val="SCCLawFirm"/>
        <w:widowControl w:val="0"/>
      </w:pPr>
      <w:r>
        <w:tab/>
        <w:t>Solicitors for the intervener the National Union of Public and General Employees: Champ and Associates, Ottawa.</w:t>
      </w:r>
    </w:p>
    <w:p w:rsidR="00AE4ABB" w:rsidRDefault="00AE4ABB" w:rsidP="000D6681">
      <w:pPr>
        <w:pStyle w:val="SCCLawFirm"/>
        <w:widowControl w:val="0"/>
      </w:pPr>
    </w:p>
    <w:p w:rsidR="00AE4ABB" w:rsidRDefault="00AE4ABB" w:rsidP="000D6681">
      <w:pPr>
        <w:pStyle w:val="SCCLawFirm"/>
        <w:widowControl w:val="0"/>
      </w:pPr>
      <w:r>
        <w:tab/>
        <w:t>Solicitors for the intervener the Public Service Alliance of Canada: Raven</w:t>
      </w:r>
      <w:r w:rsidR="00911F15">
        <w:t xml:space="preserve">, </w:t>
      </w:r>
      <w:r w:rsidR="00911F15">
        <w:lastRenderedPageBreak/>
        <w:t xml:space="preserve">Cameron, Ballantyne &amp; </w:t>
      </w:r>
      <w:proofErr w:type="spellStart"/>
      <w:r w:rsidR="00911F15">
        <w:t>Yazbeck</w:t>
      </w:r>
      <w:proofErr w:type="spellEnd"/>
      <w:r>
        <w:t xml:space="preserve">, </w:t>
      </w:r>
      <w:proofErr w:type="gramStart"/>
      <w:r>
        <w:t>Ottawa</w:t>
      </w:r>
      <w:proofErr w:type="gramEnd"/>
      <w:r>
        <w:t>.</w:t>
      </w:r>
    </w:p>
    <w:p w:rsidR="00AE4ABB" w:rsidRDefault="00AE4ABB" w:rsidP="000D6681">
      <w:pPr>
        <w:pStyle w:val="SCCLawFirm"/>
        <w:widowControl w:val="0"/>
      </w:pPr>
    </w:p>
    <w:p w:rsidR="00AE4ABB" w:rsidRDefault="00AE4ABB" w:rsidP="000D6681">
      <w:pPr>
        <w:pStyle w:val="SCCLawFirm"/>
        <w:widowControl w:val="0"/>
      </w:pPr>
      <w:r>
        <w:tab/>
        <w:t xml:space="preserve">Solicitors for the interveners the Professional Institute of the Public Service of </w:t>
      </w:r>
      <w:r w:rsidRPr="008B3948">
        <w:t>Canada et al.: Goldblatt</w:t>
      </w:r>
      <w:r>
        <w:t xml:space="preserve"> Partners, Ottawa.</w:t>
      </w:r>
    </w:p>
    <w:p w:rsidR="00AE4ABB" w:rsidRDefault="00AE4ABB" w:rsidP="000D6681">
      <w:pPr>
        <w:pStyle w:val="SCCLawFirm"/>
        <w:widowControl w:val="0"/>
        <w:tabs>
          <w:tab w:val="clear" w:pos="1168"/>
          <w:tab w:val="left" w:pos="2662"/>
        </w:tabs>
      </w:pPr>
    </w:p>
    <w:p w:rsidR="009B57B3" w:rsidRPr="002565BE" w:rsidRDefault="00AE4ABB" w:rsidP="000D6681">
      <w:pPr>
        <w:pStyle w:val="SCCLawFirm"/>
        <w:widowControl w:val="0"/>
        <w:rPr>
          <w:i w:val="0"/>
        </w:rPr>
      </w:pPr>
      <w:r>
        <w:tab/>
        <w:t xml:space="preserve">Solicitors for the intervener the Coalition of Ontario Teacher Affiliates: </w:t>
      </w:r>
      <w:proofErr w:type="spellStart"/>
      <w:r>
        <w:t>Cavalluzzo</w:t>
      </w:r>
      <w:proofErr w:type="spellEnd"/>
      <w:r>
        <w:t xml:space="preserve"> </w:t>
      </w:r>
      <w:proofErr w:type="spellStart"/>
      <w:r>
        <w:t>Sh</w:t>
      </w:r>
      <w:r w:rsidR="008B3948">
        <w:t>ilton</w:t>
      </w:r>
      <w:proofErr w:type="spellEnd"/>
      <w:r w:rsidR="008B3948">
        <w:t xml:space="preserve"> McIntyre Cornish, Toronto</w:t>
      </w:r>
      <w:r w:rsidR="002565BE">
        <w:rPr>
          <w:i w:val="0"/>
        </w:rPr>
        <w:t>.</w:t>
      </w:r>
    </w:p>
    <w:p w:rsidR="008B3948" w:rsidRPr="008B3948" w:rsidRDefault="008B3948" w:rsidP="000D6681">
      <w:pPr>
        <w:pStyle w:val="SCCNormalDoubleSpacing"/>
        <w:widowControl w:val="0"/>
      </w:pPr>
    </w:p>
    <w:sectPr w:rsidR="008B3948" w:rsidRPr="008B3948" w:rsidSect="000648CC">
      <w:headerReference w:type="default" r:id="rId8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35" w:rsidRDefault="00AE4535">
      <w:r>
        <w:separator/>
      </w:r>
    </w:p>
  </w:endnote>
  <w:endnote w:type="continuationSeparator" w:id="0">
    <w:p w:rsidR="00AE4535" w:rsidRDefault="00AE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35" w:rsidRDefault="00AE4535">
      <w:r>
        <w:separator/>
      </w:r>
    </w:p>
  </w:footnote>
  <w:footnote w:type="continuationSeparator" w:id="0">
    <w:p w:rsidR="00AE4535" w:rsidRDefault="00AE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1609E"/>
    <w:rsid w:val="00025198"/>
    <w:rsid w:val="00026F63"/>
    <w:rsid w:val="000578A3"/>
    <w:rsid w:val="000648CC"/>
    <w:rsid w:val="000C59B8"/>
    <w:rsid w:val="000C6AF0"/>
    <w:rsid w:val="000D6681"/>
    <w:rsid w:val="00104F33"/>
    <w:rsid w:val="00110042"/>
    <w:rsid w:val="00111DE2"/>
    <w:rsid w:val="00116B38"/>
    <w:rsid w:val="00135406"/>
    <w:rsid w:val="00135972"/>
    <w:rsid w:val="00136244"/>
    <w:rsid w:val="001426A9"/>
    <w:rsid w:val="00154D7C"/>
    <w:rsid w:val="001570B0"/>
    <w:rsid w:val="0015752C"/>
    <w:rsid w:val="00157737"/>
    <w:rsid w:val="00165277"/>
    <w:rsid w:val="00170592"/>
    <w:rsid w:val="00186351"/>
    <w:rsid w:val="00195D83"/>
    <w:rsid w:val="001A00C1"/>
    <w:rsid w:val="001B33E0"/>
    <w:rsid w:val="001B4573"/>
    <w:rsid w:val="001C5FA7"/>
    <w:rsid w:val="001C779F"/>
    <w:rsid w:val="001D18D2"/>
    <w:rsid w:val="001D2AC1"/>
    <w:rsid w:val="001D4E88"/>
    <w:rsid w:val="002110D8"/>
    <w:rsid w:val="00213366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565BE"/>
    <w:rsid w:val="00266AAB"/>
    <w:rsid w:val="00270D93"/>
    <w:rsid w:val="002745CC"/>
    <w:rsid w:val="0029155F"/>
    <w:rsid w:val="002A1E29"/>
    <w:rsid w:val="002B331C"/>
    <w:rsid w:val="002B7924"/>
    <w:rsid w:val="002D28C3"/>
    <w:rsid w:val="002D39A4"/>
    <w:rsid w:val="002E4037"/>
    <w:rsid w:val="002E6705"/>
    <w:rsid w:val="00301D08"/>
    <w:rsid w:val="0030329A"/>
    <w:rsid w:val="0031086F"/>
    <w:rsid w:val="0031414C"/>
    <w:rsid w:val="00314E01"/>
    <w:rsid w:val="0032089D"/>
    <w:rsid w:val="00325CDC"/>
    <w:rsid w:val="0033022B"/>
    <w:rsid w:val="003310DE"/>
    <w:rsid w:val="003323B0"/>
    <w:rsid w:val="0035169A"/>
    <w:rsid w:val="0035259D"/>
    <w:rsid w:val="00361BEB"/>
    <w:rsid w:val="00364B18"/>
    <w:rsid w:val="0038760D"/>
    <w:rsid w:val="003A125D"/>
    <w:rsid w:val="003A4C70"/>
    <w:rsid w:val="003B215F"/>
    <w:rsid w:val="003B32D6"/>
    <w:rsid w:val="003C799C"/>
    <w:rsid w:val="003D0399"/>
    <w:rsid w:val="003E1C71"/>
    <w:rsid w:val="003F327B"/>
    <w:rsid w:val="00406166"/>
    <w:rsid w:val="0040704B"/>
    <w:rsid w:val="00410A55"/>
    <w:rsid w:val="00411300"/>
    <w:rsid w:val="00415417"/>
    <w:rsid w:val="00426659"/>
    <w:rsid w:val="00430D9A"/>
    <w:rsid w:val="00450352"/>
    <w:rsid w:val="00454BDB"/>
    <w:rsid w:val="00464800"/>
    <w:rsid w:val="00465132"/>
    <w:rsid w:val="00480C90"/>
    <w:rsid w:val="0048396F"/>
    <w:rsid w:val="00493C18"/>
    <w:rsid w:val="004A600C"/>
    <w:rsid w:val="004A6118"/>
    <w:rsid w:val="004C29F5"/>
    <w:rsid w:val="004C478D"/>
    <w:rsid w:val="004D26DB"/>
    <w:rsid w:val="004E2C26"/>
    <w:rsid w:val="004E5436"/>
    <w:rsid w:val="004F36FF"/>
    <w:rsid w:val="005125A8"/>
    <w:rsid w:val="00521AE8"/>
    <w:rsid w:val="005233B8"/>
    <w:rsid w:val="00524DF9"/>
    <w:rsid w:val="00527180"/>
    <w:rsid w:val="0054201E"/>
    <w:rsid w:val="00555291"/>
    <w:rsid w:val="00561DA5"/>
    <w:rsid w:val="00566AD1"/>
    <w:rsid w:val="00583EDE"/>
    <w:rsid w:val="0059397A"/>
    <w:rsid w:val="005A53C5"/>
    <w:rsid w:val="005A6079"/>
    <w:rsid w:val="005E4698"/>
    <w:rsid w:val="00610539"/>
    <w:rsid w:val="00613969"/>
    <w:rsid w:val="00625C35"/>
    <w:rsid w:val="00656313"/>
    <w:rsid w:val="006565F4"/>
    <w:rsid w:val="00657AD6"/>
    <w:rsid w:val="006678C5"/>
    <w:rsid w:val="00684EEA"/>
    <w:rsid w:val="00694193"/>
    <w:rsid w:val="0069689B"/>
    <w:rsid w:val="006A1551"/>
    <w:rsid w:val="006B5FF5"/>
    <w:rsid w:val="006D6E38"/>
    <w:rsid w:val="006F30AF"/>
    <w:rsid w:val="006F7058"/>
    <w:rsid w:val="00701759"/>
    <w:rsid w:val="00705C15"/>
    <w:rsid w:val="00710A08"/>
    <w:rsid w:val="00713010"/>
    <w:rsid w:val="0071600E"/>
    <w:rsid w:val="007208D1"/>
    <w:rsid w:val="00747288"/>
    <w:rsid w:val="00747DD3"/>
    <w:rsid w:val="00750DFE"/>
    <w:rsid w:val="007549C8"/>
    <w:rsid w:val="00754A0B"/>
    <w:rsid w:val="00766D14"/>
    <w:rsid w:val="00767A0F"/>
    <w:rsid w:val="00776437"/>
    <w:rsid w:val="007A05F6"/>
    <w:rsid w:val="007A509C"/>
    <w:rsid w:val="007A75C3"/>
    <w:rsid w:val="007B6F4A"/>
    <w:rsid w:val="007E1C47"/>
    <w:rsid w:val="007E337A"/>
    <w:rsid w:val="007E5C70"/>
    <w:rsid w:val="007F2FF5"/>
    <w:rsid w:val="007F3F08"/>
    <w:rsid w:val="008007BF"/>
    <w:rsid w:val="00804CC6"/>
    <w:rsid w:val="00817190"/>
    <w:rsid w:val="00820EE5"/>
    <w:rsid w:val="008260E2"/>
    <w:rsid w:val="008322BD"/>
    <w:rsid w:val="00833E0A"/>
    <w:rsid w:val="008346CD"/>
    <w:rsid w:val="00834F73"/>
    <w:rsid w:val="00835549"/>
    <w:rsid w:val="00864CF8"/>
    <w:rsid w:val="00865D76"/>
    <w:rsid w:val="00872819"/>
    <w:rsid w:val="00874914"/>
    <w:rsid w:val="0087706D"/>
    <w:rsid w:val="00891422"/>
    <w:rsid w:val="00892E1A"/>
    <w:rsid w:val="008A3F29"/>
    <w:rsid w:val="008B3948"/>
    <w:rsid w:val="008B660A"/>
    <w:rsid w:val="008C01DA"/>
    <w:rsid w:val="008C588E"/>
    <w:rsid w:val="008C5E01"/>
    <w:rsid w:val="008D673E"/>
    <w:rsid w:val="008F78E9"/>
    <w:rsid w:val="00911989"/>
    <w:rsid w:val="00911F15"/>
    <w:rsid w:val="009179F9"/>
    <w:rsid w:val="00925525"/>
    <w:rsid w:val="00933E5E"/>
    <w:rsid w:val="00935218"/>
    <w:rsid w:val="009403F3"/>
    <w:rsid w:val="009555B7"/>
    <w:rsid w:val="009567AA"/>
    <w:rsid w:val="00962369"/>
    <w:rsid w:val="00967374"/>
    <w:rsid w:val="009A343A"/>
    <w:rsid w:val="009B2F23"/>
    <w:rsid w:val="009B57B3"/>
    <w:rsid w:val="009C5B92"/>
    <w:rsid w:val="009D2920"/>
    <w:rsid w:val="009D5AEB"/>
    <w:rsid w:val="009F0E33"/>
    <w:rsid w:val="00A030CE"/>
    <w:rsid w:val="00A149DF"/>
    <w:rsid w:val="00A1755C"/>
    <w:rsid w:val="00A21B90"/>
    <w:rsid w:val="00A41805"/>
    <w:rsid w:val="00A42DCD"/>
    <w:rsid w:val="00A42F8C"/>
    <w:rsid w:val="00A469CA"/>
    <w:rsid w:val="00A47835"/>
    <w:rsid w:val="00A52AFB"/>
    <w:rsid w:val="00A548CB"/>
    <w:rsid w:val="00A5521C"/>
    <w:rsid w:val="00A643E7"/>
    <w:rsid w:val="00A73C38"/>
    <w:rsid w:val="00A768F8"/>
    <w:rsid w:val="00AA01B1"/>
    <w:rsid w:val="00AB0849"/>
    <w:rsid w:val="00AB670D"/>
    <w:rsid w:val="00AD1633"/>
    <w:rsid w:val="00AE3A47"/>
    <w:rsid w:val="00AE4535"/>
    <w:rsid w:val="00AE4ABB"/>
    <w:rsid w:val="00AF03C5"/>
    <w:rsid w:val="00B000D8"/>
    <w:rsid w:val="00B00F75"/>
    <w:rsid w:val="00B01967"/>
    <w:rsid w:val="00B145B6"/>
    <w:rsid w:val="00B279EB"/>
    <w:rsid w:val="00B50C81"/>
    <w:rsid w:val="00B557F8"/>
    <w:rsid w:val="00B64B98"/>
    <w:rsid w:val="00B74E2E"/>
    <w:rsid w:val="00B815FC"/>
    <w:rsid w:val="00B93FBC"/>
    <w:rsid w:val="00B95F14"/>
    <w:rsid w:val="00BA7DA0"/>
    <w:rsid w:val="00BA7EAE"/>
    <w:rsid w:val="00BB2EE4"/>
    <w:rsid w:val="00BC2108"/>
    <w:rsid w:val="00BD0E9E"/>
    <w:rsid w:val="00BD1BEC"/>
    <w:rsid w:val="00BD32FF"/>
    <w:rsid w:val="00BD3DAF"/>
    <w:rsid w:val="00BD47B4"/>
    <w:rsid w:val="00BF085B"/>
    <w:rsid w:val="00BF56DC"/>
    <w:rsid w:val="00C02092"/>
    <w:rsid w:val="00C24D91"/>
    <w:rsid w:val="00C33800"/>
    <w:rsid w:val="00C4073F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A6391"/>
    <w:rsid w:val="00CC34BD"/>
    <w:rsid w:val="00CD6762"/>
    <w:rsid w:val="00CE161A"/>
    <w:rsid w:val="00CE3171"/>
    <w:rsid w:val="00CF1601"/>
    <w:rsid w:val="00D0172F"/>
    <w:rsid w:val="00D02039"/>
    <w:rsid w:val="00D068A7"/>
    <w:rsid w:val="00D17476"/>
    <w:rsid w:val="00D32086"/>
    <w:rsid w:val="00D37A3F"/>
    <w:rsid w:val="00D4431D"/>
    <w:rsid w:val="00D4667A"/>
    <w:rsid w:val="00D63A1C"/>
    <w:rsid w:val="00D7516F"/>
    <w:rsid w:val="00D8579F"/>
    <w:rsid w:val="00D95F8E"/>
    <w:rsid w:val="00DA0590"/>
    <w:rsid w:val="00DB7BEA"/>
    <w:rsid w:val="00DC01C4"/>
    <w:rsid w:val="00DC1739"/>
    <w:rsid w:val="00DC1788"/>
    <w:rsid w:val="00DE319C"/>
    <w:rsid w:val="00DF0CA8"/>
    <w:rsid w:val="00DF2B48"/>
    <w:rsid w:val="00DF309D"/>
    <w:rsid w:val="00DF49A7"/>
    <w:rsid w:val="00E07EE2"/>
    <w:rsid w:val="00E07FD1"/>
    <w:rsid w:val="00E176D8"/>
    <w:rsid w:val="00E24573"/>
    <w:rsid w:val="00E25E1E"/>
    <w:rsid w:val="00E27EE7"/>
    <w:rsid w:val="00E35404"/>
    <w:rsid w:val="00E45109"/>
    <w:rsid w:val="00E47B7A"/>
    <w:rsid w:val="00E56A44"/>
    <w:rsid w:val="00E60269"/>
    <w:rsid w:val="00E77932"/>
    <w:rsid w:val="00E92C50"/>
    <w:rsid w:val="00E97830"/>
    <w:rsid w:val="00EC3C49"/>
    <w:rsid w:val="00EE14C6"/>
    <w:rsid w:val="00EE643C"/>
    <w:rsid w:val="00EF0683"/>
    <w:rsid w:val="00EF5F42"/>
    <w:rsid w:val="00EF69D2"/>
    <w:rsid w:val="00EF766E"/>
    <w:rsid w:val="00F0070C"/>
    <w:rsid w:val="00F00EB7"/>
    <w:rsid w:val="00F175FF"/>
    <w:rsid w:val="00F36AB6"/>
    <w:rsid w:val="00F37A09"/>
    <w:rsid w:val="00F409CE"/>
    <w:rsid w:val="00F42D48"/>
    <w:rsid w:val="00F4379D"/>
    <w:rsid w:val="00F50D2D"/>
    <w:rsid w:val="00F56C8B"/>
    <w:rsid w:val="00F66810"/>
    <w:rsid w:val="00F846D9"/>
    <w:rsid w:val="00F84DF4"/>
    <w:rsid w:val="00F85C97"/>
    <w:rsid w:val="00FA3E03"/>
    <w:rsid w:val="00FB20A0"/>
    <w:rsid w:val="00FB37D2"/>
    <w:rsid w:val="00FC4EFB"/>
    <w:rsid w:val="00FD068D"/>
    <w:rsid w:val="00FD4F2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table" w:styleId="TableGrid">
    <w:name w:val="Table Grid"/>
    <w:basedOn w:val="TableNormal"/>
    <w:uiPriority w:val="59"/>
    <w:rsid w:val="0033022B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33022B"/>
    <w:rPr>
      <w:rFonts w:ascii="Times New Roman" w:hAnsi="Times New Roman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33022B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33022B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2016-11-14T15:24:00Z</dcterms:created>
  <dcterms:modified xsi:type="dcterms:W3CDTF">2017-03-08T13:36:00Z</dcterms:modified>
</cp:coreProperties>
</file>