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BB" w:rsidRDefault="00805ABB" w:rsidP="00805ABB">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65pt" o:ole="">
            <v:imagedata r:id="rId7" o:title=""/>
          </v:shape>
          <o:OLEObject Type="Embed" ProgID="Presentations.Drawing.13" ShapeID="_x0000_i1025" DrawAspect="Content" ObjectID="_1569756347" r:id="rId8"/>
        </w:object>
      </w:r>
      <w:r>
        <w:t xml:space="preserve"> </w:t>
      </w:r>
      <w:r>
        <w:ptab w:relativeTo="margin" w:alignment="right" w:leader="none"/>
      </w:r>
    </w:p>
    <w:p w:rsidR="00805ABB" w:rsidRDefault="00805ABB" w:rsidP="00805ABB">
      <w:pPr>
        <w:pStyle w:val="Header"/>
      </w:pPr>
    </w:p>
    <w:p w:rsidR="00805ABB" w:rsidRPr="006B210C" w:rsidRDefault="00805ABB" w:rsidP="00805ABB">
      <w:pPr>
        <w:jc w:val="center"/>
        <w:rPr>
          <w:b/>
        </w:rPr>
      </w:pPr>
      <w:r w:rsidRPr="006B210C">
        <w:rPr>
          <w:b/>
        </w:rPr>
        <w:t>SUPREME COURT OF CANADA</w:t>
      </w:r>
    </w:p>
    <w:p w:rsidR="00805ABB" w:rsidRDefault="00805ABB" w:rsidP="00805ABB"/>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805ABB" w:rsidRPr="006B210C" w:rsidTr="00AD4E71">
        <w:trPr>
          <w:cantSplit/>
        </w:trPr>
        <w:tc>
          <w:tcPr>
            <w:tcW w:w="5670" w:type="dxa"/>
          </w:tcPr>
          <w:p w:rsidR="00805ABB" w:rsidRPr="006B210C" w:rsidRDefault="00805ABB" w:rsidP="00AD4E71">
            <w:r w:rsidRPr="006B210C">
              <w:rPr>
                <w:b/>
                <w:smallCaps/>
              </w:rPr>
              <w:t>Citation</w:t>
            </w:r>
            <w:r>
              <w:rPr>
                <w:b/>
                <w:smallCaps/>
              </w:rPr>
              <w:t>:</w:t>
            </w:r>
            <w:r w:rsidRPr="006B210C">
              <w:t xml:space="preserve"> </w:t>
            </w:r>
            <w:r w:rsidRPr="005D4B83">
              <w:t xml:space="preserve">R. </w:t>
            </w:r>
            <w:r w:rsidRPr="005D4B83">
              <w:rPr>
                <w:i/>
              </w:rPr>
              <w:t>v.</w:t>
            </w:r>
            <w:r w:rsidRPr="005D4B83">
              <w:t xml:space="preserve"> </w:t>
            </w:r>
            <w:proofErr w:type="spellStart"/>
            <w:r>
              <w:t>Awer</w:t>
            </w:r>
            <w:proofErr w:type="spellEnd"/>
            <w:r>
              <w:t xml:space="preserve">, 2017 </w:t>
            </w:r>
            <w:r w:rsidRPr="00C02092">
              <w:t>SCC </w:t>
            </w:r>
            <w:r>
              <w:t>2, [2017] 1 S.C.R. 83</w:t>
            </w:r>
          </w:p>
        </w:tc>
        <w:tc>
          <w:tcPr>
            <w:tcW w:w="3960" w:type="dxa"/>
          </w:tcPr>
          <w:p w:rsidR="00805ABB" w:rsidRDefault="00757234" w:rsidP="00AD4E71">
            <w:r>
              <w:rPr>
                <w:b/>
                <w:smallCaps/>
              </w:rPr>
              <w:t>Appeal</w:t>
            </w:r>
            <w:r w:rsidR="00805ABB">
              <w:rPr>
                <w:b/>
                <w:smallCaps/>
              </w:rPr>
              <w:t xml:space="preserve"> heard:</w:t>
            </w:r>
            <w:r w:rsidR="00805ABB" w:rsidRPr="006B210C">
              <w:t xml:space="preserve"> </w:t>
            </w:r>
            <w:r w:rsidR="00805ABB">
              <w:t>January 17, 2017</w:t>
            </w:r>
          </w:p>
          <w:p w:rsidR="00805ABB" w:rsidRPr="006B210C" w:rsidRDefault="00757234" w:rsidP="00AD4E71">
            <w:r>
              <w:rPr>
                <w:b/>
                <w:smallCaps/>
              </w:rPr>
              <w:t>Judgment rendered</w:t>
            </w:r>
            <w:r w:rsidR="00805ABB" w:rsidRPr="003E41F2">
              <w:rPr>
                <w:b/>
                <w:smallCaps/>
              </w:rPr>
              <w:t>:</w:t>
            </w:r>
            <w:r w:rsidR="00805ABB">
              <w:t xml:space="preserve"> January 17, 2017</w:t>
            </w:r>
          </w:p>
          <w:p w:rsidR="00805ABB" w:rsidRPr="006B210C" w:rsidRDefault="00805ABB" w:rsidP="00AD4E71">
            <w:r w:rsidRPr="005D4B83">
              <w:rPr>
                <w:b/>
                <w:smallCaps/>
              </w:rPr>
              <w:t>Docket:</w:t>
            </w:r>
            <w:r>
              <w:t xml:space="preserve"> 37021</w:t>
            </w:r>
          </w:p>
        </w:tc>
      </w:tr>
    </w:tbl>
    <w:p w:rsidR="00805ABB" w:rsidRPr="006B210C" w:rsidRDefault="00805ABB" w:rsidP="00805ABB"/>
    <w:p w:rsidR="00805ABB" w:rsidRDefault="00805ABB" w:rsidP="00805ABB">
      <w:pPr>
        <w:pStyle w:val="SCCLsocPrefix"/>
      </w:pPr>
      <w:r>
        <w:t>Between:</w:t>
      </w:r>
    </w:p>
    <w:p w:rsidR="00805ABB" w:rsidRPr="003E41F2" w:rsidRDefault="00805ABB" w:rsidP="00805ABB">
      <w:pPr>
        <w:jc w:val="center"/>
        <w:rPr>
          <w:b/>
        </w:rPr>
      </w:pPr>
      <w:proofErr w:type="spellStart"/>
      <w:r w:rsidRPr="003E41F2">
        <w:rPr>
          <w:b/>
        </w:rPr>
        <w:t>Nihal</w:t>
      </w:r>
      <w:proofErr w:type="spellEnd"/>
      <w:r w:rsidRPr="003E41F2">
        <w:rPr>
          <w:b/>
        </w:rPr>
        <w:t xml:space="preserve"> </w:t>
      </w:r>
      <w:proofErr w:type="spellStart"/>
      <w:r w:rsidRPr="003E41F2">
        <w:rPr>
          <w:b/>
        </w:rPr>
        <w:t>Awer</w:t>
      </w:r>
      <w:proofErr w:type="spellEnd"/>
    </w:p>
    <w:p w:rsidR="00805ABB" w:rsidRDefault="00805ABB" w:rsidP="00805ABB">
      <w:pPr>
        <w:jc w:val="center"/>
      </w:pPr>
      <w:r>
        <w:t>Appellant</w:t>
      </w:r>
    </w:p>
    <w:p w:rsidR="00805ABB" w:rsidRPr="005D4B83" w:rsidRDefault="00805ABB" w:rsidP="00805ABB">
      <w:pPr>
        <w:jc w:val="center"/>
      </w:pPr>
    </w:p>
    <w:p w:rsidR="00805ABB" w:rsidRPr="00805ABB" w:rsidRDefault="00805ABB" w:rsidP="00805ABB">
      <w:pPr>
        <w:pStyle w:val="SCCLsocVersus"/>
        <w:spacing w:after="0"/>
        <w:jc w:val="center"/>
        <w:rPr>
          <w:i w:val="0"/>
        </w:rPr>
      </w:pPr>
      <w:proofErr w:type="gramStart"/>
      <w:r w:rsidRPr="00805ABB">
        <w:rPr>
          <w:i w:val="0"/>
        </w:rPr>
        <w:t>and</w:t>
      </w:r>
      <w:proofErr w:type="gramEnd"/>
    </w:p>
    <w:p w:rsidR="00805ABB" w:rsidRPr="005D4B83" w:rsidRDefault="00805ABB" w:rsidP="00805ABB">
      <w:pPr>
        <w:jc w:val="center"/>
      </w:pPr>
    </w:p>
    <w:p w:rsidR="00805ABB" w:rsidRDefault="00805ABB" w:rsidP="00805ABB">
      <w:pPr>
        <w:pStyle w:val="SCCLsocParty"/>
        <w:jc w:val="center"/>
      </w:pPr>
      <w:r>
        <w:t xml:space="preserve">Her Majesty </w:t>
      </w:r>
      <w:proofErr w:type="gramStart"/>
      <w:r>
        <w:t>The</w:t>
      </w:r>
      <w:proofErr w:type="gramEnd"/>
      <w:r>
        <w:t xml:space="preserve"> Queen</w:t>
      </w:r>
    </w:p>
    <w:p w:rsidR="00805ABB" w:rsidRDefault="00805ABB" w:rsidP="00805ABB">
      <w:pPr>
        <w:jc w:val="center"/>
      </w:pPr>
      <w:r>
        <w:t>Respondent</w:t>
      </w:r>
    </w:p>
    <w:p w:rsidR="00805ABB" w:rsidRPr="005D4B83" w:rsidRDefault="00805ABB" w:rsidP="00805ABB">
      <w:pPr>
        <w:jc w:val="center"/>
      </w:pPr>
    </w:p>
    <w:p w:rsidR="00805ABB" w:rsidRDefault="00805ABB" w:rsidP="00805ABB"/>
    <w:p w:rsidR="00805ABB" w:rsidRPr="006B210C" w:rsidRDefault="00805ABB" w:rsidP="00805ABB"/>
    <w:p w:rsidR="00805ABB" w:rsidRPr="006B210C" w:rsidRDefault="00805ABB" w:rsidP="00805ABB"/>
    <w:p w:rsidR="00805ABB" w:rsidRPr="006B210C" w:rsidRDefault="00805ABB" w:rsidP="00805ABB">
      <w:r w:rsidRPr="006B210C">
        <w:rPr>
          <w:b/>
          <w:smallCaps/>
        </w:rPr>
        <w:t>Coram</w:t>
      </w:r>
      <w:r>
        <w:rPr>
          <w:b/>
          <w:smallCaps/>
        </w:rPr>
        <w:t xml:space="preserve">: </w:t>
      </w:r>
      <w:proofErr w:type="spellStart"/>
      <w:r>
        <w:t>Moldaver</w:t>
      </w:r>
      <w:proofErr w:type="spellEnd"/>
      <w:r>
        <w:t xml:space="preserve">, </w:t>
      </w:r>
      <w:proofErr w:type="spellStart"/>
      <w:r>
        <w:t>Karakatsanis</w:t>
      </w:r>
      <w:proofErr w:type="spellEnd"/>
      <w:r>
        <w:t>, Wagner, Brown and Rowe JJ.</w:t>
      </w:r>
    </w:p>
    <w:p w:rsidR="00805ABB" w:rsidRPr="006B210C" w:rsidRDefault="00805ABB" w:rsidP="00805A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05ABB" w:rsidRPr="006B210C" w:rsidTr="00AD4E71">
        <w:trPr>
          <w:cantSplit/>
        </w:trPr>
        <w:tc>
          <w:tcPr>
            <w:tcW w:w="3618" w:type="dxa"/>
          </w:tcPr>
          <w:p w:rsidR="00805ABB" w:rsidRDefault="00805ABB" w:rsidP="00AD4E71">
            <w:pPr>
              <w:rPr>
                <w:b/>
                <w:smallCaps/>
              </w:rPr>
            </w:pPr>
            <w:r w:rsidRPr="006B210C">
              <w:rPr>
                <w:b/>
                <w:smallCaps/>
              </w:rPr>
              <w:t xml:space="preserve">Reasons for </w:t>
            </w:r>
            <w:r w:rsidR="00757234">
              <w:rPr>
                <w:b/>
                <w:smallCaps/>
              </w:rPr>
              <w:t>Judgment</w:t>
            </w:r>
            <w:r>
              <w:rPr>
                <w:b/>
                <w:smallCaps/>
              </w:rPr>
              <w:t>:</w:t>
            </w:r>
          </w:p>
          <w:p w:rsidR="00805ABB" w:rsidRPr="006B210C" w:rsidRDefault="00805ABB" w:rsidP="00AD4E71">
            <w:r>
              <w:t>(paras. 1 to 8)</w:t>
            </w:r>
          </w:p>
        </w:tc>
        <w:tc>
          <w:tcPr>
            <w:tcW w:w="5958" w:type="dxa"/>
          </w:tcPr>
          <w:p w:rsidR="00805ABB" w:rsidRPr="006B210C" w:rsidRDefault="00805ABB" w:rsidP="00AD4E71">
            <w:proofErr w:type="spellStart"/>
            <w:r>
              <w:t>Moldaver</w:t>
            </w:r>
            <w:proofErr w:type="spellEnd"/>
            <w:r>
              <w:t xml:space="preserve"> J. (</w:t>
            </w:r>
            <w:proofErr w:type="spellStart"/>
            <w:r>
              <w:t>Karakatsanis</w:t>
            </w:r>
            <w:proofErr w:type="spellEnd"/>
            <w:r>
              <w:t>, Wagner, Brown and Rowe JJ. concurring)</w:t>
            </w:r>
          </w:p>
        </w:tc>
      </w:tr>
    </w:tbl>
    <w:p w:rsidR="00805ABB" w:rsidRDefault="00805ABB" w:rsidP="00805ABB"/>
    <w:p w:rsidR="00805ABB" w:rsidRPr="006B210C" w:rsidRDefault="00805ABB" w:rsidP="00805ABB"/>
    <w:p w:rsidR="00805ABB" w:rsidRPr="006B210C" w:rsidRDefault="00805ABB" w:rsidP="00805ABB">
      <w:r>
        <w:rPr>
          <w:noProof/>
          <w:lang w:val="en-US" w:eastAsia="en-US"/>
        </w:rPr>
        <mc:AlternateContent>
          <mc:Choice Requires="wps">
            <w:drawing>
              <wp:anchor distT="0" distB="0" distL="114300" distR="114300" simplePos="0" relativeHeight="251659264" behindDoc="0" locked="0" layoutInCell="1" allowOverlap="1" wp14:anchorId="103DACE6" wp14:editId="291EBA1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355E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05ABB" w:rsidRDefault="00805ABB" w:rsidP="00805ABB"/>
    <w:p w:rsidR="00805ABB" w:rsidRDefault="00805ABB" w:rsidP="0035169A">
      <w:pPr>
        <w:spacing w:line="480" w:lineRule="auto"/>
        <w:jc w:val="both"/>
      </w:pPr>
    </w:p>
    <w:p w:rsidR="008322BD" w:rsidRPr="00891D64" w:rsidRDefault="00891D64" w:rsidP="0035169A">
      <w:pPr>
        <w:spacing w:line="480" w:lineRule="auto"/>
        <w:jc w:val="both"/>
      </w:pPr>
      <w:r>
        <w:t>R</w:t>
      </w:r>
      <w:r w:rsidR="00FB2E72" w:rsidRPr="00891D64">
        <w:t>.</w:t>
      </w:r>
      <w:r w:rsidR="00480C90" w:rsidRPr="00891D64">
        <w:t xml:space="preserve"> </w:t>
      </w:r>
      <w:r w:rsidR="009B57B3" w:rsidRPr="00891D64">
        <w:rPr>
          <w:i/>
        </w:rPr>
        <w:t>v.</w:t>
      </w:r>
      <w:r w:rsidR="00B000D8" w:rsidRPr="00891D64">
        <w:t xml:space="preserve"> </w:t>
      </w:r>
      <w:proofErr w:type="spellStart"/>
      <w:r>
        <w:t>A</w:t>
      </w:r>
      <w:r w:rsidR="00FB2E72" w:rsidRPr="00891D64">
        <w:t>wer</w:t>
      </w:r>
      <w:proofErr w:type="spellEnd"/>
      <w:r>
        <w:t xml:space="preserve">, 2017 </w:t>
      </w:r>
      <w:r w:rsidRPr="00C02092">
        <w:t>SCC </w:t>
      </w:r>
      <w:r>
        <w:t xml:space="preserve">2, [2017] 1 S.C.R. </w:t>
      </w:r>
      <w:r w:rsidR="00124307">
        <w:t>83</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D6DED" w:rsidRDefault="00B413B0">
      <w:pPr>
        <w:pStyle w:val="SCCLsocLastPartyInRole"/>
      </w:pPr>
      <w:r>
        <w:t>Nihal Awer</w:t>
      </w:r>
      <w:r>
        <w:rPr>
          <w:rStyle w:val="SCCLsocPartyRole"/>
        </w:rPr>
        <w:tab/>
        <w:t>Appellant</w:t>
      </w:r>
    </w:p>
    <w:p w:rsidR="004D6DED" w:rsidRDefault="00B413B0">
      <w:pPr>
        <w:pStyle w:val="SCCLsocVersus"/>
      </w:pPr>
      <w:r>
        <w:t>v.</w:t>
      </w:r>
    </w:p>
    <w:p w:rsidR="004D6DED" w:rsidRDefault="00FB2E72">
      <w:pPr>
        <w:pStyle w:val="SCCLsocLastPartyInRole"/>
      </w:pPr>
      <w:r>
        <w:lastRenderedPageBreak/>
        <w:t>Her Majesty T</w:t>
      </w:r>
      <w:r w:rsidR="00B413B0">
        <w:t>he Queen</w:t>
      </w:r>
      <w:r w:rsidR="00B413B0">
        <w:rPr>
          <w:rStyle w:val="SCCLsocPartyRole"/>
        </w:rPr>
        <w:tab/>
        <w:t>Respondent</w:t>
      </w:r>
    </w:p>
    <w:p w:rsidR="00766D14" w:rsidRDefault="00766D14" w:rsidP="00FC4EFB">
      <w:pPr>
        <w:jc w:val="both"/>
      </w:pPr>
    </w:p>
    <w:p w:rsidR="00426659" w:rsidRPr="00426659" w:rsidRDefault="00426659" w:rsidP="00FC4EFB">
      <w:pPr>
        <w:jc w:val="both"/>
        <w:rPr>
          <w:b/>
        </w:rPr>
      </w:pPr>
      <w:r w:rsidRPr="00426659">
        <w:rPr>
          <w:b/>
        </w:rPr>
        <w:t>Indexed as:</w:t>
      </w:r>
      <w:r>
        <w:rPr>
          <w:b/>
        </w:rPr>
        <w:t xml:space="preserve"> </w:t>
      </w:r>
      <w:r w:rsidR="00AE3836">
        <w:rPr>
          <w:b/>
        </w:rPr>
        <w:t xml:space="preserve"> R. </w:t>
      </w:r>
      <w:r w:rsidR="00AE3836" w:rsidRPr="00AE3836">
        <w:rPr>
          <w:b/>
          <w:i/>
        </w:rPr>
        <w:t>v.</w:t>
      </w:r>
      <w:r w:rsidR="00AE3836">
        <w:rPr>
          <w:b/>
        </w:rPr>
        <w:t xml:space="preserve"> </w:t>
      </w:r>
      <w:r>
        <w:rPr>
          <w:rStyle w:val="SCCAppellantForIndexChar"/>
        </w:rPr>
        <w:t>Awer</w:t>
      </w:r>
      <w:r w:rsidRPr="00426659">
        <w:rPr>
          <w:b/>
        </w:rPr>
        <w:t xml:space="preserve"> </w:t>
      </w:r>
    </w:p>
    <w:p w:rsidR="00426659" w:rsidRDefault="00426659" w:rsidP="00FC4EFB">
      <w:pPr>
        <w:jc w:val="both"/>
      </w:pPr>
    </w:p>
    <w:p w:rsidR="00A149DF" w:rsidRDefault="00A149DF" w:rsidP="00FC4EFB">
      <w:pPr>
        <w:jc w:val="both"/>
      </w:pPr>
    </w:p>
    <w:p w:rsidR="00A149DF" w:rsidRDefault="00A149DF" w:rsidP="00FC4EFB">
      <w:pPr>
        <w:jc w:val="both"/>
      </w:pPr>
    </w:p>
    <w:p w:rsidR="00426659" w:rsidRPr="00C02092" w:rsidRDefault="00AE4535" w:rsidP="00FC4EFB">
      <w:pPr>
        <w:pStyle w:val="SCCSystemYear"/>
        <w:jc w:val="both"/>
      </w:pPr>
      <w:r>
        <w:t>2017</w:t>
      </w:r>
      <w:r w:rsidR="003D0399">
        <w:t xml:space="preserve"> </w:t>
      </w:r>
      <w:r w:rsidR="00426659" w:rsidRPr="00C02092">
        <w:t>SCC </w:t>
      </w:r>
      <w:r w:rsidR="00AE3836">
        <w:t>2</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File No.:  </w:t>
      </w:r>
      <w:r>
        <w:t>37021</w:t>
      </w:r>
      <w:r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AE4535" w:rsidP="00FC4EFB">
      <w:pPr>
        <w:jc w:val="both"/>
      </w:pPr>
      <w:r>
        <w:t>2017:  January 17</w:t>
      </w:r>
      <w:r w:rsidR="00AE3836">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9B57B3" w:rsidP="00A45D2E">
      <w:pPr>
        <w:jc w:val="both"/>
      </w:pPr>
      <w:r w:rsidRPr="001426A9">
        <w:t xml:space="preserve">Present:  </w:t>
      </w:r>
      <w:r>
        <w:t>Moldaver, Karakatsanis, Wagner, Brown and Rowe JJ.</w:t>
      </w:r>
    </w:p>
    <w:p w:rsidR="00E97830" w:rsidRDefault="00E97830" w:rsidP="00FC4EFB">
      <w:pPr>
        <w:jc w:val="both"/>
      </w:pPr>
    </w:p>
    <w:p w:rsidR="006A1551" w:rsidRDefault="006A1551" w:rsidP="00FC4EFB">
      <w:pPr>
        <w:jc w:val="both"/>
      </w:pPr>
    </w:p>
    <w:p w:rsidR="004D6DED" w:rsidRDefault="004D6DED"/>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of alberta </w:t>
      </w:r>
    </w:p>
    <w:p w:rsidR="003A4C70" w:rsidRPr="001426A9" w:rsidRDefault="003A4C70" w:rsidP="00FC4EFB">
      <w:pPr>
        <w:pStyle w:val="SCCNormalDoubleSpacing"/>
      </w:pPr>
    </w:p>
    <w:p w:rsidR="008322BD" w:rsidRPr="009B3F40" w:rsidRDefault="009B3F40" w:rsidP="00FC4EFB">
      <w:pPr>
        <w:pStyle w:val="SCCNormalDoubleSpacing"/>
        <w:rPr>
          <w:i/>
        </w:rPr>
      </w:pPr>
      <w:r>
        <w:tab/>
      </w:r>
      <w:r>
        <w:rPr>
          <w:i/>
        </w:rPr>
        <w:t xml:space="preserve">Criminal law </w:t>
      </w:r>
      <w:r w:rsidR="008F6C60">
        <w:rPr>
          <w:i/>
        </w:rPr>
        <w:t>—</w:t>
      </w:r>
      <w:r>
        <w:rPr>
          <w:i/>
        </w:rPr>
        <w:t xml:space="preserve"> </w:t>
      </w:r>
      <w:r w:rsidR="00F61090">
        <w:rPr>
          <w:i/>
        </w:rPr>
        <w:t xml:space="preserve">Sexual assault </w:t>
      </w:r>
      <w:r w:rsidR="008F6C60">
        <w:rPr>
          <w:i/>
        </w:rPr>
        <w:t>—</w:t>
      </w:r>
      <w:r w:rsidR="00F61090">
        <w:rPr>
          <w:i/>
        </w:rPr>
        <w:t xml:space="preserve"> Evidence </w:t>
      </w:r>
      <w:r w:rsidR="008F6C60">
        <w:rPr>
          <w:i/>
        </w:rPr>
        <w:t>—</w:t>
      </w:r>
      <w:r w:rsidR="00F61090">
        <w:rPr>
          <w:i/>
        </w:rPr>
        <w:t xml:space="preserve"> Expert evidence </w:t>
      </w:r>
      <w:r w:rsidR="008F6C60">
        <w:rPr>
          <w:i/>
        </w:rPr>
        <w:t>—</w:t>
      </w:r>
      <w:r w:rsidR="00F61090">
        <w:rPr>
          <w:i/>
        </w:rPr>
        <w:t xml:space="preserve"> Forensic DNA analysis </w:t>
      </w:r>
      <w:r w:rsidR="008F6C60">
        <w:rPr>
          <w:i/>
        </w:rPr>
        <w:t>—</w:t>
      </w:r>
      <w:r w:rsidR="00F61090">
        <w:rPr>
          <w:i/>
        </w:rPr>
        <w:t xml:space="preserve"> Trial judge </w:t>
      </w:r>
      <w:r w:rsidR="00CE5FEA">
        <w:rPr>
          <w:i/>
        </w:rPr>
        <w:t>unwarrantedly</w:t>
      </w:r>
      <w:r w:rsidR="00F61090">
        <w:rPr>
          <w:i/>
        </w:rPr>
        <w:t xml:space="preserve"> subjecting evidence of Crown and defence DNA experts to </w:t>
      </w:r>
      <w:r w:rsidR="00036ABB">
        <w:rPr>
          <w:i/>
        </w:rPr>
        <w:t xml:space="preserve">materially </w:t>
      </w:r>
      <w:r w:rsidR="00F61090">
        <w:rPr>
          <w:i/>
        </w:rPr>
        <w:t xml:space="preserve">different levels of scrutiny </w:t>
      </w:r>
      <w:r w:rsidR="008F6C60">
        <w:rPr>
          <w:i/>
        </w:rPr>
        <w:t>—</w:t>
      </w:r>
      <w:r w:rsidR="00F61090">
        <w:rPr>
          <w:i/>
        </w:rPr>
        <w:t xml:space="preserve"> Conviction quashed and new trial ordered.</w:t>
      </w:r>
    </w:p>
    <w:p w:rsidR="00A149DF" w:rsidRDefault="00A149DF" w:rsidP="00FC4EFB">
      <w:pPr>
        <w:pStyle w:val="SCCNormalDoubleSpacing"/>
      </w:pPr>
    </w:p>
    <w:p w:rsidR="007E1C47" w:rsidRDefault="002E6705" w:rsidP="00FC4EFB">
      <w:pPr>
        <w:pStyle w:val="SCCNormalDoubleSpacing"/>
        <w:keepNext/>
        <w:keepLines/>
        <w:rPr>
          <w:b/>
        </w:rPr>
      </w:pPr>
      <w:r w:rsidRPr="00314E01">
        <w:rPr>
          <w:b/>
        </w:rPr>
        <w:t>Cases Cited</w:t>
      </w:r>
    </w:p>
    <w:p w:rsidR="00A149DF" w:rsidRPr="00613969" w:rsidRDefault="00A149DF" w:rsidP="00FC4EFB">
      <w:pPr>
        <w:pStyle w:val="SCCNormalDoubleSpacing"/>
        <w:keepNext/>
        <w:keepLines/>
      </w:pPr>
    </w:p>
    <w:p w:rsidR="004E2C26" w:rsidRPr="007E1C47" w:rsidRDefault="002E6705" w:rsidP="00FC4EFB">
      <w:pPr>
        <w:pStyle w:val="SCCNormalDoubleSpacing"/>
        <w:keepNext/>
        <w:keepLines/>
      </w:pPr>
      <w:r>
        <w:tab/>
      </w:r>
      <w:r w:rsidR="005B3F46">
        <w:rPr>
          <w:b/>
        </w:rPr>
        <w:t>Distinguished</w:t>
      </w:r>
      <w:r w:rsidRPr="00314E01">
        <w:rPr>
          <w:b/>
        </w:rPr>
        <w:t>:</w:t>
      </w:r>
      <w:r w:rsidR="00BD0E9E" w:rsidRPr="00BD0E9E">
        <w:t xml:space="preserve"> </w:t>
      </w:r>
      <w:r w:rsidR="00562064" w:rsidRPr="00CB048A">
        <w:rPr>
          <w:i/>
          <w:lang w:val="en-US"/>
        </w:rPr>
        <w:t>R. v. Sekhon</w:t>
      </w:r>
      <w:r w:rsidR="00562064" w:rsidRPr="00CB048A">
        <w:rPr>
          <w:lang w:val="en-US"/>
        </w:rPr>
        <w:t>, 2014 SCC 15, [2014] 1 S.C.R. 272</w:t>
      </w:r>
      <w:r w:rsidR="00562064">
        <w:rPr>
          <w:lang w:val="en-US"/>
        </w:rPr>
        <w:t>.</w:t>
      </w:r>
    </w:p>
    <w:p w:rsidR="00A149DF" w:rsidRDefault="00A149DF" w:rsidP="00562064">
      <w:pPr>
        <w:pStyle w:val="SCCNormalDoubleSpacing"/>
        <w:spacing w:after="480"/>
        <w:ind w:left="547" w:hanging="547"/>
      </w:pPr>
    </w:p>
    <w:p w:rsidR="00656313" w:rsidRDefault="009B57B3" w:rsidP="00FC4EFB">
      <w:pPr>
        <w:pStyle w:val="SCCNormalDoubleSpacing"/>
      </w:pPr>
      <w:r w:rsidRPr="001426A9">
        <w:lastRenderedPageBreak/>
        <w:tab/>
        <w:t xml:space="preserve">APPEAL from a judgment of the </w:t>
      </w:r>
      <w:r w:rsidR="00D007CB">
        <w:t>Alberta Court of Appeal</w:t>
      </w:r>
      <w:r w:rsidR="00334F02">
        <w:t xml:space="preserve"> (Berger</w:t>
      </w:r>
      <w:r w:rsidR="00D007CB">
        <w:t xml:space="preserve">, </w:t>
      </w:r>
      <w:r w:rsidR="00334F02">
        <w:t xml:space="preserve">Watson and Schutz JJ.A.), </w:t>
      </w:r>
      <w:r w:rsidR="00E97DE1">
        <w:t>2016 ABCA 128,</w:t>
      </w:r>
      <w:r w:rsidR="00B413B0">
        <w:t xml:space="preserve"> 37 Alta. L.R. (6</w:t>
      </w:r>
      <w:r w:rsidR="00B413B0" w:rsidRPr="00B413B0">
        <w:t>th</w:t>
      </w:r>
      <w:r w:rsidR="00B413B0">
        <w:t>) 62, 29 C.R. (7</w:t>
      </w:r>
      <w:r w:rsidR="00B413B0" w:rsidRPr="00B413B0">
        <w:t>th</w:t>
      </w:r>
      <w:r w:rsidR="00B413B0">
        <w:t>) 118, [2016] 9 W.W.R. 458, [2016] A.J. No. 457 (QL), 2016 CarswellAlta 827</w:t>
      </w:r>
      <w:r w:rsidR="008A26C8">
        <w:t xml:space="preserve"> (WL Can.)</w:t>
      </w:r>
      <w:r w:rsidR="00B413B0">
        <w:t>,</w:t>
      </w:r>
      <w:r w:rsidR="00E97DE1">
        <w:t xml:space="preserve"> </w:t>
      </w:r>
      <w:r w:rsidR="005B3F46">
        <w:t>upholding</w:t>
      </w:r>
      <w:r w:rsidR="00E97DE1" w:rsidRPr="005B3F46">
        <w:t xml:space="preserve"> the accused’s conviction </w:t>
      </w:r>
      <w:r w:rsidR="005B3F46">
        <w:t>for</w:t>
      </w:r>
      <w:r w:rsidR="00E97DE1" w:rsidRPr="005B3F46">
        <w:t xml:space="preserve"> sexual assault</w:t>
      </w:r>
      <w:r w:rsidR="00396026">
        <w:t xml:space="preserve"> entered by </w:t>
      </w:r>
      <w:proofErr w:type="spellStart"/>
      <w:r w:rsidR="00396026">
        <w:t>Topolniski</w:t>
      </w:r>
      <w:proofErr w:type="spellEnd"/>
      <w:r w:rsidR="00396026">
        <w:t xml:space="preserve"> J</w:t>
      </w:r>
      <w:r w:rsidR="00F363EB">
        <w:t>.</w:t>
      </w:r>
      <w:r w:rsidR="00424A1A">
        <w:t xml:space="preserve"> Appeal allowed.</w:t>
      </w:r>
    </w:p>
    <w:p w:rsidR="00424A1A" w:rsidRDefault="00424A1A" w:rsidP="00FC4EFB">
      <w:pPr>
        <w:pStyle w:val="SCCNormalDoubleSpacing"/>
      </w:pPr>
    </w:p>
    <w:p w:rsidR="00424A1A" w:rsidRDefault="00424A1A" w:rsidP="00424A1A">
      <w:pPr>
        <w:pStyle w:val="SCCNormalDoubleSpacing"/>
      </w:pPr>
      <w:r>
        <w:rPr>
          <w:rStyle w:val="SCCCounselNameChar"/>
        </w:rPr>
        <w:tab/>
        <w:t>Nathan J. Whitling</w:t>
      </w:r>
      <w:r>
        <w:rPr>
          <w:rStyle w:val="SCCCounselSeparatorChar"/>
        </w:rPr>
        <w:t xml:space="preserve"> and </w:t>
      </w:r>
      <w:r>
        <w:rPr>
          <w:rStyle w:val="SCCCounselNameChar"/>
        </w:rPr>
        <w:t>Amy Lind</w:t>
      </w:r>
      <w:r>
        <w:rPr>
          <w:rStyle w:val="SCCCounselPartyRoleChar"/>
        </w:rPr>
        <w:t>, for the appellant.</w:t>
      </w:r>
    </w:p>
    <w:p w:rsidR="00424A1A" w:rsidRDefault="00424A1A" w:rsidP="00424A1A">
      <w:pPr>
        <w:pStyle w:val="SCCNormalDoubleSpacing"/>
      </w:pPr>
    </w:p>
    <w:p w:rsidR="00424A1A" w:rsidRDefault="00424A1A" w:rsidP="00424A1A">
      <w:pPr>
        <w:pStyle w:val="SCCNormalDoubleSpacing"/>
      </w:pPr>
      <w:r>
        <w:rPr>
          <w:rStyle w:val="SCCCounselNameChar"/>
        </w:rPr>
        <w:tab/>
        <w:t>Troy Couillard</w:t>
      </w:r>
      <w:r>
        <w:rPr>
          <w:rStyle w:val="SCCCounselPartyRoleChar"/>
        </w:rPr>
        <w:t>, for the respondent.</w:t>
      </w:r>
    </w:p>
    <w:p w:rsidR="00A45D2E" w:rsidRDefault="00A45D2E" w:rsidP="00FC4EFB">
      <w:pPr>
        <w:pStyle w:val="SCCNormalDoubleSpacing"/>
      </w:pPr>
    </w:p>
    <w:p w:rsidR="00A45D2E" w:rsidRDefault="00A45D2E" w:rsidP="00FC4EFB">
      <w:pPr>
        <w:pStyle w:val="SCCNormalDoubleSpacing"/>
      </w:pPr>
      <w:r>
        <w:tab/>
        <w:t>The judgment of the Court was delivered orally by</w:t>
      </w:r>
    </w:p>
    <w:p w:rsidR="005A1699" w:rsidRPr="00CB048A" w:rsidRDefault="005A1699" w:rsidP="00605DF3">
      <w:pPr>
        <w:pStyle w:val="ParaNoNdepar-AltN"/>
        <w:widowControl w:val="0"/>
        <w:numPr>
          <w:ilvl w:val="0"/>
          <w:numId w:val="10"/>
        </w:numPr>
        <w:tabs>
          <w:tab w:val="num" w:pos="1152"/>
        </w:tabs>
        <w:ind w:left="0" w:firstLine="0"/>
        <w:rPr>
          <w:rFonts w:cs="Times New Roman"/>
          <w:lang w:val="en-US"/>
        </w:rPr>
      </w:pPr>
      <w:r w:rsidRPr="00CB048A">
        <w:rPr>
          <w:rFonts w:cs="Times New Roman"/>
          <w:smallCaps/>
        </w:rPr>
        <w:t>Moldaver</w:t>
      </w:r>
      <w:r w:rsidRPr="00CB048A">
        <w:rPr>
          <w:rFonts w:cs="Times New Roman"/>
        </w:rPr>
        <w:t xml:space="preserve"> J. — </w:t>
      </w:r>
      <w:r w:rsidRPr="00CB048A">
        <w:rPr>
          <w:rFonts w:cs="Times New Roman"/>
          <w:lang w:val="en-US"/>
        </w:rPr>
        <w:t xml:space="preserve">This appeal </w:t>
      </w:r>
      <w:r w:rsidRPr="00A45D2E">
        <w:rPr>
          <w:lang w:val="en-US"/>
        </w:rPr>
        <w:t>comes</w:t>
      </w:r>
      <w:r w:rsidRPr="00CB048A">
        <w:rPr>
          <w:rFonts w:cs="Times New Roman"/>
          <w:lang w:val="en-US"/>
        </w:rPr>
        <w:t xml:space="preserve"> to us as of right from the Court of Appeal of Alberta. A majority of the court concluded that there was no basis for overturning the appellant’s conviction for sexual </w:t>
      </w:r>
      <w:r w:rsidRPr="005A1699">
        <w:rPr>
          <w:lang w:val="en-US"/>
        </w:rPr>
        <w:t>assault</w:t>
      </w:r>
      <w:r w:rsidRPr="00CB048A">
        <w:rPr>
          <w:rFonts w:cs="Times New Roman"/>
          <w:lang w:val="en-US"/>
        </w:rPr>
        <w:t>.  Justice Berger, dissenting, would have set aside the appellant’s conviction and ordered a new trial.</w:t>
      </w:r>
    </w:p>
    <w:p w:rsidR="005A1699" w:rsidRPr="00CB048A" w:rsidRDefault="005A1699" w:rsidP="004D3730">
      <w:pPr>
        <w:pStyle w:val="ParaNoNdepar-AltN"/>
        <w:widowControl w:val="0"/>
        <w:numPr>
          <w:ilvl w:val="0"/>
          <w:numId w:val="10"/>
        </w:numPr>
        <w:tabs>
          <w:tab w:val="num" w:pos="1152"/>
        </w:tabs>
        <w:ind w:left="0" w:firstLine="0"/>
        <w:rPr>
          <w:rFonts w:cs="Times New Roman"/>
          <w:lang w:val="en-US"/>
        </w:rPr>
      </w:pPr>
      <w:r w:rsidRPr="00CB048A">
        <w:rPr>
          <w:rFonts w:cs="Times New Roman"/>
          <w:lang w:val="en-US"/>
        </w:rPr>
        <w:t xml:space="preserve">Because we have concluded that a new trial must be ordered, we need not finally decide whether the impugned evidence of the Crown’s DNA expert as to the source of the complainant’s DNA, found on the appellant’s penis, was or was not admissible. If an attempt is made to tender that evidence at the new trial, a </w:t>
      </w:r>
      <w:r w:rsidRPr="00CB048A">
        <w:rPr>
          <w:rFonts w:cs="Times New Roman"/>
          <w:i/>
          <w:lang w:val="en-US"/>
        </w:rPr>
        <w:t>voir dire</w:t>
      </w:r>
      <w:r w:rsidRPr="00CB048A">
        <w:rPr>
          <w:rFonts w:cs="Times New Roman"/>
          <w:lang w:val="en-US"/>
        </w:rPr>
        <w:t xml:space="preserve"> may be required to determine whether it is sufficiently reliable to warrant its reception. It could conceivably amount to circumstantial evidence, derived from the expert’s experience, from which an inference as to the origin of the complainant’s DNA could </w:t>
      </w:r>
      <w:r w:rsidRPr="00CB048A">
        <w:rPr>
          <w:rFonts w:cs="Times New Roman"/>
          <w:lang w:val="en-US"/>
        </w:rPr>
        <w:lastRenderedPageBreak/>
        <w:t xml:space="preserve">reasonably be drawn. Alternatively, it might prove to be purely speculative, with little or no scientific foundation. Whatever the case, I note that it differs qualitatively from the impugned evidence in </w:t>
      </w:r>
      <w:r w:rsidRPr="00CB048A">
        <w:rPr>
          <w:rFonts w:cs="Times New Roman"/>
          <w:i/>
          <w:lang w:val="en-US"/>
        </w:rPr>
        <w:t>R. v. Sekhon</w:t>
      </w:r>
      <w:r w:rsidRPr="00CB048A">
        <w:rPr>
          <w:rFonts w:cs="Times New Roman"/>
          <w:lang w:val="en-US"/>
        </w:rPr>
        <w:t>, 2014 SCC 15, [2014] 1 S.C.R. 272, where false logic, devoid of any probative force, was used to infer the state of mind of persons transporting large quantities of illicit drugs across the U.S.-Canada border.</w:t>
      </w:r>
    </w:p>
    <w:p w:rsidR="005A1699" w:rsidRPr="00CB048A" w:rsidRDefault="005A1699" w:rsidP="004D3730">
      <w:pPr>
        <w:pStyle w:val="ParaNoNdepar-AltN"/>
        <w:widowControl w:val="0"/>
        <w:numPr>
          <w:ilvl w:val="0"/>
          <w:numId w:val="10"/>
        </w:numPr>
        <w:tabs>
          <w:tab w:val="num" w:pos="1152"/>
        </w:tabs>
        <w:ind w:left="0" w:firstLine="0"/>
        <w:rPr>
          <w:rFonts w:cs="Times New Roman"/>
          <w:lang w:val="en-US"/>
        </w:rPr>
      </w:pPr>
      <w:r w:rsidRPr="00CB048A">
        <w:rPr>
          <w:rFonts w:cs="Times New Roman"/>
          <w:lang w:val="en-US"/>
        </w:rPr>
        <w:t xml:space="preserve">In the present case, assuming the impugned evidence of the Crown’s DNA expert was admissible, it was challenged by the defence DNA expert as being speculative, and without any scientific </w:t>
      </w:r>
      <w:r w:rsidRPr="005A1699">
        <w:rPr>
          <w:lang w:val="en-US"/>
        </w:rPr>
        <w:t>foundation</w:t>
      </w:r>
      <w:r w:rsidRPr="00CB048A">
        <w:rPr>
          <w:rFonts w:cs="Times New Roman"/>
          <w:lang w:val="en-US"/>
        </w:rPr>
        <w:t xml:space="preserve">. On its face, there was no way of telling whether it was speculative, scientific or somewhere in between — and defence counsel did not explore this in cross-examination. </w:t>
      </w:r>
    </w:p>
    <w:p w:rsidR="005A1699" w:rsidRPr="00CB048A" w:rsidRDefault="005A1699" w:rsidP="004D3730">
      <w:pPr>
        <w:pStyle w:val="ParaNoNdepar-AltN"/>
        <w:widowControl w:val="0"/>
        <w:numPr>
          <w:ilvl w:val="0"/>
          <w:numId w:val="10"/>
        </w:numPr>
        <w:tabs>
          <w:tab w:val="num" w:pos="1152"/>
        </w:tabs>
        <w:ind w:left="0" w:firstLine="0"/>
        <w:rPr>
          <w:rFonts w:cs="Times New Roman"/>
          <w:lang w:val="en-US"/>
        </w:rPr>
      </w:pPr>
      <w:r w:rsidRPr="00CB048A">
        <w:rPr>
          <w:rFonts w:cs="Times New Roman"/>
          <w:lang w:val="en-US"/>
        </w:rPr>
        <w:t xml:space="preserve">Unfortunately, even though </w:t>
      </w:r>
      <w:r w:rsidRPr="005A1699">
        <w:rPr>
          <w:lang w:val="en-US"/>
        </w:rPr>
        <w:t>neither</w:t>
      </w:r>
      <w:r w:rsidRPr="00CB048A">
        <w:rPr>
          <w:rFonts w:cs="Times New Roman"/>
          <w:lang w:val="en-US"/>
        </w:rPr>
        <w:t xml:space="preserve"> Crown nor defence counsel referred to the impugned evidence in their closing addresses, the learned trial judge accepted it at face value, without subjecting it to any scrutiny, and used it as an important piece of evidence in finding the appellant guilty.</w:t>
      </w:r>
    </w:p>
    <w:p w:rsidR="005A1699" w:rsidRPr="00CB048A" w:rsidRDefault="005A1699" w:rsidP="004D3730">
      <w:pPr>
        <w:pStyle w:val="ParaNoNdepar-AltN"/>
        <w:widowControl w:val="0"/>
        <w:numPr>
          <w:ilvl w:val="0"/>
          <w:numId w:val="10"/>
        </w:numPr>
        <w:tabs>
          <w:tab w:val="num" w:pos="1152"/>
        </w:tabs>
        <w:ind w:left="0" w:firstLine="0"/>
        <w:rPr>
          <w:rFonts w:cs="Times New Roman"/>
          <w:lang w:val="en-US"/>
        </w:rPr>
      </w:pPr>
      <w:r w:rsidRPr="00CB048A">
        <w:rPr>
          <w:rFonts w:cs="Times New Roman"/>
          <w:lang w:val="en-US"/>
        </w:rPr>
        <w:t xml:space="preserve">At the same time, the trial </w:t>
      </w:r>
      <w:r w:rsidRPr="005A1699">
        <w:rPr>
          <w:lang w:val="en-US"/>
        </w:rPr>
        <w:t>judge</w:t>
      </w:r>
      <w:r w:rsidRPr="00CB048A">
        <w:rPr>
          <w:rFonts w:cs="Times New Roman"/>
          <w:lang w:val="en-US"/>
        </w:rPr>
        <w:t xml:space="preserve"> subjected the testimony of the defence DNA expert, who testified that the impugned evidence was speculative and without scientific foundation, to intense scrutiny.</w:t>
      </w:r>
    </w:p>
    <w:p w:rsidR="005A1699" w:rsidRPr="00CB048A" w:rsidRDefault="005A1699" w:rsidP="004D3730">
      <w:pPr>
        <w:pStyle w:val="ParaNoNdepar-AltN"/>
        <w:widowControl w:val="0"/>
        <w:numPr>
          <w:ilvl w:val="0"/>
          <w:numId w:val="10"/>
        </w:numPr>
        <w:tabs>
          <w:tab w:val="num" w:pos="1152"/>
        </w:tabs>
        <w:ind w:left="0" w:firstLine="0"/>
        <w:rPr>
          <w:rFonts w:cs="Times New Roman"/>
          <w:lang w:val="en-US"/>
        </w:rPr>
      </w:pPr>
      <w:r w:rsidRPr="00CB048A">
        <w:rPr>
          <w:rFonts w:cs="Times New Roman"/>
          <w:lang w:val="en-US"/>
        </w:rPr>
        <w:t xml:space="preserve">In our respectful view, the </w:t>
      </w:r>
      <w:r w:rsidRPr="005A1699">
        <w:rPr>
          <w:lang w:val="en-US"/>
        </w:rPr>
        <w:t>materially</w:t>
      </w:r>
      <w:r w:rsidRPr="00CB048A">
        <w:rPr>
          <w:rFonts w:cs="Times New Roman"/>
          <w:lang w:val="en-US"/>
        </w:rPr>
        <w:t xml:space="preserve"> different levels of scrutiny to which the evidence of the two experts was subjected — none for the Crown expert and intense for the defence expert — was unwarranted, and it tended to shift the burden of proof </w:t>
      </w:r>
      <w:r w:rsidRPr="00CB048A">
        <w:rPr>
          <w:rFonts w:cs="Times New Roman"/>
          <w:lang w:val="en-US"/>
        </w:rPr>
        <w:lastRenderedPageBreak/>
        <w:t>onto the appellant.</w:t>
      </w:r>
    </w:p>
    <w:p w:rsidR="005A1699" w:rsidRPr="00CB048A" w:rsidRDefault="005A1699" w:rsidP="004D3730">
      <w:pPr>
        <w:pStyle w:val="ParaNoNdepar-AltN"/>
        <w:widowControl w:val="0"/>
        <w:numPr>
          <w:ilvl w:val="0"/>
          <w:numId w:val="10"/>
        </w:numPr>
        <w:tabs>
          <w:tab w:val="num" w:pos="1152"/>
        </w:tabs>
        <w:ind w:left="0" w:firstLine="0"/>
        <w:rPr>
          <w:rFonts w:cs="Times New Roman"/>
          <w:lang w:val="en-US"/>
        </w:rPr>
      </w:pPr>
      <w:r w:rsidRPr="00CB048A">
        <w:rPr>
          <w:rFonts w:cs="Times New Roman"/>
          <w:lang w:val="en-US"/>
        </w:rPr>
        <w:t xml:space="preserve">In these circumstances, we feel obliged to quash the conviction and order a new trial.  In so concluding, we note that the Crown did not request that we apply the curative proviso. In any event, given the importance that the trial judge placed on the impugned evidence in finding the appellant guilty, we cannot say that the verdict would necessarily have been the same had she not done so. </w:t>
      </w:r>
    </w:p>
    <w:p w:rsidR="005A1699" w:rsidRDefault="005A1699" w:rsidP="004D3730">
      <w:pPr>
        <w:pStyle w:val="ParaNoNdepar-AltN"/>
        <w:widowControl w:val="0"/>
        <w:numPr>
          <w:ilvl w:val="0"/>
          <w:numId w:val="10"/>
        </w:numPr>
        <w:tabs>
          <w:tab w:val="num" w:pos="1152"/>
        </w:tabs>
        <w:ind w:left="0" w:firstLine="0"/>
      </w:pPr>
      <w:r w:rsidRPr="00CB048A">
        <w:rPr>
          <w:rFonts w:cs="Times New Roman"/>
          <w:lang w:val="en-US"/>
        </w:rPr>
        <w:t xml:space="preserve">In the result, we would </w:t>
      </w:r>
      <w:r w:rsidRPr="005A1699">
        <w:rPr>
          <w:lang w:val="en-US"/>
        </w:rPr>
        <w:t>allow</w:t>
      </w:r>
      <w:r w:rsidRPr="00CB048A">
        <w:rPr>
          <w:rFonts w:cs="Times New Roman"/>
          <w:lang w:val="en-US"/>
        </w:rPr>
        <w:t xml:space="preserve"> the appeal, quash the conviction and order a new trial.</w:t>
      </w:r>
    </w:p>
    <w:p w:rsidR="009B57B3" w:rsidRPr="005A1699" w:rsidRDefault="009B57B3" w:rsidP="00FC4EFB">
      <w:pPr>
        <w:pStyle w:val="SCCNormalDoubleSpacing"/>
        <w:rPr>
          <w:i/>
        </w:rPr>
      </w:pPr>
      <w:r w:rsidRPr="001426A9">
        <w:tab/>
      </w:r>
      <w:r w:rsidR="005A1699" w:rsidRPr="005A1699">
        <w:rPr>
          <w:i/>
        </w:rPr>
        <w:t>Judgment accordingly.</w:t>
      </w:r>
    </w:p>
    <w:p w:rsidR="00A149DF" w:rsidRPr="001426A9" w:rsidRDefault="00A149DF" w:rsidP="00FC4EFB">
      <w:pPr>
        <w:pStyle w:val="SCCNormalDoubleSpacing"/>
      </w:pPr>
    </w:p>
    <w:p w:rsidR="004D6DED" w:rsidRDefault="00B413B0">
      <w:pPr>
        <w:pStyle w:val="SCCLawFirm"/>
      </w:pPr>
      <w:r>
        <w:tab/>
        <w:t>Solicitor</w:t>
      </w:r>
      <w:r w:rsidR="00562064">
        <w:t>s</w:t>
      </w:r>
      <w:r>
        <w:t xml:space="preserve"> for the</w:t>
      </w:r>
      <w:r w:rsidR="00562064">
        <w:t xml:space="preserve"> appellant:  Beresh Aloneissi O’</w:t>
      </w:r>
      <w:r>
        <w:t>Neill Hurley O</w:t>
      </w:r>
      <w:r w:rsidR="00F22664">
        <w:t>’</w:t>
      </w:r>
      <w:r>
        <w:t>Keefe Millsap, Edmonton.</w:t>
      </w:r>
    </w:p>
    <w:p w:rsidR="004D6DED" w:rsidRDefault="004D6DED">
      <w:pPr>
        <w:pStyle w:val="SCCLawFirm"/>
      </w:pPr>
    </w:p>
    <w:p w:rsidR="004D6DED" w:rsidRDefault="00B413B0">
      <w:pPr>
        <w:pStyle w:val="SCCLawFirm"/>
      </w:pPr>
      <w:r>
        <w:tab/>
        <w:t>Solicitor</w:t>
      </w:r>
      <w:r w:rsidR="00562064">
        <w:t xml:space="preserve"> </w:t>
      </w:r>
      <w:r>
        <w:t>for the respondent:  Alberta Department of Justice, Edmonton.</w:t>
      </w:r>
    </w:p>
    <w:p w:rsidR="009B57B3" w:rsidRPr="00A45D2E" w:rsidRDefault="009B57B3" w:rsidP="007B6F4A">
      <w:pPr>
        <w:rPr>
          <w:lang w:val="en-US"/>
        </w:rPr>
      </w:pPr>
    </w:p>
    <w:sectPr w:rsidR="009B57B3" w:rsidRPr="00A45D2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E3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F874622"/>
    <w:multiLevelType w:val="hybridMultilevel"/>
    <w:tmpl w:val="7D8A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A3177"/>
    <w:multiLevelType w:val="multilevel"/>
    <w:tmpl w:val="9BAA5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5B320F4"/>
    <w:multiLevelType w:val="multilevel"/>
    <w:tmpl w:val="B3869C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8F7020"/>
    <w:multiLevelType w:val="hybridMultilevel"/>
    <w:tmpl w:val="9D64B6DE"/>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A1B"/>
    <w:rsid w:val="00025198"/>
    <w:rsid w:val="0003001B"/>
    <w:rsid w:val="00036ABB"/>
    <w:rsid w:val="000578A3"/>
    <w:rsid w:val="000648CC"/>
    <w:rsid w:val="000C59B8"/>
    <w:rsid w:val="000C6AF0"/>
    <w:rsid w:val="00104F33"/>
    <w:rsid w:val="00111DE2"/>
    <w:rsid w:val="00116B38"/>
    <w:rsid w:val="00124307"/>
    <w:rsid w:val="00135406"/>
    <w:rsid w:val="00135972"/>
    <w:rsid w:val="001426A9"/>
    <w:rsid w:val="00154D7C"/>
    <w:rsid w:val="001570B0"/>
    <w:rsid w:val="0015752C"/>
    <w:rsid w:val="00157737"/>
    <w:rsid w:val="00165277"/>
    <w:rsid w:val="00170592"/>
    <w:rsid w:val="001800A1"/>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D4C81"/>
    <w:rsid w:val="002E6705"/>
    <w:rsid w:val="002F416B"/>
    <w:rsid w:val="00301D08"/>
    <w:rsid w:val="0030329A"/>
    <w:rsid w:val="0031086F"/>
    <w:rsid w:val="0031414C"/>
    <w:rsid w:val="00314E01"/>
    <w:rsid w:val="0032089D"/>
    <w:rsid w:val="003310DE"/>
    <w:rsid w:val="003323B0"/>
    <w:rsid w:val="00334F02"/>
    <w:rsid w:val="0035169A"/>
    <w:rsid w:val="0035259D"/>
    <w:rsid w:val="00364B18"/>
    <w:rsid w:val="00396026"/>
    <w:rsid w:val="003A125D"/>
    <w:rsid w:val="003A4C70"/>
    <w:rsid w:val="003B215F"/>
    <w:rsid w:val="003C799C"/>
    <w:rsid w:val="003D0399"/>
    <w:rsid w:val="003E1C71"/>
    <w:rsid w:val="003F327B"/>
    <w:rsid w:val="00406166"/>
    <w:rsid w:val="0040704B"/>
    <w:rsid w:val="00410A55"/>
    <w:rsid w:val="00411300"/>
    <w:rsid w:val="00415417"/>
    <w:rsid w:val="00424A1A"/>
    <w:rsid w:val="00426659"/>
    <w:rsid w:val="00450352"/>
    <w:rsid w:val="00454BDB"/>
    <w:rsid w:val="00464800"/>
    <w:rsid w:val="00465132"/>
    <w:rsid w:val="00480C90"/>
    <w:rsid w:val="0048396F"/>
    <w:rsid w:val="00493C18"/>
    <w:rsid w:val="004A600C"/>
    <w:rsid w:val="004A6118"/>
    <w:rsid w:val="004C478D"/>
    <w:rsid w:val="004D3730"/>
    <w:rsid w:val="004D6DED"/>
    <w:rsid w:val="004E2C26"/>
    <w:rsid w:val="004F36FF"/>
    <w:rsid w:val="005125A8"/>
    <w:rsid w:val="00521AE8"/>
    <w:rsid w:val="00527180"/>
    <w:rsid w:val="0054201E"/>
    <w:rsid w:val="00555291"/>
    <w:rsid w:val="00562064"/>
    <w:rsid w:val="00562D4D"/>
    <w:rsid w:val="00566AD1"/>
    <w:rsid w:val="00583EDE"/>
    <w:rsid w:val="005A1699"/>
    <w:rsid w:val="005A6079"/>
    <w:rsid w:val="005B3F46"/>
    <w:rsid w:val="005C6192"/>
    <w:rsid w:val="005E4698"/>
    <w:rsid w:val="00605DF3"/>
    <w:rsid w:val="00610539"/>
    <w:rsid w:val="00613969"/>
    <w:rsid w:val="00625C35"/>
    <w:rsid w:val="00656313"/>
    <w:rsid w:val="006565F4"/>
    <w:rsid w:val="00684EEA"/>
    <w:rsid w:val="0069689B"/>
    <w:rsid w:val="006A1551"/>
    <w:rsid w:val="006B5FF5"/>
    <w:rsid w:val="006F2DAA"/>
    <w:rsid w:val="006F30AF"/>
    <w:rsid w:val="00701759"/>
    <w:rsid w:val="00705C15"/>
    <w:rsid w:val="0071600E"/>
    <w:rsid w:val="007208D1"/>
    <w:rsid w:val="00747288"/>
    <w:rsid w:val="00747DD3"/>
    <w:rsid w:val="007549C8"/>
    <w:rsid w:val="00754A0B"/>
    <w:rsid w:val="00757234"/>
    <w:rsid w:val="00766D14"/>
    <w:rsid w:val="00767A0F"/>
    <w:rsid w:val="007A05F6"/>
    <w:rsid w:val="007B6F4A"/>
    <w:rsid w:val="007E1C47"/>
    <w:rsid w:val="007E337A"/>
    <w:rsid w:val="007E5C70"/>
    <w:rsid w:val="007F2FF5"/>
    <w:rsid w:val="007F3F08"/>
    <w:rsid w:val="00804CC6"/>
    <w:rsid w:val="00805ABB"/>
    <w:rsid w:val="00817190"/>
    <w:rsid w:val="00820EE5"/>
    <w:rsid w:val="008260E2"/>
    <w:rsid w:val="008322BD"/>
    <w:rsid w:val="00833E0A"/>
    <w:rsid w:val="00834F73"/>
    <w:rsid w:val="00864CF8"/>
    <w:rsid w:val="00872819"/>
    <w:rsid w:val="00874914"/>
    <w:rsid w:val="00891422"/>
    <w:rsid w:val="00891D64"/>
    <w:rsid w:val="00892E1A"/>
    <w:rsid w:val="008A26C8"/>
    <w:rsid w:val="008A3F29"/>
    <w:rsid w:val="008B660A"/>
    <w:rsid w:val="008C01DA"/>
    <w:rsid w:val="008F6C60"/>
    <w:rsid w:val="008F78E9"/>
    <w:rsid w:val="00911989"/>
    <w:rsid w:val="009179F9"/>
    <w:rsid w:val="00933E5E"/>
    <w:rsid w:val="00935218"/>
    <w:rsid w:val="009403F3"/>
    <w:rsid w:val="009555B7"/>
    <w:rsid w:val="009567AA"/>
    <w:rsid w:val="00967374"/>
    <w:rsid w:val="009A343A"/>
    <w:rsid w:val="009B2F23"/>
    <w:rsid w:val="009B3F40"/>
    <w:rsid w:val="009B57B3"/>
    <w:rsid w:val="009C5B92"/>
    <w:rsid w:val="009D2920"/>
    <w:rsid w:val="009D5AEB"/>
    <w:rsid w:val="009F0E33"/>
    <w:rsid w:val="00A030CE"/>
    <w:rsid w:val="00A149DF"/>
    <w:rsid w:val="00A1755C"/>
    <w:rsid w:val="00A21B90"/>
    <w:rsid w:val="00A41805"/>
    <w:rsid w:val="00A42DCD"/>
    <w:rsid w:val="00A45D2E"/>
    <w:rsid w:val="00A52AFB"/>
    <w:rsid w:val="00A548CB"/>
    <w:rsid w:val="00A5521C"/>
    <w:rsid w:val="00A643E7"/>
    <w:rsid w:val="00A73C38"/>
    <w:rsid w:val="00AB670D"/>
    <w:rsid w:val="00AE3836"/>
    <w:rsid w:val="00AE4535"/>
    <w:rsid w:val="00AF03C5"/>
    <w:rsid w:val="00B000D8"/>
    <w:rsid w:val="00B00F75"/>
    <w:rsid w:val="00B145B6"/>
    <w:rsid w:val="00B279EB"/>
    <w:rsid w:val="00B413B0"/>
    <w:rsid w:val="00B50C81"/>
    <w:rsid w:val="00B557F8"/>
    <w:rsid w:val="00B815FC"/>
    <w:rsid w:val="00B93FBC"/>
    <w:rsid w:val="00BA7DA0"/>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E5FEA"/>
    <w:rsid w:val="00CF1601"/>
    <w:rsid w:val="00D007CB"/>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3394"/>
    <w:rsid w:val="00E56A44"/>
    <w:rsid w:val="00E60269"/>
    <w:rsid w:val="00E77932"/>
    <w:rsid w:val="00E97830"/>
    <w:rsid w:val="00E97DE1"/>
    <w:rsid w:val="00EE643C"/>
    <w:rsid w:val="00EF0683"/>
    <w:rsid w:val="00EF69D2"/>
    <w:rsid w:val="00EF766E"/>
    <w:rsid w:val="00F0070C"/>
    <w:rsid w:val="00F00EB7"/>
    <w:rsid w:val="00F22664"/>
    <w:rsid w:val="00F363EB"/>
    <w:rsid w:val="00F36AB6"/>
    <w:rsid w:val="00F37A09"/>
    <w:rsid w:val="00F409CE"/>
    <w:rsid w:val="00F4379D"/>
    <w:rsid w:val="00F50D2D"/>
    <w:rsid w:val="00F56C8B"/>
    <w:rsid w:val="00F61090"/>
    <w:rsid w:val="00F66810"/>
    <w:rsid w:val="00F846D9"/>
    <w:rsid w:val="00F84DF4"/>
    <w:rsid w:val="00F85C97"/>
    <w:rsid w:val="00FB2E72"/>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5A1699"/>
    <w:pPr>
      <w:tabs>
        <w:tab w:val="num" w:pos="1152"/>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5A1699"/>
    <w:rPr>
      <w:rFonts w:eastAsiaTheme="minorEastAsia" w:cstheme="minorBidi"/>
      <w:sz w:val="24"/>
      <w:szCs w:val="22"/>
      <w:lang w:eastAsia="en-US"/>
    </w:rPr>
  </w:style>
  <w:style w:type="paragraph" w:styleId="ListParagraph">
    <w:name w:val="List Paragraph"/>
    <w:basedOn w:val="Normal"/>
    <w:uiPriority w:val="34"/>
    <w:qFormat/>
    <w:rsid w:val="00A45D2E"/>
    <w:pPr>
      <w:ind w:left="720"/>
      <w:contextualSpacing/>
    </w:pPr>
  </w:style>
  <w:style w:type="table" w:styleId="TableGrid">
    <w:name w:val="Table Grid"/>
    <w:basedOn w:val="TableNormal"/>
    <w:uiPriority w:val="59"/>
    <w:rsid w:val="00805AB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05ABB"/>
    <w:rPr>
      <w:szCs w:val="24"/>
      <w:lang w:val="en-CA"/>
    </w:rPr>
  </w:style>
  <w:style w:type="paragraph" w:customStyle="1" w:styleId="SCCLsocPrefix">
    <w:name w:val="SCC.Lsoc.Prefix"/>
    <w:basedOn w:val="Normal"/>
    <w:next w:val="Normal"/>
    <w:link w:val="SCCLsocPrefixChar"/>
    <w:rsid w:val="00805ABB"/>
    <w:rPr>
      <w:rFonts w:eastAsiaTheme="minorHAnsi" w:cstheme="minorBidi"/>
      <w:b/>
      <w:smallCaps/>
      <w:szCs w:val="24"/>
      <w:lang w:eastAsia="en-US"/>
    </w:rPr>
  </w:style>
  <w:style w:type="character" w:customStyle="1" w:styleId="SCCLsocPrefixChar">
    <w:name w:val="SCC.Lsoc.Prefix Char"/>
    <w:basedOn w:val="DefaultParagraphFont"/>
    <w:link w:val="SCCLsocPrefix"/>
    <w:rsid w:val="00805ABB"/>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2017-03-06T15:56:00Z</dcterms:created>
  <dcterms:modified xsi:type="dcterms:W3CDTF">2017-10-17T18:39:00Z</dcterms:modified>
</cp:coreProperties>
</file>