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F80" w:rsidRDefault="00583F80" w:rsidP="00583F80">
      <w:pPr>
        <w:pStyle w:val="Header"/>
      </w:pPr>
      <w:r>
        <w:ptab w:relativeTo="margin" w:alignment="center" w:leader="none"/>
      </w:r>
      <w:r w:rsidRPr="00F72014">
        <w:t xml:space="preserve"> </w:t>
      </w:r>
      <w:r>
        <w:object w:dxaOrig="1365" w:dyaOrig="1440">
          <v:shape id="_x0000_i1028" type="#_x0000_t75" style="width:61.65pt;height:64.65pt" o:ole="">
            <v:imagedata r:id="rId8" o:title=""/>
          </v:shape>
          <o:OLEObject Type="Embed" ProgID="Presentations.Drawing.13" ShapeID="_x0000_i1028" DrawAspect="Content" ObjectID="_1569844613" r:id="rId9"/>
        </w:object>
      </w:r>
      <w:r>
        <w:t xml:space="preserve"> </w:t>
      </w:r>
      <w:r>
        <w:ptab w:relativeTo="margin" w:alignment="right" w:leader="none"/>
      </w:r>
    </w:p>
    <w:p w:rsidR="00583F80" w:rsidRDefault="00583F80" w:rsidP="00583F80">
      <w:pPr>
        <w:pStyle w:val="Header"/>
      </w:pPr>
    </w:p>
    <w:p w:rsidR="00583F80" w:rsidRPr="006B210C" w:rsidRDefault="00583F80" w:rsidP="00583F80">
      <w:pPr>
        <w:jc w:val="center"/>
        <w:rPr>
          <w:b/>
        </w:rPr>
      </w:pPr>
      <w:r w:rsidRPr="006B210C">
        <w:rPr>
          <w:b/>
        </w:rPr>
        <w:t>SUPREME COURT OF CANADA</w:t>
      </w:r>
    </w:p>
    <w:p w:rsidR="00583F80" w:rsidRDefault="00583F80" w:rsidP="00583F80"/>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529"/>
        <w:gridCol w:w="4047"/>
      </w:tblGrid>
      <w:tr w:rsidR="00583F80" w:rsidRPr="006B210C" w:rsidTr="00B964C8">
        <w:trPr>
          <w:cantSplit/>
        </w:trPr>
        <w:tc>
          <w:tcPr>
            <w:tcW w:w="5529" w:type="dxa"/>
          </w:tcPr>
          <w:p w:rsidR="00583F80" w:rsidRPr="00CC5A06" w:rsidRDefault="00583F80" w:rsidP="00B964C8">
            <w:pPr>
              <w:rPr>
                <w:lang w:val="fr-CA"/>
              </w:rPr>
            </w:pPr>
            <w:r w:rsidRPr="006B210C">
              <w:rPr>
                <w:b/>
                <w:smallCaps/>
              </w:rPr>
              <w:t>Citation</w:t>
            </w:r>
            <w:r>
              <w:rPr>
                <w:b/>
                <w:smallCaps/>
              </w:rPr>
              <w:t>:</w:t>
            </w:r>
            <w:r w:rsidRPr="006B210C">
              <w:t xml:space="preserve"> </w:t>
            </w:r>
            <w:r w:rsidRPr="00CC5A06">
              <w:t xml:space="preserve">R. </w:t>
            </w:r>
            <w:r w:rsidRPr="00CC5A06">
              <w:rPr>
                <w:i/>
              </w:rPr>
              <w:t>v.</w:t>
            </w:r>
            <w:r w:rsidRPr="00CC5A06">
              <w:t xml:space="preserve"> </w:t>
            </w:r>
            <w:r w:rsidRPr="00583F80">
              <w:rPr>
                <w:rStyle w:val="SCCAppellantForIndexChar"/>
                <w:rFonts w:eastAsiaTheme="minorHAnsi"/>
                <w:b w:val="0"/>
              </w:rPr>
              <w:t>Oland,</w:t>
            </w:r>
            <w:r w:rsidRPr="00CC5A06">
              <w:t xml:space="preserve"> </w:t>
            </w:r>
            <w:r>
              <w:t>2017 SCC 17, [2017] 1 S.C.R. 250</w:t>
            </w:r>
          </w:p>
        </w:tc>
        <w:tc>
          <w:tcPr>
            <w:tcW w:w="4047" w:type="dxa"/>
          </w:tcPr>
          <w:p w:rsidR="00583F80" w:rsidRDefault="00583F80" w:rsidP="00B964C8">
            <w:r>
              <w:rPr>
                <w:b/>
                <w:smallCaps/>
              </w:rPr>
              <w:t>Appeal heard:</w:t>
            </w:r>
            <w:r w:rsidRPr="006B210C">
              <w:t xml:space="preserve"> </w:t>
            </w:r>
            <w:r>
              <w:t>October 31, 2016</w:t>
            </w:r>
          </w:p>
          <w:p w:rsidR="00583F80" w:rsidRPr="006B210C" w:rsidRDefault="00583F80" w:rsidP="00B964C8">
            <w:r>
              <w:rPr>
                <w:b/>
                <w:smallCaps/>
              </w:rPr>
              <w:t>Judgment rendered:</w:t>
            </w:r>
            <w:r w:rsidRPr="006B210C">
              <w:t xml:space="preserve"> </w:t>
            </w:r>
            <w:r>
              <w:t xml:space="preserve">March </w:t>
            </w:r>
            <w:r w:rsidRPr="009757E4">
              <w:t>23</w:t>
            </w:r>
            <w:r>
              <w:t>, 2017</w:t>
            </w:r>
          </w:p>
          <w:p w:rsidR="00583F80" w:rsidRPr="006B210C" w:rsidRDefault="00583F80" w:rsidP="00B964C8">
            <w:r w:rsidRPr="006B210C">
              <w:rPr>
                <w:b/>
                <w:smallCaps/>
              </w:rPr>
              <w:t>Docket</w:t>
            </w:r>
            <w:r>
              <w:rPr>
                <w:b/>
                <w:smallCaps/>
              </w:rPr>
              <w:t>:</w:t>
            </w:r>
            <w:r w:rsidRPr="006B210C">
              <w:t xml:space="preserve"> </w:t>
            </w:r>
            <w:r>
              <w:t>36986</w:t>
            </w:r>
          </w:p>
        </w:tc>
      </w:tr>
    </w:tbl>
    <w:p w:rsidR="00583F80" w:rsidRPr="006B210C" w:rsidRDefault="00583F80" w:rsidP="00583F80"/>
    <w:p w:rsidR="00583F80" w:rsidRDefault="00583F80" w:rsidP="00583F80">
      <w:pPr>
        <w:pStyle w:val="SCCLsocPrefix"/>
      </w:pPr>
      <w:r>
        <w:t>Between:</w:t>
      </w:r>
      <w:bookmarkStart w:id="0" w:name="_GoBack"/>
      <w:bookmarkEnd w:id="0"/>
    </w:p>
    <w:p w:rsidR="00583F80" w:rsidRPr="00CC5A06" w:rsidRDefault="00583F80" w:rsidP="00583F80">
      <w:pPr>
        <w:pStyle w:val="SCCLsocParty"/>
        <w:jc w:val="center"/>
      </w:pPr>
      <w:r>
        <w:t>Dennis James Oland</w:t>
      </w:r>
    </w:p>
    <w:p w:rsidR="00583F80" w:rsidRDefault="00583F80" w:rsidP="00583F80">
      <w:pPr>
        <w:jc w:val="center"/>
      </w:pPr>
      <w:r>
        <w:t>Appellant</w:t>
      </w:r>
    </w:p>
    <w:p w:rsidR="00583F80" w:rsidRPr="00CC5A06" w:rsidRDefault="00583F80" w:rsidP="00583F80">
      <w:pPr>
        <w:jc w:val="center"/>
      </w:pPr>
    </w:p>
    <w:p w:rsidR="00583F80" w:rsidRPr="00583F80" w:rsidRDefault="00583F80" w:rsidP="00583F80">
      <w:pPr>
        <w:pStyle w:val="SCCLsocVersus"/>
        <w:spacing w:after="0"/>
        <w:jc w:val="center"/>
        <w:rPr>
          <w:i w:val="0"/>
        </w:rPr>
      </w:pPr>
      <w:r w:rsidRPr="00583F80">
        <w:rPr>
          <w:i w:val="0"/>
        </w:rPr>
        <w:t>and</w:t>
      </w:r>
    </w:p>
    <w:p w:rsidR="00583F80" w:rsidRPr="00CC5A06" w:rsidRDefault="00583F80" w:rsidP="00583F80">
      <w:pPr>
        <w:jc w:val="center"/>
      </w:pPr>
    </w:p>
    <w:p w:rsidR="00583F80" w:rsidRPr="00CC5A06" w:rsidRDefault="00583F80" w:rsidP="00583F80">
      <w:pPr>
        <w:pStyle w:val="SCCLsocParty"/>
        <w:jc w:val="center"/>
      </w:pPr>
      <w:r>
        <w:t>Her Majesty The Queen</w:t>
      </w:r>
    </w:p>
    <w:p w:rsidR="00583F80" w:rsidRDefault="00583F80" w:rsidP="00583F80">
      <w:pPr>
        <w:jc w:val="center"/>
      </w:pPr>
      <w:r>
        <w:t>Respondent</w:t>
      </w:r>
    </w:p>
    <w:p w:rsidR="00583F80" w:rsidRDefault="00583F80" w:rsidP="00583F80">
      <w:pPr>
        <w:jc w:val="center"/>
      </w:pPr>
    </w:p>
    <w:p w:rsidR="00583F80" w:rsidRDefault="00583F80" w:rsidP="00583F80">
      <w:pPr>
        <w:jc w:val="center"/>
      </w:pPr>
      <w:r>
        <w:t>- and -</w:t>
      </w:r>
    </w:p>
    <w:p w:rsidR="00583F80" w:rsidRPr="00CC5A06" w:rsidRDefault="00583F80" w:rsidP="00583F80">
      <w:pPr>
        <w:jc w:val="center"/>
      </w:pPr>
    </w:p>
    <w:p w:rsidR="00583F80" w:rsidRPr="00CC5A06" w:rsidRDefault="00583F80" w:rsidP="00583F80">
      <w:pPr>
        <w:pStyle w:val="SCCLsocParty"/>
        <w:jc w:val="center"/>
      </w:pPr>
      <w:r>
        <w:t>Attorney General of Ontario, Attorney General of British Columbia, Attorney General of Alberta and Criminal Lawyers’ Association (Ontario)</w:t>
      </w:r>
    </w:p>
    <w:p w:rsidR="00583F80" w:rsidRDefault="00583F80" w:rsidP="00583F80">
      <w:pPr>
        <w:jc w:val="center"/>
      </w:pPr>
      <w:r>
        <w:t>Interveners</w:t>
      </w:r>
    </w:p>
    <w:p w:rsidR="00583F80" w:rsidRDefault="00583F80" w:rsidP="00583F80"/>
    <w:p w:rsidR="00583F80" w:rsidRPr="006B210C" w:rsidRDefault="00583F80" w:rsidP="00583F80"/>
    <w:p w:rsidR="00583F80" w:rsidRPr="00CC5A06" w:rsidRDefault="00583F80" w:rsidP="00583F80">
      <w:pPr>
        <w:rPr>
          <w:smallCaps/>
        </w:rPr>
      </w:pPr>
    </w:p>
    <w:p w:rsidR="00583F80" w:rsidRPr="006B210C" w:rsidRDefault="00583F80" w:rsidP="00583F80"/>
    <w:p w:rsidR="00583F80" w:rsidRPr="006B210C" w:rsidRDefault="00583F80" w:rsidP="00583F80">
      <w:r w:rsidRPr="006B210C">
        <w:rPr>
          <w:b/>
          <w:smallCaps/>
        </w:rPr>
        <w:t>Coram</w:t>
      </w:r>
      <w:r>
        <w:rPr>
          <w:b/>
          <w:smallCaps/>
        </w:rPr>
        <w:t>:</w:t>
      </w:r>
      <w:r w:rsidRPr="006B210C">
        <w:t xml:space="preserve"> </w:t>
      </w:r>
      <w:r>
        <w:t>McLachlin C.J. and Abella, Moldaver, Karakatsanis, Wagner, Gascon, Côté, Brown and Rowe JJ.</w:t>
      </w:r>
    </w:p>
    <w:p w:rsidR="00583F80" w:rsidRPr="006B210C" w:rsidRDefault="00583F80" w:rsidP="00583F8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583F80" w:rsidRPr="006B210C" w:rsidTr="00B964C8">
        <w:trPr>
          <w:cantSplit/>
        </w:trPr>
        <w:tc>
          <w:tcPr>
            <w:tcW w:w="3618" w:type="dxa"/>
          </w:tcPr>
          <w:p w:rsidR="00583F80" w:rsidRDefault="00583F80" w:rsidP="00B964C8">
            <w:pPr>
              <w:rPr>
                <w:b/>
                <w:smallCaps/>
              </w:rPr>
            </w:pPr>
            <w:r>
              <w:rPr>
                <w:b/>
                <w:smallCaps/>
              </w:rPr>
              <w:t>Reasons for j</w:t>
            </w:r>
            <w:r w:rsidRPr="006B210C">
              <w:rPr>
                <w:b/>
                <w:smallCaps/>
              </w:rPr>
              <w:t>udgment</w:t>
            </w:r>
            <w:r>
              <w:rPr>
                <w:b/>
                <w:smallCaps/>
              </w:rPr>
              <w:t>:</w:t>
            </w:r>
          </w:p>
          <w:p w:rsidR="00583F80" w:rsidRPr="006B210C" w:rsidRDefault="00583F80" w:rsidP="00B964C8">
            <w:r>
              <w:t xml:space="preserve">(paras. 1 to </w:t>
            </w:r>
            <w:r w:rsidRPr="009757E4">
              <w:t>70</w:t>
            </w:r>
            <w:r>
              <w:t>)</w:t>
            </w:r>
          </w:p>
        </w:tc>
        <w:tc>
          <w:tcPr>
            <w:tcW w:w="5958" w:type="dxa"/>
          </w:tcPr>
          <w:p w:rsidR="00583F80" w:rsidRPr="006B210C" w:rsidRDefault="00583F80" w:rsidP="00B964C8">
            <w:r>
              <w:t>Moldaver J. (McLachlin C.J. and Abella, Karakatsanis, Wagner, Gascon, Côté, Brown and Rowe JJ. concurring)</w:t>
            </w:r>
          </w:p>
        </w:tc>
      </w:tr>
    </w:tbl>
    <w:p w:rsidR="00583F80" w:rsidRDefault="00583F80" w:rsidP="00583F80"/>
    <w:p w:rsidR="00583F80" w:rsidRPr="006B210C" w:rsidRDefault="00583F80" w:rsidP="00583F80">
      <w:r>
        <w:rPr>
          <w:noProof/>
          <w:lang w:val="en-US"/>
        </w:rPr>
        <mc:AlternateContent>
          <mc:Choice Requires="wps">
            <w:drawing>
              <wp:anchor distT="0" distB="0" distL="114300" distR="114300" simplePos="0" relativeHeight="251659264" behindDoc="0" locked="0" layoutInCell="1" allowOverlap="1" wp14:anchorId="4BFAB960" wp14:editId="6CA67B87">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B5083D"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583F80" w:rsidRPr="00583F80" w:rsidRDefault="00583F80" w:rsidP="002F42B8">
      <w:pPr>
        <w:spacing w:after="720"/>
        <w:jc w:val="both"/>
        <w:rPr>
          <w:rStyle w:val="SCCAppellantForRunningHeadChar"/>
          <w:smallCaps w:val="0"/>
        </w:rPr>
      </w:pPr>
    </w:p>
    <w:p w:rsidR="008322BD" w:rsidRPr="004F540D" w:rsidRDefault="004F540D" w:rsidP="002F42B8">
      <w:pPr>
        <w:spacing w:after="720"/>
        <w:jc w:val="both"/>
        <w:rPr>
          <w:smallCaps/>
          <w:lang w:val="en-US"/>
        </w:rPr>
      </w:pPr>
      <w:r w:rsidRPr="004F540D">
        <w:rPr>
          <w:rStyle w:val="SCCAppellantForRunningHeadChar"/>
          <w:smallCaps w:val="0"/>
          <w:lang w:val="en-US"/>
        </w:rPr>
        <w:t>R</w:t>
      </w:r>
      <w:r w:rsidR="00CC4849" w:rsidRPr="004F540D">
        <w:rPr>
          <w:rStyle w:val="SCCAppellantForRunningHeadChar"/>
          <w:smallCaps w:val="0"/>
          <w:lang w:val="en-US"/>
        </w:rPr>
        <w:t xml:space="preserve">. </w:t>
      </w:r>
      <w:r w:rsidR="00CC4849" w:rsidRPr="004F540D">
        <w:rPr>
          <w:i/>
          <w:lang w:val="en-US"/>
        </w:rPr>
        <w:t>v.</w:t>
      </w:r>
      <w:r w:rsidR="00CC4849" w:rsidRPr="004F540D">
        <w:rPr>
          <w:smallCaps/>
          <w:lang w:val="en-US"/>
        </w:rPr>
        <w:t xml:space="preserve"> </w:t>
      </w:r>
      <w:r w:rsidRPr="004F540D">
        <w:rPr>
          <w:rStyle w:val="SCCAppellantForRunningHeadChar"/>
          <w:smallCaps w:val="0"/>
          <w:lang w:val="en-US"/>
        </w:rPr>
        <w:t>O</w:t>
      </w:r>
      <w:r w:rsidR="008F78E9" w:rsidRPr="004F540D">
        <w:rPr>
          <w:rStyle w:val="SCCAppellantForRunningHeadChar"/>
          <w:smallCaps w:val="0"/>
          <w:lang w:val="en-US"/>
        </w:rPr>
        <w:t>land</w:t>
      </w:r>
      <w:r w:rsidRPr="004F540D">
        <w:rPr>
          <w:rStyle w:val="SCCAppellantForRunningHeadChar"/>
          <w:smallCaps w:val="0"/>
          <w:lang w:val="en-US"/>
        </w:rPr>
        <w:t xml:space="preserve">, </w:t>
      </w:r>
      <w:r w:rsidRPr="00236BC7">
        <w:t>2017 SCC </w:t>
      </w:r>
      <w:r>
        <w:t>17, [2017] 1 R.C.S. 250</w:t>
      </w:r>
    </w:p>
    <w:p w:rsidR="000D6158" w:rsidRPr="00236BC7" w:rsidRDefault="00584AF8">
      <w:pPr>
        <w:pStyle w:val="SCCLsocLastPartyInRole"/>
        <w:rPr>
          <w:lang w:val="fr-CA"/>
        </w:rPr>
      </w:pPr>
      <w:r w:rsidRPr="00236BC7">
        <w:rPr>
          <w:lang w:val="fr-CA"/>
        </w:rPr>
        <w:t>Dennis James Oland</w:t>
      </w:r>
      <w:r w:rsidRPr="00236BC7">
        <w:rPr>
          <w:rStyle w:val="SCCLsocPartyRole"/>
          <w:lang w:val="fr-CA"/>
        </w:rPr>
        <w:tab/>
        <w:t>Appellant</w:t>
      </w:r>
    </w:p>
    <w:p w:rsidR="000D6158" w:rsidRPr="00583F80" w:rsidRDefault="00584AF8">
      <w:pPr>
        <w:pStyle w:val="SCCLsocVersus"/>
        <w:rPr>
          <w:lang w:val="fr-CA"/>
        </w:rPr>
      </w:pPr>
      <w:r w:rsidRPr="00583F80">
        <w:rPr>
          <w:lang w:val="fr-CA"/>
        </w:rPr>
        <w:lastRenderedPageBreak/>
        <w:t>v.</w:t>
      </w:r>
    </w:p>
    <w:p w:rsidR="000D6158" w:rsidRPr="00236BC7" w:rsidRDefault="00CC4849">
      <w:pPr>
        <w:pStyle w:val="SCCLsocLastPartyInRole"/>
      </w:pPr>
      <w:r w:rsidRPr="00236BC7">
        <w:t xml:space="preserve">Her Majesty </w:t>
      </w:r>
      <w:r w:rsidR="00AD53C8">
        <w:t>T</w:t>
      </w:r>
      <w:r w:rsidR="00584AF8" w:rsidRPr="00236BC7">
        <w:t>he Queen</w:t>
      </w:r>
      <w:r w:rsidR="00584AF8" w:rsidRPr="00236BC7">
        <w:rPr>
          <w:rStyle w:val="SCCLsocPartyRole"/>
        </w:rPr>
        <w:tab/>
        <w:t>Respondent</w:t>
      </w:r>
    </w:p>
    <w:p w:rsidR="000D6158" w:rsidRPr="00236BC7" w:rsidRDefault="00584AF8">
      <w:pPr>
        <w:pStyle w:val="SCCLsocOtherPartySeparator"/>
      </w:pPr>
      <w:r w:rsidRPr="00236BC7">
        <w:t>and</w:t>
      </w:r>
    </w:p>
    <w:p w:rsidR="000D6158" w:rsidRPr="00236BC7" w:rsidRDefault="00584AF8">
      <w:pPr>
        <w:pStyle w:val="SCCLsocParty"/>
      </w:pPr>
      <w:r w:rsidRPr="00236BC7">
        <w:t>Attorney General of Ontario,</w:t>
      </w:r>
    </w:p>
    <w:p w:rsidR="000D6158" w:rsidRPr="00236BC7" w:rsidRDefault="00584AF8">
      <w:pPr>
        <w:pStyle w:val="SCCLsocParty"/>
      </w:pPr>
      <w:r w:rsidRPr="00236BC7">
        <w:t>Attorney General of British Columbia,</w:t>
      </w:r>
    </w:p>
    <w:p w:rsidR="000D6158" w:rsidRPr="00236BC7" w:rsidRDefault="00584AF8">
      <w:pPr>
        <w:pStyle w:val="SCCLsocParty"/>
      </w:pPr>
      <w:r w:rsidRPr="00236BC7">
        <w:t xml:space="preserve">Attorney General of </w:t>
      </w:r>
      <w:r w:rsidR="00235154" w:rsidRPr="00236BC7">
        <w:t>Alberta and</w:t>
      </w:r>
    </w:p>
    <w:p w:rsidR="000D6158" w:rsidRPr="00236BC7" w:rsidRDefault="00584AF8">
      <w:pPr>
        <w:pStyle w:val="SCCLsocLastPartyInRole"/>
      </w:pPr>
      <w:r w:rsidRPr="00236BC7">
        <w:t>Criminal Lawyers</w:t>
      </w:r>
      <w:r w:rsidR="00CC4849" w:rsidRPr="00236BC7">
        <w:t>’</w:t>
      </w:r>
      <w:r w:rsidRPr="00236BC7">
        <w:t xml:space="preserve"> Association (Ontario)</w:t>
      </w:r>
      <w:r w:rsidRPr="00236BC7">
        <w:rPr>
          <w:rStyle w:val="SCCLsocPartyRole"/>
        </w:rPr>
        <w:tab/>
        <w:t>Interveners</w:t>
      </w:r>
    </w:p>
    <w:p w:rsidR="00426659" w:rsidRPr="00236BC7" w:rsidRDefault="00426659" w:rsidP="002F42B8">
      <w:pPr>
        <w:spacing w:after="720"/>
        <w:jc w:val="both"/>
        <w:rPr>
          <w:b/>
        </w:rPr>
      </w:pPr>
      <w:r w:rsidRPr="00236BC7">
        <w:rPr>
          <w:b/>
        </w:rPr>
        <w:t xml:space="preserve">Indexed as: </w:t>
      </w:r>
      <w:r w:rsidR="00CC4849" w:rsidRPr="00236BC7">
        <w:rPr>
          <w:b/>
        </w:rPr>
        <w:t xml:space="preserve">R. </w:t>
      </w:r>
      <w:r w:rsidR="00CC4849" w:rsidRPr="00236BC7">
        <w:rPr>
          <w:b/>
          <w:i/>
        </w:rPr>
        <w:t>v.</w:t>
      </w:r>
      <w:r w:rsidR="00CC4849" w:rsidRPr="00236BC7">
        <w:rPr>
          <w:b/>
        </w:rPr>
        <w:t xml:space="preserve"> </w:t>
      </w:r>
      <w:r w:rsidRPr="00236BC7">
        <w:rPr>
          <w:rStyle w:val="SCCAppellantForIndexChar"/>
        </w:rPr>
        <w:t>Oland</w:t>
      </w:r>
    </w:p>
    <w:p w:rsidR="00426659" w:rsidRPr="00236BC7" w:rsidRDefault="00AE4535" w:rsidP="002F42B8">
      <w:pPr>
        <w:pStyle w:val="SCCSystemYear"/>
        <w:spacing w:after="720"/>
        <w:jc w:val="both"/>
      </w:pPr>
      <w:r w:rsidRPr="00236BC7">
        <w:t>201</w:t>
      </w:r>
      <w:r w:rsidR="00E214AE" w:rsidRPr="00236BC7">
        <w:t>7</w:t>
      </w:r>
      <w:r w:rsidR="003D0399" w:rsidRPr="00236BC7">
        <w:t xml:space="preserve"> </w:t>
      </w:r>
      <w:r w:rsidR="00426659" w:rsidRPr="00236BC7">
        <w:t>SCC </w:t>
      </w:r>
      <w:r w:rsidR="00D2543C">
        <w:t>17</w:t>
      </w:r>
    </w:p>
    <w:p w:rsidR="008322BD" w:rsidRPr="00236BC7" w:rsidRDefault="009B57B3" w:rsidP="002F42B8">
      <w:pPr>
        <w:spacing w:after="720"/>
        <w:jc w:val="both"/>
      </w:pPr>
      <w:r w:rsidRPr="00236BC7">
        <w:t>File No.: 36986.</w:t>
      </w:r>
    </w:p>
    <w:p w:rsidR="008322BD" w:rsidRPr="00236BC7" w:rsidRDefault="0020162E" w:rsidP="002F42B8">
      <w:pPr>
        <w:spacing w:after="720"/>
        <w:jc w:val="both"/>
      </w:pPr>
      <w:r w:rsidRPr="00236BC7">
        <w:t>2016: October </w:t>
      </w:r>
      <w:r w:rsidR="00AE4535" w:rsidRPr="00236BC7">
        <w:t>31</w:t>
      </w:r>
      <w:r w:rsidR="00B913AF" w:rsidRPr="00236BC7">
        <w:t>; 2017: March </w:t>
      </w:r>
      <w:r w:rsidR="00266DF5" w:rsidRPr="00236BC7">
        <w:t>23</w:t>
      </w:r>
      <w:r w:rsidR="009B57B3" w:rsidRPr="00236BC7">
        <w:t>.</w:t>
      </w:r>
    </w:p>
    <w:p w:rsidR="008322BD" w:rsidRPr="00236BC7" w:rsidRDefault="009B57B3" w:rsidP="002F42B8">
      <w:pPr>
        <w:spacing w:after="720"/>
        <w:jc w:val="both"/>
      </w:pPr>
      <w:r w:rsidRPr="00236BC7">
        <w:t>Present: McLachlin C.J. and Abella, Moldaver, Karakatsanis, Wagner, Gascon, Côté, Brown and Rowe JJ.</w:t>
      </w:r>
    </w:p>
    <w:p w:rsidR="008322BD" w:rsidRPr="00236BC7" w:rsidRDefault="00656313" w:rsidP="002F42B8">
      <w:pPr>
        <w:pStyle w:val="SCCLowerCourtNameLowercase"/>
        <w:spacing w:after="720" w:line="240" w:lineRule="auto"/>
      </w:pPr>
      <w:r w:rsidRPr="00236BC7">
        <w:t>o</w:t>
      </w:r>
      <w:r w:rsidR="00170592" w:rsidRPr="00236BC7">
        <w:t>n</w:t>
      </w:r>
      <w:r w:rsidR="00224FC0" w:rsidRPr="00236BC7">
        <w:t xml:space="preserve"> </w:t>
      </w:r>
      <w:r w:rsidRPr="00236BC7">
        <w:t>a</w:t>
      </w:r>
      <w:r w:rsidR="00170592" w:rsidRPr="00236BC7">
        <w:t>ppeal</w:t>
      </w:r>
      <w:r w:rsidR="00224FC0" w:rsidRPr="00236BC7">
        <w:t xml:space="preserve"> </w:t>
      </w:r>
      <w:r w:rsidR="00170592" w:rsidRPr="00236BC7">
        <w:t>from</w:t>
      </w:r>
      <w:r w:rsidR="009567AA" w:rsidRPr="00236BC7">
        <w:t xml:space="preserve"> the</w:t>
      </w:r>
      <w:r w:rsidR="00224FC0" w:rsidRPr="00236BC7">
        <w:t xml:space="preserve"> </w:t>
      </w:r>
      <w:r w:rsidR="009B57B3" w:rsidRPr="00236BC7">
        <w:t>court of appeal f</w:t>
      </w:r>
      <w:r w:rsidR="00CC4849" w:rsidRPr="00236BC7">
        <w:t>or</w:t>
      </w:r>
      <w:r w:rsidR="009B57B3" w:rsidRPr="00236BC7">
        <w:t xml:space="preserve"> new brunswick</w:t>
      </w:r>
    </w:p>
    <w:p w:rsidR="00E76D23" w:rsidRPr="00236BC7" w:rsidRDefault="00A067AD" w:rsidP="00A067AD">
      <w:pPr>
        <w:pStyle w:val="SCCNormalDoubleSpacing"/>
        <w:spacing w:before="480" w:after="480"/>
        <w:rPr>
          <w:i/>
        </w:rPr>
      </w:pPr>
      <w:r w:rsidRPr="00236BC7">
        <w:rPr>
          <w:i/>
        </w:rPr>
        <w:tab/>
      </w:r>
      <w:r w:rsidR="00E76D23" w:rsidRPr="00236BC7">
        <w:rPr>
          <w:i/>
        </w:rPr>
        <w:t xml:space="preserve">Criminal law — Interim release — Appeals — Appeal judge dismissing application for release pending appeal because applicant failed to establish that detention “not necessary in the public interest” under </w:t>
      </w:r>
      <w:r w:rsidRPr="00236BC7">
        <w:rPr>
          <w:i/>
        </w:rPr>
        <w:t>s. </w:t>
      </w:r>
      <w:r w:rsidR="00E76D23" w:rsidRPr="00236BC7">
        <w:rPr>
          <w:i/>
        </w:rPr>
        <w:t>6</w:t>
      </w:r>
      <w:r w:rsidR="00DF102F" w:rsidRPr="00236BC7">
        <w:rPr>
          <w:i/>
        </w:rPr>
        <w:t xml:space="preserve">79(3)(c) of Criminal Code </w:t>
      </w:r>
      <w:r w:rsidR="00DF102F" w:rsidRPr="00236BC7">
        <w:rPr>
          <w:i/>
        </w:rPr>
        <w:lastRenderedPageBreak/>
        <w:t xml:space="preserve">— </w:t>
      </w:r>
      <w:r w:rsidR="00E76D23" w:rsidRPr="00236BC7">
        <w:rPr>
          <w:i/>
        </w:rPr>
        <w:t>Principles and policy considerations by which appellate courts should</w:t>
      </w:r>
      <w:r w:rsidR="00DF102F" w:rsidRPr="00236BC7">
        <w:rPr>
          <w:i/>
        </w:rPr>
        <w:t xml:space="preserve"> be guided in deciding whether someone</w:t>
      </w:r>
      <w:r w:rsidR="00E76D23" w:rsidRPr="00236BC7">
        <w:rPr>
          <w:i/>
        </w:rPr>
        <w:t xml:space="preserve"> convicted of serious crime and sentenced to lengthy term of imprisonment should be released on bail pending determination of appeal — Proper interpretation and application of </w:t>
      </w:r>
      <w:r w:rsidRPr="00236BC7">
        <w:rPr>
          <w:i/>
        </w:rPr>
        <w:t>s. </w:t>
      </w:r>
      <w:r w:rsidR="00E76D23" w:rsidRPr="00236BC7">
        <w:rPr>
          <w:i/>
        </w:rPr>
        <w:t xml:space="preserve">679(3)(c) of Criminal Code — Criminal Code, R.S.C. 1985, </w:t>
      </w:r>
      <w:r w:rsidR="00DB5160" w:rsidRPr="00236BC7">
        <w:rPr>
          <w:i/>
        </w:rPr>
        <w:t>c. </w:t>
      </w:r>
      <w:r w:rsidR="00E76D23" w:rsidRPr="00236BC7">
        <w:rPr>
          <w:i/>
        </w:rPr>
        <w:t>C</w:t>
      </w:r>
      <w:r w:rsidR="003E1E35" w:rsidRPr="00236BC7">
        <w:rPr>
          <w:i/>
        </w:rPr>
        <w:noBreakHyphen/>
      </w:r>
      <w:r w:rsidR="00E76D23" w:rsidRPr="00236BC7">
        <w:rPr>
          <w:i/>
        </w:rPr>
        <w:t xml:space="preserve">46, </w:t>
      </w:r>
      <w:r w:rsidRPr="00236BC7">
        <w:rPr>
          <w:i/>
        </w:rPr>
        <w:t>s. </w:t>
      </w:r>
      <w:r w:rsidR="00E76D23" w:rsidRPr="00236BC7">
        <w:rPr>
          <w:i/>
        </w:rPr>
        <w:t>679(3)(c).</w:t>
      </w:r>
    </w:p>
    <w:p w:rsidR="00E76D23" w:rsidRPr="00236BC7" w:rsidRDefault="00A067AD" w:rsidP="00A067AD">
      <w:pPr>
        <w:pStyle w:val="SCCNormalDoubleSpacing"/>
        <w:spacing w:before="480" w:after="480"/>
        <w:rPr>
          <w:i/>
        </w:rPr>
      </w:pPr>
      <w:r w:rsidRPr="00236BC7">
        <w:rPr>
          <w:i/>
        </w:rPr>
        <w:tab/>
      </w:r>
      <w:r w:rsidR="00E76D23" w:rsidRPr="00236BC7">
        <w:rPr>
          <w:i/>
        </w:rPr>
        <w:t>Criminal law — Interim release — Review hearing — Standard of review — Appeal judge dismissing application for release pending appeal — Chief Justice of Court of Appeal directing review of dismissal decision by three</w:t>
      </w:r>
      <w:r w:rsidR="003E1E35" w:rsidRPr="00236BC7">
        <w:rPr>
          <w:i/>
        </w:rPr>
        <w:noBreakHyphen/>
      </w:r>
      <w:r w:rsidR="00E76D23" w:rsidRPr="00236BC7">
        <w:rPr>
          <w:i/>
        </w:rPr>
        <w:t xml:space="preserve">judge panel under </w:t>
      </w:r>
      <w:r w:rsidRPr="00236BC7">
        <w:rPr>
          <w:i/>
        </w:rPr>
        <w:t>s. </w:t>
      </w:r>
      <w:r w:rsidR="00E76D23" w:rsidRPr="00236BC7">
        <w:rPr>
          <w:i/>
        </w:rPr>
        <w:t xml:space="preserve">680(1) of Criminal Code — Test to be applied by Chief Justice in deciding whether to direct panel review — Standard of review to be applied by reviewing panel — Criminal Code, R.S.C. 1985, </w:t>
      </w:r>
      <w:r w:rsidR="00DB5160" w:rsidRPr="00236BC7">
        <w:rPr>
          <w:i/>
        </w:rPr>
        <w:t>c. </w:t>
      </w:r>
      <w:r w:rsidR="00E76D23" w:rsidRPr="00236BC7">
        <w:rPr>
          <w:i/>
        </w:rPr>
        <w:t>C</w:t>
      </w:r>
      <w:r w:rsidR="003E1E35" w:rsidRPr="00236BC7">
        <w:rPr>
          <w:i/>
        </w:rPr>
        <w:noBreakHyphen/>
      </w:r>
      <w:r w:rsidR="00E76D23" w:rsidRPr="00236BC7">
        <w:rPr>
          <w:i/>
        </w:rPr>
        <w:t xml:space="preserve">46, </w:t>
      </w:r>
      <w:r w:rsidRPr="00236BC7">
        <w:rPr>
          <w:i/>
        </w:rPr>
        <w:t>s. </w:t>
      </w:r>
      <w:r w:rsidR="00E76D23" w:rsidRPr="00236BC7">
        <w:rPr>
          <w:i/>
        </w:rPr>
        <w:t>680(1).</w:t>
      </w:r>
    </w:p>
    <w:p w:rsidR="00E76D23" w:rsidRPr="00236BC7" w:rsidRDefault="00A067AD" w:rsidP="00A067AD">
      <w:pPr>
        <w:pStyle w:val="SCCNormalDoubleSpacing"/>
        <w:spacing w:before="480" w:after="480"/>
        <w:rPr>
          <w:i/>
        </w:rPr>
      </w:pPr>
      <w:r w:rsidRPr="00236BC7">
        <w:rPr>
          <w:i/>
        </w:rPr>
        <w:tab/>
      </w:r>
      <w:r w:rsidR="00E76D23" w:rsidRPr="00236BC7">
        <w:rPr>
          <w:i/>
        </w:rPr>
        <w:t>Appeals — Mootness — Application for release pending appeal dismissed — Appeal against conviction subsequently allowed and new trial ordered — Accused released pending re</w:t>
      </w:r>
      <w:r w:rsidR="003E1E35" w:rsidRPr="00236BC7">
        <w:rPr>
          <w:i/>
        </w:rPr>
        <w:noBreakHyphen/>
      </w:r>
      <w:r w:rsidR="00E76D23" w:rsidRPr="00236BC7">
        <w:rPr>
          <w:i/>
        </w:rPr>
        <w:t>trial — Appeal from decision refusing bail pending determination of appeal rendered moot — Whether Court should exercise discretion to hear appeal.</w:t>
      </w:r>
    </w:p>
    <w:p w:rsidR="00E76D23" w:rsidRPr="00236BC7" w:rsidRDefault="00A067AD" w:rsidP="00A067AD">
      <w:pPr>
        <w:pStyle w:val="SCCNormalDoubleSpacing"/>
        <w:spacing w:before="480" w:after="480"/>
      </w:pPr>
      <w:r w:rsidRPr="00236BC7">
        <w:tab/>
      </w:r>
      <w:r w:rsidR="00DF102F" w:rsidRPr="00236BC7">
        <w:t>O applied for release pending the determination of his appeal against</w:t>
      </w:r>
      <w:r w:rsidR="00E76D23" w:rsidRPr="00236BC7">
        <w:t xml:space="preserve"> conviction on a charge of second degree murder involving the death of his father. His ap</w:t>
      </w:r>
      <w:r w:rsidR="00DF102F" w:rsidRPr="00236BC7">
        <w:t>plication was denied under the third</w:t>
      </w:r>
      <w:r w:rsidR="00E76D23" w:rsidRPr="00236BC7">
        <w:t xml:space="preserve"> criterion set out in </w:t>
      </w:r>
      <w:r w:rsidRPr="00236BC7">
        <w:t>s. </w:t>
      </w:r>
      <w:r w:rsidR="00DF102F" w:rsidRPr="00236BC7">
        <w:t xml:space="preserve">679(3)(c) </w:t>
      </w:r>
      <w:r w:rsidR="00E76D23" w:rsidRPr="00236BC7">
        <w:t xml:space="preserve">of the </w:t>
      </w:r>
      <w:r w:rsidR="00E76D23" w:rsidRPr="00236BC7">
        <w:rPr>
          <w:i/>
        </w:rPr>
        <w:t>Criminal Code</w:t>
      </w:r>
      <w:r w:rsidR="00DF102F" w:rsidRPr="00236BC7">
        <w:t>, which</w:t>
      </w:r>
      <w:r w:rsidR="00E76D23" w:rsidRPr="00236BC7">
        <w:t xml:space="preserve"> requires the applicant to establish that “his detention is not necessary in the publi</w:t>
      </w:r>
      <w:r w:rsidR="00DF102F" w:rsidRPr="00236BC7">
        <w:t xml:space="preserve">c interest”. </w:t>
      </w:r>
      <w:r w:rsidR="00E76D23" w:rsidRPr="00236BC7">
        <w:t xml:space="preserve">While </w:t>
      </w:r>
      <w:r w:rsidR="00DF102F" w:rsidRPr="00236BC7">
        <w:t>public safety was not in issue in this case</w:t>
      </w:r>
      <w:r w:rsidR="00E76D23" w:rsidRPr="00236BC7">
        <w:t>, the appeal judge was not pers</w:t>
      </w:r>
      <w:r w:rsidR="00DF102F" w:rsidRPr="00236BC7">
        <w:t>uaded that public confidence would be maintained if O</w:t>
      </w:r>
      <w:r w:rsidR="00E76D23" w:rsidRPr="00236BC7">
        <w:t xml:space="preserve"> were to be relea</w:t>
      </w:r>
      <w:r w:rsidR="00DF102F" w:rsidRPr="00236BC7">
        <w:t xml:space="preserve">sed. </w:t>
      </w:r>
      <w:r w:rsidR="00DF102F" w:rsidRPr="00236BC7">
        <w:lastRenderedPageBreak/>
        <w:t xml:space="preserve">Accordingly, he dismissed O’s application. A review of that </w:t>
      </w:r>
      <w:r w:rsidR="00E76D23" w:rsidRPr="00236BC7">
        <w:t>deci</w:t>
      </w:r>
      <w:r w:rsidR="00DF102F" w:rsidRPr="00236BC7">
        <w:t xml:space="preserve">sion </w:t>
      </w:r>
      <w:r w:rsidR="00E76D23" w:rsidRPr="00236BC7">
        <w:t>by a three</w:t>
      </w:r>
      <w:r w:rsidR="003E1E35" w:rsidRPr="00236BC7">
        <w:noBreakHyphen/>
      </w:r>
      <w:r w:rsidR="00DF102F" w:rsidRPr="00236BC7">
        <w:t>judge panel, as</w:t>
      </w:r>
      <w:r w:rsidR="00E76D23" w:rsidRPr="00236BC7">
        <w:t xml:space="preserve"> di</w:t>
      </w:r>
      <w:r w:rsidR="00DF102F" w:rsidRPr="00236BC7">
        <w:t>rected by the Chief Justice of the Court of Appeal</w:t>
      </w:r>
      <w:r w:rsidR="00E76D23" w:rsidRPr="00236BC7">
        <w:t xml:space="preserve"> under </w:t>
      </w:r>
      <w:r w:rsidRPr="00236BC7">
        <w:t>s. </w:t>
      </w:r>
      <w:r w:rsidR="00DF102F" w:rsidRPr="00236BC7">
        <w:t xml:space="preserve">680(1) of the </w:t>
      </w:r>
      <w:r w:rsidR="00E76D23" w:rsidRPr="00236BC7">
        <w:rPr>
          <w:i/>
        </w:rPr>
        <w:t>Criminal</w:t>
      </w:r>
      <w:r w:rsidR="00E76D23" w:rsidRPr="00236BC7">
        <w:t xml:space="preserve"> </w:t>
      </w:r>
      <w:r w:rsidR="00E76D23" w:rsidRPr="00236BC7">
        <w:rPr>
          <w:i/>
        </w:rPr>
        <w:t>Code</w:t>
      </w:r>
      <w:r w:rsidR="00DF102F" w:rsidRPr="00236BC7">
        <w:t>, was unsuccessful. The Court of Appeal later allowed O’s</w:t>
      </w:r>
      <w:r w:rsidR="00E76D23" w:rsidRPr="00236BC7">
        <w:t xml:space="preserve"> appeal from conviction and ordered a new tri</w:t>
      </w:r>
      <w:r w:rsidR="003E1E35" w:rsidRPr="00236BC7">
        <w:t>al. </w:t>
      </w:r>
      <w:r w:rsidR="00DF102F" w:rsidRPr="00236BC7">
        <w:t>Because he was then released</w:t>
      </w:r>
      <w:r w:rsidR="00E76D23" w:rsidRPr="00236BC7">
        <w:t xml:space="preserve"> pending his re</w:t>
      </w:r>
      <w:r w:rsidR="003E1E35" w:rsidRPr="00236BC7">
        <w:noBreakHyphen/>
      </w:r>
      <w:r w:rsidR="00DF102F" w:rsidRPr="00236BC7">
        <w:t>trial</w:t>
      </w:r>
      <w:r w:rsidR="00E76D23" w:rsidRPr="00236BC7">
        <w:t>, O’s appeal of the review panel’s decision to</w:t>
      </w:r>
      <w:r w:rsidR="00DF102F" w:rsidRPr="00236BC7">
        <w:t xml:space="preserve"> this Court was rendered moot. </w:t>
      </w:r>
      <w:r w:rsidR="00E76D23" w:rsidRPr="00236BC7">
        <w:t xml:space="preserve">However, in accordance with </w:t>
      </w:r>
      <w:r w:rsidR="0057287E" w:rsidRPr="00236BC7">
        <w:rPr>
          <w:i/>
        </w:rPr>
        <w:t>Borowski v. Canada (Attorney General)</w:t>
      </w:r>
      <w:r w:rsidR="0057287E" w:rsidRPr="00236BC7">
        <w:t>, [1989] 1 S.C.R. 342</w:t>
      </w:r>
      <w:r w:rsidR="00DF102F" w:rsidRPr="00236BC7">
        <w:t>,</w:t>
      </w:r>
      <w:r w:rsidR="00E76D23" w:rsidRPr="00236BC7">
        <w:t xml:space="preserve"> the Court determined that it would proceed to</w:t>
      </w:r>
      <w:r w:rsidR="00DF102F" w:rsidRPr="00236BC7">
        <w:t xml:space="preserve"> hear the appeal on its merits because</w:t>
      </w:r>
      <w:r w:rsidR="00E76D23" w:rsidRPr="00236BC7">
        <w:t xml:space="preserve"> of the unanimous position taken </w:t>
      </w:r>
      <w:r w:rsidR="00DF102F" w:rsidRPr="00236BC7">
        <w:t>by the parties and interveners that guidance was needed</w:t>
      </w:r>
      <w:r w:rsidR="00E76D23" w:rsidRPr="00236BC7">
        <w:t xml:space="preserve"> to res</w:t>
      </w:r>
      <w:r w:rsidR="00DF102F" w:rsidRPr="00236BC7">
        <w:t xml:space="preserve">olve conflicting jurisprudence </w:t>
      </w:r>
      <w:r w:rsidR="00E76D23" w:rsidRPr="00236BC7">
        <w:t>on the issue of bail pen</w:t>
      </w:r>
      <w:r w:rsidR="00DF102F" w:rsidRPr="00236BC7">
        <w:t>ding appeal, which is otherwise</w:t>
      </w:r>
      <w:r w:rsidR="00E76D23" w:rsidRPr="00236BC7">
        <w:t xml:space="preserve"> evasive of appellate review. </w:t>
      </w:r>
    </w:p>
    <w:p w:rsidR="00E76D23" w:rsidRPr="00236BC7" w:rsidRDefault="00A067AD" w:rsidP="00A067AD">
      <w:pPr>
        <w:pStyle w:val="SCCNormalDoubleSpacing"/>
        <w:spacing w:before="480" w:after="480"/>
      </w:pPr>
      <w:r w:rsidRPr="00236BC7">
        <w:rPr>
          <w:i/>
        </w:rPr>
        <w:tab/>
      </w:r>
      <w:r w:rsidR="00E76D23" w:rsidRPr="00236BC7">
        <w:rPr>
          <w:i/>
        </w:rPr>
        <w:t>Held</w:t>
      </w:r>
      <w:r w:rsidR="00E76D23" w:rsidRPr="00236BC7">
        <w:t>: The appeal should be allowed.</w:t>
      </w:r>
    </w:p>
    <w:p w:rsidR="00E76D23" w:rsidRPr="00236BC7" w:rsidRDefault="00A067AD" w:rsidP="00A067AD">
      <w:pPr>
        <w:pStyle w:val="SCCNormalDoubleSpacing"/>
        <w:spacing w:before="480" w:after="480"/>
      </w:pPr>
      <w:r w:rsidRPr="00236BC7">
        <w:tab/>
      </w:r>
      <w:r w:rsidR="00DF102F" w:rsidRPr="00236BC7">
        <w:t>Following</w:t>
      </w:r>
      <w:r w:rsidR="00E76D23" w:rsidRPr="00236BC7">
        <w:t xml:space="preserve"> </w:t>
      </w:r>
      <w:r w:rsidR="00E76D23" w:rsidRPr="00236BC7">
        <w:rPr>
          <w:i/>
        </w:rPr>
        <w:t>R. v. Farinacci</w:t>
      </w:r>
      <w:r w:rsidR="00DF102F" w:rsidRPr="00236BC7">
        <w:t xml:space="preserve"> (1993), 86 C.C.C. (3d) 32, the public interest criterion </w:t>
      </w:r>
      <w:r w:rsidR="00E76D23" w:rsidRPr="00236BC7">
        <w:t xml:space="preserve">of </w:t>
      </w:r>
      <w:r w:rsidRPr="00236BC7">
        <w:t>s. </w:t>
      </w:r>
      <w:r w:rsidR="00E76D23" w:rsidRPr="00236BC7">
        <w:t xml:space="preserve">679(3)(c) of the </w:t>
      </w:r>
      <w:r w:rsidR="00E76D23" w:rsidRPr="00236BC7">
        <w:rPr>
          <w:i/>
        </w:rPr>
        <w:t>Criminal Code</w:t>
      </w:r>
      <w:r w:rsidR="00DF102F" w:rsidRPr="00236BC7">
        <w:t xml:space="preserve"> consists</w:t>
      </w:r>
      <w:r w:rsidR="00E76D23" w:rsidRPr="00236BC7">
        <w:t xml:space="preserve"> of two components: public safety and public confidence in </w:t>
      </w:r>
      <w:r w:rsidR="00DF102F" w:rsidRPr="00236BC7">
        <w:t xml:space="preserve">the administration of justice. </w:t>
      </w:r>
      <w:r w:rsidR="00E76D23" w:rsidRPr="00236BC7">
        <w:t>The publi</w:t>
      </w:r>
      <w:r w:rsidR="00DF102F" w:rsidRPr="00236BC7">
        <w:t>c confidence component involves</w:t>
      </w:r>
      <w:r w:rsidR="00E76D23" w:rsidRPr="00236BC7">
        <w:t xml:space="preserve"> the weighing of two competing interests: enf</w:t>
      </w:r>
      <w:r w:rsidR="00DF102F" w:rsidRPr="00236BC7">
        <w:t xml:space="preserve">orceability and reviewability. </w:t>
      </w:r>
      <w:r w:rsidR="00E76D23" w:rsidRPr="00236BC7">
        <w:t xml:space="preserve">While the </w:t>
      </w:r>
      <w:r w:rsidR="00E76D23" w:rsidRPr="00236BC7">
        <w:rPr>
          <w:i/>
        </w:rPr>
        <w:t>Farinacci</w:t>
      </w:r>
      <w:r w:rsidR="00DF102F" w:rsidRPr="00236BC7">
        <w:t xml:space="preserve"> framework has withstood the test of time and</w:t>
      </w:r>
      <w:r w:rsidR="00E76D23" w:rsidRPr="00236BC7">
        <w:t xml:space="preserve"> remains good law</w:t>
      </w:r>
      <w:r w:rsidR="00DF102F" w:rsidRPr="00236BC7">
        <w:t>, appellate</w:t>
      </w:r>
      <w:r w:rsidR="00E76D23" w:rsidRPr="00236BC7">
        <w:t xml:space="preserve"> judges continue to have difficulty resolving the tension between enforceability and reviewability, especially in cases like the present one, where they are faced with a serious crime on the one hand, and a strong candidate for bail pending appeal on the other. </w:t>
      </w:r>
    </w:p>
    <w:p w:rsidR="00E76D23" w:rsidRPr="00236BC7" w:rsidRDefault="00A067AD" w:rsidP="00A067AD">
      <w:pPr>
        <w:pStyle w:val="SCCNormalDoubleSpacing"/>
        <w:spacing w:before="480" w:after="480"/>
      </w:pPr>
      <w:r w:rsidRPr="00236BC7">
        <w:lastRenderedPageBreak/>
        <w:tab/>
      </w:r>
      <w:r w:rsidR="00E76D23" w:rsidRPr="00236BC7">
        <w:t xml:space="preserve">In </w:t>
      </w:r>
      <w:r w:rsidRPr="00236BC7">
        <w:t>s</w:t>
      </w:r>
      <w:r w:rsidR="008A1D9E">
        <w:t>ection</w:t>
      </w:r>
      <w:r w:rsidRPr="00236BC7">
        <w:t> </w:t>
      </w:r>
      <w:r w:rsidR="00DF102F" w:rsidRPr="00236BC7">
        <w:t xml:space="preserve">679(3)(c) of the </w:t>
      </w:r>
      <w:r w:rsidR="00E76D23" w:rsidRPr="00236BC7">
        <w:rPr>
          <w:i/>
        </w:rPr>
        <w:t>Criminal Code</w:t>
      </w:r>
      <w:r w:rsidR="00E76D23" w:rsidRPr="00236BC7">
        <w:t xml:space="preserve">, Parliament has not provided appellate judges </w:t>
      </w:r>
      <w:r w:rsidR="00DF102F" w:rsidRPr="00236BC7">
        <w:t>with any direction as to how a bail pending appeal order</w:t>
      </w:r>
      <w:r w:rsidR="00E76D23" w:rsidRPr="00236BC7">
        <w:t xml:space="preserve"> is likely to affect public confidence in the administration of justice. Fortuna</w:t>
      </w:r>
      <w:r w:rsidR="00DF102F" w:rsidRPr="00236BC7">
        <w:t>tely, it has done so in</w:t>
      </w:r>
      <w:r w:rsidR="00E76D23" w:rsidRPr="00236BC7">
        <w:t xml:space="preserve"> </w:t>
      </w:r>
      <w:r w:rsidRPr="00236BC7">
        <w:t>s. </w:t>
      </w:r>
      <w:r w:rsidR="00DF102F" w:rsidRPr="00236BC7">
        <w:t xml:space="preserve">515(10)(c) for </w:t>
      </w:r>
      <w:r w:rsidR="00E76D23" w:rsidRPr="00236BC7">
        <w:t>the admittedly different but related context of bail pending tri</w:t>
      </w:r>
      <w:r w:rsidR="003E1E35" w:rsidRPr="00236BC7">
        <w:t>al. </w:t>
      </w:r>
      <w:r w:rsidR="00DF102F" w:rsidRPr="00236BC7">
        <w:t xml:space="preserve">With appropriate modifications, </w:t>
      </w:r>
      <w:r w:rsidR="00E76D23" w:rsidRPr="00236BC7">
        <w:t xml:space="preserve">the </w:t>
      </w:r>
      <w:r w:rsidRPr="00236BC7">
        <w:t>s. </w:t>
      </w:r>
      <w:r w:rsidR="00DF102F" w:rsidRPr="00236BC7">
        <w:t>515(10)(c) factors are also instructive in the appellate context</w:t>
      </w:r>
      <w:r w:rsidR="00E76D23" w:rsidRPr="00236BC7">
        <w:t xml:space="preserve">. </w:t>
      </w:r>
    </w:p>
    <w:p w:rsidR="00E76D23" w:rsidRPr="00236BC7" w:rsidRDefault="00A067AD" w:rsidP="00A067AD">
      <w:pPr>
        <w:pStyle w:val="SCCNormalDoubleSpacing"/>
        <w:spacing w:before="480" w:after="480"/>
      </w:pPr>
      <w:r w:rsidRPr="00236BC7">
        <w:tab/>
      </w:r>
      <w:r w:rsidR="00E76D23" w:rsidRPr="00236BC7">
        <w:t>In ass</w:t>
      </w:r>
      <w:r w:rsidR="00DF102F" w:rsidRPr="00236BC7">
        <w:t xml:space="preserve">essing public confidence </w:t>
      </w:r>
      <w:r w:rsidR="00E76D23" w:rsidRPr="00236BC7">
        <w:t xml:space="preserve">under </w:t>
      </w:r>
      <w:r w:rsidRPr="00236BC7">
        <w:t>s. </w:t>
      </w:r>
      <w:r w:rsidR="00E76D23" w:rsidRPr="00236BC7">
        <w:t>515(10)(c) in the pre</w:t>
      </w:r>
      <w:r w:rsidR="003E1E35" w:rsidRPr="00236BC7">
        <w:noBreakHyphen/>
      </w:r>
      <w:r w:rsidR="00DF102F" w:rsidRPr="00236BC7">
        <w:t>trial context</w:t>
      </w:r>
      <w:r w:rsidR="00E76D23" w:rsidRPr="00236BC7">
        <w:t>, the seriousness of the crime for which a person has been con</w:t>
      </w:r>
      <w:r w:rsidR="00DF102F" w:rsidRPr="00236BC7">
        <w:t>victed plays an important role and is determined by three factors</w:t>
      </w:r>
      <w:r w:rsidR="00E76D23" w:rsidRPr="00236BC7">
        <w:t>: the gravity of the offence; the circumstances surrounding th</w:t>
      </w:r>
      <w:r w:rsidR="00DF102F" w:rsidRPr="00236BC7">
        <w:t xml:space="preserve">e commission of the offence; </w:t>
      </w:r>
      <w:r w:rsidR="00E76D23" w:rsidRPr="00236BC7">
        <w:t>and the pot</w:t>
      </w:r>
      <w:r w:rsidR="00DF102F" w:rsidRPr="00236BC7">
        <w:t xml:space="preserve">ential length of imprisonment. </w:t>
      </w:r>
      <w:r w:rsidR="00E76D23" w:rsidRPr="00236BC7">
        <w:t xml:space="preserve">In considering the public confidence component under </w:t>
      </w:r>
      <w:r w:rsidRPr="00236BC7">
        <w:t>s. </w:t>
      </w:r>
      <w:r w:rsidR="00E76D23" w:rsidRPr="00236BC7">
        <w:t xml:space="preserve">679(3)(c), </w:t>
      </w:r>
      <w:r w:rsidR="00DF102F" w:rsidRPr="00236BC7">
        <w:t xml:space="preserve">the seriousness of the crime should </w:t>
      </w:r>
      <w:r w:rsidR="00E76D23" w:rsidRPr="00236BC7">
        <w:t>play an equal role in assessing the enforceabilit</w:t>
      </w:r>
      <w:r w:rsidR="00DF102F" w:rsidRPr="00236BC7">
        <w:t xml:space="preserve">y interest. </w:t>
      </w:r>
      <w:r w:rsidR="00E76D23" w:rsidRPr="00236BC7">
        <w:t xml:space="preserve">The remaining factor that Parliament has identified as informing public confidence under </w:t>
      </w:r>
      <w:r w:rsidRPr="00236BC7">
        <w:t>s. </w:t>
      </w:r>
      <w:r w:rsidR="00E76D23" w:rsidRPr="00236BC7">
        <w:t>515(10)(c) is the stren</w:t>
      </w:r>
      <w:r w:rsidR="00DF102F" w:rsidRPr="00236BC7">
        <w:t>gth of the prosecution’s case</w:t>
      </w:r>
      <w:r w:rsidR="00E76D23" w:rsidRPr="00236BC7">
        <w:t>. In the appellate context, this translates into the st</w:t>
      </w:r>
      <w:r w:rsidR="00DF102F" w:rsidRPr="00236BC7">
        <w:t>rength of the grounds of appeal</w:t>
      </w:r>
      <w:r w:rsidR="00E76D23" w:rsidRPr="00236BC7">
        <w:t>, which inf</w:t>
      </w:r>
      <w:r w:rsidR="00DF102F" w:rsidRPr="00236BC7">
        <w:t>orms the reviewability interest. For this assessment, appellate judges should examine the grounds of appeal for</w:t>
      </w:r>
      <w:r w:rsidR="00E76D23" w:rsidRPr="00236BC7">
        <w:t xml:space="preserve"> their general legal plausibility and the</w:t>
      </w:r>
      <w:r w:rsidR="00DF102F" w:rsidRPr="00236BC7">
        <w:t>ir foundation in the record</w:t>
      </w:r>
      <w:r w:rsidR="00E76D23" w:rsidRPr="00236BC7">
        <w:t xml:space="preserve"> to determine whether they clearly surpass the minimal standard required to meet the “not frivolous” criterion. </w:t>
      </w:r>
    </w:p>
    <w:p w:rsidR="00E76D23" w:rsidRPr="00236BC7" w:rsidRDefault="00A067AD" w:rsidP="00A067AD">
      <w:pPr>
        <w:pStyle w:val="SCCNormalDoubleSpacing"/>
        <w:spacing w:before="480" w:after="480"/>
      </w:pPr>
      <w:r w:rsidRPr="00236BC7">
        <w:tab/>
      </w:r>
      <w:r w:rsidR="00DF102F" w:rsidRPr="00236BC7">
        <w:t>W</w:t>
      </w:r>
      <w:r w:rsidR="00E76D23" w:rsidRPr="00236BC7">
        <w:t>hen conduct</w:t>
      </w:r>
      <w:r w:rsidR="00DF102F" w:rsidRPr="00236BC7">
        <w:t xml:space="preserve">ing the final balancing of </w:t>
      </w:r>
      <w:r w:rsidR="00E76D23" w:rsidRPr="00236BC7">
        <w:t xml:space="preserve">the factors that inform public confidence, including the strength of the grounds of appeal, the seriousness of the </w:t>
      </w:r>
      <w:r w:rsidR="00E76D23" w:rsidRPr="00236BC7">
        <w:lastRenderedPageBreak/>
        <w:t xml:space="preserve">offence, public safety and </w:t>
      </w:r>
      <w:r w:rsidR="00DF102F" w:rsidRPr="00236BC7">
        <w:t xml:space="preserve">flight risks, </w:t>
      </w:r>
      <w:r w:rsidR="00E76D23" w:rsidRPr="00236BC7">
        <w:t>appellate judges should keep in mind that public confidence is to be measured through the eyes of a reasonable member of the public. This person is someone who is thoughtful, dispassionate, informed of the circumstances of the case and respectful of soci</w:t>
      </w:r>
      <w:r w:rsidR="00DF102F" w:rsidRPr="00236BC7">
        <w:t>ety’s fundamental values. T</w:t>
      </w:r>
      <w:r w:rsidR="00E76D23" w:rsidRPr="00236BC7">
        <w:t>here is no precise formula that can be applied to resolve the balance between enforceability and reviewability</w:t>
      </w:r>
      <w:r w:rsidR="00DF102F" w:rsidRPr="00236BC7">
        <w:t>. A qualitative and contextual approach is required. W</w:t>
      </w:r>
      <w:r w:rsidR="00E76D23" w:rsidRPr="00236BC7">
        <w:t>here the applicant has been convicted of murder or some other very serious crime, the public interest in enforceability will be high and will often outweigh the reviewability interest, particularly where there are lingering public safety or flight concerns and/or the grounds of appeal ap</w:t>
      </w:r>
      <w:r w:rsidR="00DF102F" w:rsidRPr="00236BC7">
        <w:t xml:space="preserve">pear to be weak. </w:t>
      </w:r>
      <w:r w:rsidR="00E76D23" w:rsidRPr="00236BC7">
        <w:t>On the other hand, where public safety or flight concerns are negligible, and where the grounds of appeal clearly surpass the “not frivolous” criterion, the public interest in reviewability may well overshadow the enforceability interest, even in the case of murder or other very serious offences.</w:t>
      </w:r>
    </w:p>
    <w:p w:rsidR="00E76D23" w:rsidRPr="00236BC7" w:rsidRDefault="00A067AD" w:rsidP="00A067AD">
      <w:pPr>
        <w:pStyle w:val="SCCNormalDoubleSpacing"/>
        <w:spacing w:before="480" w:after="480"/>
      </w:pPr>
      <w:r w:rsidRPr="00236BC7">
        <w:tab/>
      </w:r>
      <w:r w:rsidR="00E76D23" w:rsidRPr="00236BC7">
        <w:t xml:space="preserve">A panel review under </w:t>
      </w:r>
      <w:r w:rsidRPr="00236BC7">
        <w:t>s. </w:t>
      </w:r>
      <w:r w:rsidR="00E76D23" w:rsidRPr="00236BC7">
        <w:t xml:space="preserve">680(1) of the </w:t>
      </w:r>
      <w:r w:rsidR="00E76D23" w:rsidRPr="00236BC7">
        <w:rPr>
          <w:i/>
        </w:rPr>
        <w:t>Criminal Code</w:t>
      </w:r>
      <w:r w:rsidR="00E76D23" w:rsidRPr="00236BC7">
        <w:t xml:space="preserve"> should be guided by the following three principles. First, absent palpab</w:t>
      </w:r>
      <w:r w:rsidR="006163C4" w:rsidRPr="00236BC7">
        <w:t xml:space="preserve">le and overriding error, the </w:t>
      </w:r>
      <w:r w:rsidR="00E76D23" w:rsidRPr="00236BC7">
        <w:t>panel must show deference to the judge’s f</w:t>
      </w:r>
      <w:r w:rsidR="006163C4" w:rsidRPr="00236BC7">
        <w:t xml:space="preserve">indings of fact. Second, the </w:t>
      </w:r>
      <w:r w:rsidR="00E76D23" w:rsidRPr="00236BC7">
        <w:t>panel may intervene and substitute its decision for that of the judge where it is satisfied that the judge erred in law or in principle, and the error was material to the outcome. Third, in the</w:t>
      </w:r>
      <w:r w:rsidR="006163C4" w:rsidRPr="00236BC7">
        <w:t xml:space="preserve"> absence of legal error, the </w:t>
      </w:r>
      <w:r w:rsidR="00E76D23" w:rsidRPr="00236BC7">
        <w:t>panel may intervene and substitute its decision for that of the judge where it concludes that the decision w</w:t>
      </w:r>
      <w:r w:rsidR="006163C4" w:rsidRPr="00236BC7">
        <w:t xml:space="preserve">as clearly unwarranted. It follows that </w:t>
      </w:r>
      <w:r w:rsidR="00E76D23" w:rsidRPr="00236BC7">
        <w:t>the Chief Justice shou</w:t>
      </w:r>
      <w:r w:rsidR="006163C4" w:rsidRPr="00236BC7">
        <w:t xml:space="preserve">ld consider directing a review </w:t>
      </w:r>
      <w:r w:rsidR="00E76D23" w:rsidRPr="00236BC7">
        <w:t xml:space="preserve">under </w:t>
      </w:r>
      <w:r w:rsidRPr="00236BC7">
        <w:t>s. </w:t>
      </w:r>
      <w:r w:rsidR="006163C4" w:rsidRPr="00236BC7">
        <w:t>680(1)</w:t>
      </w:r>
      <w:r w:rsidR="00E76D23" w:rsidRPr="00236BC7">
        <w:t xml:space="preserve"> where it is arguable that the </w:t>
      </w:r>
      <w:r w:rsidR="00E76D23" w:rsidRPr="00236BC7">
        <w:lastRenderedPageBreak/>
        <w:t>judge committed material errors of fact or law in arriving at the im</w:t>
      </w:r>
      <w:r w:rsidR="006163C4" w:rsidRPr="00236BC7">
        <w:t xml:space="preserve">pugned decision, or that the </w:t>
      </w:r>
      <w:r w:rsidR="00E76D23" w:rsidRPr="00236BC7">
        <w:t>decision was clearly unwarranted in the circumstances.</w:t>
      </w:r>
    </w:p>
    <w:p w:rsidR="00E76D23" w:rsidRPr="00236BC7" w:rsidRDefault="00A067AD" w:rsidP="00A067AD">
      <w:pPr>
        <w:pStyle w:val="SCCNormalDoubleSpacing"/>
        <w:spacing w:before="480" w:after="480"/>
      </w:pPr>
      <w:r w:rsidRPr="00236BC7">
        <w:tab/>
      </w:r>
      <w:r w:rsidR="00E76D23" w:rsidRPr="00236BC7">
        <w:t>In this case, the appeal judge was satisfied that there were no appreciable public safety or flight risk concerns and the grounds of appeal were “clearly arguable” — meaning that they clearly surpassed the “not friv</w:t>
      </w:r>
      <w:r w:rsidR="006163C4" w:rsidRPr="00236BC7">
        <w:t xml:space="preserve">olous” criterion. In addition, </w:t>
      </w:r>
      <w:r w:rsidR="00E76D23" w:rsidRPr="00236BC7">
        <w:t>a</w:t>
      </w:r>
      <w:r w:rsidR="006163C4" w:rsidRPr="00236BC7">
        <w:t>s found by the trial judge, O’s</w:t>
      </w:r>
      <w:r w:rsidR="00E76D23" w:rsidRPr="00236BC7">
        <w:t xml:space="preserve"> crime gravitated more toward the offence of manslaughter than to first </w:t>
      </w:r>
      <w:r w:rsidR="006163C4" w:rsidRPr="00236BC7">
        <w:t>degree murder, which</w:t>
      </w:r>
      <w:r w:rsidR="00E76D23" w:rsidRPr="00236BC7">
        <w:t xml:space="preserve"> attenuat</w:t>
      </w:r>
      <w:r w:rsidR="006163C4" w:rsidRPr="00236BC7">
        <w:t>ed</w:t>
      </w:r>
      <w:r w:rsidR="00E76D23" w:rsidRPr="00236BC7">
        <w:t xml:space="preserve"> the seriousness of the crime and henc</w:t>
      </w:r>
      <w:r w:rsidR="006163C4" w:rsidRPr="00236BC7">
        <w:t>e the enforceability interest. T</w:t>
      </w:r>
      <w:r w:rsidR="00E76D23" w:rsidRPr="00236BC7">
        <w:t xml:space="preserve">he cumulative </w:t>
      </w:r>
      <w:r w:rsidR="006163C4" w:rsidRPr="00236BC7">
        <w:t>effect of these considerations made O’s</w:t>
      </w:r>
      <w:r w:rsidR="00E76D23" w:rsidRPr="00236BC7">
        <w:t xml:space="preserve"> </w:t>
      </w:r>
      <w:r w:rsidR="006163C4" w:rsidRPr="00236BC7">
        <w:t xml:space="preserve">detention clearly unwarranted. </w:t>
      </w:r>
      <w:r w:rsidR="00E76D23" w:rsidRPr="00236BC7">
        <w:t>The appeal judge erred in law b</w:t>
      </w:r>
      <w:r w:rsidR="006163C4" w:rsidRPr="00236BC7">
        <w:t xml:space="preserve">y looking for grounds of appeal </w:t>
      </w:r>
      <w:r w:rsidR="00E76D23" w:rsidRPr="00236BC7">
        <w:t>that would have virtually assured a new trial or an acquitt</w:t>
      </w:r>
      <w:r w:rsidR="003E1E35" w:rsidRPr="00236BC7">
        <w:t>al. </w:t>
      </w:r>
      <w:r w:rsidR="006163C4" w:rsidRPr="00236BC7">
        <w:t>The review panel</w:t>
      </w:r>
      <w:r w:rsidR="00E76D23" w:rsidRPr="00236BC7">
        <w:t xml:space="preserve"> erred in failing to intervene.</w:t>
      </w:r>
    </w:p>
    <w:p w:rsidR="007E1C47" w:rsidRPr="00236BC7" w:rsidRDefault="002E6705" w:rsidP="002F42B8">
      <w:pPr>
        <w:pStyle w:val="SCCNormalDoubleSpacing"/>
        <w:spacing w:after="720" w:line="240" w:lineRule="auto"/>
      </w:pPr>
      <w:r w:rsidRPr="00236BC7">
        <w:rPr>
          <w:b/>
        </w:rPr>
        <w:t>Cases Cited</w:t>
      </w:r>
    </w:p>
    <w:p w:rsidR="004E2C26" w:rsidRPr="00236BC7" w:rsidRDefault="002E6705" w:rsidP="002F42B8">
      <w:pPr>
        <w:pStyle w:val="SCCNormalDoubleSpacing"/>
        <w:spacing w:before="480" w:after="480"/>
      </w:pPr>
      <w:r w:rsidRPr="00236BC7">
        <w:tab/>
      </w:r>
      <w:r w:rsidR="00DE79F2" w:rsidRPr="00236BC7">
        <w:rPr>
          <w:b/>
        </w:rPr>
        <w:t>Applied</w:t>
      </w:r>
      <w:r w:rsidRPr="00236BC7">
        <w:rPr>
          <w:b/>
        </w:rPr>
        <w:t>:</w:t>
      </w:r>
      <w:r w:rsidR="00BD0E9E" w:rsidRPr="00236BC7">
        <w:t xml:space="preserve"> </w:t>
      </w:r>
      <w:r w:rsidR="00224459" w:rsidRPr="00236BC7">
        <w:rPr>
          <w:i/>
        </w:rPr>
        <w:t>Borowski v. Canada</w:t>
      </w:r>
      <w:r w:rsidR="00BF266D" w:rsidRPr="00236BC7">
        <w:rPr>
          <w:i/>
        </w:rPr>
        <w:t xml:space="preserve"> (Attorney General)</w:t>
      </w:r>
      <w:r w:rsidR="00224459" w:rsidRPr="00236BC7">
        <w:t>, [1989] 1 S.C.R</w:t>
      </w:r>
      <w:r w:rsidR="00BF266D" w:rsidRPr="00236BC7">
        <w:t>.</w:t>
      </w:r>
      <w:r w:rsidR="00224459" w:rsidRPr="00236BC7">
        <w:t xml:space="preserve"> 342; </w:t>
      </w:r>
      <w:r w:rsidR="00DE79F2" w:rsidRPr="00236BC7">
        <w:rPr>
          <w:i/>
        </w:rPr>
        <w:t>R. v. Farinacci</w:t>
      </w:r>
      <w:r w:rsidR="00DE79F2" w:rsidRPr="00236BC7">
        <w:t xml:space="preserve"> (1993), 86 C.C.C. (3d) 32; </w:t>
      </w:r>
      <w:r w:rsidR="00DE79F2" w:rsidRPr="00236BC7">
        <w:rPr>
          <w:b/>
        </w:rPr>
        <w:t>referred to:</w:t>
      </w:r>
      <w:r w:rsidR="00DE79F2" w:rsidRPr="00236BC7">
        <w:t xml:space="preserve"> </w:t>
      </w:r>
      <w:r w:rsidR="00224459" w:rsidRPr="00236BC7">
        <w:rPr>
          <w:i/>
        </w:rPr>
        <w:t>R. v. McNeil</w:t>
      </w:r>
      <w:r w:rsidR="00224459" w:rsidRPr="00236BC7">
        <w:t>, 2009 SCC 3</w:t>
      </w:r>
      <w:r w:rsidR="00BF266D" w:rsidRPr="00236BC7">
        <w:t>, [2009] 1 S.C.R. 66</w:t>
      </w:r>
      <w:r w:rsidR="00224459" w:rsidRPr="00236BC7">
        <w:t xml:space="preserve">; </w:t>
      </w:r>
      <w:r w:rsidR="00224459" w:rsidRPr="00236BC7">
        <w:rPr>
          <w:i/>
        </w:rPr>
        <w:t>R. v. Ponak</w:t>
      </w:r>
      <w:r w:rsidR="00224459" w:rsidRPr="00236BC7">
        <w:t xml:space="preserve">, [1972] </w:t>
      </w:r>
      <w:r w:rsidR="000A53A8" w:rsidRPr="00236BC7">
        <w:t>4 W.W.R. 316</w:t>
      </w:r>
      <w:r w:rsidR="00224459" w:rsidRPr="00236BC7">
        <w:t>;</w:t>
      </w:r>
      <w:r w:rsidR="007926A4" w:rsidRPr="00236BC7">
        <w:t xml:space="preserve"> </w:t>
      </w:r>
      <w:r w:rsidR="007926A4" w:rsidRPr="00236BC7">
        <w:rPr>
          <w:i/>
        </w:rPr>
        <w:t>R. v. Iyer</w:t>
      </w:r>
      <w:r w:rsidR="007926A4" w:rsidRPr="00236BC7">
        <w:t xml:space="preserve">, 2016 ABCA 407; </w:t>
      </w:r>
      <w:r w:rsidR="00F70A4F" w:rsidRPr="00236BC7">
        <w:rPr>
          <w:i/>
        </w:rPr>
        <w:t>R. v. D’Amico</w:t>
      </w:r>
      <w:r w:rsidR="007926A4" w:rsidRPr="00236BC7">
        <w:t xml:space="preserve">, 2016 QCCA 183; </w:t>
      </w:r>
      <w:r w:rsidR="007926A4" w:rsidRPr="00236BC7">
        <w:rPr>
          <w:i/>
        </w:rPr>
        <w:t>R. v. Gill</w:t>
      </w:r>
      <w:r w:rsidR="007926A4" w:rsidRPr="00236BC7">
        <w:t>, 2015 SKCA 96</w:t>
      </w:r>
      <w:r w:rsidR="00F70A4F" w:rsidRPr="00236BC7">
        <w:t>, 465 Sask. R. 253</w:t>
      </w:r>
      <w:r w:rsidR="007926A4" w:rsidRPr="00236BC7">
        <w:t>;</w:t>
      </w:r>
      <w:r w:rsidR="00224459" w:rsidRPr="00236BC7">
        <w:t xml:space="preserve"> </w:t>
      </w:r>
      <w:r w:rsidR="000A53A8" w:rsidRPr="00236BC7">
        <w:rPr>
          <w:i/>
        </w:rPr>
        <w:t>R. v. Xanthoudakis</w:t>
      </w:r>
      <w:r w:rsidR="00224459" w:rsidRPr="00236BC7">
        <w:t xml:space="preserve">, 2016 QCCA 1809; </w:t>
      </w:r>
      <w:r w:rsidR="00224459" w:rsidRPr="00236BC7">
        <w:rPr>
          <w:i/>
        </w:rPr>
        <w:t>R. v.</w:t>
      </w:r>
      <w:r w:rsidR="000A53A8" w:rsidRPr="00236BC7">
        <w:rPr>
          <w:i/>
        </w:rPr>
        <w:t xml:space="preserve"> Ma</w:t>
      </w:r>
      <w:r w:rsidR="00191FA8" w:rsidRPr="00236BC7">
        <w:rPr>
          <w:i/>
        </w:rPr>
        <w:t>nasseri</w:t>
      </w:r>
      <w:r w:rsidR="00191FA8" w:rsidRPr="00236BC7">
        <w:t>, 2013 ONCA 647</w:t>
      </w:r>
      <w:r w:rsidR="000A53A8" w:rsidRPr="00236BC7">
        <w:t>, 312 C.C.C. (3d) 132</w:t>
      </w:r>
      <w:r w:rsidR="00191FA8" w:rsidRPr="00236BC7">
        <w:t xml:space="preserve">; </w:t>
      </w:r>
      <w:r w:rsidR="00224459" w:rsidRPr="00236BC7">
        <w:rPr>
          <w:i/>
        </w:rPr>
        <w:t>R. v. Passey</w:t>
      </w:r>
      <w:r w:rsidR="00224459" w:rsidRPr="00236BC7">
        <w:t xml:space="preserve">, </w:t>
      </w:r>
      <w:r w:rsidR="00EC1767" w:rsidRPr="00236BC7">
        <w:t xml:space="preserve">1997 ABCA 343, </w:t>
      </w:r>
      <w:r w:rsidR="00224459" w:rsidRPr="00236BC7">
        <w:t xml:space="preserve">121 C.C.C. (3d) 444; </w:t>
      </w:r>
      <w:r w:rsidR="00934E34" w:rsidRPr="00236BC7">
        <w:rPr>
          <w:i/>
        </w:rPr>
        <w:t>R. v. Matteo</w:t>
      </w:r>
      <w:r w:rsidR="00191FA8" w:rsidRPr="00236BC7">
        <w:t xml:space="preserve">, 2016 QCCA 2046; </w:t>
      </w:r>
      <w:r w:rsidR="00191FA8" w:rsidRPr="00236BC7">
        <w:rPr>
          <w:i/>
        </w:rPr>
        <w:t>R. v. Sidhu</w:t>
      </w:r>
      <w:r w:rsidR="00191FA8" w:rsidRPr="00236BC7">
        <w:t>, 2015 ABCA 308</w:t>
      </w:r>
      <w:r w:rsidR="00934E34" w:rsidRPr="00236BC7">
        <w:t>, 607 A.R. 395</w:t>
      </w:r>
      <w:r w:rsidR="00224459" w:rsidRPr="00236BC7">
        <w:t xml:space="preserve">; </w:t>
      </w:r>
      <w:r w:rsidR="00224459" w:rsidRPr="00236BC7">
        <w:rPr>
          <w:i/>
        </w:rPr>
        <w:t xml:space="preserve">R. v. </w:t>
      </w:r>
      <w:r w:rsidR="00934E34" w:rsidRPr="00236BC7">
        <w:rPr>
          <w:i/>
        </w:rPr>
        <w:t>Porisky</w:t>
      </w:r>
      <w:r w:rsidR="00224459" w:rsidRPr="00236BC7">
        <w:t>, 20</w:t>
      </w:r>
      <w:r w:rsidR="00191FA8" w:rsidRPr="00236BC7">
        <w:t>12 BCCA 467</w:t>
      </w:r>
      <w:r w:rsidR="00934E34" w:rsidRPr="00236BC7">
        <w:t>, 293 C.C.C. (3d) 100</w:t>
      </w:r>
      <w:r w:rsidR="00224459" w:rsidRPr="00236BC7">
        <w:t xml:space="preserve">; </w:t>
      </w:r>
      <w:r w:rsidR="00224459" w:rsidRPr="00236BC7">
        <w:rPr>
          <w:i/>
        </w:rPr>
        <w:t>R. v. Parsons</w:t>
      </w:r>
      <w:r w:rsidR="00224459" w:rsidRPr="00236BC7">
        <w:t xml:space="preserve"> (1994), 117 Nfld. &amp; P.E.I.R. 69; </w:t>
      </w:r>
      <w:r w:rsidR="00F819AD" w:rsidRPr="00236BC7">
        <w:rPr>
          <w:i/>
        </w:rPr>
        <w:t>R. v. Hall</w:t>
      </w:r>
      <w:r w:rsidR="00F819AD" w:rsidRPr="00236BC7">
        <w:t xml:space="preserve">, 2002 SCC 64, [2002] 3 S.C.R. 309; </w:t>
      </w:r>
      <w:r w:rsidR="00191FA8" w:rsidRPr="00236BC7">
        <w:rPr>
          <w:i/>
        </w:rPr>
        <w:t>R. v. Rhyason</w:t>
      </w:r>
      <w:r w:rsidR="00191FA8" w:rsidRPr="00236BC7">
        <w:t>, 2006 ABCA 120</w:t>
      </w:r>
      <w:r w:rsidR="00444E21" w:rsidRPr="00236BC7">
        <w:t>, 208 C.C.C. (3d) 193</w:t>
      </w:r>
      <w:r w:rsidR="00224459" w:rsidRPr="00236BC7">
        <w:t xml:space="preserve">; </w:t>
      </w:r>
      <w:r w:rsidR="00224459" w:rsidRPr="00236BC7">
        <w:rPr>
          <w:i/>
        </w:rPr>
        <w:t xml:space="preserve">R. v. </w:t>
      </w:r>
      <w:r w:rsidR="00224459" w:rsidRPr="00236BC7">
        <w:rPr>
          <w:i/>
        </w:rPr>
        <w:lastRenderedPageBreak/>
        <w:t>Roussin</w:t>
      </w:r>
      <w:r w:rsidR="00224459" w:rsidRPr="00236BC7">
        <w:t>, 2011 MBCA 103</w:t>
      </w:r>
      <w:r w:rsidR="00BB7D8C" w:rsidRPr="00236BC7">
        <w:t>, 275 Man. R. (2d) 46</w:t>
      </w:r>
      <w:r w:rsidR="00224459" w:rsidRPr="00236BC7">
        <w:t xml:space="preserve">; </w:t>
      </w:r>
      <w:r w:rsidR="00224459" w:rsidRPr="00236BC7">
        <w:rPr>
          <w:i/>
        </w:rPr>
        <w:t>R. v. Allen</w:t>
      </w:r>
      <w:r w:rsidR="00224459" w:rsidRPr="00236BC7">
        <w:t>, 2001 NFCA 44</w:t>
      </w:r>
      <w:r w:rsidR="00A96A34" w:rsidRPr="00236BC7">
        <w:t>, 158 C.C.C. (3d) 225</w:t>
      </w:r>
      <w:r w:rsidR="007265E9" w:rsidRPr="00236BC7">
        <w:t xml:space="preserve">; </w:t>
      </w:r>
      <w:r w:rsidR="007926A4" w:rsidRPr="00236BC7">
        <w:rPr>
          <w:i/>
        </w:rPr>
        <w:t>R. v. Delisle</w:t>
      </w:r>
      <w:r w:rsidR="007926A4" w:rsidRPr="00236BC7">
        <w:t xml:space="preserve">, 2012 QCCA 1250; </w:t>
      </w:r>
      <w:r w:rsidR="007265E9" w:rsidRPr="00236BC7">
        <w:rPr>
          <w:i/>
        </w:rPr>
        <w:t>R. v. M</w:t>
      </w:r>
      <w:r w:rsidR="00191FA8" w:rsidRPr="00236BC7">
        <w:rPr>
          <w:i/>
        </w:rPr>
        <w:t>eda</w:t>
      </w:r>
      <w:r w:rsidR="00191FA8" w:rsidRPr="00236BC7">
        <w:t xml:space="preserve"> (1981), 23 C.R. (3d) 174</w:t>
      </w:r>
      <w:r w:rsidR="007265E9" w:rsidRPr="00236BC7">
        <w:t xml:space="preserve">; </w:t>
      </w:r>
      <w:r w:rsidR="007265E9" w:rsidRPr="00236BC7">
        <w:rPr>
          <w:i/>
        </w:rPr>
        <w:t>R. v. Olsen</w:t>
      </w:r>
      <w:r w:rsidR="007265E9" w:rsidRPr="00236BC7">
        <w:t xml:space="preserve"> (1996), 94 O.A.C. 62; </w:t>
      </w:r>
      <w:r w:rsidR="007926A4" w:rsidRPr="00236BC7">
        <w:rPr>
          <w:i/>
        </w:rPr>
        <w:t>R. v. Roe</w:t>
      </w:r>
      <w:r w:rsidR="007926A4" w:rsidRPr="00236BC7">
        <w:t>, 2008 BCCA 253</w:t>
      </w:r>
      <w:r w:rsidR="00A057FF" w:rsidRPr="00236BC7">
        <w:t>, 256 B.C.A.C. 308</w:t>
      </w:r>
      <w:r w:rsidR="007926A4" w:rsidRPr="00236BC7">
        <w:t xml:space="preserve">; </w:t>
      </w:r>
      <w:r w:rsidR="007926A4" w:rsidRPr="00236BC7">
        <w:rPr>
          <w:i/>
        </w:rPr>
        <w:t>R. v. Lees</w:t>
      </w:r>
      <w:r w:rsidR="007926A4" w:rsidRPr="00236BC7">
        <w:t>, 1999 BCCA 441</w:t>
      </w:r>
      <w:r w:rsidR="0080255F" w:rsidRPr="00236BC7">
        <w:t>, 127 B.C.A.C. 280</w:t>
      </w:r>
      <w:r w:rsidR="007926A4" w:rsidRPr="00236BC7">
        <w:t xml:space="preserve">; </w:t>
      </w:r>
      <w:r w:rsidR="00F06D31" w:rsidRPr="00236BC7">
        <w:rPr>
          <w:i/>
        </w:rPr>
        <w:t>R. v. St</w:t>
      </w:r>
      <w:r w:rsidR="003E1E35" w:rsidRPr="00236BC7">
        <w:rPr>
          <w:i/>
        </w:rPr>
        <w:noBreakHyphen/>
      </w:r>
      <w:r w:rsidR="00F06D31" w:rsidRPr="00236BC7">
        <w:rPr>
          <w:i/>
        </w:rPr>
        <w:t>Cloud</w:t>
      </w:r>
      <w:r w:rsidR="00F06D31" w:rsidRPr="00236BC7">
        <w:t xml:space="preserve">, 2015 SCC 27, [2015] 2 S.C.R. 328; </w:t>
      </w:r>
      <w:r w:rsidR="007265E9" w:rsidRPr="00236BC7">
        <w:rPr>
          <w:i/>
        </w:rPr>
        <w:t>R. v. Baltovich</w:t>
      </w:r>
      <w:r w:rsidR="007265E9" w:rsidRPr="00236BC7">
        <w:t xml:space="preserve"> (2000), 47 O.R. (3d) 761; </w:t>
      </w:r>
      <w:r w:rsidR="00191FA8" w:rsidRPr="00236BC7">
        <w:rPr>
          <w:i/>
        </w:rPr>
        <w:t>R. v. Mapara</w:t>
      </w:r>
      <w:r w:rsidR="00191FA8" w:rsidRPr="00236BC7">
        <w:t>, 2001 BCCA 508</w:t>
      </w:r>
      <w:r w:rsidR="00F06D31" w:rsidRPr="00236BC7">
        <w:t>, 158 C.C.C. (3d) 312</w:t>
      </w:r>
      <w:r w:rsidR="00191FA8" w:rsidRPr="00236BC7">
        <w:t>.</w:t>
      </w:r>
    </w:p>
    <w:p w:rsidR="003B215F" w:rsidRPr="00236BC7" w:rsidRDefault="002E6705" w:rsidP="002F42B8">
      <w:pPr>
        <w:pStyle w:val="SCCNormalDoubleSpacing"/>
        <w:spacing w:after="720" w:line="240" w:lineRule="auto"/>
      </w:pPr>
      <w:r w:rsidRPr="00236BC7">
        <w:rPr>
          <w:b/>
        </w:rPr>
        <w:t>Statutes and Regulations Cite</w:t>
      </w:r>
      <w:r w:rsidR="00A41805" w:rsidRPr="00236BC7">
        <w:rPr>
          <w:b/>
        </w:rPr>
        <w:t>d</w:t>
      </w:r>
    </w:p>
    <w:p w:rsidR="00224459" w:rsidRPr="00236BC7" w:rsidRDefault="00224459" w:rsidP="002F42B8">
      <w:pPr>
        <w:pStyle w:val="SCCNormalDoubleSpacing"/>
        <w:spacing w:after="240" w:line="240" w:lineRule="auto"/>
        <w:ind w:left="547" w:hanging="547"/>
      </w:pPr>
      <w:r w:rsidRPr="00236BC7">
        <w:rPr>
          <w:i/>
        </w:rPr>
        <w:t>Canadian Charter of Rights and Freedoms</w:t>
      </w:r>
      <w:r w:rsidRPr="00236BC7">
        <w:t>, s.</w:t>
      </w:r>
      <w:r w:rsidR="002F42B8" w:rsidRPr="00236BC7">
        <w:t> </w:t>
      </w:r>
      <w:r w:rsidRPr="00236BC7">
        <w:t>11(</w:t>
      </w:r>
      <w:r w:rsidRPr="00236BC7">
        <w:rPr>
          <w:i/>
        </w:rPr>
        <w:t>e</w:t>
      </w:r>
      <w:r w:rsidRPr="00236BC7">
        <w:t xml:space="preserve">). </w:t>
      </w:r>
    </w:p>
    <w:p w:rsidR="00A149DF" w:rsidRPr="00236BC7" w:rsidRDefault="0094685E" w:rsidP="002F42B8">
      <w:pPr>
        <w:pStyle w:val="SCCNormalDoubleSpacing"/>
        <w:spacing w:after="720" w:line="240" w:lineRule="auto"/>
        <w:ind w:left="547" w:hanging="547"/>
        <w:rPr>
          <w:lang w:val="fr-CA"/>
        </w:rPr>
      </w:pPr>
      <w:r w:rsidRPr="00236BC7">
        <w:rPr>
          <w:i/>
          <w:lang w:val="fr-CA"/>
        </w:rPr>
        <w:t>Criminal Code</w:t>
      </w:r>
      <w:r w:rsidR="002F42B8" w:rsidRPr="00236BC7">
        <w:rPr>
          <w:lang w:val="fr-CA"/>
        </w:rPr>
        <w:t>, R.S.C. 1985, c. </w:t>
      </w:r>
      <w:r w:rsidRPr="00236BC7">
        <w:rPr>
          <w:lang w:val="fr-CA"/>
        </w:rPr>
        <w:t>C</w:t>
      </w:r>
      <w:r w:rsidR="003E1E35" w:rsidRPr="00236BC7">
        <w:rPr>
          <w:lang w:val="fr-CA"/>
        </w:rPr>
        <w:noBreakHyphen/>
      </w:r>
      <w:r w:rsidRPr="00236BC7">
        <w:rPr>
          <w:lang w:val="fr-CA"/>
        </w:rPr>
        <w:t>46</w:t>
      </w:r>
      <w:r w:rsidR="00224459" w:rsidRPr="00236BC7">
        <w:rPr>
          <w:lang w:val="fr-CA"/>
        </w:rPr>
        <w:t xml:space="preserve">, </w:t>
      </w:r>
      <w:r w:rsidR="003E1E35" w:rsidRPr="00236BC7">
        <w:rPr>
          <w:lang w:val="fr-CA"/>
        </w:rPr>
        <w:t>ss. </w:t>
      </w:r>
      <w:r w:rsidR="007265E9" w:rsidRPr="00236BC7">
        <w:rPr>
          <w:lang w:val="fr-CA"/>
        </w:rPr>
        <w:t xml:space="preserve">469, </w:t>
      </w:r>
      <w:r w:rsidR="00224459" w:rsidRPr="00236BC7">
        <w:rPr>
          <w:lang w:val="fr-CA"/>
        </w:rPr>
        <w:t>515</w:t>
      </w:r>
      <w:r w:rsidR="007926A4" w:rsidRPr="00236BC7">
        <w:rPr>
          <w:lang w:val="fr-CA"/>
        </w:rPr>
        <w:t xml:space="preserve">(1), </w:t>
      </w:r>
      <w:r w:rsidR="00224459" w:rsidRPr="00236BC7">
        <w:rPr>
          <w:lang w:val="fr-CA"/>
        </w:rPr>
        <w:t xml:space="preserve">(10)(c), </w:t>
      </w:r>
      <w:r w:rsidR="007265E9" w:rsidRPr="00236BC7">
        <w:rPr>
          <w:lang w:val="fr-CA"/>
        </w:rPr>
        <w:t xml:space="preserve">520, 521, </w:t>
      </w:r>
      <w:r w:rsidR="00224459" w:rsidRPr="00236BC7">
        <w:rPr>
          <w:lang w:val="fr-CA"/>
        </w:rPr>
        <w:t xml:space="preserve">679(3), (4)(a), </w:t>
      </w:r>
      <w:r w:rsidR="007265E9" w:rsidRPr="00236BC7">
        <w:rPr>
          <w:lang w:val="fr-CA"/>
        </w:rPr>
        <w:t>(10),</w:t>
      </w:r>
      <w:r w:rsidR="00461DC4" w:rsidRPr="00236BC7">
        <w:rPr>
          <w:lang w:val="fr-CA"/>
        </w:rPr>
        <w:t xml:space="preserve"> </w:t>
      </w:r>
      <w:r w:rsidR="00224459" w:rsidRPr="00236BC7">
        <w:rPr>
          <w:lang w:val="fr-CA"/>
        </w:rPr>
        <w:t>680(1)</w:t>
      </w:r>
      <w:r w:rsidR="000024BE" w:rsidRPr="00236BC7">
        <w:rPr>
          <w:lang w:val="fr-CA"/>
        </w:rPr>
        <w:t>.</w:t>
      </w:r>
    </w:p>
    <w:p w:rsidR="002E6705" w:rsidRPr="00236BC7" w:rsidRDefault="002E6705" w:rsidP="002F42B8">
      <w:pPr>
        <w:pStyle w:val="SCCNormalDoubleSpacing"/>
        <w:spacing w:after="720" w:line="240" w:lineRule="auto"/>
      </w:pPr>
      <w:r w:rsidRPr="00236BC7">
        <w:rPr>
          <w:b/>
        </w:rPr>
        <w:t>Authors Cited</w:t>
      </w:r>
    </w:p>
    <w:p w:rsidR="008A1D9E" w:rsidRPr="00236BC7" w:rsidRDefault="008A1D9E" w:rsidP="008A1D9E">
      <w:pPr>
        <w:pStyle w:val="SCCNormalDoubleSpacing"/>
        <w:spacing w:after="240" w:line="240" w:lineRule="auto"/>
        <w:ind w:left="547" w:hanging="547"/>
      </w:pPr>
      <w:r w:rsidRPr="00236BC7">
        <w:t xml:space="preserve">Trotter, Gary T. “Bail Pending Appeal: The Strength of the Appeal and the Public Interest Criterion” (2001), 45 C.R. (5th) 267. </w:t>
      </w:r>
    </w:p>
    <w:p w:rsidR="00224459" w:rsidRPr="00236BC7" w:rsidRDefault="002F42B8" w:rsidP="008A1D9E">
      <w:pPr>
        <w:pStyle w:val="SCCNormalDoubleSpacing"/>
        <w:spacing w:after="720" w:line="240" w:lineRule="auto"/>
        <w:ind w:left="547" w:hanging="547"/>
      </w:pPr>
      <w:r w:rsidRPr="00236BC7">
        <w:t xml:space="preserve">Trotter, </w:t>
      </w:r>
      <w:r w:rsidRPr="00AD53C8">
        <w:rPr>
          <w:lang w:val="en-US"/>
        </w:rPr>
        <w:t>Gary</w:t>
      </w:r>
      <w:r w:rsidRPr="00236BC7">
        <w:t> </w:t>
      </w:r>
      <w:r w:rsidR="00BB2F69" w:rsidRPr="00236BC7">
        <w:t xml:space="preserve">T. </w:t>
      </w:r>
      <w:r w:rsidR="00BB2F69" w:rsidRPr="00236BC7">
        <w:rPr>
          <w:i/>
        </w:rPr>
        <w:t>The Law of Bail in Canada</w:t>
      </w:r>
      <w:r w:rsidR="00BB2F69" w:rsidRPr="00236BC7">
        <w:t>, 3rd ed. Toronto: Carswell, 2010 (loose</w:t>
      </w:r>
      <w:r w:rsidR="003E1E35" w:rsidRPr="00236BC7">
        <w:noBreakHyphen/>
      </w:r>
      <w:r w:rsidRPr="00236BC7">
        <w:t>leaf updated 2016, release </w:t>
      </w:r>
      <w:r w:rsidR="00BB2F69" w:rsidRPr="00236BC7">
        <w:t>1).</w:t>
      </w:r>
    </w:p>
    <w:p w:rsidR="00656313" w:rsidRPr="00236BC7" w:rsidRDefault="009B57B3" w:rsidP="002F42B8">
      <w:pPr>
        <w:pStyle w:val="SCCNormalDoubleSpacing"/>
        <w:spacing w:before="480" w:after="480"/>
      </w:pPr>
      <w:r w:rsidRPr="00236BC7">
        <w:tab/>
        <w:t xml:space="preserve">APPEAL from a judgment of the </w:t>
      </w:r>
      <w:r w:rsidR="00CC4849" w:rsidRPr="00236BC7">
        <w:t xml:space="preserve">New Brunswick </w:t>
      </w:r>
      <w:r w:rsidRPr="00236BC7">
        <w:t>Court of Appeal</w:t>
      </w:r>
      <w:r w:rsidR="002F42B8" w:rsidRPr="00236BC7">
        <w:t xml:space="preserve"> (Drapeau </w:t>
      </w:r>
      <w:r w:rsidR="00541AD5" w:rsidRPr="00236BC7">
        <w:t>C.J.</w:t>
      </w:r>
      <w:r w:rsidR="002F42B8" w:rsidRPr="00236BC7">
        <w:t xml:space="preserve"> and Larlee and Quigg </w:t>
      </w:r>
      <w:r w:rsidR="00B7033F" w:rsidRPr="00236BC7">
        <w:t xml:space="preserve">JJ.A.), 2016 NBCA 15, 446 N.B.R. (2d) 325, 1168 A.P.R. 325, [2016] N.B.J. </w:t>
      </w:r>
      <w:r w:rsidR="003E1E35" w:rsidRPr="00236BC7">
        <w:t>No. </w:t>
      </w:r>
      <w:r w:rsidR="00B7033F" w:rsidRPr="00236BC7">
        <w:t xml:space="preserve">70 (QL), 2016 CarswellNB 126 (WL Can.), </w:t>
      </w:r>
      <w:r w:rsidR="00584AF8" w:rsidRPr="00236BC7">
        <w:t>af</w:t>
      </w:r>
      <w:r w:rsidR="002F42B8" w:rsidRPr="00236BC7">
        <w:t>firming the decision of Richard </w:t>
      </w:r>
      <w:r w:rsidR="00B7033F" w:rsidRPr="00236BC7">
        <w:t xml:space="preserve">J.A. </w:t>
      </w:r>
      <w:r w:rsidR="00DE79F2" w:rsidRPr="00236BC7">
        <w:t>denying</w:t>
      </w:r>
      <w:r w:rsidR="00B7033F" w:rsidRPr="00236BC7">
        <w:t xml:space="preserve"> bail to the appellant pending the determination of his appeal</w:t>
      </w:r>
      <w:r w:rsidR="00DE79F2" w:rsidRPr="00236BC7">
        <w:t xml:space="preserve"> against conviction</w:t>
      </w:r>
      <w:r w:rsidR="00B7033F" w:rsidRPr="00236BC7">
        <w:t xml:space="preserve">, 2016 CanLII 7428, [2016] N.B.J. </w:t>
      </w:r>
      <w:r w:rsidR="003E1E35" w:rsidRPr="00236BC7">
        <w:t>No. </w:t>
      </w:r>
      <w:r w:rsidR="00B7033F" w:rsidRPr="00236BC7">
        <w:t>25 (QL)</w:t>
      </w:r>
      <w:r w:rsidR="00A05C3C" w:rsidRPr="00236BC7">
        <w:t>, 2016 CarswellNB 42 (WL Can.)</w:t>
      </w:r>
      <w:r w:rsidR="00CC4849" w:rsidRPr="00236BC7">
        <w:t xml:space="preserve">. Appeal </w:t>
      </w:r>
      <w:r w:rsidR="00B4489E" w:rsidRPr="00236BC7">
        <w:t>allowed</w:t>
      </w:r>
      <w:r w:rsidR="00CC4849" w:rsidRPr="00236BC7">
        <w:t>.</w:t>
      </w:r>
    </w:p>
    <w:p w:rsidR="000D6158" w:rsidRPr="00236BC7" w:rsidRDefault="00CC4849" w:rsidP="002F42B8">
      <w:pPr>
        <w:pStyle w:val="SCCNormalDoubleSpacing"/>
        <w:spacing w:before="480" w:after="480"/>
      </w:pPr>
      <w:r w:rsidRPr="00236BC7">
        <w:rPr>
          <w:rStyle w:val="SCCCounselNameChar"/>
          <w:i w:val="0"/>
        </w:rPr>
        <w:lastRenderedPageBreak/>
        <w:tab/>
      </w:r>
      <w:r w:rsidRPr="00236BC7">
        <w:rPr>
          <w:rStyle w:val="SCCCounselNameChar"/>
        </w:rPr>
        <w:t>Alan </w:t>
      </w:r>
      <w:r w:rsidR="00584AF8" w:rsidRPr="00236BC7">
        <w:rPr>
          <w:rStyle w:val="SCCCounselNameChar"/>
        </w:rPr>
        <w:t>D. Gold</w:t>
      </w:r>
      <w:r w:rsidR="00584AF8" w:rsidRPr="00236BC7">
        <w:rPr>
          <w:rStyle w:val="SCCCounselSeparatorChar"/>
        </w:rPr>
        <w:t xml:space="preserve">, </w:t>
      </w:r>
      <w:r w:rsidRPr="00236BC7">
        <w:rPr>
          <w:rStyle w:val="SCCCounselNameChar"/>
        </w:rPr>
        <w:t>Gary </w:t>
      </w:r>
      <w:r w:rsidR="00584AF8" w:rsidRPr="00236BC7">
        <w:rPr>
          <w:rStyle w:val="SCCCounselNameChar"/>
        </w:rPr>
        <w:t>A. Miller</w:t>
      </w:r>
      <w:r w:rsidR="00584AF8" w:rsidRPr="00236BC7">
        <w:rPr>
          <w:rStyle w:val="SCCCounselNameChar"/>
          <w:i w:val="0"/>
        </w:rPr>
        <w:t xml:space="preserve">, </w:t>
      </w:r>
      <w:r w:rsidR="00584AF8" w:rsidRPr="00236BC7">
        <w:rPr>
          <w:rStyle w:val="SCCCounselNameChar"/>
        </w:rPr>
        <w:t>Q.C.</w:t>
      </w:r>
      <w:r w:rsidRPr="00236BC7">
        <w:rPr>
          <w:rStyle w:val="SCCCounselSeparatorChar"/>
        </w:rPr>
        <w:t xml:space="preserve">, </w:t>
      </w:r>
      <w:r w:rsidR="00584AF8" w:rsidRPr="00236BC7">
        <w:rPr>
          <w:rStyle w:val="SCCCounselSeparatorChar"/>
        </w:rPr>
        <w:t xml:space="preserve">and </w:t>
      </w:r>
      <w:r w:rsidRPr="00236BC7">
        <w:rPr>
          <w:rStyle w:val="SCCCounselNameChar"/>
        </w:rPr>
        <w:t>James </w:t>
      </w:r>
      <w:r w:rsidR="00584AF8" w:rsidRPr="00236BC7">
        <w:rPr>
          <w:rStyle w:val="SCCCounselNameChar"/>
        </w:rPr>
        <w:t>R. McConnell</w:t>
      </w:r>
      <w:r w:rsidR="00584AF8" w:rsidRPr="00236BC7">
        <w:rPr>
          <w:rStyle w:val="SCCCounselPartyRoleChar"/>
        </w:rPr>
        <w:t>, for the appellant.</w:t>
      </w:r>
    </w:p>
    <w:p w:rsidR="000D6158" w:rsidRPr="00236BC7" w:rsidRDefault="00CC4849" w:rsidP="002F42B8">
      <w:pPr>
        <w:pStyle w:val="SCCNormalDoubleSpacing"/>
        <w:spacing w:before="480" w:after="480"/>
      </w:pPr>
      <w:r w:rsidRPr="00236BC7">
        <w:rPr>
          <w:rStyle w:val="SCCCounselNameChar"/>
          <w:i w:val="0"/>
        </w:rPr>
        <w:tab/>
      </w:r>
      <w:r w:rsidR="00584AF8" w:rsidRPr="00236BC7">
        <w:rPr>
          <w:rStyle w:val="SCCCounselNameChar"/>
        </w:rPr>
        <w:t>Kathryn</w:t>
      </w:r>
      <w:r w:rsidRPr="00236BC7">
        <w:rPr>
          <w:rStyle w:val="SCCCounselNameChar"/>
        </w:rPr>
        <w:t> A.</w:t>
      </w:r>
      <w:r w:rsidR="00584AF8" w:rsidRPr="00236BC7">
        <w:rPr>
          <w:rStyle w:val="SCCCounselNameChar"/>
        </w:rPr>
        <w:t xml:space="preserve"> Gregory</w:t>
      </w:r>
      <w:r w:rsidR="00584AF8" w:rsidRPr="00236BC7">
        <w:rPr>
          <w:rStyle w:val="SCCCounselSeparatorChar"/>
        </w:rPr>
        <w:t xml:space="preserve"> and </w:t>
      </w:r>
      <w:r w:rsidR="00584AF8" w:rsidRPr="00236BC7">
        <w:rPr>
          <w:rStyle w:val="SCCCounselNameChar"/>
        </w:rPr>
        <w:t>Derek Weaver</w:t>
      </w:r>
      <w:r w:rsidR="00584AF8" w:rsidRPr="00236BC7">
        <w:rPr>
          <w:rStyle w:val="SCCCounselPartyRoleChar"/>
        </w:rPr>
        <w:t>, for the respondent.</w:t>
      </w:r>
    </w:p>
    <w:p w:rsidR="000D6158" w:rsidRPr="00236BC7" w:rsidRDefault="00CC4849" w:rsidP="002F42B8">
      <w:pPr>
        <w:pStyle w:val="SCCNormalDoubleSpacing"/>
        <w:spacing w:before="480" w:after="480"/>
      </w:pPr>
      <w:r w:rsidRPr="00236BC7">
        <w:rPr>
          <w:rStyle w:val="SCCCounselNameChar"/>
          <w:i w:val="0"/>
        </w:rPr>
        <w:tab/>
      </w:r>
      <w:r w:rsidRPr="00236BC7">
        <w:rPr>
          <w:rStyle w:val="SCCCounselNameChar"/>
        </w:rPr>
        <w:t>Gavin MacDonald</w:t>
      </w:r>
      <w:r w:rsidRPr="00236BC7">
        <w:rPr>
          <w:rStyle w:val="SCCCounselNameChar"/>
          <w:i w:val="0"/>
        </w:rPr>
        <w:t xml:space="preserve"> </w:t>
      </w:r>
      <w:r w:rsidRPr="00236BC7">
        <w:rPr>
          <w:rStyle w:val="SCCCounselSeparatorChar"/>
        </w:rPr>
        <w:t>and</w:t>
      </w:r>
      <w:r w:rsidRPr="00236BC7">
        <w:rPr>
          <w:rStyle w:val="SCCCounselNameChar"/>
          <w:i w:val="0"/>
        </w:rPr>
        <w:t xml:space="preserve"> </w:t>
      </w:r>
      <w:r w:rsidR="00584AF8" w:rsidRPr="00236BC7">
        <w:rPr>
          <w:rStyle w:val="SCCCounselNameChar"/>
        </w:rPr>
        <w:t>Leslie Paine</w:t>
      </w:r>
      <w:r w:rsidR="00584AF8" w:rsidRPr="00236BC7">
        <w:rPr>
          <w:rStyle w:val="SCCCounselPartyRoleChar"/>
        </w:rPr>
        <w:t xml:space="preserve">, for the intervener </w:t>
      </w:r>
      <w:r w:rsidRPr="00236BC7">
        <w:rPr>
          <w:rStyle w:val="SCCCounselPartyRoleChar"/>
        </w:rPr>
        <w:t xml:space="preserve">the </w:t>
      </w:r>
      <w:r w:rsidR="00584AF8" w:rsidRPr="00236BC7">
        <w:rPr>
          <w:rStyle w:val="SCCCounselPartyRoleChar"/>
        </w:rPr>
        <w:t>Attorney General of Ontario.</w:t>
      </w:r>
    </w:p>
    <w:p w:rsidR="00CC4849" w:rsidRPr="00236BC7" w:rsidRDefault="00CC4849" w:rsidP="002F42B8">
      <w:pPr>
        <w:pStyle w:val="SCCNormalDoubleSpacing"/>
        <w:spacing w:before="480" w:after="480"/>
      </w:pPr>
      <w:r w:rsidRPr="00236BC7">
        <w:rPr>
          <w:rStyle w:val="SCCCounselNameChar"/>
          <w:i w:val="0"/>
        </w:rPr>
        <w:tab/>
      </w:r>
      <w:r w:rsidRPr="00236BC7">
        <w:rPr>
          <w:rStyle w:val="SCCCounselNameChar"/>
        </w:rPr>
        <w:t>John M. Gordon</w:t>
      </w:r>
      <w:r w:rsidRPr="00236BC7">
        <w:rPr>
          <w:rStyle w:val="SCCCounselNameChar"/>
          <w:i w:val="0"/>
        </w:rPr>
        <w:t xml:space="preserve">, </w:t>
      </w:r>
      <w:r w:rsidRPr="00236BC7">
        <w:rPr>
          <w:rStyle w:val="SCCCounselNameChar"/>
        </w:rPr>
        <w:t>Q.C.</w:t>
      </w:r>
      <w:r w:rsidRPr="00236BC7">
        <w:rPr>
          <w:rStyle w:val="SCCCounselPartyRoleChar"/>
        </w:rPr>
        <w:t>, for the intervener the Attorney General of British Columbia.</w:t>
      </w:r>
    </w:p>
    <w:p w:rsidR="00CC4849" w:rsidRPr="00236BC7" w:rsidRDefault="00CC4849" w:rsidP="002F42B8">
      <w:pPr>
        <w:pStyle w:val="SCCNormalDoubleSpacing"/>
        <w:spacing w:before="480" w:after="480"/>
      </w:pPr>
      <w:r w:rsidRPr="00236BC7">
        <w:rPr>
          <w:rStyle w:val="SCCCounselNameChar"/>
          <w:i w:val="0"/>
        </w:rPr>
        <w:tab/>
      </w:r>
      <w:r w:rsidRPr="00236BC7">
        <w:rPr>
          <w:rStyle w:val="SCCCounselNameChar"/>
        </w:rPr>
        <w:t>Christine Rideout</w:t>
      </w:r>
      <w:r w:rsidRPr="00236BC7">
        <w:rPr>
          <w:rStyle w:val="SCCCounselPartyRoleChar"/>
        </w:rPr>
        <w:t>, for the intervener the Attorney General of Alberta.</w:t>
      </w:r>
    </w:p>
    <w:p w:rsidR="000D6158" w:rsidRDefault="00CC4849" w:rsidP="002F42B8">
      <w:pPr>
        <w:pStyle w:val="SCCNormalDoubleSpacing"/>
        <w:spacing w:before="480" w:after="480"/>
        <w:rPr>
          <w:rStyle w:val="SCCCounselPartyRoleChar"/>
        </w:rPr>
      </w:pPr>
      <w:r w:rsidRPr="00236BC7">
        <w:rPr>
          <w:rStyle w:val="SCCCounselNameChar"/>
          <w:i w:val="0"/>
        </w:rPr>
        <w:tab/>
      </w:r>
      <w:r w:rsidRPr="00236BC7">
        <w:rPr>
          <w:rStyle w:val="SCCCounselNameChar"/>
        </w:rPr>
        <w:t>Michael W. Lacy</w:t>
      </w:r>
      <w:r w:rsidRPr="00236BC7">
        <w:rPr>
          <w:rStyle w:val="SCCCounselSeparatorChar"/>
        </w:rPr>
        <w:t xml:space="preserve">, </w:t>
      </w:r>
      <w:r w:rsidR="00584AF8" w:rsidRPr="00236BC7">
        <w:rPr>
          <w:rStyle w:val="SCCCounselNameChar"/>
        </w:rPr>
        <w:t>Susan</w:t>
      </w:r>
      <w:r w:rsidRPr="00236BC7">
        <w:rPr>
          <w:rStyle w:val="SCCCounselNameChar"/>
        </w:rPr>
        <w:t> </w:t>
      </w:r>
      <w:r w:rsidR="00584AF8" w:rsidRPr="00236BC7">
        <w:rPr>
          <w:rStyle w:val="SCCCounselNameChar"/>
        </w:rPr>
        <w:t>M. Chapman</w:t>
      </w:r>
      <w:r w:rsidR="00584AF8" w:rsidRPr="00236BC7">
        <w:rPr>
          <w:rStyle w:val="SCCCounselSeparatorChar"/>
        </w:rPr>
        <w:t xml:space="preserve"> and </w:t>
      </w:r>
      <w:r w:rsidR="00584AF8" w:rsidRPr="00236BC7">
        <w:rPr>
          <w:rStyle w:val="SCCCounselNameChar"/>
        </w:rPr>
        <w:t>Andrew Menchynski</w:t>
      </w:r>
      <w:r w:rsidR="00584AF8" w:rsidRPr="00236BC7">
        <w:rPr>
          <w:rStyle w:val="SCCCounselPartyRoleChar"/>
        </w:rPr>
        <w:t xml:space="preserve">, for the intervener </w:t>
      </w:r>
      <w:r w:rsidRPr="00236BC7">
        <w:rPr>
          <w:rStyle w:val="SCCCounselPartyRoleChar"/>
        </w:rPr>
        <w:t xml:space="preserve">the </w:t>
      </w:r>
      <w:r w:rsidR="00584AF8" w:rsidRPr="00236BC7">
        <w:rPr>
          <w:rStyle w:val="SCCCounselPartyRoleChar"/>
        </w:rPr>
        <w:t>Criminal Lawyers</w:t>
      </w:r>
      <w:r w:rsidRPr="00236BC7">
        <w:rPr>
          <w:rStyle w:val="SCCCounselPartyRoleChar"/>
        </w:rPr>
        <w:t>’</w:t>
      </w:r>
      <w:r w:rsidR="00584AF8" w:rsidRPr="00236BC7">
        <w:rPr>
          <w:rStyle w:val="SCCCounselPartyRoleChar"/>
        </w:rPr>
        <w:t xml:space="preserve"> Association (Ontario).</w:t>
      </w:r>
    </w:p>
    <w:p w:rsidR="00E34756" w:rsidRDefault="008A1D9E" w:rsidP="008A1D9E">
      <w:pPr>
        <w:pStyle w:val="SCCNormalDoubleSpacing"/>
        <w:spacing w:before="480" w:after="480"/>
      </w:pPr>
      <w:r>
        <w:tab/>
      </w:r>
      <w:r w:rsidR="00E34756" w:rsidRPr="002C48B9">
        <w:t xml:space="preserve">The </w:t>
      </w:r>
      <w:r w:rsidR="00E34756" w:rsidRPr="008A1D9E">
        <w:rPr>
          <w:rStyle w:val="SCCCounselPartyRoleChar"/>
        </w:rPr>
        <w:t>judgment</w:t>
      </w:r>
      <w:r w:rsidR="00E34756" w:rsidRPr="002C48B9">
        <w:t xml:space="preserve"> of the Court was delivered by</w:t>
      </w:r>
    </w:p>
    <w:p w:rsidR="00E34756" w:rsidRPr="00047F59" w:rsidRDefault="00E34756" w:rsidP="00E34756">
      <w:pPr>
        <w:pStyle w:val="JudgeJuge"/>
        <w:tabs>
          <w:tab w:val="left" w:pos="3288"/>
        </w:tabs>
      </w:pPr>
      <w:r w:rsidRPr="00047F59">
        <w:tab/>
        <w:t xml:space="preserve">Moldaver J. — </w:t>
      </w:r>
    </w:p>
    <w:p w:rsidR="00E34756" w:rsidRPr="00047F59" w:rsidRDefault="00E34756" w:rsidP="00E34756">
      <w:pPr>
        <w:pStyle w:val="Title1LevelTitre1Niveau-AltL"/>
        <w:rPr>
          <w:rFonts w:cs="Times New Roman"/>
        </w:rPr>
      </w:pPr>
      <w:r w:rsidRPr="00047F59">
        <w:rPr>
          <w:rFonts w:cs="Times New Roman"/>
        </w:rPr>
        <w:t>Overview</w:t>
      </w:r>
    </w:p>
    <w:p w:rsidR="00E34756" w:rsidRPr="00047F59" w:rsidRDefault="00E34756" w:rsidP="00E34756">
      <w:pPr>
        <w:pStyle w:val="ParaNoNdepar-AltN"/>
        <w:rPr>
          <w:rFonts w:cs="Times New Roman"/>
        </w:rPr>
      </w:pPr>
      <w:r w:rsidRPr="00047F59">
        <w:rPr>
          <w:rFonts w:cs="Times New Roman"/>
        </w:rPr>
        <w:t xml:space="preserve">This appeal provides the Court with an opportunity to consider and clarify the statutory regime in the </w:t>
      </w:r>
      <w:r w:rsidRPr="00047F59">
        <w:rPr>
          <w:rFonts w:cs="Times New Roman"/>
          <w:i/>
        </w:rPr>
        <w:t>Criminal Code</w:t>
      </w:r>
      <w:r w:rsidRPr="00047F59">
        <w:rPr>
          <w:rFonts w:cs="Times New Roman"/>
        </w:rPr>
        <w:t xml:space="preserve">, R.S.C. 1985, c. C-46, which governs bail </w:t>
      </w:r>
      <w:r w:rsidRPr="00047F59">
        <w:rPr>
          <w:rFonts w:cs="Times New Roman"/>
        </w:rPr>
        <w:lastRenderedPageBreak/>
        <w:t xml:space="preserve">pending appeal. In particular, we are concerned with the principles and policy considerations by which appellate courts should be guided in deciding whether a person, like the appellant Dennis </w:t>
      </w:r>
      <w:r>
        <w:rPr>
          <w:rFonts w:cs="Times New Roman"/>
        </w:rPr>
        <w:t xml:space="preserve">James </w:t>
      </w:r>
      <w:r w:rsidRPr="00047F59">
        <w:rPr>
          <w:rFonts w:cs="Times New Roman"/>
        </w:rPr>
        <w:t xml:space="preserve">Oland, who has been convicted of a serious crime and sentenced to a lengthy term of imprisonment, should be released on bail pending the determination of his appeal against conviction. </w:t>
      </w:r>
    </w:p>
    <w:p w:rsidR="00E34756" w:rsidRPr="00047F59" w:rsidRDefault="00E34756" w:rsidP="00E34756">
      <w:pPr>
        <w:pStyle w:val="ParaNoNdepar-AltN"/>
        <w:rPr>
          <w:rFonts w:cs="Times New Roman"/>
        </w:rPr>
      </w:pPr>
      <w:r w:rsidRPr="00047F59">
        <w:rPr>
          <w:rFonts w:cs="Times New Roman"/>
        </w:rPr>
        <w:t xml:space="preserve">The debate in this appeal focuses on the interpretation and application of two relatively brief provisions of the </w:t>
      </w:r>
      <w:r w:rsidRPr="00047F59">
        <w:rPr>
          <w:rFonts w:cs="Times New Roman"/>
          <w:i/>
        </w:rPr>
        <w:t>Code</w:t>
      </w:r>
      <w:r>
        <w:rPr>
          <w:rFonts w:cs="Times New Roman"/>
        </w:rPr>
        <w:t xml:space="preserve"> —</w:t>
      </w:r>
      <w:r w:rsidRPr="00047F59">
        <w:rPr>
          <w:rFonts w:cs="Times New Roman"/>
        </w:rPr>
        <w:t xml:space="preserve"> s. 679(3) and s. 680(1). They read as follows: </w:t>
      </w:r>
    </w:p>
    <w:p w:rsidR="00E34756" w:rsidRDefault="00E34756" w:rsidP="00E34756">
      <w:pPr>
        <w:pStyle w:val="Citation-AltC"/>
        <w:rPr>
          <w:b/>
        </w:rPr>
      </w:pPr>
      <w:r w:rsidRPr="004C3AF6">
        <w:rPr>
          <w:b/>
        </w:rPr>
        <w:t>679</w:t>
      </w:r>
      <w:r w:rsidRPr="00DF4875">
        <w:t xml:space="preserve"> . . . </w:t>
      </w:r>
    </w:p>
    <w:p w:rsidR="00E34756" w:rsidRDefault="00E34756" w:rsidP="00E34756">
      <w:pPr>
        <w:pStyle w:val="Citation-AltC"/>
        <w:rPr>
          <w:b/>
        </w:rPr>
      </w:pPr>
    </w:p>
    <w:p w:rsidR="00E34756" w:rsidRPr="00047F59" w:rsidRDefault="00E34756" w:rsidP="00E34756">
      <w:pPr>
        <w:pStyle w:val="Citation-AltC"/>
      </w:pPr>
      <w:r w:rsidRPr="004C3AF6">
        <w:rPr>
          <w:b/>
        </w:rPr>
        <w:t>(3)</w:t>
      </w:r>
      <w:r w:rsidRPr="00047F59">
        <w:t xml:space="preserve"> In the case of an appeal [against conviction], the judge of the court of appeal may order that the appellant be released pending the determination of his appeal if the appellant establishes that</w:t>
      </w:r>
    </w:p>
    <w:p w:rsidR="00E34756" w:rsidRPr="00047F59" w:rsidRDefault="00E34756" w:rsidP="00E34756">
      <w:pPr>
        <w:pStyle w:val="Citation-AltC"/>
      </w:pPr>
    </w:p>
    <w:p w:rsidR="00E34756" w:rsidRPr="00047F59" w:rsidRDefault="00E34756" w:rsidP="00E34756">
      <w:pPr>
        <w:pStyle w:val="Citation-AltC"/>
        <w:ind w:firstLine="364"/>
      </w:pPr>
      <w:r>
        <w:rPr>
          <w:b/>
        </w:rPr>
        <w:t>(</w:t>
      </w:r>
      <w:r w:rsidRPr="004C3AF6">
        <w:rPr>
          <w:b/>
        </w:rPr>
        <w:t>a)</w:t>
      </w:r>
      <w:r w:rsidRPr="00047F59">
        <w:t xml:space="preserve"> the appeal </w:t>
      </w:r>
      <w:r>
        <w:t>. . .</w:t>
      </w:r>
      <w:r w:rsidRPr="00047F59">
        <w:t xml:space="preserve"> is not frivolous;</w:t>
      </w:r>
    </w:p>
    <w:p w:rsidR="00E34756" w:rsidRPr="00047F59" w:rsidRDefault="00E34756" w:rsidP="00E34756">
      <w:pPr>
        <w:pStyle w:val="Citation-AltC"/>
      </w:pPr>
    </w:p>
    <w:p w:rsidR="00E34756" w:rsidRPr="00047F59" w:rsidRDefault="00E34756" w:rsidP="00E34756">
      <w:pPr>
        <w:pStyle w:val="Citation-AltC"/>
        <w:ind w:left="1530"/>
      </w:pPr>
      <w:r>
        <w:rPr>
          <w:b/>
        </w:rPr>
        <w:t>(</w:t>
      </w:r>
      <w:r w:rsidRPr="004C3AF6">
        <w:rPr>
          <w:b/>
        </w:rPr>
        <w:t>b)</w:t>
      </w:r>
      <w:r w:rsidRPr="00047F59">
        <w:t xml:space="preserve"> he will surrender himself into custody in accordance with the terms of the order; and</w:t>
      </w:r>
    </w:p>
    <w:p w:rsidR="00E34756" w:rsidRPr="00047F59" w:rsidRDefault="00E34756" w:rsidP="00E34756">
      <w:pPr>
        <w:pStyle w:val="Citation-AltC"/>
      </w:pPr>
    </w:p>
    <w:p w:rsidR="00E34756" w:rsidRPr="00047F59" w:rsidRDefault="00E34756" w:rsidP="00E34756">
      <w:pPr>
        <w:pStyle w:val="Citation-AltC"/>
        <w:ind w:firstLine="364"/>
      </w:pPr>
      <w:r>
        <w:rPr>
          <w:b/>
        </w:rPr>
        <w:t>(</w:t>
      </w:r>
      <w:r w:rsidRPr="004C3AF6">
        <w:rPr>
          <w:b/>
        </w:rPr>
        <w:t>c)</w:t>
      </w:r>
      <w:r w:rsidRPr="00047F59">
        <w:t xml:space="preserve"> his detention is not necessary in the public interest.</w:t>
      </w:r>
    </w:p>
    <w:p w:rsidR="00E34756" w:rsidRPr="00047F59" w:rsidRDefault="00E34756" w:rsidP="00E34756">
      <w:pPr>
        <w:pStyle w:val="Citation-AltC"/>
      </w:pPr>
    </w:p>
    <w:p w:rsidR="00E34756" w:rsidRPr="00047F59" w:rsidRDefault="00E34756" w:rsidP="00E34756">
      <w:pPr>
        <w:pStyle w:val="Citation-AltC"/>
        <w:jc w:val="center"/>
      </w:pPr>
      <w:r>
        <w:t xml:space="preserve">. . . </w:t>
      </w:r>
    </w:p>
    <w:p w:rsidR="00E34756" w:rsidRPr="00047F59" w:rsidRDefault="00E34756" w:rsidP="00E34756">
      <w:pPr>
        <w:pStyle w:val="Citation-AltC"/>
      </w:pPr>
    </w:p>
    <w:p w:rsidR="00E34756" w:rsidRPr="00047F59" w:rsidRDefault="00E34756" w:rsidP="00E34756">
      <w:pPr>
        <w:pStyle w:val="Citation-AltC"/>
        <w:rPr>
          <w:lang w:eastAsia="en-US"/>
        </w:rPr>
      </w:pPr>
      <w:r w:rsidRPr="004C3AF6">
        <w:rPr>
          <w:b/>
          <w:lang w:eastAsia="en-US"/>
        </w:rPr>
        <w:t>680 (1)</w:t>
      </w:r>
      <w:r w:rsidRPr="00047F59">
        <w:rPr>
          <w:lang w:eastAsia="en-US"/>
        </w:rPr>
        <w:t xml:space="preserve"> A decision made by a judge under section </w:t>
      </w:r>
      <w:r>
        <w:rPr>
          <w:lang w:eastAsia="en-US"/>
        </w:rPr>
        <w:t>. . .</w:t>
      </w:r>
      <w:r w:rsidRPr="00047F59">
        <w:rPr>
          <w:lang w:eastAsia="en-US"/>
        </w:rPr>
        <w:t xml:space="preserve"> 679 may, on the direction of the chief justice or acting chief justice of the court of appeal, be reviewed by that court and that court may, if it does not confirm the decision,</w:t>
      </w:r>
    </w:p>
    <w:p w:rsidR="00E34756" w:rsidRPr="00047F59" w:rsidRDefault="00E34756" w:rsidP="00E34756">
      <w:pPr>
        <w:pStyle w:val="Citation-AltC"/>
        <w:rPr>
          <w:lang w:eastAsia="en-US"/>
        </w:rPr>
      </w:pPr>
    </w:p>
    <w:p w:rsidR="00E34756" w:rsidRPr="00047F59" w:rsidRDefault="00E34756" w:rsidP="00E34756">
      <w:pPr>
        <w:pStyle w:val="Citation-AltC"/>
        <w:ind w:firstLine="454"/>
        <w:rPr>
          <w:lang w:eastAsia="en-US"/>
        </w:rPr>
      </w:pPr>
      <w:r w:rsidRPr="004C3AF6">
        <w:rPr>
          <w:b/>
          <w:lang w:eastAsia="en-US"/>
        </w:rPr>
        <w:t>(a)</w:t>
      </w:r>
      <w:r w:rsidRPr="00047F59">
        <w:rPr>
          <w:lang w:eastAsia="en-US"/>
        </w:rPr>
        <w:t> vary the decision; or</w:t>
      </w:r>
    </w:p>
    <w:p w:rsidR="00E34756" w:rsidRPr="00047F59" w:rsidRDefault="00E34756" w:rsidP="00E34756">
      <w:pPr>
        <w:pStyle w:val="Citation-AltC"/>
        <w:rPr>
          <w:lang w:eastAsia="en-US"/>
        </w:rPr>
      </w:pPr>
    </w:p>
    <w:p w:rsidR="00E34756" w:rsidRPr="00047F59" w:rsidRDefault="00E34756" w:rsidP="00E34756">
      <w:pPr>
        <w:pStyle w:val="Citation-AltC"/>
        <w:ind w:left="1620"/>
        <w:rPr>
          <w:lang w:eastAsia="en-US"/>
        </w:rPr>
      </w:pPr>
      <w:r w:rsidRPr="004C3AF6">
        <w:rPr>
          <w:b/>
          <w:lang w:eastAsia="en-US"/>
        </w:rPr>
        <w:t>(b)</w:t>
      </w:r>
      <w:r w:rsidRPr="00047F59">
        <w:rPr>
          <w:lang w:eastAsia="en-US"/>
        </w:rPr>
        <w:t> substitute such other decision as, in its opinion, should have been made.</w:t>
      </w:r>
    </w:p>
    <w:p w:rsidR="00E34756" w:rsidRPr="00047F59" w:rsidRDefault="00E34756" w:rsidP="00E34756">
      <w:pPr>
        <w:pStyle w:val="ParaNoNdepar-AltN"/>
        <w:rPr>
          <w:rFonts w:cs="Times New Roman"/>
        </w:rPr>
      </w:pPr>
      <w:r w:rsidRPr="00047F59">
        <w:rPr>
          <w:rFonts w:cs="Times New Roman"/>
        </w:rPr>
        <w:lastRenderedPageBreak/>
        <w:t>In the present case, Mr. Oland applied for bail pending appeal following his conviction on a charge of second degree murder involving the death of his father. His application was denied under the public interest criterion set out in s. 679(3)(c). While public safety was not in issue, the appeal judge was not persuaded that public confidence in the administration of justice would be maintained if Mr. Oland were to be released. A review of that order directed by the Chief Justice of New Brunswick under s. 680(1) proved unsuccessful. In the opinion of the three-judge review panel, the decision of the appeal judge to detain Mr. Oland was “neither unreasonable nor the product of any material error of fact, law or mixed law and fact”</w:t>
      </w:r>
      <w:r>
        <w:rPr>
          <w:rFonts w:cs="Times New Roman"/>
        </w:rPr>
        <w:t xml:space="preserve"> (2016 NBCA 15, 446 N.B.R. (2d) 325, at para. 15).</w:t>
      </w:r>
      <w:r w:rsidRPr="00047F59">
        <w:rPr>
          <w:rFonts w:cs="Times New Roman"/>
        </w:rPr>
        <w:t xml:space="preserve"> </w:t>
      </w:r>
    </w:p>
    <w:p w:rsidR="00E34756" w:rsidRPr="00047F59" w:rsidRDefault="00E34756" w:rsidP="00E34756">
      <w:pPr>
        <w:pStyle w:val="ParaNoNdepar-AltN"/>
        <w:rPr>
          <w:rFonts w:cs="Times New Roman"/>
        </w:rPr>
      </w:pPr>
      <w:r w:rsidRPr="00047F59">
        <w:rPr>
          <w:rFonts w:cs="Times New Roman"/>
        </w:rPr>
        <w:t xml:space="preserve">For </w:t>
      </w:r>
      <w:r>
        <w:rPr>
          <w:rFonts w:cs="Times New Roman"/>
        </w:rPr>
        <w:t xml:space="preserve">the </w:t>
      </w:r>
      <w:r w:rsidRPr="00047F59">
        <w:rPr>
          <w:rFonts w:cs="Times New Roman"/>
        </w:rPr>
        <w:t>reasons that follow, I am respectfully of the view that detaining Mr. Oland o</w:t>
      </w:r>
      <w:r>
        <w:rPr>
          <w:rFonts w:cs="Times New Roman"/>
        </w:rPr>
        <w:t>n the public interest criterion</w:t>
      </w:r>
      <w:r w:rsidRPr="00047F59">
        <w:rPr>
          <w:rFonts w:cs="Times New Roman"/>
        </w:rPr>
        <w:t xml:space="preserve"> </w:t>
      </w:r>
      <w:r>
        <w:rPr>
          <w:rFonts w:cs="Times New Roman"/>
        </w:rPr>
        <w:t>was clearly unwarranted in the circumstances. Moreover, in his reasons, the learned appeal judge made a material legal error that affected the outcome. It follows, in my respectful view, that the review panel erred in failing to intervene.</w:t>
      </w:r>
      <w:r w:rsidRPr="00047F59">
        <w:rPr>
          <w:rFonts w:cs="Times New Roman"/>
        </w:rPr>
        <w:t xml:space="preserve"> </w:t>
      </w:r>
    </w:p>
    <w:p w:rsidR="00E34756" w:rsidRPr="00047F59" w:rsidRDefault="00E34756" w:rsidP="00E34756">
      <w:pPr>
        <w:pStyle w:val="ParaNoNdepar-AltN"/>
        <w:rPr>
          <w:rFonts w:cs="Times New Roman"/>
        </w:rPr>
      </w:pPr>
      <w:r w:rsidRPr="00047F59">
        <w:rPr>
          <w:rFonts w:cs="Times New Roman"/>
        </w:rPr>
        <w:t xml:space="preserve">As it turns out, prior to Mr. Oland’s appeal being argued in this Court, the Court of Appeal of New Brunswick heard and allowed his appeal from conviction and ordered a new trial. In consequence, Mr. Oland was released on bail pending his re-trial. Accordingly, his appeal to this Court from the order of the review panel upholding his detention order was rendered moot. However, for reasons which I will explain, we </w:t>
      </w:r>
      <w:r w:rsidRPr="00047F59">
        <w:rPr>
          <w:rFonts w:cs="Times New Roman"/>
        </w:rPr>
        <w:lastRenderedPageBreak/>
        <w:t xml:space="preserve">chose to hear the appeal on its merits </w:t>
      </w:r>
      <w:r>
        <w:rPr>
          <w:rFonts w:cs="Times New Roman"/>
        </w:rPr>
        <w:t>—</w:t>
      </w:r>
      <w:r w:rsidRPr="00047F59">
        <w:rPr>
          <w:rFonts w:cs="Times New Roman"/>
        </w:rPr>
        <w:t xml:space="preserve"> and having done so, we would allow the appeal but make no further order.</w:t>
      </w:r>
    </w:p>
    <w:p w:rsidR="00E34756" w:rsidRPr="00047F59" w:rsidRDefault="00E34756" w:rsidP="00E34756">
      <w:pPr>
        <w:pStyle w:val="Title1LevelTitre1Niveau-AltL"/>
        <w:rPr>
          <w:rFonts w:cs="Times New Roman"/>
        </w:rPr>
      </w:pPr>
      <w:r w:rsidRPr="00047F59">
        <w:rPr>
          <w:rFonts w:cs="Times New Roman"/>
        </w:rPr>
        <w:t>Factual Background</w:t>
      </w:r>
    </w:p>
    <w:p w:rsidR="00E34756" w:rsidRPr="00047F59" w:rsidRDefault="00E34756" w:rsidP="00E34756">
      <w:pPr>
        <w:pStyle w:val="ParaNoNdepar-AltN"/>
        <w:rPr>
          <w:rFonts w:cs="Times New Roman"/>
        </w:rPr>
      </w:pPr>
      <w:r w:rsidRPr="00047F59">
        <w:rPr>
          <w:rFonts w:cs="Times New Roman"/>
        </w:rPr>
        <w:t xml:space="preserve">On July 7, 2011, Mr. Oland’s father, Richard Oland, was found bludgeoned to death at his office in Saint John, New Brunswick. During the ensuing police investigation, Mr. Oland became the primary suspect. He was eventually arrested and charged with second degree murder on November 12, 2013. </w:t>
      </w:r>
    </w:p>
    <w:p w:rsidR="00E34756" w:rsidRPr="00047F59" w:rsidRDefault="00E34756" w:rsidP="00E34756">
      <w:pPr>
        <w:pStyle w:val="ParaNoNdepar-AltN"/>
        <w:rPr>
          <w:rFonts w:cs="Times New Roman"/>
        </w:rPr>
      </w:pPr>
      <w:r w:rsidRPr="00047F59">
        <w:rPr>
          <w:rFonts w:cs="Times New Roman"/>
        </w:rPr>
        <w:t>On November 18, 2013, following a contested hearing, Mr. Oland was released on bail pending trial upon entering into a surety recognizance in the amount of $50,000, with conditions. On December 19, 2015, after a three</w:t>
      </w:r>
      <w:r>
        <w:rPr>
          <w:rFonts w:cs="Times New Roman"/>
        </w:rPr>
        <w:t>-</w:t>
      </w:r>
      <w:r w:rsidRPr="00047F59">
        <w:rPr>
          <w:rFonts w:cs="Times New Roman"/>
        </w:rPr>
        <w:t xml:space="preserve">month trial by judge and jury, he was convicted of second degree murder. On February 11, 2016, the trial judge sentenced him to life imprisonment with no chance of parole for </w:t>
      </w:r>
      <w:r>
        <w:rPr>
          <w:rFonts w:cs="Times New Roman"/>
        </w:rPr>
        <w:t>10</w:t>
      </w:r>
      <w:r w:rsidRPr="00047F59">
        <w:rPr>
          <w:rFonts w:cs="Times New Roman"/>
        </w:rPr>
        <w:t xml:space="preserve"> years. </w:t>
      </w:r>
    </w:p>
    <w:p w:rsidR="00E34756" w:rsidRPr="00047F59" w:rsidRDefault="00E34756" w:rsidP="00E34756">
      <w:pPr>
        <w:pStyle w:val="ParaNoNdepar-AltN"/>
        <w:rPr>
          <w:rFonts w:cs="Times New Roman"/>
        </w:rPr>
      </w:pPr>
      <w:r w:rsidRPr="00047F59">
        <w:rPr>
          <w:rFonts w:cs="Times New Roman"/>
        </w:rPr>
        <w:t>In his sentencing reasons, the trial judge found that apart from the offence for which he now stood convicted, Mr. Oland was “</w:t>
      </w:r>
      <w:r w:rsidR="008A1D9E" w:rsidRPr="00047F59">
        <w:rPr>
          <w:rFonts w:cs="Times New Roman"/>
        </w:rPr>
        <w:t xml:space="preserve">a </w:t>
      </w:r>
      <w:r w:rsidRPr="00047F59">
        <w:rPr>
          <w:rFonts w:cs="Times New Roman"/>
        </w:rPr>
        <w:t xml:space="preserve">well-educated 47 year old husband and devoted father without a criminal past”, and “a loving/caring man; a man at the heart of his family and a contributing member of his community” </w:t>
      </w:r>
      <w:r>
        <w:rPr>
          <w:rFonts w:cs="Times New Roman"/>
        </w:rPr>
        <w:t xml:space="preserve">(2016 NBQB 43, 447 N.B.R. (2d) 7, at paras. 14 and 18). </w:t>
      </w:r>
      <w:r w:rsidRPr="00047F59">
        <w:rPr>
          <w:rFonts w:cs="Times New Roman"/>
        </w:rPr>
        <w:t xml:space="preserve">In the opinion of the trial judge, Mr. Oland posed no realistic risk of future dangerousness and his prospect of successfully reintegrating into society after serving his sentence was excellent. As for the offence, the trial judge characterized it as “brutal”, noting </w:t>
      </w:r>
      <w:r>
        <w:rPr>
          <w:rFonts w:cs="Times New Roman"/>
        </w:rPr>
        <w:t>approximately</w:t>
      </w:r>
      <w:r w:rsidRPr="00047F59">
        <w:rPr>
          <w:rFonts w:cs="Times New Roman"/>
        </w:rPr>
        <w:t xml:space="preserve"> 40 blunt and sharp </w:t>
      </w:r>
      <w:r w:rsidRPr="00047F59">
        <w:rPr>
          <w:rFonts w:cs="Times New Roman"/>
        </w:rPr>
        <w:lastRenderedPageBreak/>
        <w:t>force injuries inflicted to the deceased’s</w:t>
      </w:r>
      <w:r>
        <w:rPr>
          <w:rFonts w:cs="Times New Roman"/>
        </w:rPr>
        <w:t xml:space="preserve"> head</w:t>
      </w:r>
      <w:r w:rsidRPr="00047F59">
        <w:rPr>
          <w:rFonts w:cs="Times New Roman"/>
        </w:rPr>
        <w:t>. On the other hand, the crime involved a spontaneous outburst that was the product of a long</w:t>
      </w:r>
      <w:r w:rsidR="005B4707">
        <w:rPr>
          <w:rFonts w:cs="Times New Roman"/>
        </w:rPr>
        <w:t>-</w:t>
      </w:r>
      <w:r w:rsidRPr="00047F59">
        <w:rPr>
          <w:rFonts w:cs="Times New Roman"/>
        </w:rPr>
        <w:t xml:space="preserve">standing dysfunctional family dynamic and immense stress. For this reason, the trial judge found that it fell at the “lower end” on the continuum of moral culpability for second degree murder, closer to manslaughter than to first degree murder. </w:t>
      </w:r>
    </w:p>
    <w:p w:rsidR="00E34756" w:rsidRPr="00047F59" w:rsidRDefault="00E34756" w:rsidP="00E34756">
      <w:pPr>
        <w:pStyle w:val="ParaNoNdepar-AltN"/>
        <w:rPr>
          <w:rFonts w:cs="Times New Roman"/>
        </w:rPr>
      </w:pPr>
      <w:r w:rsidRPr="00047F59">
        <w:rPr>
          <w:rFonts w:cs="Times New Roman"/>
        </w:rPr>
        <w:t xml:space="preserve">On January 20, 2016, Mr. Oland filed a notice of appeal from conviction with the Court of Appeal of New Brunswick. He advanced numerous grounds of appeal relating to three principal areas: errors in the jury charge; errors in admitting certain evidence; and the reasonableness of the verdict. At the same time, he applied under s. 679(3) of the </w:t>
      </w:r>
      <w:r w:rsidRPr="00047F59">
        <w:rPr>
          <w:rFonts w:cs="Times New Roman"/>
          <w:i/>
        </w:rPr>
        <w:t xml:space="preserve">Code </w:t>
      </w:r>
      <w:r w:rsidRPr="00047F59">
        <w:rPr>
          <w:rFonts w:cs="Times New Roman"/>
        </w:rPr>
        <w:t xml:space="preserve">for bail pending the determination of his appeal. The outcome of that application is the focus of this appeal. </w:t>
      </w:r>
    </w:p>
    <w:p w:rsidR="00E34756" w:rsidRPr="00047F59" w:rsidRDefault="00E34756" w:rsidP="00E34756">
      <w:pPr>
        <w:pStyle w:val="Title1LevelTitre1Niveau-AltL"/>
        <w:rPr>
          <w:rFonts w:cs="Times New Roman"/>
        </w:rPr>
      </w:pPr>
      <w:r w:rsidRPr="00047F59">
        <w:rPr>
          <w:rFonts w:cs="Times New Roman"/>
        </w:rPr>
        <w:t>Decisions Below</w:t>
      </w:r>
    </w:p>
    <w:p w:rsidR="00E34756" w:rsidRPr="00047F59" w:rsidRDefault="00E34756" w:rsidP="00E34756">
      <w:pPr>
        <w:pStyle w:val="Title2LevelTitre2Niveau"/>
        <w:rPr>
          <w:rFonts w:cs="Times New Roman"/>
        </w:rPr>
      </w:pPr>
      <w:r w:rsidRPr="00047F59">
        <w:rPr>
          <w:rFonts w:cs="Times New Roman"/>
        </w:rPr>
        <w:t>Decision of the Appeal Judge</w:t>
      </w:r>
      <w:r>
        <w:rPr>
          <w:rFonts w:cs="Times New Roman"/>
        </w:rPr>
        <w:t>, 2016 CanLII 7428</w:t>
      </w:r>
      <w:r w:rsidRPr="00047F59">
        <w:rPr>
          <w:rFonts w:cs="Times New Roman"/>
        </w:rPr>
        <w:t xml:space="preserve"> (Richard J.A.)</w:t>
      </w:r>
    </w:p>
    <w:p w:rsidR="00E34756" w:rsidRPr="00047F59" w:rsidRDefault="00E34756" w:rsidP="00E34756">
      <w:pPr>
        <w:pStyle w:val="ParaNoNdepar-AltN"/>
        <w:rPr>
          <w:rFonts w:cs="Times New Roman"/>
        </w:rPr>
      </w:pPr>
      <w:r w:rsidRPr="00047F59">
        <w:rPr>
          <w:rFonts w:cs="Times New Roman"/>
        </w:rPr>
        <w:t>Mr. Oland’s application for release pending appeal proceeded before a single judge of the Court of Appeal. In support of his application, Mr. Oland filed numerous affidavits attesting to his good character, past compliance with release conditions, and his roots in the community. In addition, he filed affidavits from two family members who were prepared to act as sureties and risk substantial sums of money should he breach the terms of his release order. Finally, he submitted excerpts from the trial transcripts pertinent to his grounds of appeal.</w:t>
      </w:r>
    </w:p>
    <w:p w:rsidR="00E34756" w:rsidRPr="00047F59" w:rsidRDefault="00E34756" w:rsidP="00E34756">
      <w:pPr>
        <w:pStyle w:val="ParaNoNdepar-AltN"/>
        <w:rPr>
          <w:rFonts w:cs="Times New Roman"/>
        </w:rPr>
      </w:pPr>
      <w:r w:rsidRPr="00047F59">
        <w:rPr>
          <w:rFonts w:cs="Times New Roman"/>
        </w:rPr>
        <w:lastRenderedPageBreak/>
        <w:t xml:space="preserve">In ruling on the application, the appeal judge found that Mr. Oland had discharged his onus on the first </w:t>
      </w:r>
      <w:r>
        <w:rPr>
          <w:rFonts w:cs="Times New Roman"/>
        </w:rPr>
        <w:t xml:space="preserve">two criteria for release under </w:t>
      </w:r>
      <w:r w:rsidRPr="00047F59">
        <w:rPr>
          <w:rFonts w:cs="Times New Roman"/>
        </w:rPr>
        <w:t xml:space="preserve">s. 679(3)(a) and (b) of the </w:t>
      </w:r>
      <w:r w:rsidRPr="00047F59">
        <w:rPr>
          <w:rFonts w:cs="Times New Roman"/>
          <w:i/>
        </w:rPr>
        <w:t>Code</w:t>
      </w:r>
      <w:r w:rsidRPr="00047F59">
        <w:rPr>
          <w:rFonts w:cs="Times New Roman"/>
        </w:rPr>
        <w:t xml:space="preserve">, namely: his appeal was not frivolous and he would surrender into custody as required. The appeal judge then considered the public interest criterion under s. 679(3)(c), dividing it </w:t>
      </w:r>
      <w:r>
        <w:rPr>
          <w:rFonts w:cs="Times New Roman"/>
        </w:rPr>
        <w:t>into two parts —</w:t>
      </w:r>
      <w:r w:rsidRPr="00047F59">
        <w:rPr>
          <w:rFonts w:cs="Times New Roman"/>
        </w:rPr>
        <w:t xml:space="preserve"> public safety and public confidence in the administration of justice. </w:t>
      </w:r>
    </w:p>
    <w:p w:rsidR="00E34756" w:rsidRPr="00047F59" w:rsidRDefault="00E34756" w:rsidP="00E34756">
      <w:pPr>
        <w:pStyle w:val="ParaNoNdepar-AltN"/>
        <w:rPr>
          <w:rFonts w:cs="Times New Roman"/>
        </w:rPr>
      </w:pPr>
      <w:r w:rsidRPr="00047F59">
        <w:rPr>
          <w:rFonts w:cs="Times New Roman"/>
        </w:rPr>
        <w:t>Commencing with public safety, the appeal judge was satisfied that Mr. Oland posed “no danger to the public at large”</w:t>
      </w:r>
      <w:r>
        <w:rPr>
          <w:rFonts w:cs="Times New Roman"/>
        </w:rPr>
        <w:t xml:space="preserve"> (para. 15).</w:t>
      </w:r>
      <w:r w:rsidRPr="00047F59">
        <w:rPr>
          <w:rFonts w:cs="Times New Roman"/>
        </w:rPr>
        <w:t xml:space="preserve"> In this regard, he adopted the findings of the sentencing judge that Mr. Oland was a man of prior good behaviour, without criminal record, and that the offence was largely the product of unique relational and situation-specific difficulties existing between him and his father.</w:t>
      </w:r>
    </w:p>
    <w:p w:rsidR="00E34756" w:rsidRPr="00047F59" w:rsidRDefault="00E34756" w:rsidP="00E34756">
      <w:pPr>
        <w:pStyle w:val="ParaNoNdepar-AltN"/>
        <w:rPr>
          <w:rFonts w:cs="Times New Roman"/>
        </w:rPr>
      </w:pPr>
      <w:r w:rsidRPr="00047F59">
        <w:rPr>
          <w:rFonts w:cs="Times New Roman"/>
        </w:rPr>
        <w:t>Turning to public confidence, the appeal judge found that the gravity and brutality of the offence weighed in favour of Mr. Oland’s detention. And while the grounds of appeal put forward by him were “clearly arguable”, they were not of such unique strength as to “virtually ass</w:t>
      </w:r>
      <w:r>
        <w:rPr>
          <w:rFonts w:cs="Times New Roman"/>
        </w:rPr>
        <w:t>ure a new trial or an acquittal</w:t>
      </w:r>
      <w:r w:rsidRPr="00047F59">
        <w:rPr>
          <w:rFonts w:cs="Times New Roman"/>
        </w:rPr>
        <w:t>”</w:t>
      </w:r>
      <w:r>
        <w:rPr>
          <w:rFonts w:cs="Times New Roman"/>
        </w:rPr>
        <w:t xml:space="preserve"> (paras. 30 and 32).</w:t>
      </w:r>
      <w:r w:rsidRPr="00047F59">
        <w:rPr>
          <w:rFonts w:cs="Times New Roman"/>
        </w:rPr>
        <w:t xml:space="preserve"> On balance, the appeal judge was not persuaded that public confidence in the administration of justice would be maintained if Mr. Oland were to be released. Accordingly, he dismissed the application for release pending appeal. </w:t>
      </w:r>
    </w:p>
    <w:p w:rsidR="00E34756" w:rsidRPr="00047F59" w:rsidRDefault="00E34756" w:rsidP="00E34756">
      <w:pPr>
        <w:pStyle w:val="Title2LevelTitre2Niveau"/>
        <w:rPr>
          <w:rFonts w:cs="Times New Roman"/>
        </w:rPr>
      </w:pPr>
      <w:r w:rsidRPr="00047F59">
        <w:rPr>
          <w:rFonts w:cs="Times New Roman"/>
        </w:rPr>
        <w:t>Decision of the Review Panel</w:t>
      </w:r>
      <w:r>
        <w:rPr>
          <w:rFonts w:cs="Times New Roman"/>
        </w:rPr>
        <w:t>, 2016 NBCA 15, 446 N.B.R. (2d) 325</w:t>
      </w:r>
      <w:r w:rsidRPr="00047F59">
        <w:rPr>
          <w:rFonts w:cs="Times New Roman"/>
        </w:rPr>
        <w:t xml:space="preserve"> (Drapea</w:t>
      </w:r>
      <w:r>
        <w:rPr>
          <w:rFonts w:cs="Times New Roman"/>
        </w:rPr>
        <w:t>u C.J. and</w:t>
      </w:r>
      <w:r w:rsidRPr="00047F59">
        <w:rPr>
          <w:rFonts w:cs="Times New Roman"/>
        </w:rPr>
        <w:t xml:space="preserve"> Larlee and Quigg JJ.</w:t>
      </w:r>
      <w:r>
        <w:rPr>
          <w:rFonts w:cs="Times New Roman"/>
        </w:rPr>
        <w:t>A.)</w:t>
      </w:r>
    </w:p>
    <w:p w:rsidR="00E34756" w:rsidRPr="00047F59" w:rsidRDefault="00E34756" w:rsidP="00E34756">
      <w:pPr>
        <w:pStyle w:val="ParaNoNdepar-AltN"/>
        <w:rPr>
          <w:rFonts w:cs="Times New Roman"/>
        </w:rPr>
      </w:pPr>
      <w:r w:rsidRPr="00047F59">
        <w:rPr>
          <w:rFonts w:cs="Times New Roman"/>
        </w:rPr>
        <w:lastRenderedPageBreak/>
        <w:t xml:space="preserve">On application by Mr. Oland under s. 680(1) of the </w:t>
      </w:r>
      <w:r w:rsidRPr="00047F59">
        <w:rPr>
          <w:rFonts w:cs="Times New Roman"/>
          <w:i/>
        </w:rPr>
        <w:t>Code</w:t>
      </w:r>
      <w:r w:rsidRPr="00047F59">
        <w:rPr>
          <w:rFonts w:cs="Times New Roman"/>
        </w:rPr>
        <w:t>, the Chief Justice of New Brunswick directed a review of his detention order before a three-</w:t>
      </w:r>
      <w:r>
        <w:rPr>
          <w:rFonts w:cs="Times New Roman"/>
        </w:rPr>
        <w:t>judge panel of the c</w:t>
      </w:r>
      <w:r w:rsidRPr="00047F59">
        <w:rPr>
          <w:rFonts w:cs="Times New Roman"/>
        </w:rPr>
        <w:t xml:space="preserve">ourt. </w:t>
      </w:r>
    </w:p>
    <w:p w:rsidR="00E34756" w:rsidRPr="00047F59" w:rsidRDefault="00E34756" w:rsidP="00E34756">
      <w:pPr>
        <w:pStyle w:val="ParaNoNdepar-AltN"/>
        <w:rPr>
          <w:rFonts w:cs="Times New Roman"/>
        </w:rPr>
      </w:pPr>
      <w:r w:rsidRPr="00047F59">
        <w:rPr>
          <w:rFonts w:cs="Times New Roman"/>
        </w:rPr>
        <w:t>In arriving at its decision, the panel adopted a deferential approach to the review, characterizing the appeal judge’s decision to detain Mr. Oland as a “judgment call”. While the panel recognized that the grounds of appeal put forward by Mr. Oland were “serious”, he nonetheless stood convicted of a brutal murder for which he had received a mandatory life sentence. In the circumstances, denying him bail would not render his appeal pointless. Of primary significance, Mr. Oland had failed to show any error in the reasons of the appeal judge that would warrant interference; nor had he persuaded the panel that his detention in the circumstances was clearly unreasonable. Accordingly, the application for review was dismissed.</w:t>
      </w:r>
    </w:p>
    <w:p w:rsidR="00E34756" w:rsidRPr="00047F59" w:rsidRDefault="00E34756" w:rsidP="00E34756">
      <w:pPr>
        <w:pStyle w:val="Title1LevelTitre1Niveau-AltL"/>
        <w:rPr>
          <w:rFonts w:cs="Times New Roman"/>
        </w:rPr>
      </w:pPr>
      <w:r w:rsidRPr="00047F59">
        <w:rPr>
          <w:rFonts w:cs="Times New Roman"/>
        </w:rPr>
        <w:t>Analysis</w:t>
      </w:r>
    </w:p>
    <w:p w:rsidR="00E34756" w:rsidRPr="00047F59" w:rsidRDefault="00E34756" w:rsidP="00E34756">
      <w:pPr>
        <w:pStyle w:val="Title2LevelTitre2Niveau"/>
        <w:rPr>
          <w:rFonts w:cs="Times New Roman"/>
        </w:rPr>
      </w:pPr>
      <w:r w:rsidRPr="00047F59">
        <w:rPr>
          <w:rFonts w:cs="Times New Roman"/>
        </w:rPr>
        <w:t>Mootness</w:t>
      </w:r>
    </w:p>
    <w:p w:rsidR="00E34756" w:rsidRPr="00047F59" w:rsidRDefault="00E34756" w:rsidP="00E34756">
      <w:pPr>
        <w:pStyle w:val="ParaNoNdepar-AltN"/>
        <w:rPr>
          <w:rFonts w:cs="Times New Roman"/>
        </w:rPr>
      </w:pPr>
      <w:r w:rsidRPr="00047F59">
        <w:rPr>
          <w:rFonts w:cs="Times New Roman"/>
        </w:rPr>
        <w:t xml:space="preserve">On October 24, 2016, the Court of Appeal of New Brunswick allowed Mr. Oland’s appeal from conviction and ordered a new trial. On October 25, 2016, he was granted bail pending his re-trial. In view of these events, the parties were alerted that they should be prepared to address the issue of mootness. </w:t>
      </w:r>
    </w:p>
    <w:p w:rsidR="00E34756" w:rsidRPr="00047F59" w:rsidRDefault="00E34756" w:rsidP="00E34756">
      <w:pPr>
        <w:pStyle w:val="ParaNoNdepar-AltN"/>
        <w:rPr>
          <w:rFonts w:cs="Times New Roman"/>
        </w:rPr>
      </w:pPr>
      <w:r w:rsidRPr="00047F59">
        <w:rPr>
          <w:rFonts w:cs="Times New Roman"/>
        </w:rPr>
        <w:lastRenderedPageBreak/>
        <w:t xml:space="preserve">At the commencement of the hearing, the Court raised the issue of mootness and we were urged by the parties and interveners to hear the appeal on its merits. Mr. Oland and </w:t>
      </w:r>
      <w:r>
        <w:rPr>
          <w:rFonts w:cs="Times New Roman"/>
        </w:rPr>
        <w:t xml:space="preserve">the respondent </w:t>
      </w:r>
      <w:r w:rsidRPr="00047F59">
        <w:rPr>
          <w:rFonts w:cs="Times New Roman"/>
        </w:rPr>
        <w:t xml:space="preserve">Crown submitted that this Court’s decision was potentially of significance to them, as Mr. Oland might find himself in the same situation following his re-trial. In addition, all concerned submitted that guidance was needed from this Court to resolve inconsistent approaches to bail taken by appellate courts across the country. And as bail pending appeal was, by its temporary nature, evasive of appellate review, this was an appropriate case to resolve the conflicting jurisprudence: see </w:t>
      </w:r>
      <w:r w:rsidRPr="00047F59">
        <w:rPr>
          <w:rFonts w:cs="Times New Roman"/>
          <w:i/>
        </w:rPr>
        <w:t>Borowski</w:t>
      </w:r>
      <w:r w:rsidRPr="00047F59">
        <w:rPr>
          <w:rFonts w:cs="Times New Roman"/>
        </w:rPr>
        <w:t xml:space="preserve"> </w:t>
      </w:r>
      <w:r w:rsidRPr="00047F59">
        <w:rPr>
          <w:rFonts w:cs="Times New Roman"/>
          <w:i/>
        </w:rPr>
        <w:t>v. Canada</w:t>
      </w:r>
      <w:r>
        <w:rPr>
          <w:rFonts w:cs="Times New Roman"/>
          <w:i/>
        </w:rPr>
        <w:t xml:space="preserve"> (Attorney General)</w:t>
      </w:r>
      <w:r w:rsidRPr="00047F59">
        <w:rPr>
          <w:rFonts w:cs="Times New Roman"/>
        </w:rPr>
        <w:t>, [1989] 1 S.C.R</w:t>
      </w:r>
      <w:r>
        <w:rPr>
          <w:rFonts w:cs="Times New Roman"/>
        </w:rPr>
        <w:t>.</w:t>
      </w:r>
      <w:r w:rsidRPr="00047F59">
        <w:rPr>
          <w:rFonts w:cs="Times New Roman"/>
        </w:rPr>
        <w:t xml:space="preserve"> 342; </w:t>
      </w:r>
      <w:r w:rsidRPr="00047F59">
        <w:rPr>
          <w:rFonts w:cs="Times New Roman"/>
          <w:i/>
        </w:rPr>
        <w:t>R. v. McNeil</w:t>
      </w:r>
      <w:r w:rsidRPr="00047F59">
        <w:rPr>
          <w:rFonts w:cs="Times New Roman"/>
        </w:rPr>
        <w:t xml:space="preserve">, 2009 SCC 3, </w:t>
      </w:r>
      <w:r>
        <w:rPr>
          <w:rFonts w:cs="Times New Roman"/>
        </w:rPr>
        <w:t xml:space="preserve">[2009] 1 S.C.R. 66, </w:t>
      </w:r>
      <w:r w:rsidRPr="00047F59">
        <w:rPr>
          <w:rFonts w:cs="Times New Roman"/>
        </w:rPr>
        <w:t>at para. 2.</w:t>
      </w:r>
    </w:p>
    <w:p w:rsidR="00E34756" w:rsidRPr="00047F59" w:rsidRDefault="00E34756" w:rsidP="00E34756">
      <w:pPr>
        <w:pStyle w:val="ParaNoNdepar-AltN"/>
        <w:rPr>
          <w:rFonts w:cs="Times New Roman"/>
        </w:rPr>
      </w:pPr>
      <w:r w:rsidRPr="00047F59">
        <w:rPr>
          <w:rFonts w:cs="Times New Roman"/>
        </w:rPr>
        <w:t xml:space="preserve">In view of the unanimous position taken by the parties and interveners, and considering that the appeal meets the criteria established in </w:t>
      </w:r>
      <w:r w:rsidRPr="00047F59">
        <w:rPr>
          <w:rFonts w:cs="Times New Roman"/>
          <w:i/>
        </w:rPr>
        <w:t>Borowski</w:t>
      </w:r>
      <w:r w:rsidRPr="00047F59">
        <w:rPr>
          <w:rFonts w:cs="Times New Roman"/>
        </w:rPr>
        <w:t xml:space="preserve">, the Court determined that it would proceed to hear the appeal on its merits. </w:t>
      </w:r>
    </w:p>
    <w:p w:rsidR="00E34756" w:rsidRPr="00047F59" w:rsidRDefault="00E34756" w:rsidP="00E34756">
      <w:pPr>
        <w:pStyle w:val="Title2LevelTitre2Niveau"/>
        <w:rPr>
          <w:rFonts w:cs="Times New Roman"/>
        </w:rPr>
      </w:pPr>
      <w:r>
        <w:rPr>
          <w:rFonts w:cs="Times New Roman"/>
        </w:rPr>
        <w:t>Bail Pending Appeal Under Section</w:t>
      </w:r>
      <w:r w:rsidRPr="00047F59">
        <w:rPr>
          <w:rFonts w:cs="Times New Roman"/>
        </w:rPr>
        <w:t xml:space="preserve"> 679(3)</w:t>
      </w:r>
      <w:r>
        <w:rPr>
          <w:rFonts w:cs="Times New Roman"/>
        </w:rPr>
        <w:t xml:space="preserve"> of the Criminal Code</w:t>
      </w:r>
    </w:p>
    <w:p w:rsidR="00E34756" w:rsidRPr="00047F59" w:rsidRDefault="00E34756" w:rsidP="00E34756">
      <w:pPr>
        <w:pStyle w:val="Title3LevelTitre3Niveau"/>
        <w:rPr>
          <w:rFonts w:cs="Times New Roman"/>
        </w:rPr>
      </w:pPr>
      <w:r w:rsidRPr="00047F59">
        <w:rPr>
          <w:rFonts w:cs="Times New Roman"/>
        </w:rPr>
        <w:t>The Three Statutory Criteria</w:t>
      </w:r>
    </w:p>
    <w:p w:rsidR="00E34756" w:rsidRPr="00047F59" w:rsidRDefault="00E34756" w:rsidP="00E34756">
      <w:pPr>
        <w:pStyle w:val="ParaNoNdepar-AltN"/>
        <w:tabs>
          <w:tab w:val="clear" w:pos="1152"/>
          <w:tab w:val="left" w:pos="1166"/>
        </w:tabs>
        <w:rPr>
          <w:rFonts w:cs="Times New Roman"/>
        </w:rPr>
      </w:pPr>
      <w:r w:rsidRPr="00047F59">
        <w:rPr>
          <w:rFonts w:cs="Times New Roman"/>
        </w:rPr>
        <w:t xml:space="preserve">The three statutory criteria for bail pending appeal are found in s. 679(3) of the </w:t>
      </w:r>
      <w:r w:rsidRPr="00047F59">
        <w:rPr>
          <w:rFonts w:cs="Times New Roman"/>
          <w:i/>
        </w:rPr>
        <w:t>Code</w:t>
      </w:r>
      <w:r w:rsidRPr="00047F59">
        <w:rPr>
          <w:rFonts w:cs="Times New Roman"/>
        </w:rPr>
        <w:t>:</w:t>
      </w:r>
    </w:p>
    <w:p w:rsidR="008A1D9E" w:rsidRDefault="008A1D9E" w:rsidP="00E34756">
      <w:pPr>
        <w:pStyle w:val="Citation-AltC"/>
      </w:pPr>
      <w:r>
        <w:rPr>
          <w:b/>
        </w:rPr>
        <w:t>679</w:t>
      </w:r>
      <w:r>
        <w:t xml:space="preserve"> . . .</w:t>
      </w:r>
    </w:p>
    <w:p w:rsidR="008A1D9E" w:rsidRPr="008A1D9E" w:rsidRDefault="008A1D9E" w:rsidP="00E34756">
      <w:pPr>
        <w:pStyle w:val="Citation-AltC"/>
      </w:pPr>
    </w:p>
    <w:p w:rsidR="00E34756" w:rsidRPr="00047F59" w:rsidRDefault="00E34756" w:rsidP="00E34756">
      <w:pPr>
        <w:pStyle w:val="Citation-AltC"/>
      </w:pPr>
      <w:r w:rsidRPr="00194530">
        <w:rPr>
          <w:b/>
        </w:rPr>
        <w:lastRenderedPageBreak/>
        <w:t>(3)</w:t>
      </w:r>
      <w:r w:rsidRPr="00047F59">
        <w:t xml:space="preserve"> In the case of an appeal [against conviction], the judge of the court of appeal may order that the appellant be released pending the determination of his appeal if the appellant establishes that</w:t>
      </w:r>
    </w:p>
    <w:p w:rsidR="00E34756" w:rsidRPr="00047F59" w:rsidRDefault="00E34756" w:rsidP="00E34756">
      <w:pPr>
        <w:pStyle w:val="Citation-AltC"/>
      </w:pPr>
    </w:p>
    <w:p w:rsidR="00E34756" w:rsidRPr="00047F59" w:rsidRDefault="00E34756" w:rsidP="00E34756">
      <w:pPr>
        <w:pStyle w:val="Citation-AltC"/>
        <w:ind w:firstLine="454"/>
      </w:pPr>
      <w:r w:rsidRPr="00194530">
        <w:rPr>
          <w:b/>
        </w:rPr>
        <w:t>(a)</w:t>
      </w:r>
      <w:r>
        <w:t xml:space="preserve"> the appeal . . .</w:t>
      </w:r>
      <w:r w:rsidRPr="00047F59">
        <w:t xml:space="preserve"> is not frivolous;</w:t>
      </w:r>
    </w:p>
    <w:p w:rsidR="00E34756" w:rsidRPr="00047F59" w:rsidRDefault="00E34756" w:rsidP="00E34756">
      <w:pPr>
        <w:pStyle w:val="Citation-AltC"/>
      </w:pPr>
    </w:p>
    <w:p w:rsidR="00E34756" w:rsidRPr="00047F59" w:rsidRDefault="00E34756" w:rsidP="00E34756">
      <w:pPr>
        <w:pStyle w:val="Citation-AltC"/>
        <w:ind w:left="1620"/>
      </w:pPr>
      <w:r w:rsidRPr="00194530">
        <w:rPr>
          <w:b/>
        </w:rPr>
        <w:t>(b)</w:t>
      </w:r>
      <w:r w:rsidRPr="00047F59">
        <w:t xml:space="preserve"> he will surrender himself into custody in accordance with the terms of the order; and</w:t>
      </w:r>
    </w:p>
    <w:p w:rsidR="00E34756" w:rsidRPr="00047F59" w:rsidRDefault="00E34756" w:rsidP="00E34756">
      <w:pPr>
        <w:pStyle w:val="Citation-AltC"/>
      </w:pPr>
    </w:p>
    <w:p w:rsidR="00E34756" w:rsidRPr="00047F59" w:rsidRDefault="00E34756" w:rsidP="00E34756">
      <w:pPr>
        <w:pStyle w:val="Citation-AltC"/>
        <w:ind w:firstLine="454"/>
      </w:pPr>
      <w:r w:rsidRPr="00194530">
        <w:rPr>
          <w:b/>
        </w:rPr>
        <w:t>(c)</w:t>
      </w:r>
      <w:r w:rsidRPr="00047F59">
        <w:t xml:space="preserve"> his detention is not necessary in the public interest.</w:t>
      </w:r>
    </w:p>
    <w:p w:rsidR="00E34756" w:rsidRPr="00047F59" w:rsidRDefault="00E34756" w:rsidP="00E34756">
      <w:pPr>
        <w:pStyle w:val="ParaNoNdepar-AltN"/>
        <w:numPr>
          <w:ilvl w:val="0"/>
          <w:numId w:val="0"/>
        </w:numPr>
        <w:rPr>
          <w:rFonts w:cs="Times New Roman"/>
        </w:rPr>
      </w:pPr>
      <w:r w:rsidRPr="00047F59">
        <w:rPr>
          <w:rFonts w:cs="Times New Roman"/>
        </w:rPr>
        <w:t xml:space="preserve">The applicant seeking bail bears the burden of establishing that each </w:t>
      </w:r>
      <w:r>
        <w:rPr>
          <w:rFonts w:cs="Times New Roman"/>
        </w:rPr>
        <w:t xml:space="preserve">criterion </w:t>
      </w:r>
      <w:r w:rsidRPr="00047F59">
        <w:rPr>
          <w:rFonts w:cs="Times New Roman"/>
        </w:rPr>
        <w:t xml:space="preserve">is met on a balance of probabilities: </w:t>
      </w:r>
      <w:r w:rsidRPr="00047F59">
        <w:rPr>
          <w:rFonts w:cs="Times New Roman"/>
          <w:i/>
        </w:rPr>
        <w:t>R. v. Ponak</w:t>
      </w:r>
      <w:r w:rsidRPr="00047F59">
        <w:rPr>
          <w:rFonts w:cs="Times New Roman"/>
        </w:rPr>
        <w:t xml:space="preserve">, [1972] </w:t>
      </w:r>
      <w:r>
        <w:rPr>
          <w:rFonts w:cs="Times New Roman"/>
        </w:rPr>
        <w:t>4 W.W.R. 316 (B.C.C.A.), at pp. 317-18</w:t>
      </w:r>
      <w:r w:rsidRPr="00047F59">
        <w:rPr>
          <w:rFonts w:cs="Times New Roman"/>
        </w:rPr>
        <w:t xml:space="preserve">; </w:t>
      </w:r>
      <w:r w:rsidRPr="00047F59">
        <w:rPr>
          <w:rFonts w:cs="Times New Roman"/>
          <w:i/>
        </w:rPr>
        <w:t>R. v. Iyer</w:t>
      </w:r>
      <w:r w:rsidRPr="00047F59">
        <w:rPr>
          <w:rFonts w:cs="Times New Roman"/>
        </w:rPr>
        <w:t>, 2016 ABCA 407, at para. 7</w:t>
      </w:r>
      <w:r>
        <w:rPr>
          <w:rFonts w:cs="Times New Roman"/>
        </w:rPr>
        <w:t xml:space="preserve"> (CanLII)</w:t>
      </w:r>
      <w:r w:rsidRPr="00047F59">
        <w:rPr>
          <w:rFonts w:cs="Times New Roman"/>
        </w:rPr>
        <w:t>;</w:t>
      </w:r>
      <w:r>
        <w:rPr>
          <w:rFonts w:cs="Times New Roman"/>
        </w:rPr>
        <w:t xml:space="preserve"> </w:t>
      </w:r>
      <w:r>
        <w:rPr>
          <w:rFonts w:cs="Times New Roman"/>
          <w:i/>
        </w:rPr>
        <w:t>R. v. D’Amico</w:t>
      </w:r>
      <w:r>
        <w:rPr>
          <w:rFonts w:cs="Times New Roman"/>
        </w:rPr>
        <w:t>,</w:t>
      </w:r>
      <w:r w:rsidRPr="00047F59">
        <w:rPr>
          <w:rFonts w:cs="Times New Roman"/>
        </w:rPr>
        <w:t xml:space="preserve"> 2016 QCCA 183, at para. 10</w:t>
      </w:r>
      <w:r>
        <w:rPr>
          <w:rFonts w:cs="Times New Roman"/>
        </w:rPr>
        <w:t xml:space="preserve"> (CanLII)</w:t>
      </w:r>
      <w:r w:rsidRPr="00047F59">
        <w:rPr>
          <w:rFonts w:cs="Times New Roman"/>
        </w:rPr>
        <w:t xml:space="preserve">; </w:t>
      </w:r>
      <w:r w:rsidRPr="00047F59">
        <w:rPr>
          <w:rFonts w:cs="Times New Roman"/>
          <w:i/>
        </w:rPr>
        <w:t>R. v. Gill</w:t>
      </w:r>
      <w:r w:rsidRPr="00047F59">
        <w:rPr>
          <w:rFonts w:cs="Times New Roman"/>
        </w:rPr>
        <w:t>, 2015 SKCA 96,</w:t>
      </w:r>
      <w:r>
        <w:rPr>
          <w:rFonts w:cs="Times New Roman"/>
        </w:rPr>
        <w:t xml:space="preserve"> 465 Sask. R. 253,</w:t>
      </w:r>
      <w:r w:rsidRPr="00047F59">
        <w:rPr>
          <w:rFonts w:cs="Times New Roman"/>
        </w:rPr>
        <w:t xml:space="preserve"> at para. 14.</w:t>
      </w:r>
    </w:p>
    <w:p w:rsidR="00E34756" w:rsidRPr="00047F59" w:rsidRDefault="00E34756" w:rsidP="00E34756">
      <w:pPr>
        <w:pStyle w:val="ParaNoNdepar-AltN"/>
        <w:rPr>
          <w:rFonts w:cs="Times New Roman"/>
        </w:rPr>
      </w:pPr>
      <w:r w:rsidRPr="00047F59">
        <w:rPr>
          <w:rFonts w:cs="Times New Roman"/>
        </w:rPr>
        <w:t xml:space="preserve">The first criterion requires the appeal judge to examine the grounds of appeal with a view to ensuring that they are not “not frivolous” (s. 679(3)(a)). Courts have used different language to describe this standard. While not in issue on this appeal, the “not frivolous” test is </w:t>
      </w:r>
      <w:r>
        <w:rPr>
          <w:rFonts w:cs="Times New Roman"/>
        </w:rPr>
        <w:t>widely</w:t>
      </w:r>
      <w:r w:rsidRPr="00047F59">
        <w:rPr>
          <w:rFonts w:cs="Times New Roman"/>
        </w:rPr>
        <w:t xml:space="preserve"> recognized as being a very low bar: see </w:t>
      </w:r>
      <w:r>
        <w:rPr>
          <w:rFonts w:cs="Times New Roman"/>
          <w:i/>
        </w:rPr>
        <w:t xml:space="preserve">R. v. </w:t>
      </w:r>
      <w:r w:rsidRPr="00047F59">
        <w:rPr>
          <w:rFonts w:cs="Times New Roman"/>
          <w:i/>
        </w:rPr>
        <w:t>Xanthoudakis</w:t>
      </w:r>
      <w:r w:rsidRPr="00047F59">
        <w:rPr>
          <w:rFonts w:cs="Times New Roman"/>
        </w:rPr>
        <w:t>, 2016 QCCA 1809, at paras. 4-7</w:t>
      </w:r>
      <w:r>
        <w:rPr>
          <w:rFonts w:cs="Times New Roman"/>
        </w:rPr>
        <w:t xml:space="preserve"> (CanLII)</w:t>
      </w:r>
      <w:r w:rsidRPr="00047F59">
        <w:rPr>
          <w:rFonts w:cs="Times New Roman"/>
        </w:rPr>
        <w:t xml:space="preserve">; </w:t>
      </w:r>
      <w:r>
        <w:rPr>
          <w:rFonts w:cs="Times New Roman"/>
          <w:i/>
        </w:rPr>
        <w:t>R. v. Ma</w:t>
      </w:r>
      <w:r w:rsidRPr="00047F59">
        <w:rPr>
          <w:rFonts w:cs="Times New Roman"/>
          <w:i/>
        </w:rPr>
        <w:t>nasseri</w:t>
      </w:r>
      <w:r w:rsidRPr="00047F59">
        <w:rPr>
          <w:rFonts w:cs="Times New Roman"/>
        </w:rPr>
        <w:t>, 2013 ONCA 647,</w:t>
      </w:r>
      <w:r>
        <w:rPr>
          <w:rFonts w:cs="Times New Roman"/>
        </w:rPr>
        <w:t xml:space="preserve"> 312 C.C.C. (3d) 132,</w:t>
      </w:r>
      <w:r w:rsidRPr="00047F59">
        <w:rPr>
          <w:rFonts w:cs="Times New Roman"/>
        </w:rPr>
        <w:t xml:space="preserve"> at para. 38;</w:t>
      </w:r>
      <w:r w:rsidRPr="00047F59">
        <w:rPr>
          <w:rFonts w:cs="Times New Roman"/>
          <w:i/>
        </w:rPr>
        <w:t xml:space="preserve"> R. v. Passey</w:t>
      </w:r>
      <w:r>
        <w:rPr>
          <w:rFonts w:cs="Times New Roman"/>
        </w:rPr>
        <w:t>, 1997 ABCA 343,</w:t>
      </w:r>
      <w:r w:rsidRPr="00047F59">
        <w:rPr>
          <w:rFonts w:cs="Times New Roman"/>
        </w:rPr>
        <w:t xml:space="preserve"> 121 C.C.C. (3d) 444, at paras. 6-8; G</w:t>
      </w:r>
      <w:r>
        <w:rPr>
          <w:rFonts w:cs="Times New Roman"/>
        </w:rPr>
        <w:t>.</w:t>
      </w:r>
      <w:r w:rsidR="008A1D9E">
        <w:rPr>
          <w:rFonts w:cs="Times New Roman"/>
        </w:rPr>
        <w:t xml:space="preserve"> T.</w:t>
      </w:r>
      <w:r w:rsidRPr="00047F59">
        <w:rPr>
          <w:rFonts w:cs="Times New Roman"/>
        </w:rPr>
        <w:t xml:space="preserve"> Trotter, </w:t>
      </w:r>
      <w:r w:rsidRPr="00047F59">
        <w:rPr>
          <w:rFonts w:cs="Times New Roman"/>
          <w:i/>
        </w:rPr>
        <w:t xml:space="preserve">The Law of Bail in Canada </w:t>
      </w:r>
      <w:r w:rsidRPr="00047F59">
        <w:rPr>
          <w:rFonts w:cs="Times New Roman"/>
        </w:rPr>
        <w:t>(3rd ed. (loose-</w:t>
      </w:r>
      <w:r>
        <w:rPr>
          <w:rFonts w:cs="Times New Roman"/>
        </w:rPr>
        <w:t>leaf)), at pp. 10-13 to 10-15</w:t>
      </w:r>
      <w:r w:rsidRPr="00047F59">
        <w:rPr>
          <w:rFonts w:cs="Times New Roman"/>
        </w:rPr>
        <w:t>.</w:t>
      </w:r>
    </w:p>
    <w:p w:rsidR="00E34756" w:rsidRPr="00047F59" w:rsidRDefault="00E34756" w:rsidP="00E34756">
      <w:pPr>
        <w:pStyle w:val="ParaNoNdepar-AltN"/>
        <w:rPr>
          <w:rFonts w:cs="Times New Roman"/>
        </w:rPr>
      </w:pPr>
      <w:r w:rsidRPr="00047F59">
        <w:rPr>
          <w:rFonts w:cs="Times New Roman"/>
        </w:rPr>
        <w:t xml:space="preserve">The second criterion requires the applicant to show that “he will surrender himself into custody in accordance with the terms of the </w:t>
      </w:r>
      <w:r>
        <w:rPr>
          <w:rFonts w:cs="Times New Roman"/>
        </w:rPr>
        <w:t>[</w:t>
      </w:r>
      <w:r w:rsidRPr="00047F59">
        <w:rPr>
          <w:rFonts w:cs="Times New Roman"/>
        </w:rPr>
        <w:t>release</w:t>
      </w:r>
      <w:r>
        <w:rPr>
          <w:rFonts w:cs="Times New Roman"/>
        </w:rPr>
        <w:t>]</w:t>
      </w:r>
      <w:r w:rsidRPr="00047F59">
        <w:rPr>
          <w:rFonts w:cs="Times New Roman"/>
        </w:rPr>
        <w:t xml:space="preserve"> order” (s. 679(3)(b)). </w:t>
      </w:r>
      <w:r w:rsidRPr="00047F59">
        <w:rPr>
          <w:rFonts w:cs="Times New Roman"/>
        </w:rPr>
        <w:lastRenderedPageBreak/>
        <w:t xml:space="preserve">The appeal judge must be satisfied that the applicant will not flee the jurisdiction and will surrender into custody as required. </w:t>
      </w:r>
    </w:p>
    <w:p w:rsidR="00E34756" w:rsidRPr="00047F59" w:rsidRDefault="00E34756" w:rsidP="00E34756">
      <w:pPr>
        <w:pStyle w:val="ParaNoNdepar-AltN"/>
        <w:rPr>
          <w:rFonts w:cs="Times New Roman"/>
        </w:rPr>
      </w:pPr>
      <w:r w:rsidRPr="00047F59">
        <w:rPr>
          <w:rFonts w:cs="Times New Roman"/>
        </w:rPr>
        <w:t xml:space="preserve">The third criterion requires the applicant to establish that “his detention is not necessary in the public interest” (s. 679(3)(c)). It is upon this criterion that Mr. Oland’s bid </w:t>
      </w:r>
      <w:r>
        <w:rPr>
          <w:rFonts w:cs="Times New Roman"/>
        </w:rPr>
        <w:t>for bail pending appeal failed —</w:t>
      </w:r>
      <w:r w:rsidRPr="00047F59">
        <w:rPr>
          <w:rFonts w:cs="Times New Roman"/>
        </w:rPr>
        <w:t xml:space="preserve"> and it is on this criterion that guidance from the Court is sought. In particular, the parties ask this Court for guidance on how the strength of the grounds of appeal from a conviction should be considered in determining whether detention is necessary in the public interest.</w:t>
      </w:r>
    </w:p>
    <w:p w:rsidR="00E34756" w:rsidRPr="00047F59" w:rsidRDefault="00E34756" w:rsidP="00E34756">
      <w:pPr>
        <w:pStyle w:val="Title3LevelTitre3Niveau"/>
        <w:rPr>
          <w:rFonts w:cs="Times New Roman"/>
        </w:rPr>
      </w:pPr>
      <w:r w:rsidRPr="00047F59">
        <w:rPr>
          <w:rFonts w:cs="Times New Roman"/>
        </w:rPr>
        <w:t xml:space="preserve">The </w:t>
      </w:r>
      <w:r w:rsidRPr="00047F59">
        <w:rPr>
          <w:rFonts w:cs="Times New Roman"/>
          <w:i/>
        </w:rPr>
        <w:t>Farinacci</w:t>
      </w:r>
      <w:r w:rsidRPr="00047F59">
        <w:rPr>
          <w:rFonts w:cs="Times New Roman"/>
        </w:rPr>
        <w:t xml:space="preserve"> Approach to the Public Interest Criterion</w:t>
      </w:r>
    </w:p>
    <w:p w:rsidR="00E34756" w:rsidRPr="00047F59" w:rsidRDefault="00E34756" w:rsidP="00E34756">
      <w:pPr>
        <w:pStyle w:val="ParaNoNdepar-AltN"/>
        <w:rPr>
          <w:rFonts w:cs="Times New Roman"/>
        </w:rPr>
      </w:pPr>
      <w:r w:rsidRPr="00047F59">
        <w:rPr>
          <w:rFonts w:cs="Times New Roman"/>
        </w:rPr>
        <w:t xml:space="preserve">In </w:t>
      </w:r>
      <w:r w:rsidRPr="00047F59">
        <w:rPr>
          <w:rFonts w:cs="Times New Roman"/>
          <w:i/>
        </w:rPr>
        <w:t xml:space="preserve">R. v. Farinacci </w:t>
      </w:r>
      <w:r w:rsidRPr="00047F59">
        <w:rPr>
          <w:rFonts w:cs="Times New Roman"/>
        </w:rPr>
        <w:t>(1993), 86 C.C.C. (3d) 32</w:t>
      </w:r>
      <w:r>
        <w:rPr>
          <w:rFonts w:cs="Times New Roman"/>
        </w:rPr>
        <w:t xml:space="preserve"> (Ont. C.A.)</w:t>
      </w:r>
      <w:r w:rsidRPr="00047F59">
        <w:rPr>
          <w:rFonts w:cs="Times New Roman"/>
        </w:rPr>
        <w:t>, Arbour J.A. (as she then was) considered the meaning of the words “public interest” in the context of s. 679(3)(c). In the course of her careful analysis, she determined that the public interest criterion consisted of two components: public safety and public confidence in the administration of justice</w:t>
      </w:r>
      <w:r>
        <w:rPr>
          <w:rFonts w:cs="Times New Roman"/>
        </w:rPr>
        <w:t xml:space="preserve"> (pp. 47-48</w:t>
      </w:r>
      <w:r w:rsidRPr="00047F59">
        <w:rPr>
          <w:rFonts w:cs="Times New Roman"/>
        </w:rPr>
        <w:t>).</w:t>
      </w:r>
    </w:p>
    <w:p w:rsidR="00E34756" w:rsidRPr="00047F59" w:rsidRDefault="00E34756" w:rsidP="00E34756">
      <w:pPr>
        <w:pStyle w:val="ParaNoNdepar-AltN"/>
        <w:rPr>
          <w:rFonts w:cs="Times New Roman"/>
        </w:rPr>
      </w:pPr>
      <w:r w:rsidRPr="00047F59">
        <w:rPr>
          <w:rFonts w:cs="Times New Roman"/>
        </w:rPr>
        <w:t>Justice Arbour did not delve into the public safety component. She found that it related to the protection and safety of the public and essentially tracked the familiar requirements of the so-called “secondary ground” governing an accused’s release pending trial</w:t>
      </w:r>
      <w:r>
        <w:rPr>
          <w:rFonts w:cs="Times New Roman"/>
        </w:rPr>
        <w:t xml:space="preserve"> (pp. 45 and 47-48</w:t>
      </w:r>
      <w:r w:rsidRPr="00047F59">
        <w:rPr>
          <w:rFonts w:cs="Times New Roman"/>
        </w:rPr>
        <w:t xml:space="preserve">). The public confidence component, on the other hand, was more nuanced and required elaboration. It involved the weighing of two competing interests: enforceability and reviewability. </w:t>
      </w:r>
    </w:p>
    <w:p w:rsidR="00E34756" w:rsidRPr="00047F59" w:rsidRDefault="00E34756" w:rsidP="00E34756">
      <w:pPr>
        <w:pStyle w:val="ParaNoNdepar-AltN"/>
        <w:rPr>
          <w:rFonts w:cs="Times New Roman"/>
        </w:rPr>
      </w:pPr>
      <w:r w:rsidRPr="00047F59">
        <w:rPr>
          <w:rFonts w:cs="Times New Roman"/>
        </w:rPr>
        <w:lastRenderedPageBreak/>
        <w:t xml:space="preserve">According to Arbour J.A., the enforceability interest reflected the need to respect the general rule of the immediate enforceability of judgments. Reviewability, on the other hand, reflected society’s acknowledgement that our justice system is not infallible and that persons who challenge the legality of their convictions should be entitled </w:t>
      </w:r>
      <w:r>
        <w:rPr>
          <w:rFonts w:cs="Times New Roman"/>
        </w:rPr>
        <w:t>to a meaningful review process —</w:t>
      </w:r>
      <w:r w:rsidRPr="00047F59">
        <w:rPr>
          <w:rFonts w:cs="Times New Roman"/>
        </w:rPr>
        <w:t xml:space="preserve"> one which did not require them to serve all or a significant part of a custodial sentence only to find out on appeal that the conviction upon which it was based was unlawful</w:t>
      </w:r>
      <w:r>
        <w:rPr>
          <w:rFonts w:cs="Times New Roman"/>
        </w:rPr>
        <w:t xml:space="preserve"> (pp. 47-49</w:t>
      </w:r>
      <w:r w:rsidRPr="00047F59">
        <w:rPr>
          <w:rFonts w:cs="Times New Roman"/>
        </w:rPr>
        <w:t>).</w:t>
      </w:r>
    </w:p>
    <w:p w:rsidR="00E34756" w:rsidRPr="00047F59" w:rsidRDefault="00E34756" w:rsidP="00E34756">
      <w:pPr>
        <w:pStyle w:val="ParaNoNdepar-AltN"/>
        <w:rPr>
          <w:rFonts w:cs="Times New Roman"/>
        </w:rPr>
      </w:pPr>
      <w:r w:rsidRPr="00047F59">
        <w:rPr>
          <w:rFonts w:cs="Times New Roman"/>
        </w:rPr>
        <w:t xml:space="preserve">Almost a quarter of a century has passed since </w:t>
      </w:r>
      <w:r w:rsidRPr="00047F59">
        <w:rPr>
          <w:rFonts w:cs="Times New Roman"/>
          <w:i/>
        </w:rPr>
        <w:t>Farinacci</w:t>
      </w:r>
      <w:r w:rsidRPr="00047F59">
        <w:rPr>
          <w:rFonts w:cs="Times New Roman"/>
        </w:rPr>
        <w:t xml:space="preserve"> was decided. The public interest framework which it established has withstood the test of time. It has been universally endorsed by appellate courts across the country: see, e.g., </w:t>
      </w:r>
      <w:r>
        <w:rPr>
          <w:rFonts w:cs="Times New Roman"/>
          <w:i/>
        </w:rPr>
        <w:t>R. v. M</w:t>
      </w:r>
      <w:r w:rsidRPr="00047F59">
        <w:rPr>
          <w:rFonts w:cs="Times New Roman"/>
          <w:i/>
        </w:rPr>
        <w:t>atteo</w:t>
      </w:r>
      <w:r w:rsidRPr="00047F59">
        <w:rPr>
          <w:rFonts w:cs="Times New Roman"/>
        </w:rPr>
        <w:t>, 2016 QCCA 2046, at para. 20</w:t>
      </w:r>
      <w:r>
        <w:rPr>
          <w:rFonts w:cs="Times New Roman"/>
        </w:rPr>
        <w:t xml:space="preserve"> (CanLII)</w:t>
      </w:r>
      <w:r w:rsidRPr="00047F59">
        <w:rPr>
          <w:rFonts w:cs="Times New Roman"/>
        </w:rPr>
        <w:t xml:space="preserve">; </w:t>
      </w:r>
      <w:r w:rsidRPr="00047F59">
        <w:rPr>
          <w:rFonts w:cs="Times New Roman"/>
          <w:i/>
        </w:rPr>
        <w:t>R. v. Sidhu</w:t>
      </w:r>
      <w:r w:rsidRPr="00047F59">
        <w:rPr>
          <w:rFonts w:cs="Times New Roman"/>
        </w:rPr>
        <w:t xml:space="preserve">, 2015 ABCA 308, </w:t>
      </w:r>
      <w:r>
        <w:rPr>
          <w:rFonts w:cs="Times New Roman"/>
        </w:rPr>
        <w:t xml:space="preserve">607 A.R. 395, </w:t>
      </w:r>
      <w:r w:rsidRPr="00047F59">
        <w:rPr>
          <w:rFonts w:cs="Times New Roman"/>
        </w:rPr>
        <w:t xml:space="preserve">at paras. 5-6; </w:t>
      </w:r>
      <w:r w:rsidRPr="00047F59">
        <w:rPr>
          <w:rFonts w:cs="Times New Roman"/>
          <w:i/>
        </w:rPr>
        <w:t xml:space="preserve">R. v. </w:t>
      </w:r>
      <w:r>
        <w:rPr>
          <w:rFonts w:cs="Times New Roman"/>
          <w:i/>
        </w:rPr>
        <w:t>Porisky</w:t>
      </w:r>
      <w:r w:rsidRPr="00047F59">
        <w:rPr>
          <w:rFonts w:cs="Times New Roman"/>
        </w:rPr>
        <w:t xml:space="preserve">, 2012 BCCA 467, </w:t>
      </w:r>
      <w:r>
        <w:rPr>
          <w:rFonts w:cs="Times New Roman"/>
        </w:rPr>
        <w:t xml:space="preserve">293 C.C.C. (3d) 100, </w:t>
      </w:r>
      <w:r w:rsidRPr="00047F59">
        <w:rPr>
          <w:rFonts w:cs="Times New Roman"/>
        </w:rPr>
        <w:t>at paras. 8</w:t>
      </w:r>
      <w:r>
        <w:rPr>
          <w:rFonts w:cs="Times New Roman"/>
        </w:rPr>
        <w:t xml:space="preserve"> and 14-</w:t>
      </w:r>
      <w:r w:rsidRPr="00047F59">
        <w:rPr>
          <w:rFonts w:cs="Times New Roman"/>
        </w:rPr>
        <w:t xml:space="preserve">15; </w:t>
      </w:r>
      <w:r w:rsidRPr="00047F59">
        <w:rPr>
          <w:rFonts w:cs="Times New Roman"/>
          <w:i/>
        </w:rPr>
        <w:t xml:space="preserve">R. v. Parsons </w:t>
      </w:r>
      <w:r w:rsidRPr="00047F59">
        <w:rPr>
          <w:rFonts w:cs="Times New Roman"/>
        </w:rPr>
        <w:t>(1994), 117 Nfld. &amp; P.E.I.R. 69</w:t>
      </w:r>
      <w:r w:rsidR="008A38B3">
        <w:rPr>
          <w:rFonts w:cs="Times New Roman"/>
        </w:rPr>
        <w:t xml:space="preserve"> </w:t>
      </w:r>
      <w:r w:rsidR="008A38B3" w:rsidRPr="00047F59">
        <w:rPr>
          <w:rFonts w:cs="Times New Roman"/>
        </w:rPr>
        <w:t>(C.A.)</w:t>
      </w:r>
      <w:r w:rsidRPr="00047F59">
        <w:rPr>
          <w:rFonts w:cs="Times New Roman"/>
        </w:rPr>
        <w:t xml:space="preserve">, at paras. 30-34. Moreover, all of the parties and interveners in this appeal are content with the </w:t>
      </w:r>
      <w:r w:rsidRPr="00047F59">
        <w:rPr>
          <w:rFonts w:cs="Times New Roman"/>
          <w:i/>
        </w:rPr>
        <w:t>Farinacci</w:t>
      </w:r>
      <w:r w:rsidRPr="00047F59">
        <w:rPr>
          <w:rFonts w:cs="Times New Roman"/>
        </w:rPr>
        <w:t xml:space="preserve"> framework. None has spoken against it; none has asked us to revisit it </w:t>
      </w:r>
      <w:r>
        <w:rPr>
          <w:rFonts w:cs="Times New Roman"/>
        </w:rPr>
        <w:t>—</w:t>
      </w:r>
      <w:r w:rsidRPr="00047F59">
        <w:rPr>
          <w:rFonts w:cs="Times New Roman"/>
        </w:rPr>
        <w:t xml:space="preserve"> and I see no reason to do so. </w:t>
      </w:r>
      <w:r w:rsidRPr="00047F59">
        <w:rPr>
          <w:rFonts w:cs="Times New Roman"/>
          <w:i/>
        </w:rPr>
        <w:t xml:space="preserve">Farinacci </w:t>
      </w:r>
      <w:r w:rsidRPr="00047F59">
        <w:rPr>
          <w:rFonts w:cs="Times New Roman"/>
        </w:rPr>
        <w:t xml:space="preserve">remains good law in my view. </w:t>
      </w:r>
    </w:p>
    <w:p w:rsidR="00E34756" w:rsidRPr="00047F59" w:rsidRDefault="00E34756" w:rsidP="00E34756">
      <w:pPr>
        <w:pStyle w:val="ParaNoNdepar-AltN"/>
        <w:rPr>
          <w:rFonts w:cs="Times New Roman"/>
        </w:rPr>
      </w:pPr>
      <w:r w:rsidRPr="00047F59">
        <w:rPr>
          <w:rFonts w:cs="Times New Roman"/>
        </w:rPr>
        <w:t>In so concluding, I should not be taken to mean</w:t>
      </w:r>
      <w:r>
        <w:rPr>
          <w:rFonts w:cs="Times New Roman"/>
        </w:rPr>
        <w:t xml:space="preserve"> </w:t>
      </w:r>
      <w:r w:rsidRPr="00047F59">
        <w:rPr>
          <w:rFonts w:cs="Times New Roman"/>
        </w:rPr>
        <w:t>—</w:t>
      </w:r>
      <w:r>
        <w:rPr>
          <w:rFonts w:cs="Times New Roman"/>
        </w:rPr>
        <w:t xml:space="preserve"> </w:t>
      </w:r>
      <w:r w:rsidRPr="00047F59">
        <w:rPr>
          <w:rFonts w:cs="Times New Roman"/>
        </w:rPr>
        <w:t xml:space="preserve">nor do I understand </w:t>
      </w:r>
      <w:r w:rsidRPr="00047F59">
        <w:rPr>
          <w:rFonts w:cs="Times New Roman"/>
          <w:i/>
        </w:rPr>
        <w:t xml:space="preserve">Farinacci </w:t>
      </w:r>
      <w:r w:rsidRPr="00047F59">
        <w:rPr>
          <w:rFonts w:cs="Times New Roman"/>
        </w:rPr>
        <w:t>to have said</w:t>
      </w:r>
      <w:r>
        <w:rPr>
          <w:rFonts w:cs="Times New Roman"/>
        </w:rPr>
        <w:t xml:space="preserve"> </w:t>
      </w:r>
      <w:r w:rsidRPr="00047F59">
        <w:rPr>
          <w:rFonts w:cs="Times New Roman"/>
        </w:rPr>
        <w:t>—</w:t>
      </w:r>
      <w:r>
        <w:rPr>
          <w:rFonts w:cs="Times New Roman"/>
        </w:rPr>
        <w:t xml:space="preserve"> </w:t>
      </w:r>
      <w:r w:rsidRPr="00047F59">
        <w:rPr>
          <w:rFonts w:cs="Times New Roman"/>
        </w:rPr>
        <w:t xml:space="preserve">that the public safety component and the public confidence component are to be treated as silos. To be sure, there will be cases where public safety considerations alone are sufficient to warrant a detention order in the public interest. However, as I will explain, where the public safety threshold has been met by an </w:t>
      </w:r>
      <w:r w:rsidRPr="00047F59">
        <w:rPr>
          <w:rFonts w:cs="Times New Roman"/>
        </w:rPr>
        <w:lastRenderedPageBreak/>
        <w:t xml:space="preserve">applicant seeking bail pending appeal, residual public safety concerns or the absence of any public safety concerns remain relevant and should be considered in the public confidence analysis. </w:t>
      </w:r>
    </w:p>
    <w:p w:rsidR="00E34756" w:rsidRPr="00047F59" w:rsidRDefault="00E34756" w:rsidP="00E34756">
      <w:pPr>
        <w:pStyle w:val="ParaNoNdepar-AltN"/>
        <w:rPr>
          <w:rFonts w:cs="Times New Roman"/>
        </w:rPr>
      </w:pPr>
      <w:r w:rsidRPr="00047F59">
        <w:rPr>
          <w:rFonts w:cs="Times New Roman"/>
        </w:rPr>
        <w:t xml:space="preserve">The challenge with </w:t>
      </w:r>
      <w:r w:rsidRPr="00047F59">
        <w:rPr>
          <w:rFonts w:cs="Times New Roman"/>
          <w:i/>
        </w:rPr>
        <w:t>Farinacci</w:t>
      </w:r>
      <w:r w:rsidRPr="00047F59">
        <w:rPr>
          <w:rFonts w:cs="Times New Roman"/>
        </w:rPr>
        <w:t xml:space="preserve"> arises not from its framework, but from its application in cases where the public confidence component is raised. App</w:t>
      </w:r>
      <w:r>
        <w:rPr>
          <w:rFonts w:cs="Times New Roman"/>
        </w:rPr>
        <w:t>ellate</w:t>
      </w:r>
      <w:r w:rsidRPr="00047F59">
        <w:rPr>
          <w:rFonts w:cs="Times New Roman"/>
        </w:rPr>
        <w:t xml:space="preserve"> judges continue to have difficulty resolving the tension between enforceability and reviewability, especially in cases like the present one, where they are faced with a serious crime on the one hand, and a strong candidate for bail pending appeal on the other. </w:t>
      </w:r>
    </w:p>
    <w:p w:rsidR="00E34756" w:rsidRPr="00047F59" w:rsidRDefault="00E34756" w:rsidP="00E34756">
      <w:pPr>
        <w:pStyle w:val="ParaNoNdepar-AltN"/>
        <w:rPr>
          <w:rFonts w:cs="Times New Roman"/>
        </w:rPr>
      </w:pPr>
      <w:r w:rsidRPr="00047F59">
        <w:rPr>
          <w:rFonts w:cs="Times New Roman"/>
        </w:rPr>
        <w:t>Fortunately, cases like this tend to be more the exception than the rule. Appellate judges across the country deal with applications for bail pending appeal on a regular basis. Of those, only a fraction are likely to involve the public confidence component. Rarely does this component play a role, much less a central role, in the decision to grant or deny bail pending appeal. As Donald J.A. observed in</w:t>
      </w:r>
      <w:r>
        <w:rPr>
          <w:rFonts w:cs="Times New Roman"/>
          <w:i/>
        </w:rPr>
        <w:t xml:space="preserve"> Porisky</w:t>
      </w:r>
      <w:r w:rsidRPr="00047F59">
        <w:rPr>
          <w:rFonts w:cs="Times New Roman"/>
        </w:rPr>
        <w:t>, at para. 47:</w:t>
      </w:r>
    </w:p>
    <w:p w:rsidR="00E34756" w:rsidRPr="00047F59" w:rsidRDefault="00E34756" w:rsidP="00E34756">
      <w:pPr>
        <w:pStyle w:val="Citation-AltC"/>
      </w:pPr>
      <w:r w:rsidRPr="00047F59">
        <w:t>Not every offence is serious enough to engage an assessment of the merits. There is no need to go beyond the frivolous threshold in cases unlikely to arouse a concern about public confidence.</w:t>
      </w:r>
      <w:r>
        <w:t xml:space="preserve"> . . .</w:t>
      </w:r>
      <w:r w:rsidRPr="00047F59">
        <w:t xml:space="preserve"> [W]e should expect Crown counsel to recognize that the continuum runs from petty theft to first degree murder and to exercise good judgment in raising public confidence only in those cases where the offence is at the serious end of the scale.</w:t>
      </w:r>
    </w:p>
    <w:p w:rsidR="00E34756" w:rsidRPr="00047F59" w:rsidRDefault="00E34756" w:rsidP="00E34756">
      <w:pPr>
        <w:pStyle w:val="ParaNoNdepar-AltN"/>
        <w:rPr>
          <w:rFonts w:cs="Times New Roman"/>
        </w:rPr>
      </w:pPr>
      <w:r w:rsidRPr="00047F59">
        <w:rPr>
          <w:rFonts w:cs="Times New Roman"/>
        </w:rPr>
        <w:lastRenderedPageBreak/>
        <w:t xml:space="preserve">That said, difficult cases do occasionally arise in which the public confidence component is raised. In the hope of assisting appellate judges, I propose to elaborate somewhat on the competing interests of enforceability and reviewability identified in </w:t>
      </w:r>
      <w:r w:rsidRPr="00047F59">
        <w:rPr>
          <w:rFonts w:cs="Times New Roman"/>
          <w:i/>
        </w:rPr>
        <w:t>Farinacci</w:t>
      </w:r>
      <w:r w:rsidRPr="00047F59">
        <w:rPr>
          <w:rFonts w:cs="Times New Roman"/>
        </w:rPr>
        <w:t xml:space="preserve">. In particular, I will point out some of the key factors that inform these interests and provide appellate judges with guidance as to how to weigh them in any given case. </w:t>
      </w:r>
    </w:p>
    <w:p w:rsidR="00E34756" w:rsidRPr="00047F59" w:rsidRDefault="00E34756" w:rsidP="00E34756">
      <w:pPr>
        <w:pStyle w:val="Title3LevelTitre3Niveau"/>
        <w:rPr>
          <w:rFonts w:cs="Times New Roman"/>
        </w:rPr>
      </w:pPr>
      <w:r>
        <w:rPr>
          <w:rFonts w:cs="Times New Roman"/>
        </w:rPr>
        <w:t>S</w:t>
      </w:r>
      <w:r w:rsidRPr="00047F59">
        <w:rPr>
          <w:rFonts w:cs="Times New Roman"/>
        </w:rPr>
        <w:t>ection 515(10)(c)</w:t>
      </w:r>
      <w:r>
        <w:rPr>
          <w:rFonts w:cs="Times New Roman"/>
        </w:rPr>
        <w:t xml:space="preserve"> of the </w:t>
      </w:r>
      <w:r>
        <w:rPr>
          <w:rFonts w:cs="Times New Roman"/>
          <w:i/>
        </w:rPr>
        <w:t>Criminal Code</w:t>
      </w:r>
      <w:r w:rsidRPr="00047F59">
        <w:rPr>
          <w:rFonts w:cs="Times New Roman"/>
        </w:rPr>
        <w:t xml:space="preserve"> Identifies </w:t>
      </w:r>
      <w:r>
        <w:rPr>
          <w:rFonts w:cs="Times New Roman"/>
        </w:rPr>
        <w:t>Factors T</w:t>
      </w:r>
      <w:r w:rsidRPr="00047F59">
        <w:rPr>
          <w:rFonts w:cs="Times New Roman"/>
        </w:rPr>
        <w:t>hat Inform the Public Confidence Analysis</w:t>
      </w:r>
    </w:p>
    <w:p w:rsidR="00E34756" w:rsidRPr="00047F59" w:rsidRDefault="00E34756" w:rsidP="00E34756">
      <w:pPr>
        <w:pStyle w:val="Title4LevelTitre4Niveau"/>
        <w:rPr>
          <w:rFonts w:cs="Times New Roman"/>
        </w:rPr>
      </w:pPr>
      <w:r w:rsidRPr="00047F59">
        <w:rPr>
          <w:rFonts w:cs="Times New Roman"/>
        </w:rPr>
        <w:t>T</w:t>
      </w:r>
      <w:r>
        <w:rPr>
          <w:rFonts w:cs="Times New Roman"/>
        </w:rPr>
        <w:t>he Rationales for Considering Section</w:t>
      </w:r>
      <w:r w:rsidRPr="00047F59">
        <w:rPr>
          <w:rFonts w:cs="Times New Roman"/>
        </w:rPr>
        <w:t xml:space="preserve"> 515(10)(c)</w:t>
      </w:r>
    </w:p>
    <w:p w:rsidR="00E34756" w:rsidRPr="00047F59" w:rsidRDefault="00E34756" w:rsidP="00E34756">
      <w:pPr>
        <w:pStyle w:val="ParaNoNdepar-AltN"/>
        <w:rPr>
          <w:rFonts w:cs="Times New Roman"/>
        </w:rPr>
      </w:pPr>
      <w:r w:rsidRPr="00047F59">
        <w:rPr>
          <w:rFonts w:cs="Times New Roman"/>
        </w:rPr>
        <w:t>In s</w:t>
      </w:r>
      <w:r w:rsidR="00936071">
        <w:rPr>
          <w:rFonts w:cs="Times New Roman"/>
        </w:rPr>
        <w:t>ection</w:t>
      </w:r>
      <w:r w:rsidRPr="00047F59">
        <w:rPr>
          <w:rFonts w:cs="Times New Roman"/>
        </w:rPr>
        <w:t xml:space="preserve"> 679(3)(c) of the </w:t>
      </w:r>
      <w:r w:rsidRPr="00047F59">
        <w:rPr>
          <w:rFonts w:cs="Times New Roman"/>
          <w:i/>
        </w:rPr>
        <w:t>Code</w:t>
      </w:r>
      <w:r w:rsidRPr="00047F59">
        <w:rPr>
          <w:rFonts w:cs="Times New Roman"/>
        </w:rPr>
        <w:t>, Parliament has not provided appellate judges with any direction as to how a release pending appeal</w:t>
      </w:r>
      <w:r>
        <w:rPr>
          <w:rFonts w:cs="Times New Roman"/>
        </w:rPr>
        <w:t xml:space="preserve"> order</w:t>
      </w:r>
      <w:r w:rsidRPr="00047F59">
        <w:rPr>
          <w:rFonts w:cs="Times New Roman"/>
        </w:rPr>
        <w:t xml:space="preserve"> is likely to affect public confidence in the administration of justice. Fortunately, it has done so in the admittedly different but related context of bail pending trial. Under s. 515(10)(c), Parliament has identified four factors that judges may consider in assessing whether a detention order is necessary to maintain public confidence in the administration of justice: </w:t>
      </w:r>
    </w:p>
    <w:p w:rsidR="00E34756" w:rsidRDefault="00E34756" w:rsidP="00E34756">
      <w:pPr>
        <w:pStyle w:val="Citation-AltC"/>
      </w:pPr>
      <w:r w:rsidRPr="00877443">
        <w:rPr>
          <w:b/>
        </w:rPr>
        <w:t xml:space="preserve">515 </w:t>
      </w:r>
      <w:r>
        <w:t>. . .</w:t>
      </w:r>
    </w:p>
    <w:p w:rsidR="00E34756" w:rsidRDefault="00E34756" w:rsidP="00E34756">
      <w:pPr>
        <w:pStyle w:val="Citation-AltC"/>
        <w:rPr>
          <w:b/>
        </w:rPr>
      </w:pPr>
    </w:p>
    <w:p w:rsidR="00E34756" w:rsidRDefault="00E34756" w:rsidP="00E34756">
      <w:pPr>
        <w:pStyle w:val="Citation-AltC"/>
      </w:pPr>
      <w:r w:rsidRPr="00877443">
        <w:rPr>
          <w:b/>
        </w:rPr>
        <w:t>(10)</w:t>
      </w:r>
      <w:r w:rsidRPr="00047F59">
        <w:t xml:space="preserve"> For the purposes of this section, the detention of an accused in custody is justified only on one or more of the following grounds:</w:t>
      </w:r>
    </w:p>
    <w:p w:rsidR="00E34756" w:rsidRPr="00047F59" w:rsidRDefault="00E34756" w:rsidP="00E34756">
      <w:pPr>
        <w:pStyle w:val="Citation-AltC"/>
      </w:pPr>
    </w:p>
    <w:p w:rsidR="00E34756" w:rsidRDefault="00E34756" w:rsidP="00E34756">
      <w:pPr>
        <w:pStyle w:val="Citation-AltC"/>
        <w:jc w:val="center"/>
      </w:pPr>
      <w:r>
        <w:t xml:space="preserve">. . . </w:t>
      </w:r>
    </w:p>
    <w:p w:rsidR="00E34756" w:rsidRPr="00047F59" w:rsidRDefault="00E34756" w:rsidP="00E34756">
      <w:pPr>
        <w:pStyle w:val="Citation-AltC"/>
        <w:jc w:val="center"/>
      </w:pPr>
    </w:p>
    <w:p w:rsidR="00E34756" w:rsidRPr="00047F59" w:rsidRDefault="00E34756" w:rsidP="00E34756">
      <w:pPr>
        <w:pStyle w:val="Citation-AltC"/>
        <w:ind w:left="1620"/>
      </w:pPr>
      <w:r w:rsidRPr="00877443">
        <w:rPr>
          <w:b/>
        </w:rPr>
        <w:lastRenderedPageBreak/>
        <w:t>(c)</w:t>
      </w:r>
      <w:r w:rsidRPr="00047F59">
        <w:t xml:space="preserve"> if the detention is necessary to maintain confidence in the administration of justice, having regard to all the circumstances, including</w:t>
      </w:r>
    </w:p>
    <w:p w:rsidR="00E34756" w:rsidRPr="00047F59" w:rsidRDefault="00E34756" w:rsidP="00E34756">
      <w:pPr>
        <w:pStyle w:val="Citation-AltC"/>
      </w:pPr>
    </w:p>
    <w:p w:rsidR="00E34756" w:rsidRPr="00047F59" w:rsidRDefault="00E34756" w:rsidP="00E34756">
      <w:pPr>
        <w:pStyle w:val="Citation-AltC"/>
        <w:ind w:firstLine="1084"/>
      </w:pPr>
      <w:r w:rsidRPr="00877443">
        <w:rPr>
          <w:b/>
        </w:rPr>
        <w:t>(i)</w:t>
      </w:r>
      <w:r w:rsidRPr="00047F59">
        <w:t xml:space="preserve"> the apparent strength of the prosecution’s case,</w:t>
      </w:r>
    </w:p>
    <w:p w:rsidR="00E34756" w:rsidRPr="00047F59" w:rsidRDefault="00E34756" w:rsidP="00E34756">
      <w:pPr>
        <w:pStyle w:val="Citation-AltC"/>
      </w:pPr>
    </w:p>
    <w:p w:rsidR="00E34756" w:rsidRPr="00047F59" w:rsidRDefault="00E34756" w:rsidP="00E34756">
      <w:pPr>
        <w:pStyle w:val="Citation-AltC"/>
        <w:ind w:firstLine="1084"/>
      </w:pPr>
      <w:r w:rsidRPr="00877443">
        <w:rPr>
          <w:b/>
        </w:rPr>
        <w:t>(ii)</w:t>
      </w:r>
      <w:r w:rsidRPr="00047F59">
        <w:t xml:space="preserve"> the gravity of the offence,</w:t>
      </w:r>
    </w:p>
    <w:p w:rsidR="00E34756" w:rsidRPr="00047F59" w:rsidRDefault="00E34756" w:rsidP="00E34756">
      <w:pPr>
        <w:pStyle w:val="Citation-AltC"/>
      </w:pPr>
    </w:p>
    <w:p w:rsidR="00E34756" w:rsidRPr="00047F59" w:rsidRDefault="00E34756" w:rsidP="00E34756">
      <w:pPr>
        <w:pStyle w:val="Citation-AltC"/>
        <w:ind w:left="2250"/>
      </w:pPr>
      <w:r w:rsidRPr="00877443">
        <w:rPr>
          <w:b/>
        </w:rPr>
        <w:t>(iii)</w:t>
      </w:r>
      <w:r w:rsidRPr="00047F59">
        <w:t xml:space="preserve"> the circumstances surrounding the commission of the offence, including whether a firearm was used, and</w:t>
      </w:r>
    </w:p>
    <w:p w:rsidR="00E34756" w:rsidRPr="00047F59" w:rsidRDefault="00E34756" w:rsidP="00E34756">
      <w:pPr>
        <w:pStyle w:val="Citation-AltC"/>
      </w:pPr>
    </w:p>
    <w:p w:rsidR="00E34756" w:rsidRPr="00047F59" w:rsidRDefault="00E34756" w:rsidP="00E34756">
      <w:pPr>
        <w:pStyle w:val="Citation-AltC"/>
        <w:ind w:left="2250"/>
      </w:pPr>
      <w:r w:rsidRPr="00877443">
        <w:rPr>
          <w:b/>
        </w:rPr>
        <w:t>(iv)</w:t>
      </w:r>
      <w:r w:rsidRPr="00047F59">
        <w:t xml:space="preserve"> the fact that the accused is liable, on conviction, for a potentially lengthy term of imprisonment or, in the case of an offence that involves, or whose subject-matter is, a firearm, a minimum punishment of imprisonment for a term of three years or more.</w:t>
      </w:r>
    </w:p>
    <w:p w:rsidR="00E34756" w:rsidRPr="00047F59" w:rsidRDefault="00E34756" w:rsidP="00E34756">
      <w:pPr>
        <w:pStyle w:val="ParaNoNdepar-AltN"/>
        <w:rPr>
          <w:rFonts w:cs="Times New Roman"/>
        </w:rPr>
      </w:pPr>
      <w:r w:rsidRPr="00047F59">
        <w:rPr>
          <w:rFonts w:cs="Times New Roman"/>
        </w:rPr>
        <w:t>While these factors are tailored to the pre-trial context, a corollary form of the interest underlying each exists in the appellate context. In my view, these same factors</w:t>
      </w:r>
      <w:r>
        <w:rPr>
          <w:rFonts w:cs="Times New Roman"/>
        </w:rPr>
        <w:t xml:space="preserve"> — </w:t>
      </w:r>
      <w:r w:rsidRPr="00047F59">
        <w:rPr>
          <w:rFonts w:cs="Times New Roman"/>
        </w:rPr>
        <w:t xml:space="preserve">with appropriate modifications to reflect the post-conviction context </w:t>
      </w:r>
      <w:r>
        <w:rPr>
          <w:rFonts w:cs="Times New Roman"/>
        </w:rPr>
        <w:t>—</w:t>
      </w:r>
      <w:r w:rsidRPr="00047F59">
        <w:rPr>
          <w:rFonts w:cs="Times New Roman"/>
        </w:rPr>
        <w:t xml:space="preserve"> should be accounted for in considering how, if at all, a release pending appeal </w:t>
      </w:r>
      <w:r>
        <w:rPr>
          <w:rFonts w:cs="Times New Roman"/>
        </w:rPr>
        <w:t xml:space="preserve">order </w:t>
      </w:r>
      <w:r w:rsidRPr="00047F59">
        <w:rPr>
          <w:rFonts w:cs="Times New Roman"/>
        </w:rPr>
        <w:t xml:space="preserve">is likely to affect public confidence in the administration of justice. </w:t>
      </w:r>
    </w:p>
    <w:p w:rsidR="00E34756" w:rsidRPr="00047F59" w:rsidRDefault="00E34756" w:rsidP="00E34756">
      <w:pPr>
        <w:pStyle w:val="ParaNoNdepar-AltN"/>
        <w:rPr>
          <w:rFonts w:cs="Times New Roman"/>
        </w:rPr>
      </w:pPr>
      <w:r w:rsidRPr="00047F59">
        <w:rPr>
          <w:rFonts w:cs="Times New Roman"/>
        </w:rPr>
        <w:t xml:space="preserve">Approaching the matter this way advances an important policy consideration. It </w:t>
      </w:r>
      <w:r w:rsidRPr="00047F59">
        <w:rPr>
          <w:rFonts w:eastAsiaTheme="minorHAnsi" w:cs="Times New Roman"/>
        </w:rPr>
        <w:t xml:space="preserve">has the virtue of promoting consistency and harmony between the trial and appellate </w:t>
      </w:r>
      <w:r>
        <w:rPr>
          <w:rFonts w:eastAsiaTheme="minorHAnsi" w:cs="Times New Roman"/>
        </w:rPr>
        <w:t>contexts</w:t>
      </w:r>
      <w:r w:rsidRPr="00047F59">
        <w:rPr>
          <w:rFonts w:eastAsiaTheme="minorHAnsi" w:cs="Times New Roman"/>
        </w:rPr>
        <w:t xml:space="preserve"> so that</w:t>
      </w:r>
      <w:r>
        <w:rPr>
          <w:rFonts w:eastAsiaTheme="minorHAnsi" w:cs="Times New Roman"/>
        </w:rPr>
        <w:t>,</w:t>
      </w:r>
      <w:r w:rsidRPr="00047F59">
        <w:rPr>
          <w:rFonts w:eastAsiaTheme="minorHAnsi" w:cs="Times New Roman"/>
        </w:rPr>
        <w:t xml:space="preserve"> together, they may be seen as providing a cohesive and comprehensive statement of the law governing bail in Canada. Importantly, it accords with the basic principle that, in general, bail should not be more readily accessible for someone who has been convicted of a crime than for someone who is awaiting trial and is presumed innocent. Approaching the two </w:t>
      </w:r>
      <w:r>
        <w:rPr>
          <w:rFonts w:eastAsiaTheme="minorHAnsi" w:cs="Times New Roman"/>
        </w:rPr>
        <w:t>contexts</w:t>
      </w:r>
      <w:r w:rsidRPr="00047F59">
        <w:rPr>
          <w:rFonts w:eastAsiaTheme="minorHAnsi" w:cs="Times New Roman"/>
        </w:rPr>
        <w:t xml:space="preserve"> in that fashion can only serve to </w:t>
      </w:r>
      <w:r w:rsidRPr="00047F59">
        <w:rPr>
          <w:rFonts w:eastAsiaTheme="minorHAnsi" w:cs="Times New Roman"/>
        </w:rPr>
        <w:lastRenderedPageBreak/>
        <w:t>foster the goals of fairness and coherence and enhance society’s confidence in the administration of justice.</w:t>
      </w:r>
    </w:p>
    <w:p w:rsidR="00E34756" w:rsidRPr="00047F59" w:rsidRDefault="00E34756" w:rsidP="00E34756">
      <w:pPr>
        <w:pStyle w:val="ParaNoNdepar-AltN"/>
        <w:rPr>
          <w:rFonts w:cs="Times New Roman"/>
        </w:rPr>
      </w:pPr>
      <w:r w:rsidRPr="00047F59">
        <w:rPr>
          <w:rFonts w:cs="Times New Roman"/>
        </w:rPr>
        <w:t xml:space="preserve">Greater accessibility to bail pending trial is rooted in the presumption of innocence. Accused persons charged with an offence in Canada are presumed to be innocent, and they remain so unless and until their guilt is proved beyond a reasonable doubt. With this in mind, the framers of the </w:t>
      </w:r>
      <w:r w:rsidRPr="00047F59">
        <w:rPr>
          <w:rFonts w:cs="Times New Roman"/>
          <w:i/>
        </w:rPr>
        <w:t>Canadian Charter of Rights and Freedoms</w:t>
      </w:r>
      <w:r w:rsidRPr="00047F59">
        <w:rPr>
          <w:rFonts w:cs="Times New Roman"/>
        </w:rPr>
        <w:t xml:space="preserve"> saw fit to include in s. 11(</w:t>
      </w:r>
      <w:r w:rsidRPr="00877443">
        <w:rPr>
          <w:rFonts w:cs="Times New Roman"/>
          <w:i/>
        </w:rPr>
        <w:t>e</w:t>
      </w:r>
      <w:r w:rsidRPr="00047F59">
        <w:rPr>
          <w:rFonts w:cs="Times New Roman"/>
        </w:rPr>
        <w:t xml:space="preserve">) the right of every person charged with an offence “not to be denied reasonable bail without just cause”: </w:t>
      </w:r>
      <w:r w:rsidRPr="00047F59">
        <w:rPr>
          <w:rFonts w:cs="Times New Roman"/>
          <w:i/>
        </w:rPr>
        <w:t>R. v. Hall</w:t>
      </w:r>
      <w:r w:rsidRPr="00047F59">
        <w:rPr>
          <w:rFonts w:cs="Times New Roman"/>
        </w:rPr>
        <w:t>, 2002 SCC 64, [2002] 3 S.C.R. 309, at para. 13.</w:t>
      </w:r>
    </w:p>
    <w:p w:rsidR="00E34756" w:rsidRPr="00047F59" w:rsidRDefault="00E34756" w:rsidP="00E34756">
      <w:pPr>
        <w:pStyle w:val="ParaNoNdepar-AltN"/>
        <w:rPr>
          <w:rFonts w:cs="Times New Roman"/>
        </w:rPr>
      </w:pPr>
      <w:r w:rsidRPr="00047F59">
        <w:rPr>
          <w:rFonts w:cs="Times New Roman"/>
        </w:rPr>
        <w:t>By contrast, once a conviction is entered, the presumption of innocence is displaced and s. 11(</w:t>
      </w:r>
      <w:r w:rsidRPr="00877443">
        <w:rPr>
          <w:rFonts w:cs="Times New Roman"/>
          <w:i/>
        </w:rPr>
        <w:t>e</w:t>
      </w:r>
      <w:r w:rsidRPr="00047F59">
        <w:rPr>
          <w:rFonts w:cs="Times New Roman"/>
        </w:rPr>
        <w:t xml:space="preserve">) of the </w:t>
      </w:r>
      <w:r w:rsidRPr="00047F59">
        <w:rPr>
          <w:rFonts w:cs="Times New Roman"/>
          <w:i/>
        </w:rPr>
        <w:t xml:space="preserve">Charter </w:t>
      </w:r>
      <w:r>
        <w:rPr>
          <w:rFonts w:cs="Times New Roman"/>
        </w:rPr>
        <w:t xml:space="preserve">no longer applies. </w:t>
      </w:r>
      <w:r w:rsidRPr="00047F59">
        <w:rPr>
          <w:rFonts w:cs="Times New Roman"/>
        </w:rPr>
        <w:t>This is reflected in the shift in onus which occurs when a person who has been convicted and sentenced applies for bail pending app</w:t>
      </w:r>
      <w:r>
        <w:rPr>
          <w:rFonts w:cs="Times New Roman"/>
        </w:rPr>
        <w:t>eal. Unlike the pre-trial context</w:t>
      </w:r>
      <w:r w:rsidRPr="00047F59">
        <w:rPr>
          <w:rFonts w:cs="Times New Roman"/>
        </w:rPr>
        <w:t>, where by and large the onus rests on the Crown to establish that an accused should be detained in custody, for appeal purposes, Parliament has seen fit to reverse the onus onto the applicant in all cases.</w:t>
      </w:r>
      <w:r w:rsidRPr="008961FA">
        <w:rPr>
          <w:rStyle w:val="Hyperlink"/>
          <w:vertAlign w:val="superscript"/>
        </w:rPr>
        <w:footnoteReference w:id="1"/>
      </w:r>
      <w:r w:rsidRPr="00047F59">
        <w:rPr>
          <w:rFonts w:cs="Times New Roman"/>
        </w:rPr>
        <w:t xml:space="preserve"> </w:t>
      </w:r>
    </w:p>
    <w:p w:rsidR="00E34756" w:rsidRPr="00047F59" w:rsidRDefault="00E34756" w:rsidP="00E34756">
      <w:pPr>
        <w:pStyle w:val="ParaNoNdepar-AltN"/>
        <w:rPr>
          <w:rFonts w:cs="Times New Roman"/>
        </w:rPr>
      </w:pPr>
      <w:r w:rsidRPr="00047F59">
        <w:rPr>
          <w:rFonts w:cs="Times New Roman"/>
        </w:rPr>
        <w:t xml:space="preserve">With these thoughts in mind, I turn to the enforceability and reviewability interests to explain how, with appropriate modifications, the public confidence factors </w:t>
      </w:r>
      <w:r w:rsidRPr="00047F59">
        <w:rPr>
          <w:rFonts w:cs="Times New Roman"/>
        </w:rPr>
        <w:lastRenderedPageBreak/>
        <w:t xml:space="preserve">listed in s. 515(10)(c) are instructive in identifying the factors that make up the public confidence component in s. 679(3)(c). </w:t>
      </w:r>
    </w:p>
    <w:p w:rsidR="00E34756" w:rsidRPr="00047F59" w:rsidRDefault="00E34756" w:rsidP="00E34756">
      <w:pPr>
        <w:pStyle w:val="Title4LevelTitre4Niveau"/>
        <w:rPr>
          <w:rFonts w:cs="Times New Roman"/>
        </w:rPr>
      </w:pPr>
      <w:r w:rsidRPr="00047F59">
        <w:rPr>
          <w:rFonts w:cs="Times New Roman"/>
        </w:rPr>
        <w:t>The Enforceability Interest</w:t>
      </w:r>
    </w:p>
    <w:p w:rsidR="00E34756" w:rsidRPr="00047F59" w:rsidRDefault="00E34756" w:rsidP="00E34756">
      <w:pPr>
        <w:pStyle w:val="ParaNoNdepar-AltN"/>
        <w:rPr>
          <w:rFonts w:cs="Times New Roman"/>
        </w:rPr>
      </w:pPr>
      <w:r w:rsidRPr="00047F59">
        <w:rPr>
          <w:rFonts w:cs="Times New Roman"/>
        </w:rPr>
        <w:t>In assessing whether public confidence concerns support a pre-trial detention order under s. 515(10)(c), the seriousness of the crime plays an important role. The more serious the crime, the greater the risk that public confidence in the administration of justice will be undermined if the accused is released on bail pending trial. So too for bail pending appeal. In considering the public confidence component under s. 679(3)(c), I see no reason why the seriousness of the crime for which a person has been convicted should not play an equal role in assessing the enforceability interest.</w:t>
      </w:r>
    </w:p>
    <w:p w:rsidR="00E34756" w:rsidRPr="00047F59" w:rsidRDefault="00E34756" w:rsidP="00E34756">
      <w:pPr>
        <w:pStyle w:val="ParaNoNdepar-AltN"/>
        <w:rPr>
          <w:rFonts w:cs="Times New Roman"/>
        </w:rPr>
      </w:pPr>
      <w:r w:rsidRPr="00047F59">
        <w:rPr>
          <w:rFonts w:cs="Times New Roman"/>
        </w:rPr>
        <w:t>With that in mind, I return to s. 515(10)(c), where Parliament has set out three factors by which the seriousness of a crime may be determined: the gravity of the offence, the circumstances surrounding the commission of the offence, and the potential length of imprisonment (s. 515(10)(c)(ii), (iii) and (iv)). In my view, these factors are readily transferable to s. 679(3)(c) — the only difference being that</w:t>
      </w:r>
      <w:r>
        <w:rPr>
          <w:rFonts w:cs="Times New Roman"/>
        </w:rPr>
        <w:t>,</w:t>
      </w:r>
      <w:r w:rsidRPr="00047F59">
        <w:rPr>
          <w:rFonts w:cs="Times New Roman"/>
        </w:rPr>
        <w:t xml:space="preserve"> unlike the pre-trial context, an appeal judge will generally have the trial judge’s reasons for sentence in which the three factors going to the seriousness of the crime will have been addressed. As a rule, the appeal judge need not repeat this exercise.  </w:t>
      </w:r>
    </w:p>
    <w:p w:rsidR="00E34756" w:rsidRPr="00047F59" w:rsidRDefault="00E34756" w:rsidP="00E34756">
      <w:pPr>
        <w:pStyle w:val="ParaNoNdepar-AltN"/>
        <w:rPr>
          <w:rFonts w:cs="Times New Roman"/>
        </w:rPr>
      </w:pPr>
      <w:r w:rsidRPr="00047F59">
        <w:rPr>
          <w:rFonts w:cs="Times New Roman"/>
        </w:rPr>
        <w:t xml:space="preserve">I pause here to note that while the seriousness of the crime for which the offender has been convicted will play an important role in assessing the enforceability </w:t>
      </w:r>
      <w:r w:rsidRPr="00047F59">
        <w:rPr>
          <w:rFonts w:cs="Times New Roman"/>
        </w:rPr>
        <w:lastRenderedPageBreak/>
        <w:t>interest, other factors</w:t>
      </w:r>
      <w:r>
        <w:rPr>
          <w:rFonts w:cs="Times New Roman"/>
        </w:rPr>
        <w:t xml:space="preserve"> </w:t>
      </w:r>
      <w:r w:rsidRPr="00047F59">
        <w:rPr>
          <w:rFonts w:cs="Times New Roman"/>
        </w:rPr>
        <w:t>should also be taken into account where appropriate. For example, public safety concerns that fall short of the substantial risk mark</w:t>
      </w:r>
      <w:r>
        <w:rPr>
          <w:rFonts w:cs="Times New Roman"/>
        </w:rPr>
        <w:t xml:space="preserve"> —</w:t>
      </w:r>
      <w:r w:rsidRPr="00047F59">
        <w:rPr>
          <w:rFonts w:cs="Times New Roman"/>
        </w:rPr>
        <w:t xml:space="preserve"> which would preclude a release order </w:t>
      </w:r>
      <w:r>
        <w:rPr>
          <w:rFonts w:cs="Times New Roman"/>
        </w:rPr>
        <w:t>—</w:t>
      </w:r>
      <w:r w:rsidRPr="00047F59">
        <w:rPr>
          <w:rFonts w:cs="Times New Roman"/>
        </w:rPr>
        <w:t xml:space="preserve"> will remain relevant under the public confidence component and can, in some cases, tip the scale in favour of detention: </w:t>
      </w:r>
      <w:r w:rsidRPr="00047F59">
        <w:rPr>
          <w:rFonts w:cs="Times New Roman"/>
          <w:i/>
        </w:rPr>
        <w:t>R. v. Rhyason</w:t>
      </w:r>
      <w:r w:rsidRPr="00047F59">
        <w:rPr>
          <w:rFonts w:cs="Times New Roman"/>
        </w:rPr>
        <w:t xml:space="preserve">, 2006 ABCA 120, </w:t>
      </w:r>
      <w:r>
        <w:rPr>
          <w:rFonts w:cs="Times New Roman"/>
        </w:rPr>
        <w:t xml:space="preserve">208 C.C.C. (3d) 193, </w:t>
      </w:r>
      <w:r w:rsidRPr="00047F59">
        <w:rPr>
          <w:rFonts w:cs="Times New Roman"/>
        </w:rPr>
        <w:t xml:space="preserve">at para. 15; </w:t>
      </w:r>
      <w:r w:rsidRPr="00047F59">
        <w:rPr>
          <w:rFonts w:cs="Times New Roman"/>
          <w:i/>
        </w:rPr>
        <w:t>R. v. Roussin</w:t>
      </w:r>
      <w:r w:rsidRPr="00047F59">
        <w:rPr>
          <w:rFonts w:cs="Times New Roman"/>
        </w:rPr>
        <w:t>,</w:t>
      </w:r>
      <w:r w:rsidRPr="00047F59">
        <w:rPr>
          <w:rFonts w:cs="Times New Roman"/>
          <w:i/>
        </w:rPr>
        <w:t xml:space="preserve"> </w:t>
      </w:r>
      <w:r w:rsidRPr="00047F59">
        <w:rPr>
          <w:rFonts w:cs="Times New Roman"/>
        </w:rPr>
        <w:t>2011 MBCA 103,</w:t>
      </w:r>
      <w:r>
        <w:rPr>
          <w:rFonts w:cs="Times New Roman"/>
        </w:rPr>
        <w:t xml:space="preserve"> 275 Man. R. (2d) 46,</w:t>
      </w:r>
      <w:r w:rsidRPr="00047F59">
        <w:rPr>
          <w:rFonts w:cs="Times New Roman"/>
        </w:rPr>
        <w:t xml:space="preserve"> at para. 34. The same holds true for lingering flight risks that do not rise to the substantial risk level under s. 679(3)(b). By the same token, the absence of flight or public safety risks</w:t>
      </w:r>
      <w:r>
        <w:rPr>
          <w:rFonts w:cs="Times New Roman"/>
        </w:rPr>
        <w:t xml:space="preserve"> </w:t>
      </w:r>
      <w:r w:rsidRPr="00047F59">
        <w:rPr>
          <w:rFonts w:cs="Times New Roman"/>
        </w:rPr>
        <w:t xml:space="preserve">will attenuate the enforceability interest. </w:t>
      </w:r>
    </w:p>
    <w:p w:rsidR="00E34756" w:rsidRPr="00047F59" w:rsidRDefault="00E34756" w:rsidP="00E34756">
      <w:pPr>
        <w:pStyle w:val="Title4LevelTitre4Niveau"/>
        <w:rPr>
          <w:rFonts w:cs="Times New Roman"/>
        </w:rPr>
      </w:pPr>
      <w:r w:rsidRPr="00047F59">
        <w:rPr>
          <w:rFonts w:cs="Times New Roman"/>
        </w:rPr>
        <w:t xml:space="preserve">The Reviewability Interest </w:t>
      </w:r>
    </w:p>
    <w:p w:rsidR="00E34756" w:rsidRPr="00047F59" w:rsidRDefault="00E34756" w:rsidP="00E34756">
      <w:pPr>
        <w:pStyle w:val="ParaNoNdepar-AltN"/>
        <w:rPr>
          <w:rFonts w:cs="Times New Roman"/>
        </w:rPr>
      </w:pPr>
      <w:r w:rsidRPr="00047F59">
        <w:rPr>
          <w:rFonts w:cs="Times New Roman"/>
        </w:rPr>
        <w:t>The remaining factor that Parliament has identified as informing public confidence under s. 515(10)(c) is the strength of the prosecution’s case (s. 515(10)(c)(i)). In the appellate context, this translates into the strength of the grounds of appeal</w:t>
      </w:r>
      <w:r>
        <w:rPr>
          <w:rFonts w:cs="Times New Roman"/>
        </w:rPr>
        <w:t xml:space="preserve"> —</w:t>
      </w:r>
      <w:r w:rsidRPr="00047F59">
        <w:rPr>
          <w:rFonts w:cs="Times New Roman"/>
        </w:rPr>
        <w:t xml:space="preserve"> and, as I will explain, in assessing the reviewability interest, the strength of an appeal plays a central role. I say this mindful of the fact that some authorities have expressed concerns about assessing the merits of an appeal beyond the s. 679(3)(a) “not frivolous” criterion: see </w:t>
      </w:r>
      <w:r w:rsidRPr="00047F59">
        <w:rPr>
          <w:rFonts w:cs="Times New Roman"/>
          <w:i/>
        </w:rPr>
        <w:t>R. v. Allen</w:t>
      </w:r>
      <w:r w:rsidRPr="00047F59">
        <w:rPr>
          <w:rFonts w:cs="Times New Roman"/>
        </w:rPr>
        <w:t xml:space="preserve">, 2001 NFCA 44, </w:t>
      </w:r>
      <w:r>
        <w:rPr>
          <w:rFonts w:cs="Times New Roman"/>
        </w:rPr>
        <w:t xml:space="preserve">158 C.C.C. (3d) 225, </w:t>
      </w:r>
      <w:r w:rsidRPr="00047F59">
        <w:rPr>
          <w:rFonts w:cs="Times New Roman"/>
        </w:rPr>
        <w:t xml:space="preserve">at paras. 31-52; </w:t>
      </w:r>
      <w:r w:rsidRPr="00047F59">
        <w:rPr>
          <w:rFonts w:cs="Times New Roman"/>
          <w:i/>
        </w:rPr>
        <w:t>Parsons</w:t>
      </w:r>
      <w:r w:rsidRPr="00047F59">
        <w:rPr>
          <w:rFonts w:cs="Times New Roman"/>
        </w:rPr>
        <w:t xml:space="preserve">, at paras. 55-59. With respect, I do not see this as a problem. </w:t>
      </w:r>
    </w:p>
    <w:p w:rsidR="00E34756" w:rsidRPr="00047F59" w:rsidRDefault="00E34756" w:rsidP="00E34756">
      <w:pPr>
        <w:pStyle w:val="ParaNoNdepar-AltN"/>
        <w:rPr>
          <w:rFonts w:cs="Times New Roman"/>
        </w:rPr>
      </w:pPr>
      <w:r w:rsidRPr="00047F59">
        <w:rPr>
          <w:rFonts w:cs="Times New Roman"/>
        </w:rPr>
        <w:t xml:space="preserve">In my view, allowing a more pointed consideration of the strength of an appeal for purposes of assessing the reviewability interest does not render the “not frivolous” criterion in s. 679(3)(a) meaningless. On the contrary, the “not frivolous” </w:t>
      </w:r>
      <w:r w:rsidRPr="00047F59">
        <w:rPr>
          <w:rFonts w:cs="Times New Roman"/>
        </w:rPr>
        <w:lastRenderedPageBreak/>
        <w:t>criterion operates as an initial hurdle that produces a categorical “yes” or “no” answer, allowing for the immediate rejection of a release order in the face of a baseless appeal.</w:t>
      </w:r>
      <w:r w:rsidRPr="008961FA">
        <w:rPr>
          <w:rStyle w:val="Hyperlink"/>
          <w:vertAlign w:val="superscript"/>
        </w:rPr>
        <w:footnoteReference w:id="2"/>
      </w:r>
    </w:p>
    <w:p w:rsidR="00E34756" w:rsidRPr="00047F59" w:rsidRDefault="00E34756" w:rsidP="00E34756">
      <w:pPr>
        <w:pStyle w:val="ParaNoNdepar-AltN"/>
        <w:rPr>
          <w:rFonts w:cs="Times New Roman"/>
        </w:rPr>
      </w:pPr>
      <w:r w:rsidRPr="00047F59">
        <w:rPr>
          <w:rFonts w:cs="Times New Roman"/>
        </w:rPr>
        <w:t xml:space="preserve">Justice Donald put the matter succinctly, and in my view correctly, in </w:t>
      </w:r>
      <w:r>
        <w:rPr>
          <w:rFonts w:cs="Times New Roman"/>
          <w:i/>
        </w:rPr>
        <w:t>Porisky</w:t>
      </w:r>
      <w:r w:rsidRPr="00047F59">
        <w:rPr>
          <w:rFonts w:cs="Times New Roman"/>
        </w:rPr>
        <w:t xml:space="preserve">, at para. 37: </w:t>
      </w:r>
    </w:p>
    <w:p w:rsidR="00E34756" w:rsidRPr="00047F59" w:rsidRDefault="00E34756" w:rsidP="00E34756">
      <w:pPr>
        <w:pStyle w:val="Citation-AltC"/>
      </w:pPr>
      <w:r>
        <w:tab/>
        <w:t>The express mention of “not frivolous” in s. 679(3)(a) and “sufficient merit”</w:t>
      </w:r>
      <w:r w:rsidRPr="00047F59">
        <w:t xml:space="preserve"> in s. 679(4)(a) does not, in my view, foreclose consideration of the merits for a purpose other than a threshold test. Once over the threshold, the applicant faces the question of the public interest, a phrase not defined in the legislation but which had to be given some limits if it was to survive constitutional scrutiny. That is what </w:t>
      </w:r>
      <w:r w:rsidRPr="00047F59">
        <w:rPr>
          <w:i/>
        </w:rPr>
        <w:t>Farinacci</w:t>
      </w:r>
      <w:r w:rsidRPr="00047F59">
        <w:t xml:space="preserve"> did. In setting boundaries for the public interest criterion, in particular the public confidence element, </w:t>
      </w:r>
      <w:r w:rsidRPr="00047F59">
        <w:rPr>
          <w:i/>
        </w:rPr>
        <w:t>Farinacci</w:t>
      </w:r>
      <w:r w:rsidRPr="00047F59">
        <w:t xml:space="preserve"> employed the merits assessment for a purpose different from the threshold test. So I see no redundancy; nor do I doubt our authority to consider the merits as part of the public confidence question. </w:t>
      </w:r>
    </w:p>
    <w:p w:rsidR="00E34756" w:rsidRPr="00047F59" w:rsidRDefault="00E34756" w:rsidP="00E34756">
      <w:pPr>
        <w:pStyle w:val="ContinueParaSuitedupar-AltP"/>
        <w:rPr>
          <w:rFonts w:cs="Times New Roman"/>
        </w:rPr>
      </w:pPr>
      <w:r w:rsidRPr="00047F59">
        <w:rPr>
          <w:rFonts w:cs="Times New Roman"/>
        </w:rPr>
        <w:t xml:space="preserve">See also: </w:t>
      </w:r>
      <w:r>
        <w:rPr>
          <w:rFonts w:cs="Times New Roman"/>
          <w:i/>
        </w:rPr>
        <w:t>R. v. D</w:t>
      </w:r>
      <w:r w:rsidRPr="00047F59">
        <w:rPr>
          <w:rFonts w:cs="Times New Roman"/>
          <w:i/>
        </w:rPr>
        <w:t>elisle</w:t>
      </w:r>
      <w:r w:rsidRPr="00047F59">
        <w:rPr>
          <w:rFonts w:cs="Times New Roman"/>
        </w:rPr>
        <w:t>,</w:t>
      </w:r>
      <w:r>
        <w:rPr>
          <w:rFonts w:cs="Times New Roman"/>
        </w:rPr>
        <w:t xml:space="preserve"> 2012 QCCA 1250, at paras. 4 and 52 (CanLII)</w:t>
      </w:r>
      <w:r w:rsidRPr="00047F59">
        <w:rPr>
          <w:rFonts w:cs="Times New Roman"/>
        </w:rPr>
        <w:t>.</w:t>
      </w:r>
    </w:p>
    <w:p w:rsidR="00E34756" w:rsidRPr="00047F59" w:rsidRDefault="00E34756" w:rsidP="00E34756">
      <w:pPr>
        <w:pStyle w:val="ParaNoNdepar-AltN"/>
        <w:rPr>
          <w:rFonts w:cs="Times New Roman"/>
        </w:rPr>
      </w:pPr>
      <w:r w:rsidRPr="00047F59">
        <w:rPr>
          <w:rFonts w:cs="Times New Roman"/>
        </w:rPr>
        <w:lastRenderedPageBreak/>
        <w:t>Gary</w:t>
      </w:r>
      <w:r w:rsidR="00936071">
        <w:rPr>
          <w:rFonts w:cs="Times New Roman"/>
        </w:rPr>
        <w:t xml:space="preserve"> T.</w:t>
      </w:r>
      <w:r w:rsidRPr="00047F59">
        <w:rPr>
          <w:rFonts w:cs="Times New Roman"/>
        </w:rPr>
        <w:t xml:space="preserve"> Trotter, now a Justice of the Court of Appeal for Ontario, reached a similar conclusion in his article “Bail Pending Appeal: The Strength of the Appeal and</w:t>
      </w:r>
      <w:r>
        <w:rPr>
          <w:rFonts w:cs="Times New Roman"/>
        </w:rPr>
        <w:t xml:space="preserve"> the Public Interest Criterion”</w:t>
      </w:r>
      <w:r w:rsidRPr="00047F59">
        <w:rPr>
          <w:rFonts w:cs="Times New Roman"/>
        </w:rPr>
        <w:t xml:space="preserve"> (2001)</w:t>
      </w:r>
      <w:r>
        <w:rPr>
          <w:rFonts w:cs="Times New Roman"/>
        </w:rPr>
        <w:t>,</w:t>
      </w:r>
      <w:r w:rsidRPr="00047F59">
        <w:rPr>
          <w:rFonts w:cs="Times New Roman"/>
        </w:rPr>
        <w:t xml:space="preserve"> 45 C.R. </w:t>
      </w:r>
      <w:r>
        <w:rPr>
          <w:rFonts w:cs="Times New Roman"/>
        </w:rPr>
        <w:t xml:space="preserve">(5th) </w:t>
      </w:r>
      <w:r w:rsidRPr="00047F59">
        <w:rPr>
          <w:rFonts w:cs="Times New Roman"/>
        </w:rPr>
        <w:t>267, where he explained:</w:t>
      </w:r>
    </w:p>
    <w:p w:rsidR="00E34756" w:rsidRPr="00047F59" w:rsidRDefault="00E34756" w:rsidP="00E34756">
      <w:pPr>
        <w:pStyle w:val="Citation-AltC"/>
      </w:pPr>
      <w:r>
        <w:t>. . . r</w:t>
      </w:r>
      <w:r w:rsidRPr="00047F59">
        <w:t>ealistically, most cases do not raise strong claims regarding the public interest, at least not beyond the general concern that all criminal j</w:t>
      </w:r>
      <w:r>
        <w:t>udgments ought to be enforced. . . .</w:t>
      </w:r>
      <w:r w:rsidRPr="00047F59">
        <w:t xml:space="preserve"> However, when an offence is serious, as with murder cases, such that public concern about enforceability is ignited, there should be a more probing inquiry into the chances of success on appeal. It is in this context that the balancing required by </w:t>
      </w:r>
      <w:r w:rsidRPr="00047F59">
        <w:rPr>
          <w:i/>
        </w:rPr>
        <w:t>Farinacci</w:t>
      </w:r>
      <w:r w:rsidRPr="00047F59">
        <w:t xml:space="preserve"> requires some assessment of the merits, separate from the question of whether the appeal is frivolous or not.</w:t>
      </w:r>
      <w:r>
        <w:t xml:space="preserve"> [Footnotes omitted; p. 270.]</w:t>
      </w:r>
    </w:p>
    <w:p w:rsidR="00E34756" w:rsidRPr="00047F59" w:rsidRDefault="00E34756" w:rsidP="00E34756">
      <w:pPr>
        <w:pStyle w:val="ParaNoNdepar-AltN"/>
        <w:rPr>
          <w:rFonts w:cs="Times New Roman"/>
        </w:rPr>
      </w:pPr>
      <w:r w:rsidRPr="00047F59">
        <w:rPr>
          <w:rFonts w:cs="Times New Roman"/>
        </w:rPr>
        <w:t xml:space="preserve">In conducting a more pointed assessment of the strength of an appeal, appellate judges will examine the grounds identified in the notice of appeal with an eye to their general legal plausibility and their foundation in the record. For purposes of this assessment, they will look to see if the grounds of appeal clearly surpass the minimal standard required to meet the “not frivolous” criterion. In my view, categories and grading schemes should be avoided. Phrases such as “a prospect of success”, </w:t>
      </w:r>
      <w:r>
        <w:rPr>
          <w:rFonts w:cs="Times New Roman"/>
        </w:rPr>
        <w:t>“</w:t>
      </w:r>
      <w:r w:rsidRPr="00047F59">
        <w:rPr>
          <w:rFonts w:cs="Times New Roman"/>
        </w:rPr>
        <w:t xml:space="preserve">a moderate prospect of success”, or “a realistic prospect of success” are generally not helpful. Often, they amount to little more than wordsmithing. Worse yet, they are liable to devolve into a set of complex rules that appellate judges will be obliged to apply in assessing the category into which a particular appeal falls. </w:t>
      </w:r>
    </w:p>
    <w:p w:rsidR="00E34756" w:rsidRPr="00047F59" w:rsidRDefault="00E34756" w:rsidP="00E34756">
      <w:pPr>
        <w:pStyle w:val="ParaNoNdepar-AltN"/>
        <w:rPr>
          <w:rFonts w:cs="Times New Roman"/>
        </w:rPr>
      </w:pPr>
      <w:r w:rsidRPr="00047F59">
        <w:rPr>
          <w:rFonts w:cs="Times New Roman"/>
        </w:rPr>
        <w:t xml:space="preserve">In the end, appellate judges can be counted on to form their own “preliminary assessment” of the strength of an appeal based upon their knowledge and experience. This assessment, it should be emphasized, is not a matter of guesswork. It </w:t>
      </w:r>
      <w:r w:rsidRPr="00047F59">
        <w:rPr>
          <w:rFonts w:cs="Times New Roman"/>
        </w:rPr>
        <w:lastRenderedPageBreak/>
        <w:t xml:space="preserve">will generally be based on material that counsel have provided, including aspects of the record that are pertinent to the grounds of appeal raised, along with relevant authorities. In undertaking this exercise, appellate judges will of course remain mindful that our justice system is not infallible and </w:t>
      </w:r>
      <w:r>
        <w:rPr>
          <w:rFonts w:cs="Times New Roman"/>
        </w:rPr>
        <w:t xml:space="preserve">that </w:t>
      </w:r>
      <w:r w:rsidRPr="00047F59">
        <w:rPr>
          <w:rFonts w:cs="Times New Roman"/>
        </w:rPr>
        <w:t xml:space="preserve">a meaningful review process is essential to maintain public confidence in the administration of justice. Thus, there is a broader public interest in reviewability that transcends an individual’s interest in any given case. </w:t>
      </w:r>
    </w:p>
    <w:p w:rsidR="00E34756" w:rsidRPr="00047F59" w:rsidRDefault="00E34756" w:rsidP="00E34756">
      <w:pPr>
        <w:pStyle w:val="ParaNoNdepar-AltN"/>
        <w:rPr>
          <w:rFonts w:cs="Times New Roman"/>
        </w:rPr>
      </w:pPr>
      <w:r w:rsidRPr="00047F59">
        <w:rPr>
          <w:rFonts w:cs="Times New Roman"/>
        </w:rPr>
        <w:t xml:space="preserve">As a final matter, I note that the remedy sought on appeal may also inform the reviewability interest. For example, if a successful appeal can result only in a murder conviction being reduced to manslaughter, this will lessen the interest in reviewability, even if the grounds of appeal appear to be strong: </w:t>
      </w:r>
      <w:r w:rsidRPr="00047F59">
        <w:rPr>
          <w:rFonts w:cs="Times New Roman"/>
          <w:i/>
        </w:rPr>
        <w:t>R. v. Meda</w:t>
      </w:r>
      <w:r w:rsidRPr="00047F59">
        <w:rPr>
          <w:rFonts w:cs="Times New Roman"/>
        </w:rPr>
        <w:t xml:space="preserve"> (1981), 23 C.R. (3d) 174 (B.C.C.A.); </w:t>
      </w:r>
      <w:r w:rsidRPr="00047F59">
        <w:rPr>
          <w:rFonts w:cs="Times New Roman"/>
          <w:i/>
        </w:rPr>
        <w:t>R. v. Olsen</w:t>
      </w:r>
      <w:r w:rsidRPr="00047F59">
        <w:rPr>
          <w:rFonts w:cs="Times New Roman"/>
        </w:rPr>
        <w:t xml:space="preserve"> (1996), 94 O.A.C. 62, at para. 5; </w:t>
      </w:r>
      <w:r w:rsidRPr="00047F59">
        <w:rPr>
          <w:rFonts w:cs="Times New Roman"/>
          <w:i/>
        </w:rPr>
        <w:t>R. v. Roe</w:t>
      </w:r>
      <w:r w:rsidRPr="00047F59">
        <w:rPr>
          <w:rFonts w:cs="Times New Roman"/>
        </w:rPr>
        <w:t>, 2008 BCCA 253,</w:t>
      </w:r>
      <w:r>
        <w:rPr>
          <w:rFonts w:cs="Times New Roman"/>
        </w:rPr>
        <w:t xml:space="preserve"> 256 B.C.A.C. 308,</w:t>
      </w:r>
      <w:r w:rsidRPr="00047F59">
        <w:rPr>
          <w:rFonts w:cs="Times New Roman"/>
        </w:rPr>
        <w:t xml:space="preserve"> at para. 14; </w:t>
      </w:r>
      <w:r w:rsidRPr="00047F59">
        <w:rPr>
          <w:rFonts w:cs="Times New Roman"/>
          <w:i/>
        </w:rPr>
        <w:t>R. v. Lees</w:t>
      </w:r>
      <w:r w:rsidRPr="00047F59">
        <w:rPr>
          <w:rFonts w:cs="Times New Roman"/>
        </w:rPr>
        <w:t xml:space="preserve">, 1999 BCCA 441, </w:t>
      </w:r>
      <w:r>
        <w:rPr>
          <w:rFonts w:cs="Times New Roman"/>
        </w:rPr>
        <w:t xml:space="preserve">127 B.C.A.C. 280, </w:t>
      </w:r>
      <w:r w:rsidRPr="00047F59">
        <w:rPr>
          <w:rFonts w:cs="Times New Roman"/>
        </w:rPr>
        <w:t>at paras. 4-5.</w:t>
      </w:r>
    </w:p>
    <w:p w:rsidR="00E34756" w:rsidRPr="00047F59" w:rsidRDefault="00E34756" w:rsidP="00E34756">
      <w:pPr>
        <w:pStyle w:val="Title4LevelTitre4Niveau"/>
        <w:rPr>
          <w:rFonts w:cs="Times New Roman"/>
        </w:rPr>
      </w:pPr>
      <w:r w:rsidRPr="00047F59">
        <w:rPr>
          <w:rFonts w:cs="Times New Roman"/>
        </w:rPr>
        <w:t>The Final Balancing</w:t>
      </w:r>
    </w:p>
    <w:p w:rsidR="00E34756" w:rsidRPr="00047F59" w:rsidRDefault="00E34756" w:rsidP="00E34756">
      <w:pPr>
        <w:pStyle w:val="ParaNoNdepar-AltN"/>
        <w:rPr>
          <w:rFonts w:cs="Times New Roman"/>
        </w:rPr>
      </w:pPr>
      <w:r w:rsidRPr="00047F59">
        <w:rPr>
          <w:rFonts w:cs="Times New Roman"/>
        </w:rPr>
        <w:t xml:space="preserve">Appellate judges are undoubtedly required to draw on their legal expertise and experience in evaluating the factors that inform public confidence, including the strength of the grounds of appeal, the seriousness of the offence, public safety and flight risks. However, when conducting the final balancing of these factors, appellate judges should keep in mind that public confidence is to be measured through the eyes of a reasonable member of the public. This person is someone who is thoughtful, </w:t>
      </w:r>
      <w:r w:rsidRPr="00047F59">
        <w:rPr>
          <w:rFonts w:cs="Times New Roman"/>
        </w:rPr>
        <w:lastRenderedPageBreak/>
        <w:t xml:space="preserve">dispassionate, informed of the circumstances of the case and respectful of society’s fundamental values: </w:t>
      </w:r>
      <w:r>
        <w:rPr>
          <w:rFonts w:cs="Times New Roman"/>
          <w:i/>
        </w:rPr>
        <w:t xml:space="preserve">R. v. </w:t>
      </w:r>
      <w:r w:rsidRPr="00047F59">
        <w:rPr>
          <w:rFonts w:cs="Times New Roman"/>
          <w:i/>
        </w:rPr>
        <w:t>St-Cloud</w:t>
      </w:r>
      <w:r w:rsidRPr="00047F59">
        <w:rPr>
          <w:rFonts w:cs="Times New Roman"/>
        </w:rPr>
        <w:t xml:space="preserve">, </w:t>
      </w:r>
      <w:r>
        <w:rPr>
          <w:rFonts w:cs="Times New Roman"/>
        </w:rPr>
        <w:t xml:space="preserve">2015 SCC 27, [2015] 2 S.C.R. 328, </w:t>
      </w:r>
      <w:r w:rsidRPr="00047F59">
        <w:rPr>
          <w:rFonts w:cs="Times New Roman"/>
        </w:rPr>
        <w:t>at paras. 74-80. In that sense, public confidence in the administration of justice must be distinguished from uninformed public opinion about the case, which has no role to play in the decision to grant bail or not.</w:t>
      </w:r>
    </w:p>
    <w:p w:rsidR="00E34756" w:rsidRPr="00047F59" w:rsidRDefault="00E34756" w:rsidP="00E34756">
      <w:pPr>
        <w:pStyle w:val="ParaNoNdepar-AltN"/>
        <w:rPr>
          <w:rFonts w:cs="Times New Roman"/>
        </w:rPr>
      </w:pPr>
      <w:r w:rsidRPr="00047F59">
        <w:rPr>
          <w:rFonts w:cs="Times New Roman"/>
        </w:rPr>
        <w:t xml:space="preserve">In balancing the tension between enforceability and reviewability, appellate judges should also be mindful of the anticipated delay in deciding an appeal, relative to the length of the sentence: </w:t>
      </w:r>
      <w:r w:rsidRPr="00047F59">
        <w:rPr>
          <w:rFonts w:cs="Times New Roman"/>
          <w:i/>
        </w:rPr>
        <w:t>R. v. Baltovich</w:t>
      </w:r>
      <w:r w:rsidRPr="00047F59">
        <w:rPr>
          <w:rFonts w:cs="Times New Roman"/>
        </w:rPr>
        <w:t xml:space="preserve"> (2000), 47 O.R. (3d) 761</w:t>
      </w:r>
      <w:r>
        <w:rPr>
          <w:rFonts w:cs="Times New Roman"/>
        </w:rPr>
        <w:t xml:space="preserve"> (C.A.), at paras. 41-42</w:t>
      </w:r>
      <w:r w:rsidRPr="00047F59">
        <w:rPr>
          <w:rFonts w:cs="Times New Roman"/>
        </w:rPr>
        <w:t xml:space="preserve">. Where it appears that all, or a significant portion, of a sentence will be served before the appeal can be heard and decided, bail takes on greater significance if the reviewability interest is to remain meaningful. In such circumstances, however, where a bail order is out of the question, appellate judges should consider ordering the appeal expedited under s. 679(10) of the </w:t>
      </w:r>
      <w:r w:rsidRPr="00047F59">
        <w:rPr>
          <w:rFonts w:cs="Times New Roman"/>
          <w:i/>
        </w:rPr>
        <w:t>Code</w:t>
      </w:r>
      <w:r w:rsidRPr="00047F59">
        <w:rPr>
          <w:rFonts w:cs="Times New Roman"/>
        </w:rPr>
        <w:t>. While this may not be a perfect solution, it provides a means of preserving the reviewability interest at least to some extent.</w:t>
      </w:r>
    </w:p>
    <w:p w:rsidR="00E34756" w:rsidRPr="00047F59" w:rsidRDefault="00E34756" w:rsidP="00E34756">
      <w:pPr>
        <w:pStyle w:val="ParaNoNdepar-AltN"/>
        <w:rPr>
          <w:rFonts w:cs="Times New Roman"/>
        </w:rPr>
      </w:pPr>
      <w:r w:rsidRPr="00047F59">
        <w:rPr>
          <w:rFonts w:cs="Times New Roman"/>
        </w:rPr>
        <w:t xml:space="preserve">In the final analysis, there is no precise formula that can be applied to resolve the balance between enforceability and reviewability. A qualitative and contextual assessment is required. In this regard, I would reject a categorical approach to murder or other serious offences, as proposed by certain interveners. Instead, the principles that I have discussed should be applied uniformly. </w:t>
      </w:r>
    </w:p>
    <w:p w:rsidR="00E34756" w:rsidRPr="00047F59" w:rsidRDefault="00E34756" w:rsidP="00E34756">
      <w:pPr>
        <w:pStyle w:val="ParaNoNdepar-AltN"/>
        <w:rPr>
          <w:rFonts w:cs="Times New Roman"/>
        </w:rPr>
      </w:pPr>
      <w:r w:rsidRPr="00047F59">
        <w:rPr>
          <w:rFonts w:cs="Times New Roman"/>
        </w:rPr>
        <w:t xml:space="preserve">That said, where the applicant has been convicted of murder or some other very serious crime, the public interest in enforceability will be high and will often </w:t>
      </w:r>
      <w:r w:rsidRPr="00047F59">
        <w:rPr>
          <w:rFonts w:cs="Times New Roman"/>
        </w:rPr>
        <w:lastRenderedPageBreak/>
        <w:t xml:space="preserve">outweigh the reviewability interest, particularly where there are lingering public safety or flight concerns and/or the grounds of appeal appear to be weak: </w:t>
      </w:r>
      <w:r w:rsidRPr="00047F59">
        <w:rPr>
          <w:rFonts w:cs="Times New Roman"/>
          <w:i/>
        </w:rPr>
        <w:t>R. v. Mapara</w:t>
      </w:r>
      <w:r w:rsidRPr="00047F59">
        <w:rPr>
          <w:rFonts w:cs="Times New Roman"/>
        </w:rPr>
        <w:t>, 2001 BCCA 508,</w:t>
      </w:r>
      <w:r>
        <w:rPr>
          <w:rFonts w:cs="Times New Roman"/>
        </w:rPr>
        <w:t xml:space="preserve"> 158 C.C.C. (3d) 312,</w:t>
      </w:r>
      <w:r w:rsidRPr="00047F59">
        <w:rPr>
          <w:rFonts w:cs="Times New Roman"/>
        </w:rPr>
        <w:t xml:space="preserve"> at para. 38; </w:t>
      </w:r>
      <w:r w:rsidRPr="00047F59">
        <w:rPr>
          <w:rFonts w:cs="Times New Roman"/>
          <w:i/>
        </w:rPr>
        <w:t>Baltovich</w:t>
      </w:r>
      <w:r>
        <w:rPr>
          <w:rFonts w:cs="Times New Roman"/>
        </w:rPr>
        <w:t>, at para. 20</w:t>
      </w:r>
      <w:r w:rsidRPr="00047F59">
        <w:rPr>
          <w:rFonts w:cs="Times New Roman"/>
        </w:rPr>
        <w:t xml:space="preserve">; </w:t>
      </w:r>
      <w:r w:rsidRPr="00047F59">
        <w:rPr>
          <w:rFonts w:cs="Times New Roman"/>
          <w:i/>
        </w:rPr>
        <w:t>Parsons</w:t>
      </w:r>
      <w:r w:rsidRPr="00047F59">
        <w:rPr>
          <w:rFonts w:cs="Times New Roman"/>
        </w:rPr>
        <w:t xml:space="preserve">, at para. 44. </w:t>
      </w:r>
    </w:p>
    <w:p w:rsidR="00E34756" w:rsidRPr="00047F59" w:rsidRDefault="00E34756" w:rsidP="00E34756">
      <w:pPr>
        <w:pStyle w:val="ParaNoNdepar-AltN"/>
        <w:rPr>
          <w:rFonts w:cs="Times New Roman"/>
        </w:rPr>
      </w:pPr>
      <w:r w:rsidRPr="00047F59">
        <w:rPr>
          <w:rFonts w:cs="Times New Roman"/>
        </w:rPr>
        <w:t xml:space="preserve">On the other hand, where public safety or flight concerns are negligible, and where the grounds of appeal clearly surpass the “not frivolous” criterion, the public interest in reviewability may well overshadow the enforceability interest, even in the case of murder or other very serious offences. </w:t>
      </w:r>
    </w:p>
    <w:p w:rsidR="00E34756" w:rsidRPr="00047F59" w:rsidRDefault="00E34756" w:rsidP="00E34756">
      <w:pPr>
        <w:pStyle w:val="ParaNoNdepar-AltN"/>
        <w:rPr>
          <w:rFonts w:cs="Times New Roman"/>
        </w:rPr>
      </w:pPr>
      <w:r w:rsidRPr="00047F59">
        <w:rPr>
          <w:rFonts w:cs="Times New Roman"/>
        </w:rPr>
        <w:t xml:space="preserve">Before applying these principles to the case at hand, I propose to address the principles that govern a review hearing under s. 680(1) of the </w:t>
      </w:r>
      <w:r w:rsidRPr="00047F59">
        <w:rPr>
          <w:rFonts w:cs="Times New Roman"/>
          <w:i/>
        </w:rPr>
        <w:t>Code</w:t>
      </w:r>
      <w:r w:rsidRPr="00047F59">
        <w:rPr>
          <w:rFonts w:cs="Times New Roman"/>
        </w:rPr>
        <w:t>.</w:t>
      </w:r>
    </w:p>
    <w:p w:rsidR="00E34756" w:rsidRPr="00047F59" w:rsidRDefault="00E34756" w:rsidP="00E34756">
      <w:pPr>
        <w:pStyle w:val="Title2LevelTitre2Niveau"/>
        <w:rPr>
          <w:rFonts w:cs="Times New Roman"/>
        </w:rPr>
      </w:pPr>
      <w:r w:rsidRPr="00047F59">
        <w:rPr>
          <w:rFonts w:cs="Times New Roman"/>
        </w:rPr>
        <w:t xml:space="preserve">The Review Hearing Under </w:t>
      </w:r>
      <w:r>
        <w:rPr>
          <w:rFonts w:cs="Times New Roman"/>
        </w:rPr>
        <w:t>Section</w:t>
      </w:r>
      <w:r w:rsidRPr="00047F59">
        <w:rPr>
          <w:rFonts w:cs="Times New Roman"/>
        </w:rPr>
        <w:t xml:space="preserve"> 680(1)</w:t>
      </w:r>
      <w:r>
        <w:rPr>
          <w:rFonts w:cs="Times New Roman"/>
        </w:rPr>
        <w:t xml:space="preserve"> of the Criminal Code</w:t>
      </w:r>
    </w:p>
    <w:p w:rsidR="00E34756" w:rsidRPr="00047F59" w:rsidRDefault="00E34756" w:rsidP="00E34756">
      <w:pPr>
        <w:pStyle w:val="ParaNoNdepar-AltN"/>
        <w:rPr>
          <w:rFonts w:cs="Times New Roman"/>
        </w:rPr>
      </w:pPr>
      <w:r w:rsidRPr="00047F59">
        <w:rPr>
          <w:rFonts w:cs="Times New Roman"/>
        </w:rPr>
        <w:t>In this case, s. 680(1)</w:t>
      </w:r>
      <w:r>
        <w:rPr>
          <w:rFonts w:cs="Times New Roman"/>
        </w:rPr>
        <w:t xml:space="preserve"> of the </w:t>
      </w:r>
      <w:r>
        <w:rPr>
          <w:rFonts w:cs="Times New Roman"/>
          <w:i/>
        </w:rPr>
        <w:t>Code</w:t>
      </w:r>
      <w:r w:rsidRPr="00047F59">
        <w:rPr>
          <w:rFonts w:cs="Times New Roman"/>
        </w:rPr>
        <w:t xml:space="preserve"> operates as a review mechanism for an order of a single judge of the Court of Appeal made under s. 679(3). I note, however, that the provision applies as well to certain pre-trial bail orders made by superior court judges for various offences, including murder. For convenience, s. 680(1) is reproduced below:</w:t>
      </w:r>
    </w:p>
    <w:p w:rsidR="00E34756" w:rsidRPr="00047F59" w:rsidRDefault="00E34756" w:rsidP="00E34756">
      <w:pPr>
        <w:pStyle w:val="Citation-AltC"/>
        <w:rPr>
          <w:lang w:eastAsia="en-US"/>
        </w:rPr>
      </w:pPr>
      <w:r w:rsidRPr="00711E21">
        <w:rPr>
          <w:b/>
          <w:lang w:eastAsia="en-US"/>
        </w:rPr>
        <w:t>680 (1)</w:t>
      </w:r>
      <w:r w:rsidRPr="00047F59">
        <w:rPr>
          <w:lang w:eastAsia="en-US"/>
        </w:rPr>
        <w:t> A decision made by a judge under section 522 or subsection 524(4) or (5) or a decision made by a judge of the court of appeal under section 261 or 679 may, on the direction of the chief justice or acting chief justice of the court of appeal, be reviewed by that court and that court may, if it does not confirm the decision,</w:t>
      </w:r>
    </w:p>
    <w:p w:rsidR="00E34756" w:rsidRPr="00047F59" w:rsidRDefault="00E34756" w:rsidP="00E34756">
      <w:pPr>
        <w:pStyle w:val="Citation-AltC"/>
        <w:rPr>
          <w:lang w:eastAsia="en-US"/>
        </w:rPr>
      </w:pPr>
    </w:p>
    <w:p w:rsidR="00E34756" w:rsidRPr="00047F59" w:rsidRDefault="00E34756" w:rsidP="00E34756">
      <w:pPr>
        <w:pStyle w:val="Citation-AltC"/>
        <w:ind w:firstLine="454"/>
        <w:rPr>
          <w:lang w:eastAsia="en-US"/>
        </w:rPr>
      </w:pPr>
      <w:r>
        <w:rPr>
          <w:b/>
          <w:lang w:eastAsia="en-US"/>
        </w:rPr>
        <w:t>(</w:t>
      </w:r>
      <w:r w:rsidRPr="00711E21">
        <w:rPr>
          <w:b/>
          <w:lang w:eastAsia="en-US"/>
        </w:rPr>
        <w:t>a)</w:t>
      </w:r>
      <w:r w:rsidRPr="00047F59">
        <w:rPr>
          <w:lang w:eastAsia="en-US"/>
        </w:rPr>
        <w:t> vary the decision; or</w:t>
      </w:r>
    </w:p>
    <w:p w:rsidR="00E34756" w:rsidRPr="00047F59" w:rsidRDefault="00E34756" w:rsidP="00E34756">
      <w:pPr>
        <w:pStyle w:val="Citation-AltC"/>
        <w:rPr>
          <w:lang w:eastAsia="en-US"/>
        </w:rPr>
      </w:pPr>
    </w:p>
    <w:p w:rsidR="00E34756" w:rsidRPr="00047F59" w:rsidRDefault="00E34756" w:rsidP="00E34756">
      <w:pPr>
        <w:pStyle w:val="Citation-AltC"/>
        <w:ind w:left="1620"/>
        <w:rPr>
          <w:lang w:eastAsia="en-US"/>
        </w:rPr>
      </w:pPr>
      <w:r>
        <w:rPr>
          <w:b/>
          <w:lang w:eastAsia="en-US"/>
        </w:rPr>
        <w:t>(</w:t>
      </w:r>
      <w:r w:rsidRPr="00711E21">
        <w:rPr>
          <w:b/>
          <w:lang w:eastAsia="en-US"/>
        </w:rPr>
        <w:t>b)</w:t>
      </w:r>
      <w:r w:rsidRPr="00047F59">
        <w:rPr>
          <w:lang w:eastAsia="en-US"/>
        </w:rPr>
        <w:t> substitute such other decision as, in its opinion, should have been made.</w:t>
      </w:r>
    </w:p>
    <w:p w:rsidR="00E34756" w:rsidRPr="00047F59" w:rsidRDefault="00E34756" w:rsidP="00E34756">
      <w:pPr>
        <w:pStyle w:val="ParaNoNdepar-AltN"/>
        <w:rPr>
          <w:rFonts w:cs="Times New Roman"/>
        </w:rPr>
      </w:pPr>
      <w:r w:rsidRPr="00047F59">
        <w:rPr>
          <w:rFonts w:cs="Times New Roman"/>
        </w:rPr>
        <w:t xml:space="preserve">As the provision makes clear, the review process consists of two stages: first, an initial vetting by the </w:t>
      </w:r>
      <w:r>
        <w:rPr>
          <w:rFonts w:cs="Times New Roman"/>
        </w:rPr>
        <w:t>chief j</w:t>
      </w:r>
      <w:r w:rsidRPr="00047F59">
        <w:rPr>
          <w:rFonts w:cs="Times New Roman"/>
        </w:rPr>
        <w:t>ustice; and second, a review by</w:t>
      </w:r>
      <w:r>
        <w:rPr>
          <w:rFonts w:cs="Times New Roman"/>
        </w:rPr>
        <w:t xml:space="preserve"> the court, if directed by the c</w:t>
      </w:r>
      <w:r w:rsidRPr="00047F59">
        <w:rPr>
          <w:rFonts w:cs="Times New Roman"/>
        </w:rPr>
        <w:t xml:space="preserve">hief </w:t>
      </w:r>
      <w:r>
        <w:rPr>
          <w:rFonts w:cs="Times New Roman"/>
        </w:rPr>
        <w:t>j</w:t>
      </w:r>
      <w:r w:rsidRPr="00047F59">
        <w:rPr>
          <w:rFonts w:cs="Times New Roman"/>
        </w:rPr>
        <w:t xml:space="preserve">ustice. In practice, the review will generally be conducted by a panel of three judges, as it was in this case. </w:t>
      </w:r>
    </w:p>
    <w:p w:rsidR="00E34756" w:rsidRPr="00047F59" w:rsidRDefault="00E34756" w:rsidP="00E34756">
      <w:pPr>
        <w:pStyle w:val="ParaNoNdepar-AltN"/>
        <w:rPr>
          <w:rFonts w:cs="Times New Roman"/>
        </w:rPr>
      </w:pPr>
      <w:r w:rsidRPr="00047F59">
        <w:rPr>
          <w:rFonts w:cs="Times New Roman"/>
        </w:rPr>
        <w:t xml:space="preserve">The nature of the review and the standard to be applied by the panel in deciding whether to interfere with the impugned </w:t>
      </w:r>
      <w:r>
        <w:rPr>
          <w:rFonts w:cs="Times New Roman"/>
        </w:rPr>
        <w:t>order are factors that the chief j</w:t>
      </w:r>
      <w:r w:rsidRPr="00047F59">
        <w:rPr>
          <w:rFonts w:cs="Times New Roman"/>
        </w:rPr>
        <w:t xml:space="preserve">ustice is likely to take into account in carrying out his or her initial screening function. Accordingly, I find it useful to address the review panel’s mandate before addressing the </w:t>
      </w:r>
      <w:r>
        <w:rPr>
          <w:rFonts w:cs="Times New Roman"/>
        </w:rPr>
        <w:t>c</w:t>
      </w:r>
      <w:r w:rsidRPr="00047F59">
        <w:rPr>
          <w:rFonts w:cs="Times New Roman"/>
        </w:rPr>
        <w:t xml:space="preserve">hief </w:t>
      </w:r>
      <w:r>
        <w:rPr>
          <w:rFonts w:cs="Times New Roman"/>
        </w:rPr>
        <w:t>j</w:t>
      </w:r>
      <w:r w:rsidRPr="00047F59">
        <w:rPr>
          <w:rFonts w:cs="Times New Roman"/>
        </w:rPr>
        <w:t>ustice’s screening function.</w:t>
      </w:r>
    </w:p>
    <w:p w:rsidR="00E34756" w:rsidRPr="00047F59" w:rsidRDefault="00E34756" w:rsidP="00E34756">
      <w:pPr>
        <w:pStyle w:val="Title3LevelTitre3Niveau"/>
        <w:rPr>
          <w:rFonts w:cs="Times New Roman"/>
        </w:rPr>
      </w:pPr>
      <w:r w:rsidRPr="00047F59">
        <w:rPr>
          <w:rFonts w:cs="Times New Roman"/>
        </w:rPr>
        <w:t>Panel Review</w:t>
      </w:r>
    </w:p>
    <w:p w:rsidR="00E34756" w:rsidRPr="00047F59" w:rsidRDefault="00E34756" w:rsidP="00E34756">
      <w:pPr>
        <w:pStyle w:val="ParaNoNdepar-AltN"/>
        <w:rPr>
          <w:rFonts w:cs="Times New Roman"/>
        </w:rPr>
      </w:pPr>
      <w:r w:rsidRPr="00047F59">
        <w:rPr>
          <w:rFonts w:cs="Times New Roman"/>
        </w:rPr>
        <w:t xml:space="preserve">The parties disagree on the principles governing a s. 680(1) panel review. Mr. Oland and </w:t>
      </w:r>
      <w:r>
        <w:rPr>
          <w:rFonts w:cs="Times New Roman"/>
        </w:rPr>
        <w:t xml:space="preserve">the </w:t>
      </w:r>
      <w:r w:rsidRPr="00047F59">
        <w:rPr>
          <w:rFonts w:cs="Times New Roman"/>
        </w:rPr>
        <w:t>intervener Criminal Lawyers’ Association</w:t>
      </w:r>
      <w:r>
        <w:rPr>
          <w:rFonts w:cs="Times New Roman"/>
        </w:rPr>
        <w:t xml:space="preserve"> (Ontario)</w:t>
      </w:r>
      <w:r w:rsidRPr="00047F59">
        <w:rPr>
          <w:rFonts w:cs="Times New Roman"/>
        </w:rPr>
        <w:t xml:space="preserve"> (“CLA”) submit that a standard of correctness should apply, meaning that the panel should engage in a robust review of the record and come to its own independent</w:t>
      </w:r>
      <w:r w:rsidRPr="00047F59">
        <w:rPr>
          <w:rFonts w:cs="Times New Roman"/>
          <w:i/>
        </w:rPr>
        <w:t xml:space="preserve"> </w:t>
      </w:r>
      <w:r w:rsidRPr="00047F59">
        <w:rPr>
          <w:rFonts w:cs="Times New Roman"/>
        </w:rPr>
        <w:t xml:space="preserve">determination, irrespective of whether the </w:t>
      </w:r>
      <w:r>
        <w:rPr>
          <w:rFonts w:cs="Times New Roman"/>
        </w:rPr>
        <w:t>single judge’s decision was tainted by legal error.</w:t>
      </w:r>
      <w:r w:rsidRPr="00047F59">
        <w:rPr>
          <w:rFonts w:cs="Times New Roman"/>
        </w:rPr>
        <w:t xml:space="preserve"> The respondent </w:t>
      </w:r>
      <w:r>
        <w:rPr>
          <w:rFonts w:cs="Times New Roman"/>
        </w:rPr>
        <w:t xml:space="preserve">Crown </w:t>
      </w:r>
      <w:r w:rsidRPr="00047F59">
        <w:rPr>
          <w:rFonts w:cs="Times New Roman"/>
        </w:rPr>
        <w:t xml:space="preserve">and the Attorneys General of </w:t>
      </w:r>
      <w:r>
        <w:rPr>
          <w:rFonts w:cs="Times New Roman"/>
        </w:rPr>
        <w:t xml:space="preserve">Ontario </w:t>
      </w:r>
      <w:r w:rsidRPr="00047F59">
        <w:rPr>
          <w:rFonts w:cs="Times New Roman"/>
        </w:rPr>
        <w:t xml:space="preserve">and </w:t>
      </w:r>
      <w:r>
        <w:rPr>
          <w:rFonts w:cs="Times New Roman"/>
        </w:rPr>
        <w:t>Alberta</w:t>
      </w:r>
      <w:r w:rsidRPr="00047F59">
        <w:rPr>
          <w:rFonts w:cs="Times New Roman"/>
        </w:rPr>
        <w:t xml:space="preserve"> submit that a more </w:t>
      </w:r>
      <w:r w:rsidRPr="00047F59">
        <w:rPr>
          <w:rFonts w:cs="Times New Roman"/>
        </w:rPr>
        <w:lastRenderedPageBreak/>
        <w:t>defer</w:t>
      </w:r>
      <w:r>
        <w:rPr>
          <w:rFonts w:cs="Times New Roman"/>
        </w:rPr>
        <w:t>ential standard is appropriate —</w:t>
      </w:r>
      <w:r w:rsidRPr="00047F59">
        <w:rPr>
          <w:rFonts w:cs="Times New Roman"/>
        </w:rPr>
        <w:t xml:space="preserve"> one in which an error of law or principle must be found before intervention will be warranted. </w:t>
      </w:r>
    </w:p>
    <w:p w:rsidR="00E34756" w:rsidRPr="00047F59" w:rsidRDefault="00E34756" w:rsidP="00E34756">
      <w:pPr>
        <w:pStyle w:val="ParaNoNdepar-AltN"/>
        <w:rPr>
          <w:rFonts w:cs="Times New Roman"/>
        </w:rPr>
      </w:pPr>
      <w:r w:rsidRPr="00047F59">
        <w:rPr>
          <w:rFonts w:cs="Times New Roman"/>
        </w:rPr>
        <w:t xml:space="preserve">In support of their position, Mr. Oland and the CLA make two main submissions. First, they point to ss. 520 and 521 of the </w:t>
      </w:r>
      <w:r w:rsidRPr="00047F59">
        <w:rPr>
          <w:rFonts w:cs="Times New Roman"/>
          <w:i/>
        </w:rPr>
        <w:t>Code</w:t>
      </w:r>
      <w:r>
        <w:rPr>
          <w:rFonts w:cs="Times New Roman"/>
        </w:rPr>
        <w:t xml:space="preserve"> —</w:t>
      </w:r>
      <w:r w:rsidRPr="00047F59">
        <w:rPr>
          <w:rFonts w:cs="Times New Roman"/>
        </w:rPr>
        <w:t xml:space="preserve"> the bail review provisions that apply at the trial stage. Unlike s. 680(1), those provisions require the applicant to “show cause” to succeed on a bail review. In </w:t>
      </w:r>
      <w:r w:rsidRPr="00047F59">
        <w:rPr>
          <w:rFonts w:cs="Times New Roman"/>
          <w:i/>
        </w:rPr>
        <w:t>St-Cloud</w:t>
      </w:r>
      <w:r w:rsidRPr="00047F59">
        <w:rPr>
          <w:rFonts w:cs="Times New Roman"/>
        </w:rPr>
        <w:t xml:space="preserve">, this Court observed that the words “show cause” signal a less interventionist, more deferential approach to bail reviews at the trial stage. In doing so, the Court noted the absence of similar language in s. 680(1) (paras. 97-104). Hence, it is argued that s. 680(1) should be interpreted as invoking a less deferential standard than the standard applicable at trial. </w:t>
      </w:r>
    </w:p>
    <w:p w:rsidR="00E34756" w:rsidRPr="00047F59" w:rsidRDefault="00E34756" w:rsidP="00E34756">
      <w:pPr>
        <w:pStyle w:val="ParaNoNdepar-AltN"/>
        <w:rPr>
          <w:rFonts w:cs="Times New Roman"/>
        </w:rPr>
      </w:pPr>
      <w:r w:rsidRPr="00047F59">
        <w:rPr>
          <w:rFonts w:cs="Times New Roman"/>
        </w:rPr>
        <w:t xml:space="preserve">I would not give effect to this argument. While the words “show cause” are not found in s. 680(1), I am not convinced that their absence is as significant as Mr. Oland and the CLA suggest. In the context of a review provision, I would have expected more explicit language than the language used in s. 680(1), if Parliament intended the review to be a process in which the panel could, without more, simply substitute its opinion for that of the judge. In so concluding, I note that in </w:t>
      </w:r>
      <w:r w:rsidRPr="00047F59">
        <w:rPr>
          <w:rFonts w:cs="Times New Roman"/>
          <w:i/>
        </w:rPr>
        <w:t>St-Cloud</w:t>
      </w:r>
      <w:r w:rsidRPr="00047F59">
        <w:rPr>
          <w:rFonts w:cs="Times New Roman"/>
        </w:rPr>
        <w:t>, at para. 104, Wagner J. for the Court stated that his comments were not determinative of the type of review contemplated by s. 680(1).</w:t>
      </w:r>
    </w:p>
    <w:p w:rsidR="00E34756" w:rsidRPr="00047F59" w:rsidRDefault="00E34756" w:rsidP="00E34756">
      <w:pPr>
        <w:pStyle w:val="ParaNoNdepar-AltN"/>
        <w:rPr>
          <w:rFonts w:cs="Times New Roman"/>
        </w:rPr>
      </w:pPr>
      <w:r w:rsidRPr="00047F59">
        <w:rPr>
          <w:rFonts w:cs="Times New Roman"/>
        </w:rPr>
        <w:t xml:space="preserve">Second, Mr. Oland and the CLA submit that the constitutionality of s. 679(3)(c) hinges on the existence of a robust correctness review. They base this submission on an excerpt from </w:t>
      </w:r>
      <w:r w:rsidRPr="00047F59">
        <w:rPr>
          <w:rFonts w:cs="Times New Roman"/>
          <w:i/>
        </w:rPr>
        <w:t>Farinacci</w:t>
      </w:r>
      <w:r w:rsidRPr="00047F59">
        <w:rPr>
          <w:rFonts w:cs="Times New Roman"/>
        </w:rPr>
        <w:t>, where Arbour J.A. stated</w:t>
      </w:r>
      <w:r>
        <w:rPr>
          <w:rFonts w:cs="Times New Roman"/>
        </w:rPr>
        <w:t>, at p. 47</w:t>
      </w:r>
      <w:r w:rsidRPr="00047F59">
        <w:rPr>
          <w:rFonts w:cs="Times New Roman"/>
        </w:rPr>
        <w:t>:</w:t>
      </w:r>
    </w:p>
    <w:p w:rsidR="00E34756" w:rsidRPr="00047F59" w:rsidRDefault="00E34756" w:rsidP="00E34756">
      <w:pPr>
        <w:pStyle w:val="Citation-AltC"/>
      </w:pPr>
      <w:r w:rsidRPr="00047F59">
        <w:lastRenderedPageBreak/>
        <w:t xml:space="preserve">Although its application is often not free from difficulty, and although judges may differ in its application, it is a standard against which the </w:t>
      </w:r>
      <w:r w:rsidRPr="00047F59">
        <w:rPr>
          <w:u w:val="single"/>
        </w:rPr>
        <w:t>correctness</w:t>
      </w:r>
      <w:r w:rsidRPr="00047F59">
        <w:t xml:space="preserve"> of individual decisions can be assessed. In contrast, a standardless sweep would preclude any debate regarding the </w:t>
      </w:r>
      <w:r w:rsidRPr="00047F59">
        <w:rPr>
          <w:u w:val="single"/>
        </w:rPr>
        <w:t>correctness</w:t>
      </w:r>
      <w:r w:rsidRPr="00047F59">
        <w:t xml:space="preserve"> of a decision made under its authority as it would authorize judges to pursue the</w:t>
      </w:r>
      <w:r>
        <w:t>ir own personal predilections. [Emphasis added.]</w:t>
      </w:r>
    </w:p>
    <w:p w:rsidR="00E34756" w:rsidRPr="00047F59" w:rsidRDefault="00E34756" w:rsidP="00E34756">
      <w:pPr>
        <w:pStyle w:val="ParaNoNdepar-AltN"/>
        <w:rPr>
          <w:rFonts w:cs="Times New Roman"/>
        </w:rPr>
      </w:pPr>
      <w:r w:rsidRPr="00047F59">
        <w:rPr>
          <w:rFonts w:cs="Times New Roman"/>
        </w:rPr>
        <w:t xml:space="preserve">I do not find this reference to be persuasive. In </w:t>
      </w:r>
      <w:r w:rsidRPr="00047F59">
        <w:rPr>
          <w:rFonts w:cs="Times New Roman"/>
          <w:i/>
        </w:rPr>
        <w:t>Farinacci</w:t>
      </w:r>
      <w:r w:rsidRPr="00047F59">
        <w:rPr>
          <w:rFonts w:cs="Times New Roman"/>
        </w:rPr>
        <w:t>, the Court of Appeal was focused on the constitutionality of s. 679(3)(c), a matter that does not concern us in this appeal. Moreover, the argument assumes that correctness is the only form of meaningful review which can protect against vagueness. While the availability of review may have been important to the Court of Appeal in considering the constitutionality of s. 679(3)(c), it does not follow that the nature of that review must invoke a correctness standard along the lines suggested by Mr. Oland and the CLA. In any event, in the absence of a constitutional challenge, I do not consider it necessary to decide this issue beyond concluding that the comments of the Court of Appeal are not dispositive in settling the nature of review contemplated under s. 680(1).</w:t>
      </w:r>
    </w:p>
    <w:p w:rsidR="00E34756" w:rsidRPr="00047F59" w:rsidRDefault="00E34756" w:rsidP="00E34756">
      <w:pPr>
        <w:pStyle w:val="ParaNoNdepar-AltN"/>
        <w:rPr>
          <w:rFonts w:cs="Times New Roman"/>
        </w:rPr>
      </w:pPr>
      <w:r w:rsidRPr="00047F59">
        <w:rPr>
          <w:rFonts w:cs="Times New Roman"/>
        </w:rPr>
        <w:t>Ultimately, in my view, a panel reviewing a decision of a single judge under s. 680(1) should be guided by the following three principles. First, absent palpable and overriding error, the review panel must show deference to the</w:t>
      </w:r>
      <w:r>
        <w:rPr>
          <w:rFonts w:cs="Times New Roman"/>
        </w:rPr>
        <w:t xml:space="preserve"> </w:t>
      </w:r>
      <w:r w:rsidRPr="00047F59">
        <w:rPr>
          <w:rFonts w:cs="Times New Roman"/>
        </w:rPr>
        <w:t>judge’s findings of fact. Second, the review panel may intervene and substitute its decision for that of the</w:t>
      </w:r>
      <w:r>
        <w:rPr>
          <w:rFonts w:cs="Times New Roman"/>
        </w:rPr>
        <w:t xml:space="preserve"> </w:t>
      </w:r>
      <w:r w:rsidRPr="00047F59">
        <w:rPr>
          <w:rFonts w:cs="Times New Roman"/>
        </w:rPr>
        <w:t>judge where it is satisfied that the</w:t>
      </w:r>
      <w:r>
        <w:rPr>
          <w:rFonts w:cs="Times New Roman"/>
        </w:rPr>
        <w:t xml:space="preserve"> </w:t>
      </w:r>
      <w:r w:rsidRPr="00047F59">
        <w:rPr>
          <w:rFonts w:cs="Times New Roman"/>
        </w:rPr>
        <w:t>judge erred in law or in principle, and the error was material to the outcome. Third, in the absence of legal error, the review panel may intervene and substitute its decision for that of the</w:t>
      </w:r>
      <w:r>
        <w:rPr>
          <w:rFonts w:cs="Times New Roman"/>
        </w:rPr>
        <w:t xml:space="preserve"> </w:t>
      </w:r>
      <w:r w:rsidRPr="00047F59">
        <w:rPr>
          <w:rFonts w:cs="Times New Roman"/>
        </w:rPr>
        <w:t xml:space="preserve">judge where it concludes that the decision was clearly unwarranted. </w:t>
      </w:r>
    </w:p>
    <w:p w:rsidR="00E34756" w:rsidRPr="00047F59" w:rsidRDefault="00E34756" w:rsidP="00E34756">
      <w:pPr>
        <w:pStyle w:val="ParaNoNdepar-AltN"/>
        <w:rPr>
          <w:rFonts w:cs="Times New Roman"/>
        </w:rPr>
      </w:pPr>
      <w:r w:rsidRPr="00047F59">
        <w:rPr>
          <w:rFonts w:cs="Times New Roman"/>
        </w:rPr>
        <w:lastRenderedPageBreak/>
        <w:t>This approach allows for meaningful review while extending a measure of deference to the</w:t>
      </w:r>
      <w:r>
        <w:rPr>
          <w:rFonts w:cs="Times New Roman"/>
        </w:rPr>
        <w:t xml:space="preserve"> </w:t>
      </w:r>
      <w:r w:rsidRPr="00047F59">
        <w:rPr>
          <w:rFonts w:cs="Times New Roman"/>
        </w:rPr>
        <w:t xml:space="preserve">judge’s decision. It also achieves symmetry with the review </w:t>
      </w:r>
      <w:r>
        <w:rPr>
          <w:rFonts w:cs="Times New Roman"/>
        </w:rPr>
        <w:t>process</w:t>
      </w:r>
      <w:r w:rsidRPr="00047F59">
        <w:rPr>
          <w:rFonts w:cs="Times New Roman"/>
        </w:rPr>
        <w:t xml:space="preserve"> at the trial stage, save for those offences identified in s. 469 of the </w:t>
      </w:r>
      <w:r w:rsidRPr="00047F59">
        <w:rPr>
          <w:rFonts w:cs="Times New Roman"/>
          <w:i/>
        </w:rPr>
        <w:t>Code</w:t>
      </w:r>
      <w:r w:rsidRPr="00047F59">
        <w:rPr>
          <w:rFonts w:cs="Times New Roman"/>
        </w:rPr>
        <w:t>, for which the review process is governed by s. 680(1). This symmetry is important because, as Gary</w:t>
      </w:r>
      <w:r w:rsidR="00936071">
        <w:rPr>
          <w:rFonts w:cs="Times New Roman"/>
        </w:rPr>
        <w:t xml:space="preserve"> T.</w:t>
      </w:r>
      <w:r w:rsidRPr="00047F59">
        <w:rPr>
          <w:rFonts w:cs="Times New Roman"/>
        </w:rPr>
        <w:t xml:space="preserve"> Trotter explains in </w:t>
      </w:r>
      <w:r w:rsidRPr="00047F59">
        <w:rPr>
          <w:rFonts w:cs="Times New Roman"/>
          <w:i/>
        </w:rPr>
        <w:t>The Law of Bail in Canada</w:t>
      </w:r>
      <w:r w:rsidRPr="00047F59">
        <w:rPr>
          <w:rFonts w:cs="Times New Roman"/>
        </w:rPr>
        <w:t>, it avoids an anomaly that would otherwise result:</w:t>
      </w:r>
    </w:p>
    <w:p w:rsidR="00E34756" w:rsidRPr="00047F59" w:rsidRDefault="00E34756" w:rsidP="00E34756">
      <w:pPr>
        <w:pStyle w:val="Citation-AltC"/>
      </w:pPr>
      <w:r>
        <w:tab/>
      </w:r>
      <w:r w:rsidRPr="00047F59">
        <w:t xml:space="preserve">Focusing on the review of pre-trial bail orders, endorsing a correctness standard in the application of s. 680 creates differential standards of review for s. 469 vs. non-469 offences. It will allow a more generous scope of review in respect of the most serious offences in the </w:t>
      </w:r>
      <w:r w:rsidRPr="00047F59">
        <w:rPr>
          <w:i/>
        </w:rPr>
        <w:t>Criminal Code</w:t>
      </w:r>
      <w:r w:rsidRPr="00047F59">
        <w:t xml:space="preserve">. </w:t>
      </w:r>
      <w:r>
        <w:t>. . .</w:t>
      </w:r>
      <w:r w:rsidRPr="00047F59">
        <w:t xml:space="preserve"> There is no principled reason that supports a situation where someone detained on a murder charge enjoys a broader scope of review under s. 680 when compared to a person charged with manslaughter or attempted murder (both non-s.</w:t>
      </w:r>
      <w:r>
        <w:t xml:space="preserve"> </w:t>
      </w:r>
      <w:r w:rsidRPr="00047F59">
        <w:t>469 offences) who is dealt with under the narrower</w:t>
      </w:r>
      <w:r>
        <w:t> </w:t>
      </w:r>
      <w:r w:rsidRPr="00047F59">
        <w:t>s.</w:t>
      </w:r>
      <w:r>
        <w:t> </w:t>
      </w:r>
      <w:r w:rsidRPr="00047F59">
        <w:t xml:space="preserve">520. </w:t>
      </w:r>
      <w:r>
        <w:t>[p. 8-31]</w:t>
      </w:r>
    </w:p>
    <w:p w:rsidR="00E34756" w:rsidRPr="00047F59" w:rsidRDefault="00E34756" w:rsidP="00E34756">
      <w:pPr>
        <w:pStyle w:val="Title3LevelTitre3Niveau"/>
        <w:rPr>
          <w:rFonts w:cs="Times New Roman"/>
        </w:rPr>
      </w:pPr>
      <w:r w:rsidRPr="00047F59">
        <w:rPr>
          <w:rFonts w:cs="Times New Roman"/>
        </w:rPr>
        <w:t>The Chief Justice’s Discretion to Direct a Review</w:t>
      </w:r>
    </w:p>
    <w:p w:rsidR="00E34756" w:rsidRPr="00047F59" w:rsidRDefault="00E34756" w:rsidP="00E34756">
      <w:pPr>
        <w:pStyle w:val="ParaNoNdepar-AltN"/>
        <w:rPr>
          <w:rFonts w:cs="Times New Roman"/>
        </w:rPr>
      </w:pPr>
      <w:r w:rsidRPr="00047F59">
        <w:rPr>
          <w:rFonts w:cs="Times New Roman"/>
        </w:rPr>
        <w:t xml:space="preserve">There is no formal procedure in the </w:t>
      </w:r>
      <w:r w:rsidRPr="00047F59">
        <w:rPr>
          <w:rFonts w:cs="Times New Roman"/>
          <w:i/>
        </w:rPr>
        <w:t xml:space="preserve">Code </w:t>
      </w:r>
      <w:r>
        <w:rPr>
          <w:rFonts w:cs="Times New Roman"/>
        </w:rPr>
        <w:t>governing the chief j</w:t>
      </w:r>
      <w:r w:rsidRPr="00047F59">
        <w:rPr>
          <w:rFonts w:cs="Times New Roman"/>
        </w:rPr>
        <w:t xml:space="preserve">ustice’s decision to direct a panel review. We are told that courts of appeal have adopted different approaches and levels of formality. The procedural aspects of the gatekeeping function are not before us and I do not propose to address them. Some guidance can, however, be given as to the test a </w:t>
      </w:r>
      <w:r>
        <w:rPr>
          <w:rFonts w:cs="Times New Roman"/>
        </w:rPr>
        <w:t>chief j</w:t>
      </w:r>
      <w:r w:rsidRPr="00047F59">
        <w:rPr>
          <w:rFonts w:cs="Times New Roman"/>
        </w:rPr>
        <w:t>ustice should apply in deciding whether to direct a panel review.</w:t>
      </w:r>
    </w:p>
    <w:p w:rsidR="00E34756" w:rsidRPr="00047F59" w:rsidRDefault="00E34756" w:rsidP="00E34756">
      <w:pPr>
        <w:pStyle w:val="ParaNoNdepar-AltN"/>
        <w:rPr>
          <w:rFonts w:cs="Times New Roman"/>
        </w:rPr>
      </w:pPr>
      <w:r w:rsidRPr="00047F59">
        <w:rPr>
          <w:rFonts w:cs="Times New Roman"/>
        </w:rPr>
        <w:t>The test, as I see it, should be relatively straightforward in its application. It flows from the principles the panel is required to apply when cond</w:t>
      </w:r>
      <w:r>
        <w:rPr>
          <w:rFonts w:cs="Times New Roman"/>
        </w:rPr>
        <w:t xml:space="preserve">ucting a review. </w:t>
      </w:r>
      <w:r>
        <w:rPr>
          <w:rFonts w:cs="Times New Roman"/>
        </w:rPr>
        <w:lastRenderedPageBreak/>
        <w:t>In short, the chief j</w:t>
      </w:r>
      <w:r w:rsidRPr="00047F59">
        <w:rPr>
          <w:rFonts w:cs="Times New Roman"/>
        </w:rPr>
        <w:t xml:space="preserve">ustice should consider directing a review where it is arguable that the judge committed material errors of fact or law in arriving at the impugned decision, or that the impugned decision was clearly unwarranted in the circumstances. </w:t>
      </w:r>
    </w:p>
    <w:p w:rsidR="00E34756" w:rsidRPr="00047F59" w:rsidRDefault="00E34756" w:rsidP="00E34756">
      <w:pPr>
        <w:pStyle w:val="Title1LevelTitre1Niveau-AltL"/>
        <w:rPr>
          <w:rFonts w:cs="Times New Roman"/>
        </w:rPr>
      </w:pPr>
      <w:r>
        <w:rPr>
          <w:rFonts w:cs="Times New Roman"/>
        </w:rPr>
        <w:t>Application to T</w:t>
      </w:r>
      <w:r w:rsidRPr="00047F59">
        <w:rPr>
          <w:rFonts w:cs="Times New Roman"/>
        </w:rPr>
        <w:t>his Case</w:t>
      </w:r>
    </w:p>
    <w:p w:rsidR="00E34756" w:rsidRPr="00047F59" w:rsidRDefault="00E34756" w:rsidP="00E34756">
      <w:pPr>
        <w:pStyle w:val="ParaNoNdepar-AltN"/>
        <w:rPr>
          <w:rFonts w:cs="Times New Roman"/>
        </w:rPr>
      </w:pPr>
      <w:r w:rsidRPr="00047F59">
        <w:rPr>
          <w:rFonts w:cs="Times New Roman"/>
        </w:rPr>
        <w:t xml:space="preserve">By all accounts, aside from the seriousness of the offence for which Mr. Oland was convicted, he presented as an ideal candidate for bail. The notoriety of this case, which stemmed largely from his prominence in the community, and any uninformed public opinion about it, were rightly ignored by the appeal judge. Mr. Oland, I emphasize, was entitled to the same treatment as someone less prominent. </w:t>
      </w:r>
    </w:p>
    <w:p w:rsidR="00E34756" w:rsidRPr="00047F59" w:rsidRDefault="00E34756" w:rsidP="00E34756">
      <w:pPr>
        <w:pStyle w:val="ParaNoNdepar-AltN"/>
        <w:rPr>
          <w:rFonts w:cs="Times New Roman"/>
        </w:rPr>
      </w:pPr>
      <w:r w:rsidRPr="00047F59">
        <w:rPr>
          <w:rFonts w:cs="Times New Roman"/>
        </w:rPr>
        <w:t xml:space="preserve">In the circumstances, there is considerable merit to Mr. Oland’s submission that if </w:t>
      </w:r>
      <w:r w:rsidRPr="00047F59">
        <w:rPr>
          <w:rFonts w:cs="Times New Roman"/>
          <w:i/>
        </w:rPr>
        <w:t>he</w:t>
      </w:r>
      <w:r w:rsidRPr="00047F59">
        <w:rPr>
          <w:rFonts w:cs="Times New Roman"/>
        </w:rPr>
        <w:t xml:space="preserve"> did not qualify for release, no one convicted of a similarly serious offence would ever be released, absent a showing of unique or exceptionally strong grounds of appeal. That cannot be right. Parliament did not restrict the availability of bail pending appeal for persons convicted of murder or any other serious crime and courts should respect this. Thus, for </w:t>
      </w:r>
      <w:r>
        <w:rPr>
          <w:rFonts w:cs="Times New Roman"/>
        </w:rPr>
        <w:t xml:space="preserve">the </w:t>
      </w:r>
      <w:r w:rsidRPr="00047F59">
        <w:rPr>
          <w:rFonts w:cs="Times New Roman"/>
        </w:rPr>
        <w:t xml:space="preserve">purposes of s. 679(3)(c), even in the case of very serious offences, where there are no public safety or flight concerns and the grounds of appeal clearly surpass the “not frivolous” criterion, a court may well conclude that the reviewability interest overshadows the enforceability interest such that detention will not be necessary in the public interest. </w:t>
      </w:r>
    </w:p>
    <w:p w:rsidR="00E34756" w:rsidRPr="00047F59" w:rsidRDefault="00E34756" w:rsidP="00E34756">
      <w:pPr>
        <w:pStyle w:val="ParaNoNdepar-AltN"/>
        <w:rPr>
          <w:rFonts w:cs="Times New Roman"/>
        </w:rPr>
      </w:pPr>
      <w:r w:rsidRPr="00047F59">
        <w:rPr>
          <w:rFonts w:cs="Times New Roman"/>
        </w:rPr>
        <w:lastRenderedPageBreak/>
        <w:t xml:space="preserve">Every case is different and there may be operative factors in other cases, such as a prior criminal record, public safety and flight risk concerns, or a weaker release plan, which could raise concerns warranting detention. Emphatically, a contextual analysis that can account for these differences is required. </w:t>
      </w:r>
    </w:p>
    <w:p w:rsidR="00E34756" w:rsidRPr="00047F59" w:rsidRDefault="00E34756" w:rsidP="00E34756">
      <w:pPr>
        <w:pStyle w:val="ParaNoNdepar-AltN"/>
        <w:rPr>
          <w:rFonts w:cs="Times New Roman"/>
        </w:rPr>
      </w:pPr>
      <w:r w:rsidRPr="00047F59">
        <w:rPr>
          <w:rFonts w:cs="Times New Roman"/>
        </w:rPr>
        <w:t xml:space="preserve">In this case, the appeal judge was satisfied that there were no appreciable public safety or flight risk concerns and the grounds of appeal were “clearly arguable” </w:t>
      </w:r>
      <w:r>
        <w:rPr>
          <w:rFonts w:cs="Times New Roman"/>
        </w:rPr>
        <w:t>—</w:t>
      </w:r>
      <w:r w:rsidRPr="00047F59">
        <w:rPr>
          <w:rFonts w:cs="Times New Roman"/>
        </w:rPr>
        <w:t xml:space="preserve"> which I take to mean that they clearly surpassed the “not frivolous” criterion. Those findings are not challenged on appeal. In addition, the appeal judge overlooked what I</w:t>
      </w:r>
      <w:r>
        <w:rPr>
          <w:rFonts w:cs="Times New Roman"/>
        </w:rPr>
        <w:t xml:space="preserve"> </w:t>
      </w:r>
      <w:r w:rsidRPr="00047F59">
        <w:rPr>
          <w:rFonts w:cs="Times New Roman"/>
        </w:rPr>
        <w:t>consider to be an important finding made by the trial judge, namely, that in the circumstances, Mr. Oland’s crime gravitated more toward the offence of manslaughter than to first degree murder. This finding was important because it served to lessen Mr. Oland’s degree of moral blameworthiness, thereby attenuating the seriousness of the crime and hence the enforceability interest. In my view, the cumulative effect of these considerations ought to have tipped the scale in favour of release. In other words, Mr. Oland’s detention was clearly unwarranted and the Court of Appeal erred in failing to intervene.</w:t>
      </w:r>
    </w:p>
    <w:p w:rsidR="00E34756" w:rsidRPr="00047F59" w:rsidRDefault="00E34756" w:rsidP="00E34756">
      <w:pPr>
        <w:pStyle w:val="ParaNoNdepar-AltN"/>
        <w:rPr>
          <w:rFonts w:cs="Times New Roman"/>
        </w:rPr>
      </w:pPr>
      <w:r w:rsidRPr="00047F59">
        <w:rPr>
          <w:rFonts w:cs="Times New Roman"/>
        </w:rPr>
        <w:t>While that is sufficient to dispose of this appeal, I feel obliged to identify a legal error that the appeal judge made in his analysis. In particular, his reasons</w:t>
      </w:r>
      <w:r>
        <w:rPr>
          <w:rFonts w:cs="Times New Roman"/>
        </w:rPr>
        <w:t xml:space="preserve"> </w:t>
      </w:r>
      <w:r w:rsidRPr="00047F59">
        <w:rPr>
          <w:rFonts w:cs="Times New Roman"/>
        </w:rPr>
        <w:t xml:space="preserve">indicate that he did not apply the correct test in assessing the strength of Mr. Oland’s appeal and the implications flowing from it. Much as he was satisfied that Mr. Oland had raised “clearly arguable” grounds of appeal, this was not enough. As the following </w:t>
      </w:r>
      <w:r w:rsidRPr="00047F59">
        <w:rPr>
          <w:rFonts w:cs="Times New Roman"/>
        </w:rPr>
        <w:lastRenderedPageBreak/>
        <w:t>excerpt from his reasons shows, he required more, something in the nature of unique circumstances that would have virtually assured a new trial or an acquittal:</w:t>
      </w:r>
    </w:p>
    <w:p w:rsidR="00E34756" w:rsidRPr="00047F59" w:rsidRDefault="00E34756" w:rsidP="00E34756">
      <w:pPr>
        <w:pStyle w:val="Citation-AltC"/>
      </w:pPr>
      <w:r w:rsidRPr="00047F59">
        <w:t xml:space="preserve">In the end, the reasonable member of the public, looking at this dispassionately, would balance the fact that the offence for which Mr. Oland was convicted ranks among the most serious in the </w:t>
      </w:r>
      <w:r w:rsidRPr="00047F59">
        <w:rPr>
          <w:i/>
        </w:rPr>
        <w:t>Criminal Code</w:t>
      </w:r>
      <w:r w:rsidRPr="00047F59">
        <w:t xml:space="preserve">, as well as the brutality with which the offence was committed and the trial judge’s imposition of a life sentence, against the other factors that weigh in favour of Mr. Oland’s release. </w:t>
      </w:r>
      <w:r w:rsidRPr="00047F59">
        <w:rPr>
          <w:u w:val="single"/>
        </w:rPr>
        <w:t>In my respectful view, that reasonable member of the public would find that, although the grounds of appeal may be clearly arguable, none fall in the category of the unique circumstances that would virtually assure a new trial or</w:t>
      </w:r>
      <w:r>
        <w:rPr>
          <w:u w:val="single"/>
        </w:rPr>
        <w:t xml:space="preserve"> an</w:t>
      </w:r>
      <w:r w:rsidRPr="00047F59">
        <w:rPr>
          <w:u w:val="single"/>
        </w:rPr>
        <w:t xml:space="preserve"> acquittal.</w:t>
      </w:r>
      <w:r w:rsidRPr="00047F59">
        <w:t xml:space="preserve"> In the end, I am forced to conclude that knowing all this, should Mr. Oland be released in these circumstances, the confidence of the reasonable member of the public in the administration of criminal justice would be undermined</w:t>
      </w:r>
      <w:r>
        <w:t>.</w:t>
      </w:r>
      <w:r w:rsidRPr="00047F59">
        <w:t xml:space="preserve"> [</w:t>
      </w:r>
      <w:r>
        <w:t xml:space="preserve">Emphasis added; </w:t>
      </w:r>
      <w:r w:rsidRPr="00047F59">
        <w:t>para. 32</w:t>
      </w:r>
      <w:r>
        <w:t>.</w:t>
      </w:r>
      <w:r w:rsidRPr="00047F59">
        <w:t>]</w:t>
      </w:r>
    </w:p>
    <w:p w:rsidR="00E34756" w:rsidRPr="00047F59" w:rsidRDefault="00E34756" w:rsidP="00E34756">
      <w:pPr>
        <w:pStyle w:val="ContinueParaSuitedupar-AltP"/>
        <w:rPr>
          <w:rFonts w:cs="Times New Roman"/>
        </w:rPr>
      </w:pPr>
      <w:r w:rsidRPr="00047F59">
        <w:rPr>
          <w:rFonts w:cs="Times New Roman"/>
        </w:rPr>
        <w:t>Respectfully, he erred in this regard. That Mr. Oland’s grounds were “clearly arguable” was enough to establish that they clearly surpassed the “not frivolous” criterion.</w:t>
      </w:r>
    </w:p>
    <w:p w:rsidR="00E34756" w:rsidRPr="00047F59" w:rsidRDefault="00E34756" w:rsidP="00E34756">
      <w:pPr>
        <w:pStyle w:val="ParaNoNdepar-AltN"/>
        <w:rPr>
          <w:rFonts w:cs="Times New Roman"/>
        </w:rPr>
      </w:pPr>
      <w:r w:rsidRPr="00047F59">
        <w:rPr>
          <w:rFonts w:cs="Times New Roman"/>
        </w:rPr>
        <w:t>In the result, had intervening events not rendered the appeal moot, I would have set aside Mr. Oland’s detention order and order</w:t>
      </w:r>
      <w:r>
        <w:rPr>
          <w:rFonts w:cs="Times New Roman"/>
        </w:rPr>
        <w:t xml:space="preserve">ed his release pending appeal. </w:t>
      </w:r>
      <w:r w:rsidRPr="00047F59">
        <w:rPr>
          <w:rFonts w:cs="Times New Roman"/>
        </w:rPr>
        <w:t xml:space="preserve">However, because the appeal is moot, I would simply allow the appeal and make no further order. </w:t>
      </w:r>
    </w:p>
    <w:p w:rsidR="00E34756" w:rsidRPr="00236BC7" w:rsidRDefault="00E34756" w:rsidP="002F42B8">
      <w:pPr>
        <w:pStyle w:val="SCCNormalDoubleSpacing"/>
        <w:spacing w:before="480" w:after="480"/>
      </w:pPr>
    </w:p>
    <w:p w:rsidR="009B57B3" w:rsidRPr="00236BC7" w:rsidRDefault="00CC4849" w:rsidP="002F42B8">
      <w:pPr>
        <w:pStyle w:val="SCCNormalDoubleSpacing"/>
        <w:spacing w:before="480" w:after="480"/>
      </w:pPr>
      <w:r w:rsidRPr="00236BC7">
        <w:tab/>
      </w:r>
      <w:r w:rsidR="00656313" w:rsidRPr="00236BC7">
        <w:rPr>
          <w:i/>
        </w:rPr>
        <w:t>Appeal</w:t>
      </w:r>
      <w:r w:rsidRPr="00236BC7">
        <w:rPr>
          <w:i/>
        </w:rPr>
        <w:t xml:space="preserve"> </w:t>
      </w:r>
      <w:r w:rsidR="00B4489E" w:rsidRPr="00236BC7">
        <w:rPr>
          <w:i/>
        </w:rPr>
        <w:t>allowed</w:t>
      </w:r>
      <w:r w:rsidRPr="00236BC7">
        <w:rPr>
          <w:i/>
        </w:rPr>
        <w:t>.</w:t>
      </w:r>
    </w:p>
    <w:p w:rsidR="003E19D5" w:rsidRPr="00236BC7" w:rsidRDefault="003E19D5" w:rsidP="002F42B8">
      <w:pPr>
        <w:pStyle w:val="SCCLawFirm"/>
        <w:spacing w:before="480" w:after="480"/>
      </w:pPr>
      <w:r w:rsidRPr="00236BC7">
        <w:lastRenderedPageBreak/>
        <w:tab/>
        <w:t>Solicitors for the appellant</w:t>
      </w:r>
      <w:r w:rsidR="0020162E" w:rsidRPr="00236BC7">
        <w:t>: </w:t>
      </w:r>
      <w:r w:rsidRPr="00236BC7">
        <w:t>Alan D. Gold Professional Corporation, Toronto; Gary A</w:t>
      </w:r>
      <w:r w:rsidR="00A05C3C" w:rsidRPr="00236BC7">
        <w:t>.</w:t>
      </w:r>
      <w:r w:rsidRPr="00236BC7">
        <w:t xml:space="preserve"> Miller Professional Corporation, Upper Kingsclear, New Brunswick; Cox &amp; Palmer, Saint John.</w:t>
      </w:r>
    </w:p>
    <w:p w:rsidR="003E19D5" w:rsidRPr="00236BC7" w:rsidRDefault="003E19D5" w:rsidP="002F42B8">
      <w:pPr>
        <w:pStyle w:val="SCCLawFirm"/>
        <w:spacing w:before="480" w:after="480"/>
      </w:pPr>
      <w:r w:rsidRPr="00236BC7">
        <w:tab/>
        <w:t>Solicitor for the respondent</w:t>
      </w:r>
      <w:r w:rsidR="0020162E" w:rsidRPr="00236BC7">
        <w:t>: </w:t>
      </w:r>
      <w:r w:rsidRPr="00236BC7">
        <w:t>Attorney General of New Brunswick, Fredericton.</w:t>
      </w:r>
    </w:p>
    <w:p w:rsidR="003E19D5" w:rsidRPr="00236BC7" w:rsidRDefault="003E19D5" w:rsidP="002F42B8">
      <w:pPr>
        <w:pStyle w:val="SCCLawFirm"/>
        <w:spacing w:before="480" w:after="480"/>
      </w:pPr>
      <w:r w:rsidRPr="00236BC7">
        <w:tab/>
        <w:t>Solicitor for the intervener the Attorney General of Ontario</w:t>
      </w:r>
      <w:r w:rsidR="0020162E" w:rsidRPr="00236BC7">
        <w:t>: </w:t>
      </w:r>
      <w:r w:rsidRPr="00236BC7">
        <w:t>Attorney General of Ontario, Toronto.</w:t>
      </w:r>
    </w:p>
    <w:p w:rsidR="003E19D5" w:rsidRPr="00236BC7" w:rsidRDefault="003E19D5" w:rsidP="002F42B8">
      <w:pPr>
        <w:pStyle w:val="SCCLawFirm"/>
        <w:spacing w:before="480" w:after="480"/>
      </w:pPr>
      <w:r w:rsidRPr="00236BC7">
        <w:tab/>
        <w:t>Solicitor for the intervener the Attorney General of British Columbia</w:t>
      </w:r>
      <w:r w:rsidR="0020162E" w:rsidRPr="00236BC7">
        <w:t>: </w:t>
      </w:r>
      <w:r w:rsidRPr="00236BC7">
        <w:t>Attorney General of British Columbia, Vancouver.</w:t>
      </w:r>
    </w:p>
    <w:p w:rsidR="003E19D5" w:rsidRPr="00236BC7" w:rsidRDefault="003E19D5" w:rsidP="002F42B8">
      <w:pPr>
        <w:pStyle w:val="SCCLawFirm"/>
        <w:spacing w:before="480" w:after="480"/>
      </w:pPr>
      <w:r w:rsidRPr="00236BC7">
        <w:tab/>
        <w:t>Solicitor for the intervener the Attorney General of Alberta</w:t>
      </w:r>
      <w:r w:rsidR="0020162E" w:rsidRPr="00236BC7">
        <w:t>: </w:t>
      </w:r>
      <w:r w:rsidRPr="00236BC7">
        <w:t>Attorney General of Alberta, Calgary.</w:t>
      </w:r>
    </w:p>
    <w:p w:rsidR="000D6158" w:rsidRPr="00236BC7" w:rsidRDefault="003E19D5" w:rsidP="002F42B8">
      <w:pPr>
        <w:pStyle w:val="SCCLawFirm"/>
        <w:spacing w:before="480" w:after="480"/>
      </w:pPr>
      <w:r w:rsidRPr="00236BC7">
        <w:tab/>
        <w:t>Solicitors for the intervener the Criminal Lawyers’ Association (Ontario)</w:t>
      </w:r>
      <w:r w:rsidR="0020162E" w:rsidRPr="00236BC7">
        <w:t>: </w:t>
      </w:r>
      <w:r w:rsidRPr="00236BC7">
        <w:t>Brauti Thorning Zibarras, Toronto; Ursel Phillips Fellows Hopkinson, Toronto; Presser Barristers, Toronto.</w:t>
      </w:r>
    </w:p>
    <w:sectPr w:rsidR="000D6158" w:rsidRPr="00236BC7" w:rsidSect="00DB5160">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802"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535" w:rsidRDefault="00AE4535">
      <w:r>
        <w:separator/>
      </w:r>
    </w:p>
  </w:endnote>
  <w:endnote w:type="continuationSeparator" w:id="0">
    <w:p w:rsidR="00AE4535" w:rsidRDefault="00AE4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9A7" w:rsidRDefault="00DF49A7">
    <w:pPr>
      <w:tabs>
        <w:tab w:val="left" w:pos="-1440"/>
        <w:tab w:val="left" w:pos="-720"/>
        <w:tab w:val="left" w:pos="0"/>
        <w:tab w:val="left" w:pos="1152"/>
        <w:tab w:val="left" w:pos="1570"/>
        <w:tab w:val="left" w:pos="1843"/>
        <w:tab w:val="left" w:pos="2261"/>
        <w:tab w:val="left" w:pos="648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9A7" w:rsidRDefault="00DF49A7">
    <w:pPr>
      <w:tabs>
        <w:tab w:val="left" w:pos="-1440"/>
        <w:tab w:val="left" w:pos="-720"/>
        <w:tab w:val="left" w:pos="0"/>
        <w:tab w:val="left" w:pos="1152"/>
        <w:tab w:val="left" w:pos="1570"/>
        <w:tab w:val="left" w:pos="1843"/>
        <w:tab w:val="left" w:pos="2261"/>
        <w:tab w:val="left" w:pos="6480"/>
      </w:tabs>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C95" w:rsidRDefault="00B55C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535" w:rsidRDefault="00AE4535">
      <w:r>
        <w:separator/>
      </w:r>
    </w:p>
  </w:footnote>
  <w:footnote w:type="continuationSeparator" w:id="0">
    <w:p w:rsidR="00AE4535" w:rsidRDefault="00AE4535">
      <w:r>
        <w:continuationSeparator/>
      </w:r>
    </w:p>
  </w:footnote>
  <w:footnote w:id="1">
    <w:p w:rsidR="00E34756" w:rsidRPr="003B67E4" w:rsidRDefault="00E34756" w:rsidP="00E34756">
      <w:pPr>
        <w:pStyle w:val="FootnoteText"/>
        <w:rPr>
          <w:lang w:val="en-US"/>
        </w:rPr>
      </w:pPr>
      <w:r w:rsidRPr="003B67E4">
        <w:rPr>
          <w:rStyle w:val="FootnoteReference"/>
        </w:rPr>
        <w:footnoteRef/>
      </w:r>
      <w:r w:rsidRPr="003B67E4">
        <w:t xml:space="preserve"> </w:t>
      </w:r>
      <w:r w:rsidR="00936071">
        <w:tab/>
      </w:r>
      <w:r w:rsidRPr="003B67E4">
        <w:t xml:space="preserve">Whereas s. 679(3) requires an applicant “to establish” that the three statutory criteria have been met, s. 515(1) generally places the onus on the Crown </w:t>
      </w:r>
      <w:r>
        <w:t>to “sho</w:t>
      </w:r>
      <w:r w:rsidR="00936071">
        <w:t>[</w:t>
      </w:r>
      <w:r>
        <w:t>w</w:t>
      </w:r>
      <w:r w:rsidR="00936071">
        <w:t>]</w:t>
      </w:r>
      <w:r>
        <w:t xml:space="preserve"> cause . . .</w:t>
      </w:r>
      <w:r w:rsidRPr="003B67E4">
        <w:t xml:space="preserve"> why the detention of the </w:t>
      </w:r>
      <w:r>
        <w:t>accused in custody is justified</w:t>
      </w:r>
      <w:r w:rsidRPr="003B67E4">
        <w:t xml:space="preserve">”. </w:t>
      </w:r>
    </w:p>
  </w:footnote>
  <w:footnote w:id="2">
    <w:p w:rsidR="00E34756" w:rsidRDefault="00E34756" w:rsidP="00E34756">
      <w:pPr>
        <w:pStyle w:val="FootnoteText"/>
      </w:pPr>
      <w:r>
        <w:rPr>
          <w:rStyle w:val="FootnoteReference"/>
        </w:rPr>
        <w:footnoteRef/>
      </w:r>
      <w:r>
        <w:t xml:space="preserve"> </w:t>
      </w:r>
      <w:r w:rsidR="00936071">
        <w:tab/>
      </w:r>
      <w:r>
        <w:t xml:space="preserve">While it is not before us, a similar function may be fulfilled by the “sufficient merit” requirement for bail pending a sentence appeal under s. 679(4)(a) of the </w:t>
      </w:r>
      <w:r>
        <w:rPr>
          <w:i/>
        </w:rPr>
        <w:t>Code</w:t>
      </w:r>
      <w:r>
        <w:t>. That provision reads:</w:t>
      </w:r>
    </w:p>
    <w:p w:rsidR="00E34756" w:rsidRDefault="00E34756" w:rsidP="00E34756">
      <w:pPr>
        <w:pStyle w:val="FootnoteText"/>
      </w:pPr>
    </w:p>
    <w:p w:rsidR="00E34756" w:rsidRDefault="00E34756" w:rsidP="00E34756">
      <w:pPr>
        <w:pStyle w:val="Citation-AltC"/>
        <w:rPr>
          <w:b/>
          <w:sz w:val="20"/>
          <w:lang w:val="en-US"/>
        </w:rPr>
      </w:pPr>
      <w:r w:rsidRPr="00877443">
        <w:rPr>
          <w:b/>
          <w:sz w:val="20"/>
          <w:lang w:val="en-US"/>
        </w:rPr>
        <w:t>679</w:t>
      </w:r>
      <w:r>
        <w:rPr>
          <w:b/>
          <w:sz w:val="20"/>
          <w:lang w:val="en-US"/>
        </w:rPr>
        <w:t xml:space="preserve"> </w:t>
      </w:r>
      <w:r w:rsidRPr="00DF4875">
        <w:rPr>
          <w:sz w:val="20"/>
          <w:lang w:val="en-US"/>
        </w:rPr>
        <w:t xml:space="preserve">. . . </w:t>
      </w:r>
    </w:p>
    <w:p w:rsidR="00E34756" w:rsidRDefault="00E34756" w:rsidP="00E34756">
      <w:pPr>
        <w:pStyle w:val="Citation-AltC"/>
        <w:rPr>
          <w:b/>
          <w:sz w:val="20"/>
          <w:lang w:val="en-US"/>
        </w:rPr>
      </w:pPr>
    </w:p>
    <w:p w:rsidR="00E34756" w:rsidRPr="007848D3" w:rsidRDefault="00E34756" w:rsidP="00936071">
      <w:pPr>
        <w:pStyle w:val="Citation-AltC"/>
        <w:ind w:left="1170"/>
        <w:rPr>
          <w:sz w:val="20"/>
          <w:lang w:val="en-US"/>
        </w:rPr>
      </w:pPr>
      <w:r w:rsidRPr="00877443">
        <w:rPr>
          <w:b/>
          <w:sz w:val="20"/>
          <w:lang w:val="en-US"/>
        </w:rPr>
        <w:t>(4)</w:t>
      </w:r>
      <w:r w:rsidRPr="007848D3">
        <w:rPr>
          <w:sz w:val="20"/>
          <w:lang w:val="en-US"/>
        </w:rPr>
        <w:t xml:space="preserve"> In the case of an appeal </w:t>
      </w:r>
      <w:r>
        <w:rPr>
          <w:sz w:val="20"/>
          <w:lang w:val="en-US"/>
        </w:rPr>
        <w:t>[from sentence],</w:t>
      </w:r>
      <w:r w:rsidRPr="007848D3">
        <w:rPr>
          <w:sz w:val="20"/>
          <w:lang w:val="en-US"/>
        </w:rPr>
        <w:t xml:space="preserve"> the judge of the court of appeal may order that the appellant be released pending the determination of his appeal or until otherwise ordered by a judge of the court of appeal if the appellant establishes that</w:t>
      </w:r>
    </w:p>
    <w:p w:rsidR="00E34756" w:rsidRPr="007848D3" w:rsidRDefault="00E34756" w:rsidP="00E34756">
      <w:pPr>
        <w:pStyle w:val="Citation-AltC"/>
        <w:rPr>
          <w:sz w:val="20"/>
          <w:lang w:val="en-US"/>
        </w:rPr>
      </w:pPr>
    </w:p>
    <w:p w:rsidR="00E34756" w:rsidRPr="004E6FCA" w:rsidRDefault="00E34756" w:rsidP="00936071">
      <w:pPr>
        <w:pStyle w:val="Citation-AltC"/>
        <w:ind w:left="1440"/>
        <w:rPr>
          <w:sz w:val="20"/>
          <w:lang w:val="en-US"/>
        </w:rPr>
      </w:pPr>
      <w:r w:rsidRPr="00877443">
        <w:rPr>
          <w:b/>
          <w:sz w:val="20"/>
          <w:lang w:val="en-US"/>
        </w:rPr>
        <w:t xml:space="preserve">(a) </w:t>
      </w:r>
      <w:r w:rsidRPr="007848D3">
        <w:rPr>
          <w:sz w:val="20"/>
          <w:lang w:val="en-US"/>
        </w:rPr>
        <w:t xml:space="preserve">the appeal has sufficient merit that, in the circumstances, it would cause unnecessary hardship </w:t>
      </w:r>
      <w:r>
        <w:rPr>
          <w:sz w:val="20"/>
          <w:lang w:val="en-US"/>
        </w:rPr>
        <w:t>if he were detained in custody;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9A7" w:rsidRDefault="00DF49A7">
    <w:pPr>
      <w:tabs>
        <w:tab w:val="left" w:pos="-1440"/>
        <w:tab w:val="left" w:pos="-720"/>
        <w:tab w:val="left" w:pos="0"/>
        <w:tab w:val="left" w:pos="1152"/>
        <w:tab w:val="left" w:pos="1570"/>
        <w:tab w:val="left" w:pos="1843"/>
        <w:tab w:val="left" w:pos="2261"/>
        <w:tab w:val="left" w:pos="648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52" w:rsidRPr="00B55C95" w:rsidRDefault="00450352" w:rsidP="00B55C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C95" w:rsidRDefault="00B55C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3AB0036"/>
    <w:multiLevelType w:val="multilevel"/>
    <w:tmpl w:val="7038A1F6"/>
    <w:lvl w:ilvl="0">
      <w:start w:val="1"/>
      <w:numFmt w:val="bullet"/>
      <w:lvlText w:val=""/>
      <w:lvlPicBulletId w:val="2"/>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3C450F"/>
    <w:multiLevelType w:val="hybridMultilevel"/>
    <w:tmpl w:val="42C86A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5"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6"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4283EE8"/>
    <w:multiLevelType w:val="multilevel"/>
    <w:tmpl w:val="FC7E1F0A"/>
    <w:lvl w:ilvl="0">
      <w:start w:val="1"/>
      <w:numFmt w:val="decimal"/>
      <w:pStyle w:val="ParaNoNdepar-AltN"/>
      <w:lvlText w:val="[%1]"/>
      <w:lvlJc w:val="left"/>
      <w:pPr>
        <w:tabs>
          <w:tab w:val="num" w:pos="1152"/>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64845AC2"/>
    <w:multiLevelType w:val="multilevel"/>
    <w:tmpl w:val="25441386"/>
    <w:lvl w:ilvl="0">
      <w:start w:val="1"/>
      <w:numFmt w:val="bullet"/>
      <w:lvlText w:val=""/>
      <w:lvlPicBulletId w:val="1"/>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71E9480F"/>
    <w:multiLevelType w:val="multilevel"/>
    <w:tmpl w:val="4866C31E"/>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2910804"/>
    <w:multiLevelType w:val="hybridMultilevel"/>
    <w:tmpl w:val="855EF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817B1D"/>
    <w:multiLevelType w:val="hybridMultilevel"/>
    <w:tmpl w:val="1CE84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
  </w:num>
  <w:num w:numId="4">
    <w:abstractNumId w:val="0"/>
  </w:num>
  <w:num w:numId="5">
    <w:abstractNumId w:val="5"/>
  </w:num>
  <w:num w:numId="6">
    <w:abstractNumId w:val="6"/>
  </w:num>
  <w:num w:numId="7">
    <w:abstractNumId w:val="4"/>
  </w:num>
  <w:num w:numId="8">
    <w:abstractNumId w:val="4"/>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10"/>
  </w:num>
  <w:num w:numId="10">
    <w:abstractNumId w:val="3"/>
  </w:num>
  <w:num w:numId="11">
    <w:abstractNumId w:val="8"/>
  </w:num>
  <w:num w:numId="12">
    <w:abstractNumId w:val="12"/>
  </w:num>
  <w:num w:numId="13">
    <w:abstractNumId w:val="2"/>
  </w:num>
  <w:num w:numId="14">
    <w:abstractNumId w:val="11"/>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024BE"/>
    <w:rsid w:val="00025198"/>
    <w:rsid w:val="000578A3"/>
    <w:rsid w:val="000648CC"/>
    <w:rsid w:val="000A53A8"/>
    <w:rsid w:val="000C59B8"/>
    <w:rsid w:val="000C6AF0"/>
    <w:rsid w:val="000D6158"/>
    <w:rsid w:val="000F05F5"/>
    <w:rsid w:val="00104F33"/>
    <w:rsid w:val="00111DE2"/>
    <w:rsid w:val="00116B38"/>
    <w:rsid w:val="00135406"/>
    <w:rsid w:val="00135972"/>
    <w:rsid w:val="001426A9"/>
    <w:rsid w:val="00154D7C"/>
    <w:rsid w:val="001570B0"/>
    <w:rsid w:val="0015752C"/>
    <w:rsid w:val="00157737"/>
    <w:rsid w:val="00165277"/>
    <w:rsid w:val="00170592"/>
    <w:rsid w:val="00186351"/>
    <w:rsid w:val="00191FA8"/>
    <w:rsid w:val="00195D83"/>
    <w:rsid w:val="001A00C1"/>
    <w:rsid w:val="001B33E0"/>
    <w:rsid w:val="001B4573"/>
    <w:rsid w:val="001C779F"/>
    <w:rsid w:val="001D2AC1"/>
    <w:rsid w:val="001D4E88"/>
    <w:rsid w:val="0020162E"/>
    <w:rsid w:val="00220FC2"/>
    <w:rsid w:val="002222F4"/>
    <w:rsid w:val="00224459"/>
    <w:rsid w:val="00224FC0"/>
    <w:rsid w:val="00225EA4"/>
    <w:rsid w:val="00226EAF"/>
    <w:rsid w:val="00231F3A"/>
    <w:rsid w:val="00234199"/>
    <w:rsid w:val="00235154"/>
    <w:rsid w:val="00236BC7"/>
    <w:rsid w:val="002406EE"/>
    <w:rsid w:val="00243EC8"/>
    <w:rsid w:val="00266DF5"/>
    <w:rsid w:val="00270D93"/>
    <w:rsid w:val="002745CC"/>
    <w:rsid w:val="002B7924"/>
    <w:rsid w:val="002D28C3"/>
    <w:rsid w:val="002D39A4"/>
    <w:rsid w:val="002E6705"/>
    <w:rsid w:val="002F42B8"/>
    <w:rsid w:val="00301D08"/>
    <w:rsid w:val="0030329A"/>
    <w:rsid w:val="0031086F"/>
    <w:rsid w:val="0031414C"/>
    <w:rsid w:val="00314E01"/>
    <w:rsid w:val="0032089D"/>
    <w:rsid w:val="003310DE"/>
    <w:rsid w:val="003323B0"/>
    <w:rsid w:val="00350D9E"/>
    <w:rsid w:val="0035169A"/>
    <w:rsid w:val="0035259D"/>
    <w:rsid w:val="00364B18"/>
    <w:rsid w:val="003A125D"/>
    <w:rsid w:val="003A4C70"/>
    <w:rsid w:val="003B215F"/>
    <w:rsid w:val="003C799C"/>
    <w:rsid w:val="003D0399"/>
    <w:rsid w:val="003E19D5"/>
    <w:rsid w:val="003E1C71"/>
    <w:rsid w:val="003E1E35"/>
    <w:rsid w:val="003E46D0"/>
    <w:rsid w:val="003F327B"/>
    <w:rsid w:val="00406166"/>
    <w:rsid w:val="0040704B"/>
    <w:rsid w:val="00410A55"/>
    <w:rsid w:val="00411300"/>
    <w:rsid w:val="00415417"/>
    <w:rsid w:val="00426659"/>
    <w:rsid w:val="00444E21"/>
    <w:rsid w:val="004464BD"/>
    <w:rsid w:val="00450352"/>
    <w:rsid w:val="00454BDB"/>
    <w:rsid w:val="00461DC4"/>
    <w:rsid w:val="00464800"/>
    <w:rsid w:val="00465132"/>
    <w:rsid w:val="00480C90"/>
    <w:rsid w:val="0048396F"/>
    <w:rsid w:val="00493C18"/>
    <w:rsid w:val="004A600C"/>
    <w:rsid w:val="004A6118"/>
    <w:rsid w:val="004C478D"/>
    <w:rsid w:val="004E2C26"/>
    <w:rsid w:val="004F36FF"/>
    <w:rsid w:val="004F540D"/>
    <w:rsid w:val="005125A8"/>
    <w:rsid w:val="00521AE8"/>
    <w:rsid w:val="00527180"/>
    <w:rsid w:val="00541AD5"/>
    <w:rsid w:val="0054201E"/>
    <w:rsid w:val="00555291"/>
    <w:rsid w:val="00566AD1"/>
    <w:rsid w:val="0057287E"/>
    <w:rsid w:val="00583EDE"/>
    <w:rsid w:val="00583F80"/>
    <w:rsid w:val="00584AF8"/>
    <w:rsid w:val="005A6079"/>
    <w:rsid w:val="005B4707"/>
    <w:rsid w:val="005D67CB"/>
    <w:rsid w:val="005E4698"/>
    <w:rsid w:val="00610539"/>
    <w:rsid w:val="00613969"/>
    <w:rsid w:val="006163C4"/>
    <w:rsid w:val="00625C35"/>
    <w:rsid w:val="00656313"/>
    <w:rsid w:val="006565F4"/>
    <w:rsid w:val="00661C6B"/>
    <w:rsid w:val="00684EEA"/>
    <w:rsid w:val="0069689B"/>
    <w:rsid w:val="006A1551"/>
    <w:rsid w:val="006B5FF5"/>
    <w:rsid w:val="006F30AF"/>
    <w:rsid w:val="00701759"/>
    <w:rsid w:val="00705C15"/>
    <w:rsid w:val="0071600E"/>
    <w:rsid w:val="007208D1"/>
    <w:rsid w:val="007265E9"/>
    <w:rsid w:val="00747288"/>
    <w:rsid w:val="00747DD3"/>
    <w:rsid w:val="007549C8"/>
    <w:rsid w:val="00754A0B"/>
    <w:rsid w:val="00766D14"/>
    <w:rsid w:val="00767A0F"/>
    <w:rsid w:val="007926A4"/>
    <w:rsid w:val="007A05F6"/>
    <w:rsid w:val="007B6F4A"/>
    <w:rsid w:val="007E1C47"/>
    <w:rsid w:val="007E337A"/>
    <w:rsid w:val="007E5C70"/>
    <w:rsid w:val="007F2FF5"/>
    <w:rsid w:val="007F3F08"/>
    <w:rsid w:val="0080255F"/>
    <w:rsid w:val="00804CC6"/>
    <w:rsid w:val="00817190"/>
    <w:rsid w:val="00820EE5"/>
    <w:rsid w:val="008260E2"/>
    <w:rsid w:val="008322BD"/>
    <w:rsid w:val="00833E07"/>
    <w:rsid w:val="00833E0A"/>
    <w:rsid w:val="00834F73"/>
    <w:rsid w:val="00864CF8"/>
    <w:rsid w:val="00872819"/>
    <w:rsid w:val="00874914"/>
    <w:rsid w:val="00891422"/>
    <w:rsid w:val="00892E1A"/>
    <w:rsid w:val="008961FA"/>
    <w:rsid w:val="008A1D9E"/>
    <w:rsid w:val="008A38B3"/>
    <w:rsid w:val="008A3F29"/>
    <w:rsid w:val="008B660A"/>
    <w:rsid w:val="008C01DA"/>
    <w:rsid w:val="008E1BFF"/>
    <w:rsid w:val="008F78E9"/>
    <w:rsid w:val="00911989"/>
    <w:rsid w:val="009179F9"/>
    <w:rsid w:val="00933E5E"/>
    <w:rsid w:val="00934E34"/>
    <w:rsid w:val="00935218"/>
    <w:rsid w:val="00936071"/>
    <w:rsid w:val="009403F3"/>
    <w:rsid w:val="0094685E"/>
    <w:rsid w:val="009555B7"/>
    <w:rsid w:val="009567AA"/>
    <w:rsid w:val="00967374"/>
    <w:rsid w:val="009A343A"/>
    <w:rsid w:val="009A7873"/>
    <w:rsid w:val="009B2F23"/>
    <w:rsid w:val="009B57B3"/>
    <w:rsid w:val="009C5B92"/>
    <w:rsid w:val="009D2920"/>
    <w:rsid w:val="009D5AEB"/>
    <w:rsid w:val="009F0E33"/>
    <w:rsid w:val="00A030CE"/>
    <w:rsid w:val="00A057FF"/>
    <w:rsid w:val="00A05C3C"/>
    <w:rsid w:val="00A067AD"/>
    <w:rsid w:val="00A149DF"/>
    <w:rsid w:val="00A1755C"/>
    <w:rsid w:val="00A21B90"/>
    <w:rsid w:val="00A41805"/>
    <w:rsid w:val="00A42DCD"/>
    <w:rsid w:val="00A52AFB"/>
    <w:rsid w:val="00A548CB"/>
    <w:rsid w:val="00A5521C"/>
    <w:rsid w:val="00A643E7"/>
    <w:rsid w:val="00A71ADD"/>
    <w:rsid w:val="00A73C38"/>
    <w:rsid w:val="00A96A34"/>
    <w:rsid w:val="00AB670D"/>
    <w:rsid w:val="00AD53C8"/>
    <w:rsid w:val="00AE4535"/>
    <w:rsid w:val="00AF03C5"/>
    <w:rsid w:val="00B000D8"/>
    <w:rsid w:val="00B00F75"/>
    <w:rsid w:val="00B145B6"/>
    <w:rsid w:val="00B279EB"/>
    <w:rsid w:val="00B4489E"/>
    <w:rsid w:val="00B50C81"/>
    <w:rsid w:val="00B557F8"/>
    <w:rsid w:val="00B55C95"/>
    <w:rsid w:val="00B7033F"/>
    <w:rsid w:val="00B815FC"/>
    <w:rsid w:val="00B913AF"/>
    <w:rsid w:val="00B93FBC"/>
    <w:rsid w:val="00BA64B0"/>
    <w:rsid w:val="00BA7DA0"/>
    <w:rsid w:val="00BB2EE4"/>
    <w:rsid w:val="00BB2F69"/>
    <w:rsid w:val="00BB7D8C"/>
    <w:rsid w:val="00BC2108"/>
    <w:rsid w:val="00BD0E9E"/>
    <w:rsid w:val="00BD1BEC"/>
    <w:rsid w:val="00BD32FF"/>
    <w:rsid w:val="00BF266D"/>
    <w:rsid w:val="00C02092"/>
    <w:rsid w:val="00C24D91"/>
    <w:rsid w:val="00C53F14"/>
    <w:rsid w:val="00C600CF"/>
    <w:rsid w:val="00C6084F"/>
    <w:rsid w:val="00C62A66"/>
    <w:rsid w:val="00C71458"/>
    <w:rsid w:val="00C77613"/>
    <w:rsid w:val="00C828E7"/>
    <w:rsid w:val="00C86719"/>
    <w:rsid w:val="00C921DD"/>
    <w:rsid w:val="00CA4329"/>
    <w:rsid w:val="00CA6391"/>
    <w:rsid w:val="00CC34BD"/>
    <w:rsid w:val="00CC4849"/>
    <w:rsid w:val="00CE161A"/>
    <w:rsid w:val="00CE3171"/>
    <w:rsid w:val="00CF1601"/>
    <w:rsid w:val="00CF75DC"/>
    <w:rsid w:val="00D0172F"/>
    <w:rsid w:val="00D068A7"/>
    <w:rsid w:val="00D17476"/>
    <w:rsid w:val="00D2543C"/>
    <w:rsid w:val="00D32086"/>
    <w:rsid w:val="00D37A3F"/>
    <w:rsid w:val="00D4431D"/>
    <w:rsid w:val="00D4667A"/>
    <w:rsid w:val="00D63A1C"/>
    <w:rsid w:val="00D7516F"/>
    <w:rsid w:val="00D8579F"/>
    <w:rsid w:val="00D95F8E"/>
    <w:rsid w:val="00DA0590"/>
    <w:rsid w:val="00DB5160"/>
    <w:rsid w:val="00DB7BEA"/>
    <w:rsid w:val="00DC1739"/>
    <w:rsid w:val="00DC1788"/>
    <w:rsid w:val="00DE319C"/>
    <w:rsid w:val="00DE79F2"/>
    <w:rsid w:val="00DF0CA8"/>
    <w:rsid w:val="00DF102F"/>
    <w:rsid w:val="00DF2B48"/>
    <w:rsid w:val="00DF49A7"/>
    <w:rsid w:val="00E07B3A"/>
    <w:rsid w:val="00E07EE2"/>
    <w:rsid w:val="00E07FD1"/>
    <w:rsid w:val="00E176D8"/>
    <w:rsid w:val="00E214AE"/>
    <w:rsid w:val="00E24573"/>
    <w:rsid w:val="00E25E1E"/>
    <w:rsid w:val="00E27EE7"/>
    <w:rsid w:val="00E34756"/>
    <w:rsid w:val="00E35404"/>
    <w:rsid w:val="00E45109"/>
    <w:rsid w:val="00E47B7A"/>
    <w:rsid w:val="00E56A44"/>
    <w:rsid w:val="00E60269"/>
    <w:rsid w:val="00E76D23"/>
    <w:rsid w:val="00E77932"/>
    <w:rsid w:val="00E97830"/>
    <w:rsid w:val="00EC1767"/>
    <w:rsid w:val="00EE643C"/>
    <w:rsid w:val="00EF0683"/>
    <w:rsid w:val="00EF69D2"/>
    <w:rsid w:val="00EF766E"/>
    <w:rsid w:val="00F0070C"/>
    <w:rsid w:val="00F00EB7"/>
    <w:rsid w:val="00F06D31"/>
    <w:rsid w:val="00F36AB6"/>
    <w:rsid w:val="00F37A09"/>
    <w:rsid w:val="00F409CE"/>
    <w:rsid w:val="00F4379D"/>
    <w:rsid w:val="00F50D2D"/>
    <w:rsid w:val="00F56C8B"/>
    <w:rsid w:val="00F66810"/>
    <w:rsid w:val="00F70A4F"/>
    <w:rsid w:val="00F819AD"/>
    <w:rsid w:val="00F846D9"/>
    <w:rsid w:val="00F84DF4"/>
    <w:rsid w:val="00F85C97"/>
    <w:rsid w:val="00FB37D2"/>
    <w:rsid w:val="00FB483E"/>
    <w:rsid w:val="00FC4EFB"/>
    <w:rsid w:val="00FD068D"/>
    <w:rsid w:val="00FD4F28"/>
    <w:rsid w:val="00FE6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1FA"/>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paragraph" w:customStyle="1" w:styleId="ParaNoNdepar-AltN">
    <w:name w:val="Para. No. / Nº de par. - Alt N"/>
    <w:link w:val="ParaNoNdepar-AltNChar"/>
    <w:qFormat/>
    <w:rsid w:val="00E76D23"/>
    <w:pPr>
      <w:numPr>
        <w:numId w:val="1"/>
      </w:numPr>
      <w:spacing w:before="480" w:after="480" w:line="480" w:lineRule="auto"/>
      <w:jc w:val="both"/>
    </w:pPr>
    <w:rPr>
      <w:rFonts w:eastAsiaTheme="minorEastAsia" w:cstheme="minorBidi"/>
      <w:sz w:val="24"/>
      <w:szCs w:val="22"/>
      <w:lang w:eastAsia="en-US"/>
    </w:rPr>
  </w:style>
  <w:style w:type="character" w:customStyle="1" w:styleId="ParaNoNdepar-AltNChar">
    <w:name w:val="Para. No. / Nº de par. - Alt N Char"/>
    <w:basedOn w:val="DefaultParagraphFont"/>
    <w:link w:val="ParaNoNdepar-AltN"/>
    <w:locked/>
    <w:rsid w:val="00E76D23"/>
    <w:rPr>
      <w:rFonts w:eastAsiaTheme="minorEastAsia" w:cstheme="minorBidi"/>
      <w:sz w:val="24"/>
      <w:szCs w:val="22"/>
      <w:lang w:eastAsia="en-US"/>
    </w:rPr>
  </w:style>
  <w:style w:type="paragraph" w:customStyle="1" w:styleId="SCCLsocOtherPartyRoleSeparator">
    <w:name w:val="SCC.Lsoc.OtherPartyRoleSeparator"/>
    <w:basedOn w:val="Normal"/>
    <w:next w:val="Normal"/>
    <w:link w:val="SCCLsocOtherPartyRoleSeparatorChar"/>
    <w:rsid w:val="00E34756"/>
    <w:pPr>
      <w:spacing w:after="480"/>
    </w:pPr>
    <w:rPr>
      <w:rFonts w:eastAsiaTheme="minorHAnsi" w:cstheme="minorBidi"/>
      <w:szCs w:val="22"/>
      <w:lang w:eastAsia="en-US"/>
    </w:rPr>
  </w:style>
  <w:style w:type="paragraph" w:customStyle="1" w:styleId="SCCCoram">
    <w:name w:val="SCC.Coram"/>
    <w:basedOn w:val="Normal"/>
    <w:next w:val="Normal"/>
    <w:link w:val="SCCCoramChar"/>
    <w:rsid w:val="00E34756"/>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E34756"/>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E34756"/>
    <w:rPr>
      <w:rFonts w:eastAsiaTheme="minorHAnsi" w:cstheme="minorBidi"/>
      <w:sz w:val="24"/>
      <w:szCs w:val="22"/>
      <w:lang w:eastAsia="en-US"/>
    </w:rPr>
  </w:style>
  <w:style w:type="character" w:customStyle="1" w:styleId="SCCBanSummaryChar">
    <w:name w:val="SCC.BanSummary Char"/>
    <w:basedOn w:val="DefaultParagraphFont"/>
    <w:link w:val="SCCBanSummary"/>
    <w:rsid w:val="00E34756"/>
    <w:rPr>
      <w:b/>
      <w:sz w:val="24"/>
    </w:rPr>
  </w:style>
  <w:style w:type="table" w:styleId="TableGrid">
    <w:name w:val="Table Grid"/>
    <w:basedOn w:val="TableNormal"/>
    <w:uiPriority w:val="59"/>
    <w:rsid w:val="00E34756"/>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E34756"/>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E34756"/>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E34756"/>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E34756"/>
    <w:pPr>
      <w:numPr>
        <w:numId w:val="7"/>
      </w:numPr>
      <w:spacing w:before="480" w:after="720"/>
      <w:jc w:val="both"/>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E34756"/>
    <w:pPr>
      <w:numPr>
        <w:ilvl w:val="1"/>
      </w:numPr>
    </w:pPr>
    <w:rPr>
      <w:i/>
      <w:u w:val="none"/>
    </w:rPr>
  </w:style>
  <w:style w:type="paragraph" w:customStyle="1" w:styleId="Title3LevelTitre3Niveau">
    <w:name w:val="Title 3 Level / Titre 3 Niveau"/>
    <w:basedOn w:val="Title1LevelTitre1Niveau-AltL"/>
    <w:next w:val="ParaNoNdepar-AltN"/>
    <w:uiPriority w:val="4"/>
    <w:qFormat/>
    <w:rsid w:val="00E34756"/>
    <w:pPr>
      <w:numPr>
        <w:ilvl w:val="2"/>
      </w:numPr>
    </w:pPr>
  </w:style>
  <w:style w:type="paragraph" w:customStyle="1" w:styleId="Title4LevelTitre4Niveau">
    <w:name w:val="Title 4 Level / Titre 4 Niveau"/>
    <w:basedOn w:val="Title3LevelTitre3Niveau"/>
    <w:next w:val="ParaNoNdepar-AltN"/>
    <w:uiPriority w:val="4"/>
    <w:qFormat/>
    <w:rsid w:val="00E34756"/>
    <w:pPr>
      <w:numPr>
        <w:ilvl w:val="3"/>
      </w:numPr>
    </w:pPr>
    <w:rPr>
      <w:i/>
      <w:u w:val="none"/>
    </w:rPr>
  </w:style>
  <w:style w:type="paragraph" w:customStyle="1" w:styleId="Title5LevelTitre5Niveau">
    <w:name w:val="Title 5 Level / Titre 5 Niveau"/>
    <w:basedOn w:val="Title1LevelTitre1Niveau-AltL"/>
    <w:next w:val="ParaNoNdepar-AltN"/>
    <w:uiPriority w:val="4"/>
    <w:qFormat/>
    <w:rsid w:val="00E34756"/>
    <w:pPr>
      <w:numPr>
        <w:ilvl w:val="4"/>
      </w:numPr>
    </w:pPr>
  </w:style>
  <w:style w:type="paragraph" w:styleId="TOC1">
    <w:name w:val="toc 1"/>
    <w:basedOn w:val="Normal"/>
    <w:next w:val="Normal"/>
    <w:autoRedefine/>
    <w:uiPriority w:val="39"/>
    <w:unhideWhenUsed/>
    <w:rsid w:val="00E34756"/>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E34756"/>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E34756"/>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E34756"/>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E34756"/>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E34756"/>
    <w:pPr>
      <w:tabs>
        <w:tab w:val="left" w:pos="2160"/>
        <w:tab w:val="right" w:leader="dot" w:pos="8270"/>
      </w:tabs>
      <w:spacing w:after="100"/>
      <w:ind w:left="1800"/>
    </w:pPr>
    <w:rPr>
      <w:noProof/>
    </w:rPr>
  </w:style>
  <w:style w:type="table" w:customStyle="1" w:styleId="TableGrid1">
    <w:name w:val="Table Grid1"/>
    <w:basedOn w:val="TableNormal"/>
    <w:uiPriority w:val="59"/>
    <w:rsid w:val="00E34756"/>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E34756"/>
    <w:pPr>
      <w:tabs>
        <w:tab w:val="left" w:pos="360"/>
      </w:tabs>
      <w:spacing w:before="480" w:after="720"/>
      <w:ind w:left="360" w:hanging="360"/>
      <w:jc w:val="both"/>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E34756"/>
    <w:pPr>
      <w:numPr>
        <w:ilvl w:val="5"/>
      </w:numPr>
    </w:pPr>
    <w:rPr>
      <w:i/>
      <w:u w:val="none"/>
    </w:rPr>
  </w:style>
  <w:style w:type="paragraph" w:styleId="FootnoteText">
    <w:name w:val="footnote text"/>
    <w:basedOn w:val="Normal"/>
    <w:link w:val="FootnoteTextChar"/>
    <w:uiPriority w:val="99"/>
    <w:unhideWhenUsed/>
    <w:rsid w:val="00E34756"/>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E34756"/>
  </w:style>
  <w:style w:type="character" w:styleId="FootnoteReference">
    <w:name w:val="footnote reference"/>
    <w:basedOn w:val="DefaultParagraphFont"/>
    <w:uiPriority w:val="99"/>
    <w:unhideWhenUsed/>
    <w:rsid w:val="00E34756"/>
    <w:rPr>
      <w:vertAlign w:val="superscript"/>
    </w:rPr>
  </w:style>
  <w:style w:type="character" w:customStyle="1" w:styleId="reflex3-block">
    <w:name w:val="reflex3-block"/>
    <w:basedOn w:val="DefaultParagraphFont"/>
    <w:rsid w:val="00E34756"/>
  </w:style>
  <w:style w:type="character" w:customStyle="1" w:styleId="reflex3-alt">
    <w:name w:val="reflex3-alt"/>
    <w:basedOn w:val="DefaultParagraphFont"/>
    <w:rsid w:val="00E34756"/>
  </w:style>
  <w:style w:type="paragraph" w:customStyle="1" w:styleId="cquote1">
    <w:name w:val="cquote1"/>
    <w:basedOn w:val="Normal"/>
    <w:rsid w:val="00E34756"/>
    <w:pPr>
      <w:spacing w:before="120" w:after="240"/>
      <w:ind w:left="1440" w:right="1440"/>
      <w:jc w:val="both"/>
    </w:pPr>
    <w:rPr>
      <w:rFonts w:ascii="Arial" w:hAnsi="Arial" w:cs="Arial"/>
      <w:sz w:val="26"/>
      <w:szCs w:val="26"/>
    </w:rPr>
  </w:style>
  <w:style w:type="character" w:styleId="SubtleEmphasis">
    <w:name w:val="Subtle Emphasis"/>
    <w:uiPriority w:val="19"/>
    <w:rsid w:val="00E34756"/>
    <w:rPr>
      <w:i/>
      <w:iCs/>
    </w:rPr>
  </w:style>
  <w:style w:type="paragraph" w:customStyle="1" w:styleId="subsection">
    <w:name w:val="subsection"/>
    <w:basedOn w:val="Normal"/>
    <w:rsid w:val="00E34756"/>
    <w:pPr>
      <w:spacing w:before="168" w:after="120"/>
    </w:pPr>
    <w:rPr>
      <w:szCs w:val="24"/>
      <w:lang w:val="en-US" w:eastAsia="en-US"/>
    </w:rPr>
  </w:style>
  <w:style w:type="paragraph" w:customStyle="1" w:styleId="paragraph">
    <w:name w:val="paragraph"/>
    <w:basedOn w:val="Normal"/>
    <w:rsid w:val="00E34756"/>
    <w:pPr>
      <w:spacing w:before="168" w:after="120"/>
      <w:ind w:left="360"/>
    </w:pPr>
    <w:rPr>
      <w:szCs w:val="24"/>
      <w:lang w:val="en-US" w:eastAsia="en-US"/>
    </w:rPr>
  </w:style>
  <w:style w:type="character" w:customStyle="1" w:styleId="lawlabel2">
    <w:name w:val="lawlabel2"/>
    <w:basedOn w:val="DefaultParagraphFont"/>
    <w:rsid w:val="00E34756"/>
    <w:rPr>
      <w:b/>
      <w:bCs/>
      <w:color w:val="000000"/>
    </w:rPr>
  </w:style>
  <w:style w:type="table" w:customStyle="1" w:styleId="TableGrid2">
    <w:name w:val="Table Grid2"/>
    <w:basedOn w:val="TableNormal"/>
    <w:next w:val="TableGrid"/>
    <w:uiPriority w:val="59"/>
    <w:rsid w:val="00E34756"/>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8961FA"/>
    <w:rPr>
      <w:color w:val="0000FF" w:themeColor="hyperlink"/>
      <w:u w:val="single"/>
    </w:rPr>
  </w:style>
  <w:style w:type="character" w:customStyle="1" w:styleId="SCCLsocPartyRoleChar">
    <w:name w:val="SCC.Lsoc.PartyRole Char"/>
    <w:basedOn w:val="DefaultParagraphFont"/>
    <w:rsid w:val="00583F80"/>
    <w:rPr>
      <w:lang w:val="en-CA"/>
    </w:rPr>
  </w:style>
  <w:style w:type="paragraph" w:customStyle="1" w:styleId="SCCLsocPrefix">
    <w:name w:val="SCC.Lsoc.Prefix"/>
    <w:basedOn w:val="Normal"/>
    <w:next w:val="Normal"/>
    <w:link w:val="SCCLsocPrefixChar"/>
    <w:rsid w:val="00583F80"/>
    <w:rPr>
      <w:rFonts w:eastAsiaTheme="minorHAnsi" w:cstheme="minorBidi"/>
      <w:b/>
      <w:smallCaps/>
      <w:szCs w:val="24"/>
      <w:lang w:eastAsia="en-US"/>
    </w:rPr>
  </w:style>
  <w:style w:type="character" w:customStyle="1" w:styleId="SCCLsocPrefixChar">
    <w:name w:val="SCC.Lsoc.Prefix Char"/>
    <w:basedOn w:val="DefaultParagraphFont"/>
    <w:link w:val="SCCLsocPrefix"/>
    <w:rsid w:val="00583F80"/>
    <w:rPr>
      <w:rFonts w:eastAsiaTheme="minorHAnsi" w:cstheme="minorBidi"/>
      <w:b/>
      <w:smallCap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485071-AA38-4AA0-B093-105816C61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9051</Words>
  <Characters>45576</Characters>
  <Application>Microsoft Office Word</Application>
  <DocSecurity>0</DocSecurity>
  <Lines>379</Lines>
  <Paragraphs>109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2017-03-23T16:12:00Z</dcterms:created>
  <dcterms:modified xsi:type="dcterms:W3CDTF">2017-10-18T19:10:00Z</dcterms:modified>
</cp:coreProperties>
</file>