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7F" w:rsidRPr="00027B5D" w:rsidRDefault="002D727F" w:rsidP="0093252E">
      <w:pPr>
        <w:pStyle w:val="Court"/>
        <w:rPr>
          <w:lang w:val="en-US"/>
        </w:rPr>
      </w:pPr>
      <w:r w:rsidRPr="00027B5D">
        <w:rPr>
          <w:lang w:val="en-US"/>
        </w:rPr>
        <w:t>Supreme Court of Canada</w:t>
      </w:r>
    </w:p>
    <w:p w:rsidR="00C64A25" w:rsidRPr="002D727F" w:rsidRDefault="00166478" w:rsidP="002D727F">
      <w:pPr>
        <w:pStyle w:val="CitationLine"/>
        <w:rPr>
          <w:lang w:val="en-US"/>
        </w:rPr>
      </w:pPr>
      <w:r w:rsidRPr="00166478">
        <w:rPr>
          <w:lang w:val="en-US"/>
        </w:rPr>
        <w:t>Halifax Election Case</w:t>
      </w:r>
      <w:r>
        <w:rPr>
          <w:lang w:val="en-US"/>
        </w:rPr>
        <w:t>s</w:t>
      </w:r>
      <w:bookmarkStart w:id="0" w:name="_GoBack"/>
      <w:bookmarkEnd w:id="0"/>
      <w:r w:rsidR="00027B5D">
        <w:rPr>
          <w:lang w:val="en-US"/>
        </w:rPr>
        <w:t>, (1906) 37 SCR 601</w:t>
      </w:r>
    </w:p>
    <w:p w:rsidR="002D727F" w:rsidRPr="002D727F" w:rsidRDefault="002D727F" w:rsidP="002D727F">
      <w:pPr>
        <w:pStyle w:val="DateISO"/>
      </w:pPr>
      <w:r w:rsidRPr="002D727F">
        <w:rPr>
          <w:lang w:val="en-US"/>
        </w:rPr>
        <w:t>Date: 1906-10-04</w:t>
      </w:r>
    </w:p>
    <w:p w:rsidR="002D727F" w:rsidRPr="002D727F" w:rsidRDefault="002D727F" w:rsidP="002D727F">
      <w:pPr>
        <w:pStyle w:val="Metadata"/>
        <w:rPr>
          <w:lang w:val="en-US"/>
        </w:rPr>
      </w:pPr>
      <w:r w:rsidRPr="002D727F">
        <w:rPr>
          <w:lang w:val="en-US"/>
        </w:rPr>
        <w:t>Frederick W. Hetherington (Petitioner)</w:t>
      </w:r>
    </w:p>
    <w:p w:rsidR="002D727F" w:rsidRPr="002D727F" w:rsidRDefault="002D727F" w:rsidP="002D727F">
      <w:pPr>
        <w:pStyle w:val="Metadata"/>
        <w:rPr>
          <w:lang w:val="en-US"/>
        </w:rPr>
      </w:pPr>
      <w:r w:rsidRPr="002D727F">
        <w:rPr>
          <w:lang w:val="en-US"/>
        </w:rPr>
        <w:t>Appellant</w:t>
      </w:r>
      <w:r w:rsidR="00886511">
        <w:rPr>
          <w:lang w:val="en-US"/>
        </w:rPr>
        <w:t>;</w:t>
      </w:r>
    </w:p>
    <w:p w:rsidR="00C64A25" w:rsidRPr="002D727F" w:rsidRDefault="002D727F" w:rsidP="002D727F">
      <w:pPr>
        <w:pStyle w:val="Metadata"/>
        <w:rPr>
          <w:spacing w:val="-7"/>
        </w:rPr>
      </w:pPr>
      <w:r w:rsidRPr="002D727F">
        <w:rPr>
          <w:spacing w:val="-7"/>
          <w:lang w:val="en-US"/>
        </w:rPr>
        <w:t>And</w:t>
      </w:r>
    </w:p>
    <w:p w:rsidR="002D727F" w:rsidRPr="002D727F" w:rsidRDefault="002D727F" w:rsidP="002D727F">
      <w:pPr>
        <w:pStyle w:val="Metadata"/>
        <w:rPr>
          <w:spacing w:val="13"/>
          <w:lang w:val="en-US"/>
        </w:rPr>
      </w:pPr>
      <w:r w:rsidRPr="002D727F">
        <w:rPr>
          <w:spacing w:val="13"/>
          <w:lang w:val="en-US"/>
        </w:rPr>
        <w:t xml:space="preserve">William </w:t>
      </w:r>
      <w:r w:rsidRPr="00886511">
        <w:rPr>
          <w:spacing w:val="13"/>
          <w:lang w:val="en-US"/>
        </w:rPr>
        <w:t xml:space="preserve">Roche </w:t>
      </w:r>
      <w:r w:rsidRPr="002D727F">
        <w:rPr>
          <w:spacing w:val="13"/>
          <w:lang w:val="en-US"/>
        </w:rPr>
        <w:t>(Respondent)</w:t>
      </w:r>
    </w:p>
    <w:p w:rsidR="00C64A25" w:rsidRPr="002D727F" w:rsidRDefault="002D727F" w:rsidP="002D727F">
      <w:pPr>
        <w:pStyle w:val="Metadata"/>
        <w:rPr>
          <w:spacing w:val="13"/>
        </w:rPr>
      </w:pPr>
      <w:proofErr w:type="gramStart"/>
      <w:r w:rsidRPr="002D727F">
        <w:rPr>
          <w:spacing w:val="13"/>
          <w:lang w:val="en-US"/>
        </w:rPr>
        <w:t>Respondent</w:t>
      </w:r>
      <w:r w:rsidR="0093252E" w:rsidRPr="002D727F">
        <w:rPr>
          <w:spacing w:val="13"/>
          <w:lang w:val="en-US"/>
        </w:rPr>
        <w:t>.</w:t>
      </w:r>
      <w:proofErr w:type="gramEnd"/>
    </w:p>
    <w:p w:rsidR="00C64A25" w:rsidRPr="002D727F" w:rsidRDefault="002D727F" w:rsidP="002D727F">
      <w:pPr>
        <w:pStyle w:val="Metadata"/>
        <w:rPr>
          <w:spacing w:val="26"/>
        </w:rPr>
      </w:pPr>
      <w:r>
        <w:rPr>
          <w:spacing w:val="26"/>
          <w:lang w:val="en-US"/>
        </w:rPr>
        <w:t>Frederick W. Hethering</w:t>
      </w:r>
      <w:r w:rsidRPr="002D727F">
        <w:rPr>
          <w:lang w:val="en-US"/>
        </w:rPr>
        <w:t xml:space="preserve">ton </w:t>
      </w:r>
      <w:r w:rsidR="0093252E" w:rsidRPr="002D727F">
        <w:rPr>
          <w:lang w:val="en-US"/>
        </w:rPr>
        <w:t>(</w:t>
      </w:r>
      <w:r w:rsidRPr="002D727F">
        <w:rPr>
          <w:lang w:val="en-US"/>
        </w:rPr>
        <w:t>Petitioner</w:t>
      </w:r>
      <w:r w:rsidR="0093252E">
        <w:rPr>
          <w:lang w:val="en-US"/>
        </w:rPr>
        <w:t>)</w:t>
      </w:r>
    </w:p>
    <w:p w:rsidR="00C64A25" w:rsidRPr="002D727F" w:rsidRDefault="002D727F" w:rsidP="002D727F">
      <w:pPr>
        <w:pStyle w:val="Metadata"/>
        <w:rPr>
          <w:spacing w:val="5"/>
        </w:rPr>
      </w:pPr>
      <w:r w:rsidRPr="002D727F">
        <w:rPr>
          <w:spacing w:val="5"/>
          <w:lang w:val="en-US"/>
        </w:rPr>
        <w:t>Appellant</w:t>
      </w:r>
      <w:r w:rsidR="0093252E">
        <w:rPr>
          <w:spacing w:val="5"/>
          <w:lang w:val="en-US"/>
        </w:rPr>
        <w:t>;</w:t>
      </w:r>
    </w:p>
    <w:p w:rsidR="00C64A25" w:rsidRPr="002D727F" w:rsidRDefault="002D727F" w:rsidP="002D727F">
      <w:pPr>
        <w:pStyle w:val="Metadata"/>
        <w:rPr>
          <w:spacing w:val="-4"/>
        </w:rPr>
      </w:pPr>
      <w:r w:rsidRPr="002D727F">
        <w:rPr>
          <w:spacing w:val="-4"/>
          <w:lang w:val="en-US"/>
        </w:rPr>
        <w:t>And</w:t>
      </w:r>
    </w:p>
    <w:p w:rsidR="002D727F" w:rsidRDefault="002D727F" w:rsidP="002D727F">
      <w:pPr>
        <w:pStyle w:val="Metadata"/>
        <w:rPr>
          <w:spacing w:val="12"/>
          <w:lang w:val="en-US"/>
        </w:rPr>
      </w:pPr>
      <w:r w:rsidRPr="002D727F">
        <w:rPr>
          <w:spacing w:val="12"/>
          <w:lang w:val="en-US"/>
        </w:rPr>
        <w:t xml:space="preserve">Michael Carney </w:t>
      </w:r>
      <w:r>
        <w:rPr>
          <w:spacing w:val="12"/>
          <w:lang w:val="en-US"/>
        </w:rPr>
        <w:t>(Respondent)</w:t>
      </w:r>
    </w:p>
    <w:p w:rsidR="00C64A25" w:rsidRPr="002D727F" w:rsidRDefault="002D727F" w:rsidP="002D727F">
      <w:pPr>
        <w:pStyle w:val="Metadata"/>
        <w:rPr>
          <w:spacing w:val="12"/>
        </w:rPr>
      </w:pPr>
      <w:proofErr w:type="gramStart"/>
      <w:r w:rsidRPr="002D727F">
        <w:rPr>
          <w:spacing w:val="12"/>
          <w:lang w:val="en-US"/>
        </w:rPr>
        <w:t>Respondent</w:t>
      </w:r>
      <w:r w:rsidR="0093252E" w:rsidRPr="002D727F">
        <w:rPr>
          <w:spacing w:val="12"/>
          <w:lang w:val="en-US"/>
        </w:rPr>
        <w:t>.</w:t>
      </w:r>
      <w:proofErr w:type="gramEnd"/>
    </w:p>
    <w:p w:rsidR="002D727F" w:rsidRDefault="002D727F" w:rsidP="002D727F">
      <w:pPr>
        <w:pStyle w:val="Metadata"/>
        <w:rPr>
          <w:spacing w:val="19"/>
          <w:lang w:val="en-US"/>
        </w:rPr>
      </w:pPr>
      <w:r w:rsidRPr="002D727F">
        <w:rPr>
          <w:spacing w:val="19"/>
          <w:lang w:val="en-US"/>
        </w:rPr>
        <w:t xml:space="preserve">William </w:t>
      </w:r>
      <w:r w:rsidRPr="00886511">
        <w:rPr>
          <w:spacing w:val="19"/>
        </w:rPr>
        <w:t xml:space="preserve">Roche </w:t>
      </w:r>
      <w:r w:rsidR="0093252E" w:rsidRPr="002D727F">
        <w:rPr>
          <w:spacing w:val="19"/>
          <w:lang w:val="en-US"/>
        </w:rPr>
        <w:t>(</w:t>
      </w:r>
      <w:r w:rsidRPr="002D727F">
        <w:rPr>
          <w:spacing w:val="19"/>
          <w:lang w:val="en-US"/>
        </w:rPr>
        <w:t>Petitioner</w:t>
      </w:r>
      <w:r w:rsidR="0093252E" w:rsidRPr="002D727F">
        <w:rPr>
          <w:spacing w:val="19"/>
          <w:lang w:val="en-US"/>
        </w:rPr>
        <w:t>)</w:t>
      </w:r>
    </w:p>
    <w:p w:rsidR="00C64A25" w:rsidRPr="002D727F" w:rsidRDefault="002D727F" w:rsidP="002D727F">
      <w:pPr>
        <w:pStyle w:val="Metadata"/>
        <w:rPr>
          <w:spacing w:val="19"/>
        </w:rPr>
      </w:pPr>
      <w:r w:rsidRPr="002D727F">
        <w:rPr>
          <w:spacing w:val="19"/>
          <w:lang w:val="en-US"/>
        </w:rPr>
        <w:t>Appellant</w:t>
      </w:r>
      <w:r w:rsidR="0093252E">
        <w:rPr>
          <w:spacing w:val="19"/>
          <w:lang w:val="en-US"/>
        </w:rPr>
        <w:t>;</w:t>
      </w:r>
    </w:p>
    <w:p w:rsidR="00C64A25" w:rsidRPr="002D727F" w:rsidRDefault="002D727F" w:rsidP="002D727F">
      <w:pPr>
        <w:pStyle w:val="Metadata"/>
        <w:rPr>
          <w:spacing w:val="-5"/>
        </w:rPr>
      </w:pPr>
      <w:r w:rsidRPr="002D727F">
        <w:rPr>
          <w:spacing w:val="-5"/>
          <w:lang w:val="en-US"/>
        </w:rPr>
        <w:t>And</w:t>
      </w:r>
    </w:p>
    <w:p w:rsidR="002D727F" w:rsidRDefault="002D727F" w:rsidP="002D727F">
      <w:pPr>
        <w:pStyle w:val="Metadata"/>
        <w:rPr>
          <w:spacing w:val="22"/>
          <w:lang w:val="en-US"/>
        </w:rPr>
      </w:pPr>
      <w:r w:rsidRPr="002D727F">
        <w:rPr>
          <w:spacing w:val="22"/>
          <w:lang w:val="en-US"/>
        </w:rPr>
        <w:t xml:space="preserve">Robert </w:t>
      </w:r>
      <w:r w:rsidR="0093252E" w:rsidRPr="002D727F">
        <w:rPr>
          <w:spacing w:val="22"/>
          <w:lang w:val="en-US"/>
        </w:rPr>
        <w:t xml:space="preserve">L. </w:t>
      </w:r>
      <w:r w:rsidRPr="002D727F">
        <w:rPr>
          <w:spacing w:val="22"/>
          <w:lang w:val="en-US"/>
        </w:rPr>
        <w:t xml:space="preserve">Borden </w:t>
      </w:r>
      <w:r>
        <w:rPr>
          <w:spacing w:val="22"/>
          <w:lang w:val="en-US"/>
        </w:rPr>
        <w:t>(Respondent)</w:t>
      </w:r>
    </w:p>
    <w:p w:rsidR="00C64A25" w:rsidRPr="002D727F" w:rsidRDefault="002D727F" w:rsidP="002D727F">
      <w:pPr>
        <w:pStyle w:val="Metadata"/>
        <w:rPr>
          <w:spacing w:val="22"/>
        </w:rPr>
      </w:pPr>
      <w:proofErr w:type="gramStart"/>
      <w:r w:rsidRPr="002D727F">
        <w:rPr>
          <w:spacing w:val="22"/>
          <w:lang w:val="en-US"/>
        </w:rPr>
        <w:t>Respondent</w:t>
      </w:r>
      <w:r w:rsidR="0093252E" w:rsidRPr="002D727F">
        <w:rPr>
          <w:spacing w:val="22"/>
          <w:lang w:val="en-US"/>
        </w:rPr>
        <w:t>.</w:t>
      </w:r>
      <w:proofErr w:type="gramEnd"/>
    </w:p>
    <w:p w:rsidR="002D727F" w:rsidRDefault="002D727F" w:rsidP="002D727F">
      <w:pPr>
        <w:pStyle w:val="Metadata"/>
        <w:rPr>
          <w:spacing w:val="12"/>
          <w:lang w:val="en-US"/>
        </w:rPr>
      </w:pPr>
      <w:r w:rsidRPr="002D727F">
        <w:rPr>
          <w:spacing w:val="12"/>
          <w:lang w:val="en-US"/>
        </w:rPr>
        <w:t xml:space="preserve">Michael Carney </w:t>
      </w:r>
      <w:r w:rsidR="0093252E" w:rsidRPr="002D727F">
        <w:rPr>
          <w:spacing w:val="12"/>
          <w:lang w:val="en-US"/>
        </w:rPr>
        <w:t>(</w:t>
      </w:r>
      <w:r w:rsidRPr="002D727F">
        <w:rPr>
          <w:spacing w:val="12"/>
          <w:lang w:val="en-US"/>
        </w:rPr>
        <w:t>Petitioner</w:t>
      </w:r>
      <w:r w:rsidR="0093252E" w:rsidRPr="002D727F">
        <w:rPr>
          <w:spacing w:val="12"/>
          <w:lang w:val="en-US"/>
        </w:rPr>
        <w:t>)</w:t>
      </w:r>
    </w:p>
    <w:p w:rsidR="00C64A25" w:rsidRPr="002D727F" w:rsidRDefault="002D727F" w:rsidP="002D727F">
      <w:pPr>
        <w:pStyle w:val="Metadata"/>
        <w:rPr>
          <w:spacing w:val="12"/>
        </w:rPr>
      </w:pPr>
      <w:r w:rsidRPr="002D727F">
        <w:rPr>
          <w:spacing w:val="12"/>
          <w:lang w:val="en-US"/>
        </w:rPr>
        <w:t>Appellant</w:t>
      </w:r>
      <w:r w:rsidR="0093252E">
        <w:rPr>
          <w:spacing w:val="12"/>
          <w:lang w:val="en-US"/>
        </w:rPr>
        <w:t>;</w:t>
      </w:r>
    </w:p>
    <w:p w:rsidR="00C64A25" w:rsidRPr="002D727F" w:rsidRDefault="002D727F" w:rsidP="002D727F">
      <w:pPr>
        <w:pStyle w:val="Metadata"/>
        <w:rPr>
          <w:spacing w:val="-5"/>
        </w:rPr>
      </w:pPr>
      <w:r w:rsidRPr="002D727F">
        <w:rPr>
          <w:spacing w:val="-5"/>
          <w:lang w:val="en-US"/>
        </w:rPr>
        <w:t>And</w:t>
      </w:r>
    </w:p>
    <w:p w:rsidR="002D727F" w:rsidRDefault="0093252E" w:rsidP="002D727F">
      <w:pPr>
        <w:pStyle w:val="Metadata"/>
        <w:rPr>
          <w:lang w:val="en-US"/>
        </w:rPr>
      </w:pPr>
      <w:r w:rsidRPr="002D727F">
        <w:rPr>
          <w:i/>
          <w:lang w:val="en-US"/>
        </w:rPr>
        <w:t xml:space="preserve">J. </w:t>
      </w:r>
      <w:r w:rsidRPr="002D727F">
        <w:rPr>
          <w:lang w:val="en-US"/>
        </w:rPr>
        <w:t xml:space="preserve">C. </w:t>
      </w:r>
      <w:proofErr w:type="spellStart"/>
      <w:r w:rsidR="002D727F">
        <w:rPr>
          <w:lang w:val="en-US"/>
        </w:rPr>
        <w:t>O'M</w:t>
      </w:r>
      <w:r w:rsidR="002D727F" w:rsidRPr="002D727F">
        <w:rPr>
          <w:lang w:val="en-US"/>
        </w:rPr>
        <w:t>ijllin</w:t>
      </w:r>
      <w:proofErr w:type="spellEnd"/>
      <w:r w:rsidR="002D727F" w:rsidRPr="002D727F">
        <w:rPr>
          <w:lang w:val="en-US"/>
        </w:rPr>
        <w:t xml:space="preserve"> </w:t>
      </w:r>
      <w:r w:rsidRPr="002D727F">
        <w:rPr>
          <w:lang w:val="en-US"/>
        </w:rPr>
        <w:t>(</w:t>
      </w:r>
      <w:r w:rsidR="002D727F" w:rsidRPr="002D727F">
        <w:rPr>
          <w:lang w:val="en-US"/>
        </w:rPr>
        <w:t>Respondent</w:t>
      </w:r>
      <w:r w:rsidR="002D727F">
        <w:rPr>
          <w:lang w:val="en-US"/>
        </w:rPr>
        <w:t>)</w:t>
      </w:r>
    </w:p>
    <w:p w:rsidR="00C64A25" w:rsidRDefault="002D727F" w:rsidP="002D727F">
      <w:pPr>
        <w:pStyle w:val="Metadata"/>
        <w:rPr>
          <w:lang w:val="en-US"/>
        </w:rPr>
      </w:pPr>
      <w:proofErr w:type="gramStart"/>
      <w:r w:rsidRPr="002D727F">
        <w:rPr>
          <w:lang w:val="en-US"/>
        </w:rPr>
        <w:t>Respondent</w:t>
      </w:r>
      <w:r w:rsidR="0093252E" w:rsidRPr="002D727F">
        <w:rPr>
          <w:lang w:val="en-US"/>
        </w:rPr>
        <w:t>.</w:t>
      </w:r>
      <w:proofErr w:type="gramEnd"/>
    </w:p>
    <w:p w:rsidR="002D727F" w:rsidRDefault="002D727F" w:rsidP="002D727F">
      <w:pPr>
        <w:pStyle w:val="Metadata"/>
        <w:rPr>
          <w:lang w:val="en-US"/>
        </w:rPr>
      </w:pPr>
      <w:r>
        <w:rPr>
          <w:lang w:val="en-US"/>
        </w:rPr>
        <w:t>1906: Oct. 04</w:t>
      </w:r>
      <w:r w:rsidR="00886511">
        <w:rPr>
          <w:lang w:val="en-US"/>
        </w:rPr>
        <w:t>.</w:t>
      </w:r>
    </w:p>
    <w:p w:rsidR="002D727F" w:rsidRPr="002D727F" w:rsidRDefault="00886511" w:rsidP="002D727F">
      <w:pPr>
        <w:pStyle w:val="Metadata"/>
        <w:rPr>
          <w:vertAlign w:val="superscript"/>
        </w:rPr>
      </w:pPr>
      <w:r>
        <w:rPr>
          <w:lang w:val="en-US"/>
        </w:rPr>
        <w:t>Present</w:t>
      </w:r>
      <w:r w:rsidR="002D727F" w:rsidRPr="002D727F">
        <w:rPr>
          <w:lang w:val="en-US"/>
        </w:rPr>
        <w:t>:—</w:t>
      </w:r>
      <w:proofErr w:type="spellStart"/>
      <w:r w:rsidR="002D727F" w:rsidRPr="002D727F">
        <w:rPr>
          <w:lang w:val="en-US"/>
        </w:rPr>
        <w:t>Girouard</w:t>
      </w:r>
      <w:proofErr w:type="spellEnd"/>
      <w:r w:rsidR="002D727F" w:rsidRPr="002D727F">
        <w:rPr>
          <w:lang w:val="en-US"/>
        </w:rPr>
        <w:t xml:space="preserve">, Davies, </w:t>
      </w:r>
      <w:proofErr w:type="spellStart"/>
      <w:r w:rsidR="002D727F" w:rsidRPr="002D727F">
        <w:rPr>
          <w:lang w:val="en-US"/>
        </w:rPr>
        <w:t>Idington</w:t>
      </w:r>
      <w:proofErr w:type="spellEnd"/>
      <w:r w:rsidR="002D727F" w:rsidRPr="002D727F">
        <w:rPr>
          <w:lang w:val="en-US"/>
        </w:rPr>
        <w:t xml:space="preserve">, </w:t>
      </w:r>
      <w:proofErr w:type="spellStart"/>
      <w:r w:rsidR="002D727F" w:rsidRPr="002D727F">
        <w:rPr>
          <w:lang w:val="en-US"/>
        </w:rPr>
        <w:t>Maclennan</w:t>
      </w:r>
      <w:proofErr w:type="spellEnd"/>
      <w:r w:rsidR="002D727F" w:rsidRPr="002D727F">
        <w:rPr>
          <w:lang w:val="en-US"/>
        </w:rPr>
        <w:t xml:space="preserve"> and Duff JJ.</w:t>
      </w:r>
    </w:p>
    <w:p w:rsidR="002D727F" w:rsidRDefault="0093252E" w:rsidP="002D727F">
      <w:pPr>
        <w:pStyle w:val="Keywords"/>
        <w:rPr>
          <w:lang w:val="en-US"/>
        </w:rPr>
      </w:pPr>
      <w:proofErr w:type="gramStart"/>
      <w:r w:rsidRPr="002D727F">
        <w:rPr>
          <w:lang w:val="en-US"/>
        </w:rPr>
        <w:t>Controverted election—Commencement of trial—Extension of time.</w:t>
      </w:r>
      <w:proofErr w:type="gramEnd"/>
      <w:r w:rsidRPr="002D727F">
        <w:rPr>
          <w:lang w:val="en-US"/>
        </w:rPr>
        <w:t xml:space="preserve"> </w:t>
      </w:r>
    </w:p>
    <w:p w:rsidR="00C64A25" w:rsidRPr="002D727F" w:rsidRDefault="0093252E" w:rsidP="00886511">
      <w:pPr>
        <w:pStyle w:val="Summary"/>
        <w:rPr>
          <w:i/>
        </w:rPr>
      </w:pPr>
      <w:r w:rsidRPr="002D727F">
        <w:rPr>
          <w:lang w:val="en-US"/>
        </w:rPr>
        <w:t>An order fixing the time for the trial of an election petition at a</w:t>
      </w:r>
      <w:r w:rsidR="002D727F">
        <w:rPr>
          <w:i/>
        </w:rPr>
        <w:t xml:space="preserve"> </w:t>
      </w:r>
      <w:r w:rsidRPr="002D727F">
        <w:rPr>
          <w:lang w:val="en-US"/>
        </w:rPr>
        <w:t xml:space="preserve">date beyond the time prescribed under the Act operates as an enlargement of the time. </w:t>
      </w:r>
      <w:proofErr w:type="gramStart"/>
      <w:r w:rsidRPr="002D727F">
        <w:rPr>
          <w:i/>
          <w:lang w:val="en-US"/>
        </w:rPr>
        <w:t xml:space="preserve">St. James Election Case </w:t>
      </w:r>
      <w:r>
        <w:rPr>
          <w:lang w:val="en-US"/>
        </w:rPr>
        <w:t>(33 Can. S. C.R. 137)</w:t>
      </w:r>
      <w:r w:rsidRPr="002D727F">
        <w:rPr>
          <w:lang w:val="en-US"/>
        </w:rPr>
        <w:t xml:space="preserve">; </w:t>
      </w:r>
      <w:proofErr w:type="spellStart"/>
      <w:r w:rsidRPr="002D727F">
        <w:rPr>
          <w:i/>
          <w:lang w:val="en-US"/>
        </w:rPr>
        <w:t>Beauharnois</w:t>
      </w:r>
      <w:proofErr w:type="spellEnd"/>
      <w:r w:rsidRPr="002D727F">
        <w:rPr>
          <w:i/>
          <w:lang w:val="en-US"/>
        </w:rPr>
        <w:t xml:space="preserve"> Election Case </w:t>
      </w:r>
      <w:r w:rsidR="00886511">
        <w:rPr>
          <w:lang w:val="en-US"/>
        </w:rPr>
        <w:t>(32 Can. S.C.R. 111)</w:t>
      </w:r>
      <w:r w:rsidRPr="002D727F">
        <w:rPr>
          <w:lang w:val="en-US"/>
        </w:rPr>
        <w:t>, followed.</w:t>
      </w:r>
      <w:proofErr w:type="gramEnd"/>
    </w:p>
    <w:p w:rsidR="00C64A25" w:rsidRPr="002D727F" w:rsidRDefault="0093252E" w:rsidP="0093252E">
      <w:pPr>
        <w:pStyle w:val="History"/>
        <w:ind w:firstLine="562"/>
      </w:pPr>
      <w:r w:rsidRPr="002D727F">
        <w:rPr>
          <w:lang w:val="en-US"/>
        </w:rPr>
        <w:t>APPEALS from the judgments of Mr. Justice Townshend and Mr. Justice Russell, sitting for the trial of</w:t>
      </w:r>
    </w:p>
    <w:p w:rsidR="0093252E" w:rsidRPr="002A290A" w:rsidRDefault="0093252E" w:rsidP="0093252E">
      <w:pPr>
        <w:pStyle w:val="Page"/>
        <w:rPr>
          <w:lang w:val="en-US"/>
        </w:rPr>
      </w:pPr>
      <w:r w:rsidRPr="002A290A">
        <w:rPr>
          <w:rFonts w:cs="Arial"/>
          <w:color w:val="000000"/>
          <w:szCs w:val="24"/>
          <w:lang w:val="en-US"/>
        </w:rPr>
        <w:lastRenderedPageBreak/>
        <w:t xml:space="preserve">[Page </w:t>
      </w:r>
      <w:r>
        <w:rPr>
          <w:rFonts w:cs="Arial"/>
          <w:color w:val="000000"/>
          <w:szCs w:val="24"/>
          <w:lang w:val="en-US"/>
        </w:rPr>
        <w:t>602</w:t>
      </w:r>
      <w:r w:rsidRPr="002A290A">
        <w:rPr>
          <w:rFonts w:cs="Arial"/>
          <w:color w:val="000000"/>
          <w:szCs w:val="24"/>
          <w:lang w:val="en-US"/>
        </w:rPr>
        <w:t>]</w:t>
      </w:r>
    </w:p>
    <w:p w:rsidR="00C64A25" w:rsidRPr="002D727F" w:rsidRDefault="0093252E" w:rsidP="0093252E">
      <w:pPr>
        <w:pStyle w:val="History"/>
        <w:ind w:firstLine="0"/>
      </w:pPr>
      <w:proofErr w:type="gramStart"/>
      <w:r w:rsidRPr="002D727F">
        <w:rPr>
          <w:lang w:val="en-US"/>
        </w:rPr>
        <w:t>petitions</w:t>
      </w:r>
      <w:proofErr w:type="gramEnd"/>
      <w:r w:rsidRPr="002D727F">
        <w:rPr>
          <w:lang w:val="en-US"/>
        </w:rPr>
        <w:t xml:space="preserve"> against the return of members for the County of Halifax, and counter-petitions against the defeated candidates dismissing said petitions for want of jurisdiction to try them.</w:t>
      </w:r>
    </w:p>
    <w:p w:rsidR="00C64A25" w:rsidRPr="002D727F" w:rsidRDefault="0093252E" w:rsidP="002D727F">
      <w:pPr>
        <w:pStyle w:val="History"/>
      </w:pPr>
      <w:r w:rsidRPr="002D727F">
        <w:rPr>
          <w:lang w:val="en-US"/>
        </w:rPr>
        <w:t>Various enlargements of the time for commencing the trials of the petitions in these cases were made, the last extending it to July 14th, 1906. In May, 1906, the Supreme Court of Nova Scotia, by order fixed July 17th as the date of trials and on July 6th, Mr. Justice Russell made an order enlarging the time for 30 days.</w:t>
      </w:r>
    </w:p>
    <w:p w:rsidR="00C64A25" w:rsidRPr="002D727F" w:rsidRDefault="0093252E" w:rsidP="002D727F">
      <w:pPr>
        <w:pStyle w:val="History"/>
        <w:rPr>
          <w:spacing w:val="4"/>
        </w:rPr>
      </w:pPr>
      <w:r w:rsidRPr="0093252E">
        <w:rPr>
          <w:rFonts w:cs="Arial"/>
          <w:spacing w:val="4"/>
          <w:lang w:val="en-US"/>
        </w:rPr>
        <w:t xml:space="preserve">On </w:t>
      </w:r>
      <w:r w:rsidRPr="0093252E">
        <w:rPr>
          <w:rFonts w:eastAsia="Bookman Old Style" w:cs="Arial"/>
          <w:spacing w:val="4"/>
          <w:lang w:val="en-US"/>
        </w:rPr>
        <w:t xml:space="preserve">July </w:t>
      </w:r>
      <w:r w:rsidRPr="0093252E">
        <w:rPr>
          <w:rFonts w:cs="Arial"/>
          <w:spacing w:val="4"/>
          <w:lang w:val="en-US"/>
        </w:rPr>
        <w:t>17th</w:t>
      </w:r>
      <w:r w:rsidRPr="002D727F">
        <w:rPr>
          <w:spacing w:val="4"/>
          <w:lang w:val="en-US"/>
        </w:rPr>
        <w:t xml:space="preserve"> the Election Court met and heard argument on the question of their jurisdiction to proceed, the statutory time having expired on the 14th, and then held that they had no jurisdiction, as the court could not fix a date beyond the 14th for the trial, and the order fixing the date was therefore invalid. Also that the enlargement by Mr. Justice Russell could not be invoked, as it was only asked for on the ground that the order of the court was void, and not as an appeal to the judge's discretion and the requirements of justice did not render an enlargement necessary. The petitions were therefore dismissed and the petitioners appealed to the Supreme Court of Canada.</w:t>
      </w:r>
    </w:p>
    <w:p w:rsidR="00C64A25" w:rsidRPr="0093252E" w:rsidRDefault="0093252E" w:rsidP="0093252E">
      <w:pPr>
        <w:pStyle w:val="Sollicitors"/>
      </w:pPr>
      <w:proofErr w:type="gramStart"/>
      <w:r w:rsidRPr="0093252E">
        <w:t>Lovett for the appellants.</w:t>
      </w:r>
      <w:proofErr w:type="gramEnd"/>
    </w:p>
    <w:p w:rsidR="00C64A25" w:rsidRPr="0093252E" w:rsidRDefault="0093252E" w:rsidP="0093252E">
      <w:pPr>
        <w:pStyle w:val="Sollicitors"/>
      </w:pPr>
      <w:proofErr w:type="spellStart"/>
      <w:proofErr w:type="gramStart"/>
      <w:r w:rsidRPr="0093252E">
        <w:t>Lafleur</w:t>
      </w:r>
      <w:proofErr w:type="spellEnd"/>
      <w:r w:rsidRPr="0093252E">
        <w:t xml:space="preserve"> K.C. and </w:t>
      </w:r>
      <w:proofErr w:type="spellStart"/>
      <w:r w:rsidRPr="0093252E">
        <w:t>Drysdale</w:t>
      </w:r>
      <w:proofErr w:type="spellEnd"/>
      <w:r w:rsidRPr="0093252E">
        <w:t xml:space="preserve"> K.C. </w:t>
      </w:r>
      <w:r w:rsidR="002D727F" w:rsidRPr="0093252E">
        <w:t>for the respond</w:t>
      </w:r>
      <w:r w:rsidRPr="0093252E">
        <w:t>ents.</w:t>
      </w:r>
      <w:proofErr w:type="gramEnd"/>
    </w:p>
    <w:p w:rsidR="00C64A25" w:rsidRPr="002D727F" w:rsidRDefault="0093252E" w:rsidP="00886511">
      <w:pPr>
        <w:pStyle w:val="Reasons"/>
      </w:pPr>
      <w:r w:rsidRPr="002D727F">
        <w:rPr>
          <w:lang w:val="en-US"/>
        </w:rPr>
        <w:t>The judgment of the court was delivered by</w:t>
      </w:r>
    </w:p>
    <w:p w:rsidR="00C64A25" w:rsidRPr="002D727F" w:rsidRDefault="0093252E" w:rsidP="002D727F">
      <w:pPr>
        <w:pStyle w:val="Reasons"/>
      </w:pPr>
      <w:r w:rsidRPr="002D727F">
        <w:rPr>
          <w:lang w:val="en-US"/>
        </w:rPr>
        <w:t xml:space="preserve">GIROUARD </w:t>
      </w:r>
      <w:r w:rsidR="002D727F">
        <w:rPr>
          <w:lang w:val="en-US"/>
        </w:rPr>
        <w:t>J</w:t>
      </w:r>
      <w:r w:rsidRPr="002D727F">
        <w:rPr>
          <w:lang w:val="en-US"/>
        </w:rPr>
        <w:t>.—</w:t>
      </w:r>
      <w:proofErr w:type="gramStart"/>
      <w:r w:rsidRPr="002D727F">
        <w:rPr>
          <w:lang w:val="en-US"/>
        </w:rPr>
        <w:t>We</w:t>
      </w:r>
      <w:proofErr w:type="gramEnd"/>
      <w:r w:rsidRPr="002D727F">
        <w:rPr>
          <w:lang w:val="en-US"/>
        </w:rPr>
        <w:t xml:space="preserve"> need not hear counsel in reply. We believe that it is not necessary to give lengthy reasons why we arrive at this conclusion. We all agree that this case is governed by the </w:t>
      </w:r>
      <w:r w:rsidR="00027B5D">
        <w:rPr>
          <w:i/>
          <w:lang w:val="en-US"/>
        </w:rPr>
        <w:t>St. James Election</w:t>
      </w:r>
      <w:r w:rsidRPr="002D727F">
        <w:rPr>
          <w:lang w:val="en-US"/>
        </w:rPr>
        <w:t xml:space="preserve"> </w:t>
      </w:r>
    </w:p>
    <w:p w:rsidR="0093252E" w:rsidRPr="002A290A" w:rsidRDefault="0093252E" w:rsidP="0093252E">
      <w:pPr>
        <w:pStyle w:val="Page"/>
        <w:rPr>
          <w:lang w:val="en-US"/>
        </w:rPr>
      </w:pPr>
      <w:r w:rsidRPr="002A290A">
        <w:rPr>
          <w:rFonts w:cs="Arial"/>
          <w:color w:val="000000"/>
          <w:szCs w:val="24"/>
          <w:lang w:val="en-US"/>
        </w:rPr>
        <w:t xml:space="preserve">[Page </w:t>
      </w:r>
      <w:r>
        <w:rPr>
          <w:rFonts w:cs="Arial"/>
          <w:color w:val="000000"/>
          <w:szCs w:val="24"/>
          <w:lang w:val="en-US"/>
        </w:rPr>
        <w:t>603</w:t>
      </w:r>
      <w:r w:rsidRPr="002A290A">
        <w:rPr>
          <w:rFonts w:cs="Arial"/>
          <w:color w:val="000000"/>
          <w:szCs w:val="24"/>
          <w:lang w:val="en-US"/>
        </w:rPr>
        <w:t>]</w:t>
      </w:r>
    </w:p>
    <w:p w:rsidR="00C64A25" w:rsidRPr="002D727F" w:rsidRDefault="0093252E" w:rsidP="002D727F">
      <w:pPr>
        <w:pStyle w:val="Reasons"/>
        <w:rPr>
          <w:i/>
          <w:spacing w:val="8"/>
        </w:rPr>
      </w:pPr>
      <w:r>
        <w:rPr>
          <w:i/>
          <w:spacing w:val="8"/>
          <w:lang w:val="en-US"/>
        </w:rPr>
        <w:t>Case</w:t>
      </w:r>
      <w:r>
        <w:rPr>
          <w:rStyle w:val="Appelnotedebasdep"/>
          <w:i/>
          <w:spacing w:val="8"/>
          <w:lang w:val="en-US"/>
        </w:rPr>
        <w:footnoteReference w:id="1"/>
      </w:r>
      <w:r w:rsidRPr="002D727F">
        <w:rPr>
          <w:i/>
          <w:spacing w:val="8"/>
          <w:lang w:val="en-US"/>
        </w:rPr>
        <w:t xml:space="preserve"> </w:t>
      </w:r>
      <w:r w:rsidRPr="002D727F">
        <w:rPr>
          <w:spacing w:val="8"/>
          <w:lang w:val="en-US"/>
        </w:rPr>
        <w:t xml:space="preserve">and the </w:t>
      </w:r>
      <w:proofErr w:type="spellStart"/>
      <w:r>
        <w:rPr>
          <w:i/>
          <w:spacing w:val="8"/>
          <w:lang w:val="en-US"/>
        </w:rPr>
        <w:t>Beauharnois</w:t>
      </w:r>
      <w:proofErr w:type="spellEnd"/>
      <w:r>
        <w:rPr>
          <w:i/>
          <w:spacing w:val="8"/>
          <w:lang w:val="en-US"/>
        </w:rPr>
        <w:t xml:space="preserve"> Election Case</w:t>
      </w:r>
      <w:r>
        <w:rPr>
          <w:rStyle w:val="Appelnotedebasdep"/>
          <w:i/>
          <w:spacing w:val="8"/>
          <w:lang w:val="en-US"/>
        </w:rPr>
        <w:footnoteReference w:id="2"/>
      </w:r>
      <w:r w:rsidRPr="002D727F">
        <w:rPr>
          <w:i/>
          <w:spacing w:val="8"/>
          <w:lang w:val="en-US"/>
        </w:rPr>
        <w:t xml:space="preserve">, </w:t>
      </w:r>
      <w:r w:rsidRPr="002D727F">
        <w:rPr>
          <w:spacing w:val="8"/>
          <w:lang w:val="en-US"/>
        </w:rPr>
        <w:t>and previous decisions, more especially in view of the order made by Mr. Justice Russell extending the time for thirty days, which embraces the day on which the election trial was begun.</w:t>
      </w:r>
    </w:p>
    <w:p w:rsidR="00C64A25" w:rsidRPr="002D727F" w:rsidRDefault="0093252E" w:rsidP="002D727F">
      <w:pPr>
        <w:pStyle w:val="Reasons"/>
        <w:rPr>
          <w:spacing w:val="11"/>
        </w:rPr>
      </w:pPr>
      <w:r w:rsidRPr="002D727F">
        <w:rPr>
          <w:spacing w:val="11"/>
          <w:lang w:val="en-US"/>
        </w:rPr>
        <w:t>We hold that there was a valid extension of time and that the trial was commenced within such extension. The appeal is, therefore, allowed with costs and in the other two cases without costs, and the trial is directed to be proceeded with.</w:t>
      </w:r>
    </w:p>
    <w:p w:rsidR="00C64A25" w:rsidRPr="002D727F" w:rsidRDefault="0093252E" w:rsidP="002D727F">
      <w:pPr>
        <w:pStyle w:val="Reasons"/>
      </w:pPr>
      <w:r w:rsidRPr="002D727F">
        <w:rPr>
          <w:lang w:val="en-US"/>
        </w:rPr>
        <w:t xml:space="preserve">NOTE </w:t>
      </w:r>
      <w:r>
        <w:rPr>
          <w:lang w:val="en-US"/>
        </w:rPr>
        <w:t>BY REPOR</w:t>
      </w:r>
      <w:r w:rsidRPr="002D727F">
        <w:rPr>
          <w:lang w:val="en-US"/>
        </w:rPr>
        <w:t xml:space="preserve">TERS.—In the case of </w:t>
      </w:r>
      <w:r w:rsidRPr="002D727F">
        <w:rPr>
          <w:i/>
          <w:lang w:val="en-US"/>
        </w:rPr>
        <w:t xml:space="preserve">Hetherington v. Carney, </w:t>
      </w:r>
      <w:r w:rsidRPr="002D727F">
        <w:rPr>
          <w:lang w:val="en-US"/>
        </w:rPr>
        <w:t>it was admitted that the facts and que</w:t>
      </w:r>
      <w:r>
        <w:rPr>
          <w:lang w:val="en-US"/>
        </w:rPr>
        <w:t xml:space="preserve">stions of law were the same as </w:t>
      </w:r>
      <w:r w:rsidRPr="002D727F">
        <w:rPr>
          <w:lang w:val="en-US"/>
        </w:rPr>
        <w:t xml:space="preserve">in </w:t>
      </w:r>
      <w:r w:rsidRPr="002D727F">
        <w:rPr>
          <w:i/>
          <w:lang w:val="en-US"/>
        </w:rPr>
        <w:t xml:space="preserve">Hetherington v. Roche, </w:t>
      </w:r>
      <w:r w:rsidRPr="002D727F">
        <w:rPr>
          <w:lang w:val="en-US"/>
        </w:rPr>
        <w:t>and the same judgment was pronounced.</w:t>
      </w:r>
    </w:p>
    <w:p w:rsidR="00C64A25" w:rsidRPr="002D727F" w:rsidRDefault="0093252E" w:rsidP="002D727F">
      <w:pPr>
        <w:pStyle w:val="Reasons"/>
      </w:pPr>
      <w:r w:rsidRPr="002D727F">
        <w:rPr>
          <w:lang w:val="en-US"/>
        </w:rPr>
        <w:t>In the two other cases the appeals were allowed without costs.</w:t>
      </w:r>
    </w:p>
    <w:p w:rsidR="00C64A25" w:rsidRPr="002D727F" w:rsidRDefault="0093252E" w:rsidP="002D727F">
      <w:pPr>
        <w:pStyle w:val="Reasons"/>
        <w:rPr>
          <w:i/>
          <w:spacing w:val="6"/>
        </w:rPr>
      </w:pPr>
      <w:r w:rsidRPr="002D727F">
        <w:rPr>
          <w:i/>
          <w:spacing w:val="6"/>
          <w:lang w:val="en-US"/>
        </w:rPr>
        <w:t>Appeals by Hetherington allowed with costs; appeals by Roche and Carney allowed without costs.</w:t>
      </w:r>
    </w:p>
    <w:p w:rsidR="00C64A25" w:rsidRPr="002D727F" w:rsidRDefault="002D727F" w:rsidP="002D727F">
      <w:pPr>
        <w:pStyle w:val="Sollicitors"/>
      </w:pPr>
      <w:r>
        <w:rPr>
          <w:lang w:val="en-US"/>
        </w:rPr>
        <w:t>Solicitor for the appellant</w:t>
      </w:r>
      <w:r w:rsidR="0093252E" w:rsidRPr="002D727F">
        <w:rPr>
          <w:lang w:val="en-US"/>
        </w:rPr>
        <w:t xml:space="preserve">: John A. MacKinnon. </w:t>
      </w:r>
      <w:r>
        <w:rPr>
          <w:lang w:val="en-US"/>
        </w:rPr>
        <w:t>Solicitor for the respondent</w:t>
      </w:r>
      <w:r w:rsidR="0093252E" w:rsidRPr="002D727F">
        <w:rPr>
          <w:lang w:val="en-US"/>
        </w:rPr>
        <w:t>: G. Fred. Pearson.</w:t>
      </w:r>
    </w:p>
    <w:sectPr w:rsidR="00C64A25" w:rsidRPr="002D727F" w:rsidSect="00886511">
      <w:pgSz w:w="12242" w:h="15842" w:code="1"/>
      <w:pgMar w:top="1140" w:right="1140" w:bottom="114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07" w:rsidRDefault="00C43C07" w:rsidP="0093252E">
      <w:r>
        <w:separator/>
      </w:r>
    </w:p>
  </w:endnote>
  <w:endnote w:type="continuationSeparator" w:id="0">
    <w:p w:rsidR="00C43C07" w:rsidRDefault="00C43C07" w:rsidP="0093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07" w:rsidRDefault="00C43C07" w:rsidP="0093252E">
      <w:r>
        <w:separator/>
      </w:r>
    </w:p>
  </w:footnote>
  <w:footnote w:type="continuationSeparator" w:id="0">
    <w:p w:rsidR="00C43C07" w:rsidRDefault="00C43C07" w:rsidP="0093252E">
      <w:r>
        <w:continuationSeparator/>
      </w:r>
    </w:p>
  </w:footnote>
  <w:footnote w:id="1">
    <w:p w:rsidR="0093252E" w:rsidRPr="00541E8D" w:rsidRDefault="0093252E" w:rsidP="00541E8D">
      <w:pPr>
        <w:pStyle w:val="Notedebasdepage"/>
        <w:rPr>
          <w:sz w:val="20"/>
        </w:rPr>
      </w:pPr>
      <w:r w:rsidRPr="00541E8D">
        <w:rPr>
          <w:rStyle w:val="Appelnotedebasdep"/>
          <w:sz w:val="20"/>
          <w:vertAlign w:val="baseline"/>
        </w:rPr>
        <w:footnoteRef/>
      </w:r>
      <w:r w:rsidRPr="00541E8D">
        <w:rPr>
          <w:sz w:val="20"/>
        </w:rPr>
        <w:t xml:space="preserve"> </w:t>
      </w:r>
      <w:proofErr w:type="gramStart"/>
      <w:r w:rsidRPr="00541E8D">
        <w:rPr>
          <w:sz w:val="20"/>
        </w:rPr>
        <w:t>33 Can. S.C.R. 137.</w:t>
      </w:r>
      <w:proofErr w:type="gramEnd"/>
    </w:p>
  </w:footnote>
  <w:footnote w:id="2">
    <w:p w:rsidR="0093252E" w:rsidRPr="00541E8D" w:rsidRDefault="0093252E" w:rsidP="00541E8D">
      <w:pPr>
        <w:pStyle w:val="Notedebasdepage"/>
        <w:rPr>
          <w:sz w:val="20"/>
        </w:rPr>
      </w:pPr>
      <w:r w:rsidRPr="00541E8D">
        <w:rPr>
          <w:rStyle w:val="Appelnotedebasdep"/>
          <w:sz w:val="20"/>
          <w:vertAlign w:val="baseline"/>
        </w:rPr>
        <w:footnoteRef/>
      </w:r>
      <w:r w:rsidRPr="00541E8D">
        <w:rPr>
          <w:sz w:val="20"/>
        </w:rPr>
        <w:t xml:space="preserve"> </w:t>
      </w:r>
      <w:proofErr w:type="gramStart"/>
      <w:r w:rsidRPr="00541E8D">
        <w:rPr>
          <w:sz w:val="20"/>
        </w:rPr>
        <w:t>32 Can. S.C.R. 111.</w:t>
      </w:r>
      <w:proofErr w:type="gramEnd"/>
      <w:r w:rsidRPr="00541E8D">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36C1"/>
    <w:multiLevelType w:val="hybridMultilevel"/>
    <w:tmpl w:val="75187CF6"/>
    <w:lvl w:ilvl="0" w:tplc="FDAAF17C">
      <w:start w:val="1"/>
      <w:numFmt w:val="decimal"/>
      <w:pStyle w:val="ParagNum"/>
      <w:lvlText w:val="[%1]"/>
      <w:lvlJc w:val="left"/>
      <w:pPr>
        <w:tabs>
          <w:tab w:val="num" w:pos="369"/>
        </w:tabs>
        <w:ind w:left="369" w:hanging="369"/>
      </w:pPr>
    </w:lvl>
    <w:lvl w:ilvl="1" w:tplc="E05E279A" w:tentative="1">
      <w:start w:val="1"/>
      <w:numFmt w:val="lowerLetter"/>
      <w:lvlText w:val="%2."/>
      <w:lvlJc w:val="left"/>
      <w:pPr>
        <w:tabs>
          <w:tab w:val="num" w:pos="1440"/>
        </w:tabs>
        <w:ind w:left="1440" w:hanging="360"/>
      </w:pPr>
    </w:lvl>
    <w:lvl w:ilvl="2" w:tplc="A5AC62E6" w:tentative="1">
      <w:start w:val="1"/>
      <w:numFmt w:val="lowerRoman"/>
      <w:lvlText w:val="%3."/>
      <w:lvlJc w:val="right"/>
      <w:pPr>
        <w:tabs>
          <w:tab w:val="num" w:pos="2160"/>
        </w:tabs>
        <w:ind w:left="2160" w:hanging="180"/>
      </w:pPr>
    </w:lvl>
    <w:lvl w:ilvl="3" w:tplc="77E8771A" w:tentative="1">
      <w:start w:val="1"/>
      <w:numFmt w:val="decimal"/>
      <w:lvlText w:val="%4."/>
      <w:lvlJc w:val="left"/>
      <w:pPr>
        <w:tabs>
          <w:tab w:val="num" w:pos="2880"/>
        </w:tabs>
        <w:ind w:left="2880" w:hanging="360"/>
      </w:pPr>
    </w:lvl>
    <w:lvl w:ilvl="4" w:tplc="C0FAA812" w:tentative="1">
      <w:start w:val="1"/>
      <w:numFmt w:val="lowerLetter"/>
      <w:lvlText w:val="%5."/>
      <w:lvlJc w:val="left"/>
      <w:pPr>
        <w:tabs>
          <w:tab w:val="num" w:pos="3600"/>
        </w:tabs>
        <w:ind w:left="3600" w:hanging="360"/>
      </w:pPr>
    </w:lvl>
    <w:lvl w:ilvl="5" w:tplc="2DDCDB6A" w:tentative="1">
      <w:start w:val="1"/>
      <w:numFmt w:val="lowerRoman"/>
      <w:lvlText w:val="%6."/>
      <w:lvlJc w:val="right"/>
      <w:pPr>
        <w:tabs>
          <w:tab w:val="num" w:pos="4320"/>
        </w:tabs>
        <w:ind w:left="4320" w:hanging="180"/>
      </w:pPr>
    </w:lvl>
    <w:lvl w:ilvl="6" w:tplc="0C80D512" w:tentative="1">
      <w:start w:val="1"/>
      <w:numFmt w:val="decimal"/>
      <w:lvlText w:val="%7."/>
      <w:lvlJc w:val="left"/>
      <w:pPr>
        <w:tabs>
          <w:tab w:val="num" w:pos="5040"/>
        </w:tabs>
        <w:ind w:left="5040" w:hanging="360"/>
      </w:pPr>
    </w:lvl>
    <w:lvl w:ilvl="7" w:tplc="8E9EAF76" w:tentative="1">
      <w:start w:val="1"/>
      <w:numFmt w:val="lowerLetter"/>
      <w:lvlText w:val="%8."/>
      <w:lvlJc w:val="left"/>
      <w:pPr>
        <w:tabs>
          <w:tab w:val="num" w:pos="5760"/>
        </w:tabs>
        <w:ind w:left="5760" w:hanging="360"/>
      </w:pPr>
    </w:lvl>
    <w:lvl w:ilvl="8" w:tplc="C1B6E642"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C64A25"/>
    <w:rsid w:val="00027B5D"/>
    <w:rsid w:val="00166478"/>
    <w:rsid w:val="002D727F"/>
    <w:rsid w:val="00541E8D"/>
    <w:rsid w:val="00886511"/>
    <w:rsid w:val="0093252E"/>
    <w:rsid w:val="00C43C07"/>
    <w:rsid w:val="00C64A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E8D"/>
    <w:pPr>
      <w:widowControl w:val="0"/>
      <w:autoSpaceDE w:val="0"/>
      <w:autoSpaceDN w:val="0"/>
      <w:adjustRightInd w:val="0"/>
    </w:pPr>
    <w:rPr>
      <w:rFonts w:ascii="Arial" w:eastAsia="MS Mincho" w:hAnsi="Arial"/>
      <w:sz w:val="24"/>
      <w:szCs w:val="28"/>
      <w:lang w:val="en-CA" w:eastAsia="ja-JP"/>
    </w:rPr>
  </w:style>
  <w:style w:type="paragraph" w:styleId="Titre1">
    <w:name w:val="heading 1"/>
    <w:basedOn w:val="Normal"/>
    <w:next w:val="Normal"/>
    <w:link w:val="Titre1Car"/>
    <w:qFormat/>
    <w:rsid w:val="002D727F"/>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2D727F"/>
    <w:rPr>
      <w:vertAlign w:val="superscript"/>
    </w:rPr>
  </w:style>
  <w:style w:type="paragraph" w:customStyle="1" w:styleId="Court">
    <w:name w:val="Court"/>
    <w:basedOn w:val="Normal"/>
    <w:rsid w:val="002D727F"/>
    <w:rPr>
      <w:rFonts w:cs="Arial"/>
      <w:b/>
      <w:szCs w:val="24"/>
    </w:rPr>
  </w:style>
  <w:style w:type="paragraph" w:customStyle="1" w:styleId="CitationLine">
    <w:name w:val="CitationLine"/>
    <w:basedOn w:val="Court"/>
    <w:rsid w:val="002D727F"/>
  </w:style>
  <w:style w:type="paragraph" w:customStyle="1" w:styleId="DateISO">
    <w:name w:val="DateISO"/>
    <w:basedOn w:val="Court"/>
    <w:rsid w:val="002D727F"/>
  </w:style>
  <w:style w:type="paragraph" w:styleId="En-tte">
    <w:name w:val="header"/>
    <w:basedOn w:val="Normal"/>
    <w:link w:val="En-tteCar"/>
    <w:uiPriority w:val="99"/>
    <w:unhideWhenUsed/>
    <w:rsid w:val="002D727F"/>
    <w:pPr>
      <w:tabs>
        <w:tab w:val="center" w:pos="4680"/>
        <w:tab w:val="right" w:pos="9360"/>
      </w:tabs>
    </w:pPr>
    <w:rPr>
      <w:rFonts w:ascii="Times New Roman" w:hAnsi="Times New Roman"/>
    </w:rPr>
  </w:style>
  <w:style w:type="character" w:customStyle="1" w:styleId="En-tteCar">
    <w:name w:val="En-tête Car"/>
    <w:link w:val="En-tte"/>
    <w:uiPriority w:val="99"/>
    <w:rsid w:val="002D727F"/>
    <w:rPr>
      <w:rFonts w:eastAsia="MS Mincho"/>
      <w:sz w:val="24"/>
      <w:szCs w:val="28"/>
      <w:lang w:val="en-CA" w:eastAsia="ja-JP"/>
    </w:rPr>
  </w:style>
  <w:style w:type="paragraph" w:customStyle="1" w:styleId="History">
    <w:name w:val="History"/>
    <w:basedOn w:val="Normal"/>
    <w:rsid w:val="002D727F"/>
    <w:pPr>
      <w:spacing w:before="100" w:beforeAutospacing="1" w:after="100" w:afterAutospacing="1"/>
      <w:ind w:firstLine="567"/>
    </w:pPr>
  </w:style>
  <w:style w:type="paragraph" w:customStyle="1" w:styleId="Indent1">
    <w:name w:val="Indent 1"/>
    <w:basedOn w:val="Normal"/>
    <w:next w:val="Normal"/>
    <w:rsid w:val="002D727F"/>
    <w:pPr>
      <w:spacing w:before="100" w:beforeAutospacing="1"/>
      <w:ind w:left="567"/>
      <w:jc w:val="both"/>
    </w:pPr>
  </w:style>
  <w:style w:type="paragraph" w:customStyle="1" w:styleId="Indent2">
    <w:name w:val="Indent 2"/>
    <w:basedOn w:val="Indent1"/>
    <w:rsid w:val="002D727F"/>
    <w:pPr>
      <w:ind w:left="1134"/>
    </w:pPr>
  </w:style>
  <w:style w:type="paragraph" w:customStyle="1" w:styleId="Indent3">
    <w:name w:val="Indent 3"/>
    <w:basedOn w:val="Indent1"/>
    <w:rsid w:val="002D727F"/>
    <w:pPr>
      <w:ind w:left="1701"/>
    </w:pPr>
  </w:style>
  <w:style w:type="paragraph" w:customStyle="1" w:styleId="Indent4">
    <w:name w:val="Indent 4"/>
    <w:basedOn w:val="Indent1"/>
    <w:rsid w:val="002D727F"/>
    <w:pPr>
      <w:ind w:left="2268"/>
    </w:pPr>
  </w:style>
  <w:style w:type="paragraph" w:customStyle="1" w:styleId="Reasons">
    <w:name w:val="Reasons"/>
    <w:basedOn w:val="Normal"/>
    <w:link w:val="ReasonsCar"/>
    <w:rsid w:val="00886511"/>
    <w:pPr>
      <w:spacing w:before="100" w:beforeAutospacing="1" w:after="100" w:afterAutospacing="1"/>
    </w:pPr>
  </w:style>
  <w:style w:type="character" w:customStyle="1" w:styleId="ReasonsCar">
    <w:name w:val="Reasons Car"/>
    <w:link w:val="Reasons"/>
    <w:rsid w:val="00886511"/>
    <w:rPr>
      <w:rFonts w:ascii="Arial" w:eastAsia="MS Mincho" w:hAnsi="Arial"/>
      <w:sz w:val="24"/>
      <w:szCs w:val="28"/>
      <w:lang w:val="en-CA" w:eastAsia="ja-JP"/>
    </w:rPr>
  </w:style>
  <w:style w:type="paragraph" w:customStyle="1" w:styleId="Indent10">
    <w:name w:val="Indent1"/>
    <w:basedOn w:val="Reasons"/>
    <w:rsid w:val="002D727F"/>
    <w:pPr>
      <w:ind w:left="567"/>
    </w:pPr>
  </w:style>
  <w:style w:type="paragraph" w:customStyle="1" w:styleId="Indent20">
    <w:name w:val="Indent2"/>
    <w:basedOn w:val="Indent10"/>
    <w:rsid w:val="002D727F"/>
    <w:pPr>
      <w:ind w:left="1134"/>
    </w:pPr>
  </w:style>
  <w:style w:type="paragraph" w:customStyle="1" w:styleId="Indent30">
    <w:name w:val="Indent3"/>
    <w:basedOn w:val="Indent10"/>
    <w:rsid w:val="002D727F"/>
    <w:pPr>
      <w:ind w:left="1701"/>
    </w:pPr>
  </w:style>
  <w:style w:type="paragraph" w:customStyle="1" w:styleId="Indent40">
    <w:name w:val="Indent4"/>
    <w:basedOn w:val="Indent10"/>
    <w:rsid w:val="002D727F"/>
    <w:pPr>
      <w:ind w:left="2268"/>
    </w:pPr>
  </w:style>
  <w:style w:type="paragraph" w:customStyle="1" w:styleId="Keywords">
    <w:name w:val="Keywords"/>
    <w:basedOn w:val="Normal"/>
    <w:rsid w:val="002D727F"/>
    <w:pPr>
      <w:spacing w:before="100" w:beforeAutospacing="1" w:after="100" w:afterAutospacing="1"/>
    </w:pPr>
    <w:rPr>
      <w:rFonts w:cs="Arial"/>
      <w:i/>
      <w:szCs w:val="24"/>
    </w:rPr>
  </w:style>
  <w:style w:type="paragraph" w:customStyle="1" w:styleId="Metadata">
    <w:name w:val="Metadata"/>
    <w:basedOn w:val="Normal"/>
    <w:rsid w:val="002D727F"/>
    <w:pPr>
      <w:spacing w:before="100" w:beforeAutospacing="1" w:after="100" w:afterAutospacing="1"/>
    </w:pPr>
    <w:rPr>
      <w:rFonts w:cs="Arial"/>
      <w:szCs w:val="24"/>
    </w:rPr>
  </w:style>
  <w:style w:type="paragraph" w:styleId="Notedebasdepage">
    <w:name w:val="footnote text"/>
    <w:basedOn w:val="Normal"/>
    <w:link w:val="NotedebasdepageCar"/>
    <w:autoRedefine/>
    <w:rsid w:val="0093252E"/>
    <w:rPr>
      <w:sz w:val="16"/>
      <w:szCs w:val="20"/>
    </w:rPr>
  </w:style>
  <w:style w:type="character" w:customStyle="1" w:styleId="NotedebasdepageCar">
    <w:name w:val="Note de bas de page Car"/>
    <w:link w:val="Notedebasdepage"/>
    <w:rsid w:val="00541E8D"/>
    <w:rPr>
      <w:rFonts w:ascii="Arial" w:eastAsia="MS Mincho" w:hAnsi="Arial"/>
      <w:sz w:val="16"/>
      <w:szCs w:val="20"/>
      <w:lang w:val="en-CA" w:eastAsia="ja-JP"/>
    </w:rPr>
  </w:style>
  <w:style w:type="paragraph" w:customStyle="1" w:styleId="Page">
    <w:name w:val="Page"/>
    <w:basedOn w:val="Normal"/>
    <w:link w:val="PageChar"/>
    <w:rsid w:val="002D727F"/>
    <w:pPr>
      <w:spacing w:before="100" w:beforeAutospacing="1" w:after="100" w:afterAutospacing="1"/>
    </w:pPr>
    <w:rPr>
      <w:i/>
    </w:rPr>
  </w:style>
  <w:style w:type="character" w:customStyle="1" w:styleId="PageChar">
    <w:name w:val="Page Char"/>
    <w:link w:val="Page"/>
    <w:rsid w:val="002D727F"/>
    <w:rPr>
      <w:rFonts w:ascii="Arial" w:eastAsia="MS Mincho" w:hAnsi="Arial"/>
      <w:i/>
      <w:sz w:val="24"/>
      <w:szCs w:val="28"/>
      <w:lang w:val="en-CA" w:eastAsia="ja-JP"/>
    </w:rPr>
  </w:style>
  <w:style w:type="paragraph" w:customStyle="1" w:styleId="ParagNum">
    <w:name w:val="ParagNum"/>
    <w:basedOn w:val="Normal"/>
    <w:rsid w:val="002D727F"/>
    <w:pPr>
      <w:numPr>
        <w:numId w:val="1"/>
      </w:numPr>
      <w:tabs>
        <w:tab w:val="left" w:pos="720"/>
      </w:tabs>
      <w:spacing w:before="240"/>
      <w:jc w:val="both"/>
    </w:pPr>
    <w:rPr>
      <w:szCs w:val="24"/>
      <w:lang w:eastAsia="fr-FR"/>
    </w:rPr>
  </w:style>
  <w:style w:type="paragraph" w:styleId="Pieddepage">
    <w:name w:val="footer"/>
    <w:basedOn w:val="Normal"/>
    <w:link w:val="PieddepageCar"/>
    <w:uiPriority w:val="99"/>
    <w:unhideWhenUsed/>
    <w:rsid w:val="002D727F"/>
    <w:pPr>
      <w:tabs>
        <w:tab w:val="center" w:pos="4680"/>
        <w:tab w:val="right" w:pos="9360"/>
      </w:tabs>
    </w:pPr>
    <w:rPr>
      <w:rFonts w:ascii="Times New Roman" w:hAnsi="Times New Roman"/>
    </w:rPr>
  </w:style>
  <w:style w:type="character" w:customStyle="1" w:styleId="PieddepageCar">
    <w:name w:val="Pied de page Car"/>
    <w:link w:val="Pieddepage"/>
    <w:uiPriority w:val="99"/>
    <w:rsid w:val="002D727F"/>
    <w:rPr>
      <w:rFonts w:eastAsia="MS Mincho"/>
      <w:sz w:val="24"/>
      <w:szCs w:val="28"/>
      <w:lang w:val="en-CA" w:eastAsia="ja-JP"/>
    </w:rPr>
  </w:style>
  <w:style w:type="paragraph" w:customStyle="1" w:styleId="Sollicitors">
    <w:name w:val="Sollicitors"/>
    <w:basedOn w:val="Normal"/>
    <w:rsid w:val="002D727F"/>
    <w:pPr>
      <w:spacing w:before="100" w:beforeAutospacing="1" w:after="100" w:afterAutospacing="1"/>
    </w:pPr>
    <w:rPr>
      <w:i/>
    </w:rPr>
  </w:style>
  <w:style w:type="paragraph" w:customStyle="1" w:styleId="Summary">
    <w:name w:val="Summary"/>
    <w:basedOn w:val="Normal"/>
    <w:autoRedefine/>
    <w:rsid w:val="00886511"/>
    <w:pPr>
      <w:spacing w:before="100" w:beforeAutospacing="1" w:after="100" w:afterAutospacing="1"/>
      <w:ind w:left="562" w:hanging="562"/>
    </w:pPr>
    <w:rPr>
      <w:rFonts w:cs="Arial"/>
    </w:rPr>
  </w:style>
  <w:style w:type="paragraph" w:customStyle="1" w:styleId="T1">
    <w:name w:val="T1"/>
    <w:basedOn w:val="Normal"/>
    <w:rsid w:val="002D727F"/>
    <w:pPr>
      <w:spacing w:before="240" w:after="100" w:afterAutospacing="1"/>
    </w:pPr>
    <w:rPr>
      <w:b/>
    </w:rPr>
  </w:style>
  <w:style w:type="paragraph" w:customStyle="1" w:styleId="T2">
    <w:name w:val="T2"/>
    <w:basedOn w:val="Normal"/>
    <w:rsid w:val="002D727F"/>
    <w:pPr>
      <w:spacing w:before="240" w:after="100" w:afterAutospacing="1"/>
    </w:pPr>
  </w:style>
  <w:style w:type="character" w:customStyle="1" w:styleId="Titre1Car">
    <w:name w:val="Titre 1 Car"/>
    <w:basedOn w:val="Policepardfaut"/>
    <w:link w:val="Titre1"/>
    <w:rsid w:val="002D727F"/>
    <w:rPr>
      <w:rFonts w:ascii="Arial" w:eastAsia="MS Mincho" w:hAnsi="Arial" w:cs="Arial"/>
      <w:b/>
      <w:bCs/>
      <w:noProof/>
      <w:kern w:val="32"/>
      <w:sz w:val="28"/>
      <w:szCs w:val="32"/>
      <w:lang w:val="en-CA"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E8D"/>
    <w:pPr>
      <w:widowControl w:val="0"/>
      <w:autoSpaceDE w:val="0"/>
      <w:autoSpaceDN w:val="0"/>
      <w:adjustRightInd w:val="0"/>
    </w:pPr>
    <w:rPr>
      <w:rFonts w:ascii="Arial" w:eastAsia="MS Mincho" w:hAnsi="Arial"/>
      <w:sz w:val="24"/>
      <w:szCs w:val="28"/>
      <w:lang w:val="en-CA" w:eastAsia="ja-JP"/>
    </w:rPr>
  </w:style>
  <w:style w:type="paragraph" w:styleId="Titre1">
    <w:name w:val="heading 1"/>
    <w:basedOn w:val="Normal"/>
    <w:next w:val="Normal"/>
    <w:link w:val="Titre1Car"/>
    <w:qFormat/>
    <w:rsid w:val="002D727F"/>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2D727F"/>
    <w:rPr>
      <w:vertAlign w:val="superscript"/>
    </w:rPr>
  </w:style>
  <w:style w:type="paragraph" w:customStyle="1" w:styleId="Court">
    <w:name w:val="Court"/>
    <w:basedOn w:val="Normal"/>
    <w:rsid w:val="002D727F"/>
    <w:rPr>
      <w:rFonts w:cs="Arial"/>
      <w:b/>
      <w:szCs w:val="24"/>
    </w:rPr>
  </w:style>
  <w:style w:type="paragraph" w:customStyle="1" w:styleId="CitationLine">
    <w:name w:val="CitationLine"/>
    <w:basedOn w:val="Court"/>
    <w:rsid w:val="002D727F"/>
  </w:style>
  <w:style w:type="paragraph" w:customStyle="1" w:styleId="DateISO">
    <w:name w:val="DateISO"/>
    <w:basedOn w:val="Court"/>
    <w:rsid w:val="002D727F"/>
  </w:style>
  <w:style w:type="paragraph" w:styleId="En-tte">
    <w:name w:val="header"/>
    <w:basedOn w:val="Normal"/>
    <w:link w:val="En-tteCar"/>
    <w:uiPriority w:val="99"/>
    <w:unhideWhenUsed/>
    <w:rsid w:val="002D727F"/>
    <w:pPr>
      <w:tabs>
        <w:tab w:val="center" w:pos="4680"/>
        <w:tab w:val="right" w:pos="9360"/>
      </w:tabs>
    </w:pPr>
    <w:rPr>
      <w:rFonts w:ascii="Times New Roman" w:hAnsi="Times New Roman"/>
    </w:rPr>
  </w:style>
  <w:style w:type="character" w:customStyle="1" w:styleId="En-tteCar">
    <w:name w:val="En-tête Car"/>
    <w:link w:val="En-tte"/>
    <w:uiPriority w:val="99"/>
    <w:rsid w:val="002D727F"/>
    <w:rPr>
      <w:rFonts w:eastAsia="MS Mincho"/>
      <w:sz w:val="24"/>
      <w:szCs w:val="28"/>
      <w:lang w:val="en-CA" w:eastAsia="ja-JP"/>
    </w:rPr>
  </w:style>
  <w:style w:type="paragraph" w:customStyle="1" w:styleId="History">
    <w:name w:val="History"/>
    <w:basedOn w:val="Normal"/>
    <w:rsid w:val="002D727F"/>
    <w:pPr>
      <w:spacing w:before="100" w:beforeAutospacing="1" w:after="100" w:afterAutospacing="1"/>
      <w:ind w:firstLine="567"/>
    </w:pPr>
  </w:style>
  <w:style w:type="paragraph" w:customStyle="1" w:styleId="Indent1">
    <w:name w:val="Indent 1"/>
    <w:basedOn w:val="Normal"/>
    <w:next w:val="Normal"/>
    <w:rsid w:val="002D727F"/>
    <w:pPr>
      <w:spacing w:before="100" w:beforeAutospacing="1"/>
      <w:ind w:left="567"/>
      <w:jc w:val="both"/>
    </w:pPr>
  </w:style>
  <w:style w:type="paragraph" w:customStyle="1" w:styleId="Indent2">
    <w:name w:val="Indent 2"/>
    <w:basedOn w:val="Indent1"/>
    <w:rsid w:val="002D727F"/>
    <w:pPr>
      <w:ind w:left="1134"/>
    </w:pPr>
  </w:style>
  <w:style w:type="paragraph" w:customStyle="1" w:styleId="Indent3">
    <w:name w:val="Indent 3"/>
    <w:basedOn w:val="Indent1"/>
    <w:rsid w:val="002D727F"/>
    <w:pPr>
      <w:ind w:left="1701"/>
    </w:pPr>
  </w:style>
  <w:style w:type="paragraph" w:customStyle="1" w:styleId="Indent4">
    <w:name w:val="Indent 4"/>
    <w:basedOn w:val="Indent1"/>
    <w:rsid w:val="002D727F"/>
    <w:pPr>
      <w:ind w:left="2268"/>
    </w:pPr>
  </w:style>
  <w:style w:type="paragraph" w:customStyle="1" w:styleId="Reasons">
    <w:name w:val="Reasons"/>
    <w:basedOn w:val="Normal"/>
    <w:link w:val="ReasonsCar"/>
    <w:rsid w:val="00886511"/>
    <w:pPr>
      <w:spacing w:before="100" w:beforeAutospacing="1" w:after="100" w:afterAutospacing="1"/>
    </w:pPr>
  </w:style>
  <w:style w:type="character" w:customStyle="1" w:styleId="ReasonsCar">
    <w:name w:val="Reasons Car"/>
    <w:link w:val="Reasons"/>
    <w:rsid w:val="00886511"/>
    <w:rPr>
      <w:rFonts w:ascii="Arial" w:eastAsia="MS Mincho" w:hAnsi="Arial"/>
      <w:sz w:val="24"/>
      <w:szCs w:val="28"/>
      <w:lang w:val="en-CA" w:eastAsia="ja-JP"/>
    </w:rPr>
  </w:style>
  <w:style w:type="paragraph" w:customStyle="1" w:styleId="Indent10">
    <w:name w:val="Indent1"/>
    <w:basedOn w:val="Reasons"/>
    <w:rsid w:val="002D727F"/>
    <w:pPr>
      <w:ind w:left="567"/>
    </w:pPr>
  </w:style>
  <w:style w:type="paragraph" w:customStyle="1" w:styleId="Indent20">
    <w:name w:val="Indent2"/>
    <w:basedOn w:val="Indent10"/>
    <w:rsid w:val="002D727F"/>
    <w:pPr>
      <w:ind w:left="1134"/>
    </w:pPr>
  </w:style>
  <w:style w:type="paragraph" w:customStyle="1" w:styleId="Indent30">
    <w:name w:val="Indent3"/>
    <w:basedOn w:val="Indent10"/>
    <w:rsid w:val="002D727F"/>
    <w:pPr>
      <w:ind w:left="1701"/>
    </w:pPr>
  </w:style>
  <w:style w:type="paragraph" w:customStyle="1" w:styleId="Indent40">
    <w:name w:val="Indent4"/>
    <w:basedOn w:val="Indent10"/>
    <w:rsid w:val="002D727F"/>
    <w:pPr>
      <w:ind w:left="2268"/>
    </w:pPr>
  </w:style>
  <w:style w:type="paragraph" w:customStyle="1" w:styleId="Keywords">
    <w:name w:val="Keywords"/>
    <w:basedOn w:val="Normal"/>
    <w:rsid w:val="002D727F"/>
    <w:pPr>
      <w:spacing w:before="100" w:beforeAutospacing="1" w:after="100" w:afterAutospacing="1"/>
    </w:pPr>
    <w:rPr>
      <w:rFonts w:cs="Arial"/>
      <w:i/>
      <w:szCs w:val="24"/>
    </w:rPr>
  </w:style>
  <w:style w:type="paragraph" w:customStyle="1" w:styleId="Metadata">
    <w:name w:val="Metadata"/>
    <w:basedOn w:val="Normal"/>
    <w:rsid w:val="002D727F"/>
    <w:pPr>
      <w:spacing w:before="100" w:beforeAutospacing="1" w:after="100" w:afterAutospacing="1"/>
    </w:pPr>
    <w:rPr>
      <w:rFonts w:cs="Arial"/>
      <w:szCs w:val="24"/>
    </w:rPr>
  </w:style>
  <w:style w:type="paragraph" w:styleId="Notedebasdepage">
    <w:name w:val="footnote text"/>
    <w:basedOn w:val="Normal"/>
    <w:link w:val="NotedebasdepageCar"/>
    <w:autoRedefine/>
    <w:rsid w:val="0093252E"/>
    <w:rPr>
      <w:sz w:val="16"/>
      <w:szCs w:val="20"/>
    </w:rPr>
  </w:style>
  <w:style w:type="character" w:customStyle="1" w:styleId="NotedebasdepageCar">
    <w:name w:val="Note de bas de page Car"/>
    <w:link w:val="Notedebasdepage"/>
    <w:rsid w:val="00541E8D"/>
    <w:rPr>
      <w:rFonts w:ascii="Arial" w:eastAsia="MS Mincho" w:hAnsi="Arial"/>
      <w:sz w:val="16"/>
      <w:szCs w:val="20"/>
      <w:lang w:val="en-CA" w:eastAsia="ja-JP"/>
    </w:rPr>
  </w:style>
  <w:style w:type="paragraph" w:customStyle="1" w:styleId="Page">
    <w:name w:val="Page"/>
    <w:basedOn w:val="Normal"/>
    <w:link w:val="PageChar"/>
    <w:rsid w:val="002D727F"/>
    <w:pPr>
      <w:spacing w:before="100" w:beforeAutospacing="1" w:after="100" w:afterAutospacing="1"/>
    </w:pPr>
    <w:rPr>
      <w:i/>
    </w:rPr>
  </w:style>
  <w:style w:type="character" w:customStyle="1" w:styleId="PageChar">
    <w:name w:val="Page Char"/>
    <w:link w:val="Page"/>
    <w:rsid w:val="002D727F"/>
    <w:rPr>
      <w:rFonts w:ascii="Arial" w:eastAsia="MS Mincho" w:hAnsi="Arial"/>
      <w:i/>
      <w:sz w:val="24"/>
      <w:szCs w:val="28"/>
      <w:lang w:val="en-CA" w:eastAsia="ja-JP"/>
    </w:rPr>
  </w:style>
  <w:style w:type="paragraph" w:customStyle="1" w:styleId="ParagNum">
    <w:name w:val="ParagNum"/>
    <w:basedOn w:val="Normal"/>
    <w:rsid w:val="002D727F"/>
    <w:pPr>
      <w:numPr>
        <w:numId w:val="1"/>
      </w:numPr>
      <w:tabs>
        <w:tab w:val="left" w:pos="720"/>
      </w:tabs>
      <w:spacing w:before="240"/>
      <w:jc w:val="both"/>
    </w:pPr>
    <w:rPr>
      <w:szCs w:val="24"/>
      <w:lang w:eastAsia="fr-FR"/>
    </w:rPr>
  </w:style>
  <w:style w:type="paragraph" w:styleId="Pieddepage">
    <w:name w:val="footer"/>
    <w:basedOn w:val="Normal"/>
    <w:link w:val="PieddepageCar"/>
    <w:uiPriority w:val="99"/>
    <w:unhideWhenUsed/>
    <w:rsid w:val="002D727F"/>
    <w:pPr>
      <w:tabs>
        <w:tab w:val="center" w:pos="4680"/>
        <w:tab w:val="right" w:pos="9360"/>
      </w:tabs>
    </w:pPr>
    <w:rPr>
      <w:rFonts w:ascii="Times New Roman" w:hAnsi="Times New Roman"/>
    </w:rPr>
  </w:style>
  <w:style w:type="character" w:customStyle="1" w:styleId="PieddepageCar">
    <w:name w:val="Pied de page Car"/>
    <w:link w:val="Pieddepage"/>
    <w:uiPriority w:val="99"/>
    <w:rsid w:val="002D727F"/>
    <w:rPr>
      <w:rFonts w:eastAsia="MS Mincho"/>
      <w:sz w:val="24"/>
      <w:szCs w:val="28"/>
      <w:lang w:val="en-CA" w:eastAsia="ja-JP"/>
    </w:rPr>
  </w:style>
  <w:style w:type="paragraph" w:customStyle="1" w:styleId="Sollicitors">
    <w:name w:val="Sollicitors"/>
    <w:basedOn w:val="Normal"/>
    <w:rsid w:val="002D727F"/>
    <w:pPr>
      <w:spacing w:before="100" w:beforeAutospacing="1" w:after="100" w:afterAutospacing="1"/>
    </w:pPr>
    <w:rPr>
      <w:i/>
    </w:rPr>
  </w:style>
  <w:style w:type="paragraph" w:customStyle="1" w:styleId="Summary">
    <w:name w:val="Summary"/>
    <w:basedOn w:val="Normal"/>
    <w:autoRedefine/>
    <w:rsid w:val="00886511"/>
    <w:pPr>
      <w:spacing w:before="100" w:beforeAutospacing="1" w:after="100" w:afterAutospacing="1"/>
      <w:ind w:left="562" w:hanging="562"/>
    </w:pPr>
    <w:rPr>
      <w:rFonts w:cs="Arial"/>
    </w:rPr>
  </w:style>
  <w:style w:type="paragraph" w:customStyle="1" w:styleId="T1">
    <w:name w:val="T1"/>
    <w:basedOn w:val="Normal"/>
    <w:rsid w:val="002D727F"/>
    <w:pPr>
      <w:spacing w:before="240" w:after="100" w:afterAutospacing="1"/>
    </w:pPr>
    <w:rPr>
      <w:b/>
    </w:rPr>
  </w:style>
  <w:style w:type="paragraph" w:customStyle="1" w:styleId="T2">
    <w:name w:val="T2"/>
    <w:basedOn w:val="Normal"/>
    <w:rsid w:val="002D727F"/>
    <w:pPr>
      <w:spacing w:before="240" w:after="100" w:afterAutospacing="1"/>
    </w:pPr>
  </w:style>
  <w:style w:type="character" w:customStyle="1" w:styleId="Titre1Car">
    <w:name w:val="Titre 1 Car"/>
    <w:basedOn w:val="Policepardfaut"/>
    <w:link w:val="Titre1"/>
    <w:rsid w:val="002D727F"/>
    <w:rPr>
      <w:rFonts w:ascii="Arial" w:eastAsia="MS Mincho" w:hAnsi="Arial" w:cs="Arial"/>
      <w:b/>
      <w:bCs/>
      <w:noProof/>
      <w:kern w:val="32"/>
      <w:sz w:val="28"/>
      <w:szCs w:val="32"/>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E451-3D6F-4B57-B457-F67BE6FF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522</Words>
  <Characters>2872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Martine Lemery</cp:lastModifiedBy>
  <cp:revision>7</cp:revision>
  <dcterms:created xsi:type="dcterms:W3CDTF">2017-04-06T17:06:00Z</dcterms:created>
  <dcterms:modified xsi:type="dcterms:W3CDTF">2017-12-06T16:31:00Z</dcterms:modified>
</cp:coreProperties>
</file>