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B8" w:rsidRPr="0014260B" w:rsidRDefault="00D766B8" w:rsidP="007B0D2B">
      <w:pPr>
        <w:pStyle w:val="Court"/>
        <w:rPr>
          <w:lang w:val="en-US"/>
        </w:rPr>
      </w:pPr>
      <w:r w:rsidRPr="0014260B">
        <w:rPr>
          <w:lang w:val="en-US"/>
        </w:rPr>
        <w:t>Supreme Court of Canada</w:t>
      </w:r>
    </w:p>
    <w:p w:rsidR="00D766B8" w:rsidRPr="0014260B" w:rsidRDefault="00D766B8" w:rsidP="007B0D2B">
      <w:pPr>
        <w:pStyle w:val="CitationLine"/>
        <w:rPr>
          <w:lang w:val="en-US"/>
        </w:rPr>
      </w:pPr>
      <w:r w:rsidRPr="0014260B">
        <w:rPr>
          <w:lang w:val="en-US"/>
        </w:rPr>
        <w:t>In re W.H. Brookfield Estate The Royal Trust Company v. The King</w:t>
      </w:r>
      <w:r w:rsidR="00F84BFB">
        <w:rPr>
          <w:lang w:val="en-US"/>
        </w:rPr>
        <w:t>, [1949] SCR 329</w:t>
      </w:r>
    </w:p>
    <w:p w:rsidR="00D766B8" w:rsidRPr="0014260B" w:rsidRDefault="00D766B8" w:rsidP="007B0D2B">
      <w:pPr>
        <w:pStyle w:val="DateISO"/>
        <w:rPr>
          <w:lang w:val="en-US"/>
        </w:rPr>
      </w:pPr>
      <w:r w:rsidRPr="0014260B">
        <w:rPr>
          <w:lang w:val="en-US"/>
        </w:rPr>
        <w:t>Date: 1949-02-01</w:t>
      </w:r>
    </w:p>
    <w:p w:rsidR="00B96DB2" w:rsidRPr="0014260B" w:rsidRDefault="007B461C" w:rsidP="009903D3">
      <w:pPr>
        <w:pStyle w:val="Metadata"/>
      </w:pPr>
      <w:r w:rsidRPr="0014260B">
        <w:rPr>
          <w:lang w:val="en-US"/>
        </w:rPr>
        <w:t>In t</w:t>
      </w:r>
      <w:r w:rsidR="00D766B8" w:rsidRPr="0014260B">
        <w:rPr>
          <w:lang w:val="en-US"/>
        </w:rPr>
        <w:t xml:space="preserve">he Matter </w:t>
      </w:r>
      <w:r w:rsidRPr="0014260B">
        <w:rPr>
          <w:lang w:val="en-US"/>
        </w:rPr>
        <w:t xml:space="preserve">of the Judicature Act, </w:t>
      </w:r>
      <w:r w:rsidR="00D766B8" w:rsidRPr="0014260B">
        <w:rPr>
          <w:lang w:val="en-US"/>
        </w:rPr>
        <w:t xml:space="preserve">Order </w:t>
      </w:r>
      <w:r w:rsidR="009903D3" w:rsidRPr="0014260B">
        <w:rPr>
          <w:lang w:val="en-US"/>
        </w:rPr>
        <w:t>XXXIII</w:t>
      </w:r>
    </w:p>
    <w:p w:rsidR="00B96DB2" w:rsidRPr="0014260B" w:rsidRDefault="00D766B8" w:rsidP="009903D3">
      <w:pPr>
        <w:pStyle w:val="Metadata"/>
        <w:rPr>
          <w:spacing w:val="-26"/>
        </w:rPr>
      </w:pPr>
      <w:r w:rsidRPr="0014260B">
        <w:rPr>
          <w:spacing w:val="-26"/>
          <w:lang w:val="en-US"/>
        </w:rPr>
        <w:t>And</w:t>
      </w:r>
    </w:p>
    <w:p w:rsidR="00B96DB2" w:rsidRPr="0014260B" w:rsidRDefault="006F2284" w:rsidP="009903D3">
      <w:pPr>
        <w:pStyle w:val="Metadata"/>
        <w:rPr>
          <w:spacing w:val="7"/>
        </w:rPr>
      </w:pPr>
      <w:proofErr w:type="gramStart"/>
      <w:r w:rsidRPr="0014260B">
        <w:rPr>
          <w:spacing w:val="7"/>
          <w:lang w:val="en-US"/>
        </w:rPr>
        <w:t xml:space="preserve">In the Matter </w:t>
      </w:r>
      <w:r w:rsidR="00D766B8" w:rsidRPr="0014260B">
        <w:rPr>
          <w:spacing w:val="7"/>
          <w:lang w:val="en-US"/>
        </w:rPr>
        <w:t xml:space="preserve">of the Estate of W. Herbert Brookfield, </w:t>
      </w:r>
      <w:r w:rsidR="00C14087" w:rsidRPr="0014260B">
        <w:rPr>
          <w:spacing w:val="7"/>
          <w:lang w:val="en-US"/>
        </w:rPr>
        <w:t xml:space="preserve">Late </w:t>
      </w:r>
      <w:r w:rsidR="00D766B8" w:rsidRPr="0014260B">
        <w:rPr>
          <w:spacing w:val="7"/>
          <w:lang w:val="en-US"/>
        </w:rPr>
        <w:t xml:space="preserve">of Chester, in the County of Lunenburg, in the Province of Nova Scotia, </w:t>
      </w:r>
      <w:r w:rsidR="00C14087" w:rsidRPr="0014260B">
        <w:rPr>
          <w:spacing w:val="7"/>
          <w:lang w:val="en-US"/>
        </w:rPr>
        <w:t>Deceased</w:t>
      </w:r>
      <w:r w:rsidR="00D766B8" w:rsidRPr="0014260B">
        <w:rPr>
          <w:spacing w:val="7"/>
          <w:lang w:val="en-US"/>
        </w:rPr>
        <w:t>.</w:t>
      </w:r>
      <w:proofErr w:type="gramEnd"/>
    </w:p>
    <w:p w:rsidR="00D766B8" w:rsidRPr="0014260B" w:rsidRDefault="006F2284" w:rsidP="009903D3">
      <w:pPr>
        <w:pStyle w:val="Metadata"/>
        <w:rPr>
          <w:spacing w:val="1"/>
          <w:lang w:val="en-US"/>
        </w:rPr>
      </w:pPr>
      <w:r w:rsidRPr="0014260B">
        <w:rPr>
          <w:lang w:val="en-US"/>
        </w:rPr>
        <w:t>The Royal Trust Company</w:t>
      </w:r>
      <w:r w:rsidR="00D766B8" w:rsidRPr="0014260B">
        <w:rPr>
          <w:lang w:val="en-US"/>
        </w:rPr>
        <w:t>, Administrator of the Estate of the</w:t>
      </w:r>
      <w:r w:rsidR="00D766B8" w:rsidRPr="0014260B">
        <w:t xml:space="preserve"> </w:t>
      </w:r>
      <w:r w:rsidR="00D766B8" w:rsidRPr="0014260B">
        <w:rPr>
          <w:spacing w:val="1"/>
          <w:lang w:val="en-US"/>
        </w:rPr>
        <w:t xml:space="preserve">late W. Herbert Brookfield, </w:t>
      </w:r>
      <w:r w:rsidR="00C14087" w:rsidRPr="0014260B">
        <w:rPr>
          <w:spacing w:val="1"/>
          <w:lang w:val="en-US"/>
        </w:rPr>
        <w:t xml:space="preserve">Late </w:t>
      </w:r>
      <w:r w:rsidR="00D766B8" w:rsidRPr="0014260B">
        <w:rPr>
          <w:spacing w:val="1"/>
          <w:lang w:val="en-US"/>
        </w:rPr>
        <w:t>of Chester, in the County of Lunenburg, in the Province of Nova Scotia,</w:t>
      </w:r>
      <w:r w:rsidR="00D766B8" w:rsidRPr="0014260B">
        <w:rPr>
          <w:spacing w:val="1"/>
        </w:rPr>
        <w:t xml:space="preserve"> </w:t>
      </w:r>
      <w:r w:rsidR="00C14087" w:rsidRPr="0014260B">
        <w:rPr>
          <w:spacing w:val="-10"/>
          <w:lang w:val="en-US"/>
        </w:rPr>
        <w:t>Deceased</w:t>
      </w:r>
      <w:r w:rsidR="00C14087" w:rsidRPr="0014260B">
        <w:t xml:space="preserve"> </w:t>
      </w:r>
      <w:r w:rsidR="00D766B8" w:rsidRPr="0014260B">
        <w:rPr>
          <w:spacing w:val="1"/>
          <w:lang w:val="en-US"/>
        </w:rPr>
        <w:t>(Plaintiff)</w:t>
      </w:r>
    </w:p>
    <w:p w:rsidR="00B96DB2" w:rsidRPr="0014260B" w:rsidRDefault="00D766B8" w:rsidP="009903D3">
      <w:pPr>
        <w:pStyle w:val="Metadata"/>
      </w:pPr>
      <w:r w:rsidRPr="0014260B">
        <w:rPr>
          <w:spacing w:val="1"/>
          <w:lang w:val="en-US"/>
        </w:rPr>
        <w:t>Appellant;</w:t>
      </w:r>
    </w:p>
    <w:p w:rsidR="00B96DB2" w:rsidRPr="0014260B" w:rsidRDefault="00D766B8" w:rsidP="009903D3">
      <w:pPr>
        <w:pStyle w:val="Metadata"/>
        <w:rPr>
          <w:spacing w:val="-28"/>
        </w:rPr>
      </w:pPr>
      <w:r w:rsidRPr="0014260B">
        <w:rPr>
          <w:spacing w:val="-28"/>
          <w:lang w:val="en-US"/>
        </w:rPr>
        <w:t>And</w:t>
      </w:r>
    </w:p>
    <w:p w:rsidR="00D766B8" w:rsidRPr="0014260B" w:rsidRDefault="006F2284" w:rsidP="009903D3">
      <w:pPr>
        <w:pStyle w:val="Metadata"/>
        <w:rPr>
          <w:spacing w:val="10"/>
          <w:lang w:val="en-US"/>
        </w:rPr>
      </w:pPr>
      <w:r w:rsidRPr="0014260B">
        <w:rPr>
          <w:spacing w:val="10"/>
          <w:lang w:val="en-US"/>
        </w:rPr>
        <w:t xml:space="preserve">His Majesty </w:t>
      </w:r>
      <w:r w:rsidR="00621140" w:rsidRPr="0014260B">
        <w:rPr>
          <w:spacing w:val="10"/>
          <w:lang w:val="en-US"/>
        </w:rPr>
        <w:t>the</w:t>
      </w:r>
      <w:r w:rsidRPr="0014260B">
        <w:rPr>
          <w:spacing w:val="10"/>
          <w:lang w:val="en-US"/>
        </w:rPr>
        <w:t xml:space="preserve"> King </w:t>
      </w:r>
      <w:r w:rsidR="00621140" w:rsidRPr="0014260B">
        <w:rPr>
          <w:spacing w:val="10"/>
          <w:lang w:val="en-US"/>
        </w:rPr>
        <w:t>in</w:t>
      </w:r>
      <w:r w:rsidRPr="0014260B">
        <w:rPr>
          <w:spacing w:val="10"/>
          <w:lang w:val="en-US"/>
        </w:rPr>
        <w:t xml:space="preserve"> </w:t>
      </w:r>
      <w:r w:rsidR="00C14087" w:rsidRPr="0014260B">
        <w:rPr>
          <w:spacing w:val="10"/>
          <w:lang w:val="en-US"/>
        </w:rPr>
        <w:t xml:space="preserve">the </w:t>
      </w:r>
      <w:r w:rsidRPr="0014260B">
        <w:rPr>
          <w:spacing w:val="10"/>
          <w:lang w:val="en-US"/>
        </w:rPr>
        <w:t xml:space="preserve">Right </w:t>
      </w:r>
      <w:r w:rsidR="00C14087" w:rsidRPr="0014260B">
        <w:rPr>
          <w:spacing w:val="10"/>
          <w:lang w:val="en-US"/>
        </w:rPr>
        <w:t xml:space="preserve">of the </w:t>
      </w:r>
      <w:r w:rsidRPr="0014260B">
        <w:rPr>
          <w:spacing w:val="10"/>
          <w:lang w:val="en-US"/>
        </w:rPr>
        <w:t xml:space="preserve">Province </w:t>
      </w:r>
      <w:r w:rsidR="00C14087" w:rsidRPr="0014260B">
        <w:rPr>
          <w:spacing w:val="10"/>
          <w:lang w:val="en-US"/>
        </w:rPr>
        <w:t xml:space="preserve">of </w:t>
      </w:r>
      <w:r w:rsidRPr="0014260B">
        <w:rPr>
          <w:spacing w:val="10"/>
          <w:lang w:val="en-US"/>
        </w:rPr>
        <w:t xml:space="preserve">Nova Scotia, (Defendant) </w:t>
      </w:r>
    </w:p>
    <w:p w:rsidR="00B96DB2" w:rsidRPr="0014260B" w:rsidRDefault="00D766B8" w:rsidP="009903D3">
      <w:pPr>
        <w:pStyle w:val="Metadata"/>
        <w:rPr>
          <w:spacing w:val="10"/>
          <w:lang w:val="en-US"/>
        </w:rPr>
      </w:pPr>
      <w:proofErr w:type="gramStart"/>
      <w:r w:rsidRPr="0014260B">
        <w:rPr>
          <w:spacing w:val="10"/>
          <w:lang w:val="en-US"/>
        </w:rPr>
        <w:t>Respondent.</w:t>
      </w:r>
      <w:proofErr w:type="gramEnd"/>
    </w:p>
    <w:p w:rsidR="00D766B8" w:rsidRPr="0014260B" w:rsidRDefault="009903D3" w:rsidP="009903D3">
      <w:pPr>
        <w:pStyle w:val="Metadata"/>
        <w:rPr>
          <w:spacing w:val="10"/>
          <w:lang w:val="en-US"/>
        </w:rPr>
      </w:pPr>
      <w:r>
        <w:rPr>
          <w:spacing w:val="10"/>
          <w:lang w:val="en-US"/>
        </w:rPr>
        <w:t>1948: Oct. 28; 1949: Feb. 1.</w:t>
      </w:r>
    </w:p>
    <w:p w:rsidR="00D766B8" w:rsidRPr="0014260B" w:rsidRDefault="00D766B8" w:rsidP="009903D3">
      <w:pPr>
        <w:pStyle w:val="Metadata"/>
        <w:rPr>
          <w:spacing w:val="10"/>
        </w:rPr>
      </w:pPr>
      <w:r w:rsidRPr="0014260B">
        <w:rPr>
          <w:rFonts w:eastAsia="Garamond"/>
          <w:lang w:val="en-US"/>
        </w:rPr>
        <w:t xml:space="preserve">Present: </w:t>
      </w:r>
      <w:proofErr w:type="spellStart"/>
      <w:r w:rsidRPr="0014260B">
        <w:rPr>
          <w:lang w:val="en-US"/>
        </w:rPr>
        <w:t>Kerwin</w:t>
      </w:r>
      <w:proofErr w:type="spellEnd"/>
      <w:r w:rsidRPr="0014260B">
        <w:rPr>
          <w:lang w:val="en-US"/>
        </w:rPr>
        <w:t xml:space="preserve">, </w:t>
      </w:r>
      <w:proofErr w:type="spellStart"/>
      <w:r w:rsidRPr="0014260B">
        <w:rPr>
          <w:lang w:val="en-US"/>
        </w:rPr>
        <w:t>Taschereau</w:t>
      </w:r>
      <w:proofErr w:type="spellEnd"/>
      <w:r w:rsidRPr="0014260B">
        <w:rPr>
          <w:lang w:val="en-US"/>
        </w:rPr>
        <w:t xml:space="preserve">, Rand, </w:t>
      </w:r>
      <w:proofErr w:type="spellStart"/>
      <w:r w:rsidRPr="0014260B">
        <w:rPr>
          <w:lang w:val="en-US"/>
        </w:rPr>
        <w:t>Keilock</w:t>
      </w:r>
      <w:proofErr w:type="spellEnd"/>
      <w:r w:rsidRPr="0014260B">
        <w:rPr>
          <w:lang w:val="en-US"/>
        </w:rPr>
        <w:t xml:space="preserve"> and </w:t>
      </w:r>
      <w:proofErr w:type="spellStart"/>
      <w:r w:rsidRPr="0014260B">
        <w:rPr>
          <w:lang w:val="en-US"/>
        </w:rPr>
        <w:t>Estey</w:t>
      </w:r>
      <w:proofErr w:type="spellEnd"/>
      <w:r w:rsidRPr="0014260B">
        <w:rPr>
          <w:lang w:val="en-US"/>
        </w:rPr>
        <w:t xml:space="preserve"> JJ.</w:t>
      </w:r>
    </w:p>
    <w:p w:rsidR="00B96DB2" w:rsidRPr="0014260B" w:rsidRDefault="00D766B8" w:rsidP="009903D3">
      <w:pPr>
        <w:pStyle w:val="Metadata"/>
        <w:jc w:val="center"/>
      </w:pPr>
      <w:r w:rsidRPr="0014260B">
        <w:rPr>
          <w:lang w:val="en-US"/>
        </w:rPr>
        <w:t>ON APPEAL FROM THE SUPREME COURT OF NOVA SCOTIA</w:t>
      </w:r>
    </w:p>
    <w:p w:rsidR="00B96DB2" w:rsidRPr="0014260B" w:rsidRDefault="00D766B8" w:rsidP="009903D3">
      <w:pPr>
        <w:pStyle w:val="Metadata"/>
        <w:jc w:val="center"/>
        <w:rPr>
          <w:spacing w:val="-19"/>
        </w:rPr>
      </w:pPr>
      <w:r w:rsidRPr="0014260B">
        <w:rPr>
          <w:spacing w:val="-19"/>
          <w:lang w:val="en-US"/>
        </w:rPr>
        <w:t>EN BANC</w:t>
      </w:r>
    </w:p>
    <w:p w:rsidR="00B96DB2" w:rsidRPr="0014260B" w:rsidRDefault="00D766B8" w:rsidP="009903D3">
      <w:pPr>
        <w:pStyle w:val="Keywords"/>
      </w:pPr>
      <w:r w:rsidRPr="0014260B">
        <w:rPr>
          <w:lang w:val="en-US"/>
        </w:rPr>
        <w:t>Revenue—Succession Duty—Constitutional Law—Shares in United States companies, registered in names of nominees, endorsed in blank—No transfer office in Nova Scotia, where certificates situate—Situs of shares—Whether on death of testator domiciled in Nova Scotia, "property situate in Nova Scotia"—The Succession Duty Act (N.S.), 1945, c. 7—Canada-United States Tax Convention Act, 19.4.4, (Dom.) c. V.</w:t>
      </w:r>
    </w:p>
    <w:p w:rsidR="00B96DB2" w:rsidRPr="0014260B" w:rsidRDefault="00D766B8" w:rsidP="009903D3">
      <w:pPr>
        <w:pStyle w:val="Summary"/>
      </w:pPr>
      <w:r w:rsidRPr="0014260B">
        <w:t>"B", domiciled in Nova Scotia, caused to be registered in the names of employees at Halifax of the Royal Trust Company, shares of United St</w:t>
      </w:r>
      <w:r w:rsidR="00506E9A">
        <w:t xml:space="preserve">ates companies having no share </w:t>
      </w:r>
      <w:bookmarkStart w:id="0" w:name="_GoBack"/>
      <w:bookmarkEnd w:id="0"/>
      <w:r w:rsidRPr="0014260B">
        <w:t>registry in Nova Scotia. The certificates, endorsed in blank, had attached declarations of trus</w:t>
      </w:r>
      <w:r w:rsidR="00506E9A">
        <w:t xml:space="preserve">t by the registered holders to </w:t>
      </w:r>
      <w:r w:rsidRPr="0014260B">
        <w:t>the effect that they had no right or interest in the shares and had delivered them to the Trust Company to whom all dividends were to be paid. The Trust Company, in accordance with "B's" written instructions held the certificates for management and safekeeping. After "B's" death it was appointed administrator with the will annexed of his estate.</w:t>
      </w:r>
    </w:p>
    <w:p w:rsidR="00B96DB2" w:rsidRPr="0014260B" w:rsidRDefault="00D766B8" w:rsidP="009903D3">
      <w:pPr>
        <w:pStyle w:val="Summary"/>
        <w:rPr>
          <w:i/>
        </w:rPr>
      </w:pPr>
      <w:r w:rsidRPr="0014260B">
        <w:rPr>
          <w:i/>
        </w:rPr>
        <w:t xml:space="preserve">Held: </w:t>
      </w:r>
      <w:r w:rsidRPr="0014260B">
        <w:t xml:space="preserve">that the shares were not "property situate in Nova Scotia" within the meaning of </w:t>
      </w:r>
      <w:r w:rsidRPr="0014260B">
        <w:rPr>
          <w:i/>
        </w:rPr>
        <w:t xml:space="preserve">The Succession Duty Act, </w:t>
      </w:r>
      <w:r w:rsidRPr="0014260B">
        <w:t xml:space="preserve">s. 9(8). The </w:t>
      </w:r>
      <w:r w:rsidRPr="0014260B">
        <w:rPr>
          <w:i/>
        </w:rPr>
        <w:t xml:space="preserve">situs </w:t>
      </w:r>
      <w:r w:rsidRPr="0014260B">
        <w:t>of the shares was where they could be effectively dealt with as between the</w:t>
      </w:r>
    </w:p>
    <w:p w:rsidR="007B461C" w:rsidRPr="0014260B" w:rsidRDefault="007B461C" w:rsidP="009903D3">
      <w:pPr>
        <w:pStyle w:val="Page"/>
        <w:rPr>
          <w:rFonts w:cs="Arial"/>
          <w:szCs w:val="24"/>
          <w:lang w:val="en-US"/>
        </w:rPr>
      </w:pPr>
      <w:r w:rsidRPr="0014260B">
        <w:rPr>
          <w:rFonts w:cs="Arial"/>
          <w:color w:val="000000"/>
          <w:szCs w:val="24"/>
          <w:lang w:val="en-US"/>
        </w:rPr>
        <w:t>[Page 330]</w:t>
      </w:r>
    </w:p>
    <w:p w:rsidR="00B96DB2" w:rsidRPr="0014260B" w:rsidRDefault="00D766B8" w:rsidP="00C14087">
      <w:pPr>
        <w:pStyle w:val="Summary"/>
        <w:ind w:firstLine="0"/>
      </w:pPr>
      <w:proofErr w:type="gramStart"/>
      <w:r w:rsidRPr="0014260B">
        <w:t>company</w:t>
      </w:r>
      <w:proofErr w:type="gramEnd"/>
      <w:r w:rsidRPr="0014260B">
        <w:t xml:space="preserve"> and the shareholders, namely the United States. Succession duty was therefore not payable under the </w:t>
      </w:r>
      <w:r w:rsidRPr="0014260B">
        <w:rPr>
          <w:i/>
        </w:rPr>
        <w:t xml:space="preserve">Succession Duty Act, </w:t>
      </w:r>
      <w:r w:rsidRPr="0014260B">
        <w:t>N.S., 1945, c. 7.</w:t>
      </w:r>
    </w:p>
    <w:p w:rsidR="00B96DB2" w:rsidRPr="0014260B" w:rsidRDefault="00D766B8" w:rsidP="009903D3">
      <w:pPr>
        <w:pStyle w:val="Summary"/>
        <w:rPr>
          <w:i/>
        </w:rPr>
      </w:pPr>
      <w:r w:rsidRPr="0014260B">
        <w:rPr>
          <w:i/>
        </w:rPr>
        <w:lastRenderedPageBreak/>
        <w:t xml:space="preserve">Stern v. the Queen </w:t>
      </w:r>
      <w:r w:rsidRPr="0014260B">
        <w:t>[18961 1 Q.B:D. 211, disti</w:t>
      </w:r>
      <w:r w:rsidR="00E8733B">
        <w:t xml:space="preserve">nguished. </w:t>
      </w:r>
      <w:proofErr w:type="spellStart"/>
      <w:r w:rsidR="00E8733B">
        <w:t>Kerwin</w:t>
      </w:r>
      <w:proofErr w:type="spellEnd"/>
      <w:r w:rsidR="00E8733B">
        <w:t xml:space="preserve"> J. was of the </w:t>
      </w:r>
      <w:r w:rsidRPr="0014260B">
        <w:t xml:space="preserve">opinion that even if that case be treated as an extension in England .of the common law rule, it should not be so treated in Canada where the question of divided jurisdiction arises, but that the test of </w:t>
      </w:r>
      <w:r w:rsidRPr="0014260B">
        <w:rPr>
          <w:i/>
        </w:rPr>
        <w:t xml:space="preserve">situs </w:t>
      </w:r>
      <w:r w:rsidRPr="0014260B">
        <w:t xml:space="preserve">laid down in </w:t>
      </w:r>
      <w:r w:rsidRPr="0014260B">
        <w:rPr>
          <w:i/>
        </w:rPr>
        <w:t xml:space="preserve">King v. National Trust </w:t>
      </w:r>
      <w:r w:rsidRPr="0014260B">
        <w:t xml:space="preserve">[19331 S.C.R., 670, approved by </w:t>
      </w:r>
      <w:r w:rsidRPr="0014260B">
        <w:rPr>
          <w:i/>
        </w:rPr>
        <w:t xml:space="preserve">Rex v. Williams </w:t>
      </w:r>
      <w:r w:rsidRPr="0014260B">
        <w:t xml:space="preserve">[1942] A.C. 541, should be followed. Rand J. was of the opinion that the law-making </w:t>
      </w:r>
      <w:proofErr w:type="spellStart"/>
      <w:r w:rsidRPr="0014260B">
        <w:t>sovereignity</w:t>
      </w:r>
      <w:proofErr w:type="spellEnd"/>
      <w:r w:rsidRPr="0014260B">
        <w:t xml:space="preserve"> of England was to be distinguished from that of a province of the Dominion of Canada, and that the power "of direct taxation within the province", interpreted as it has been by the authorities cited, is to be exercised on the footing that there is only one </w:t>
      </w:r>
      <w:r w:rsidRPr="0014260B">
        <w:rPr>
          <w:i/>
        </w:rPr>
        <w:t xml:space="preserve">situs </w:t>
      </w:r>
      <w:r w:rsidRPr="0014260B">
        <w:t xml:space="preserve">for every class of property and that </w:t>
      </w:r>
      <w:r w:rsidRPr="0014260B">
        <w:rPr>
          <w:i/>
        </w:rPr>
        <w:t xml:space="preserve">situs </w:t>
      </w:r>
      <w:r w:rsidRPr="0014260B">
        <w:t xml:space="preserve">must be within the province, and for shares, there can be no such division of interest or powers in or annexed to them as would in the result attribute to them a </w:t>
      </w:r>
      <w:r w:rsidRPr="0014260B">
        <w:rPr>
          <w:i/>
        </w:rPr>
        <w:t xml:space="preserve">situs </w:t>
      </w:r>
      <w:r w:rsidRPr="0014260B">
        <w:t>in two or more places. In the circumstances of the</w:t>
      </w:r>
      <w:r w:rsidR="00805BAA">
        <w:t xml:space="preserve"> </w:t>
      </w:r>
      <w:r w:rsidRPr="0014260B">
        <w:t xml:space="preserve">case, </w:t>
      </w:r>
      <w:proofErr w:type="spellStart"/>
      <w:r w:rsidRPr="0014260B">
        <w:t>Kellock</w:t>
      </w:r>
      <w:proofErr w:type="spellEnd"/>
      <w:r w:rsidRPr="0014260B">
        <w:t xml:space="preserve"> J., with the concurrence of </w:t>
      </w:r>
      <w:proofErr w:type="spellStart"/>
      <w:r w:rsidRPr="0014260B">
        <w:t>Estey</w:t>
      </w:r>
      <w:proofErr w:type="spellEnd"/>
      <w:r w:rsidRPr="0014260B">
        <w:t xml:space="preserve"> J., said, the</w:t>
      </w:r>
      <w:r w:rsidR="00E8733B">
        <w:t xml:space="preserve"> mere fact that the shares were</w:t>
      </w:r>
      <w:r w:rsidRPr="0014260B">
        <w:t xml:space="preserve"> not registered in the name of the deceased does not render inapplicable the principle of the decision in </w:t>
      </w:r>
      <w:r w:rsidR="00E8733B">
        <w:rPr>
          <w:i/>
        </w:rPr>
        <w:t xml:space="preserve">Rex </w:t>
      </w:r>
      <w:r w:rsidRPr="0014260B">
        <w:rPr>
          <w:i/>
        </w:rPr>
        <w:t xml:space="preserve">v. Williams; In re Ferguson </w:t>
      </w:r>
      <w:r w:rsidRPr="0014260B">
        <w:t xml:space="preserve">(1935) I.R. 21; </w:t>
      </w:r>
      <w:r w:rsidRPr="0014260B">
        <w:rPr>
          <w:i/>
        </w:rPr>
        <w:t xml:space="preserve">Attorney-General v. Higgins </w:t>
      </w:r>
      <w:r w:rsidRPr="0014260B">
        <w:t>2 H. &amp; N. 339.</w:t>
      </w:r>
    </w:p>
    <w:p w:rsidR="00B96DB2" w:rsidRPr="0014260B" w:rsidRDefault="00D766B8" w:rsidP="009903D3">
      <w:pPr>
        <w:pStyle w:val="Summary"/>
        <w:rPr>
          <w:i/>
        </w:rPr>
      </w:pPr>
      <w:r w:rsidRPr="0014260B">
        <w:rPr>
          <w:i/>
        </w:rPr>
        <w:t xml:space="preserve">Per </w:t>
      </w:r>
      <w:proofErr w:type="spellStart"/>
      <w:r w:rsidRPr="0014260B">
        <w:t>Kerwin</w:t>
      </w:r>
      <w:proofErr w:type="spellEnd"/>
      <w:r w:rsidRPr="0014260B">
        <w:t xml:space="preserve">, </w:t>
      </w:r>
      <w:proofErr w:type="spellStart"/>
      <w:r w:rsidRPr="0014260B">
        <w:t>Taschereau</w:t>
      </w:r>
      <w:proofErr w:type="spellEnd"/>
      <w:r w:rsidRPr="0014260B">
        <w:t xml:space="preserve"> and Rand JJ., that the provisions .of the </w:t>
      </w:r>
      <w:r w:rsidRPr="0014260B">
        <w:rPr>
          <w:i/>
        </w:rPr>
        <w:t xml:space="preserve">Canada-United States of America Tax Convention Act, </w:t>
      </w:r>
      <w:r w:rsidRPr="0014260B">
        <w:t>1944, (Dominion) do not affect the power of the Province of Nova Scotia to collect and retain Succession Duty taxes.</w:t>
      </w:r>
    </w:p>
    <w:p w:rsidR="00B96DB2" w:rsidRPr="0014260B" w:rsidRDefault="00D766B8" w:rsidP="009903D3">
      <w:pPr>
        <w:pStyle w:val="History"/>
        <w:rPr>
          <w:rFonts w:cs="Arial"/>
          <w:szCs w:val="24"/>
        </w:rPr>
      </w:pPr>
      <w:r w:rsidRPr="0014260B">
        <w:rPr>
          <w:rFonts w:cs="Arial"/>
          <w:szCs w:val="24"/>
          <w:lang w:val="en-US"/>
        </w:rPr>
        <w:t xml:space="preserve">APPEAL by the appellant, as Administrator with the Will annexed of W. Herbert Brookfield, deceased, from the decision of the Supreme Court of Nova Scotia in </w:t>
      </w:r>
      <w:r w:rsidRPr="0014260B">
        <w:rPr>
          <w:rFonts w:cs="Arial"/>
          <w:i/>
          <w:szCs w:val="24"/>
          <w:lang w:val="en-US"/>
        </w:rPr>
        <w:t>banco</w:t>
      </w:r>
      <w:r w:rsidR="00380A64" w:rsidRPr="0014260B">
        <w:rPr>
          <w:rStyle w:val="FootnoteReference"/>
          <w:rFonts w:cs="Arial"/>
          <w:i/>
          <w:szCs w:val="24"/>
          <w:lang w:val="en-US"/>
        </w:rPr>
        <w:footnoteReference w:id="1"/>
      </w:r>
      <w:r w:rsidRPr="0014260B">
        <w:rPr>
          <w:rFonts w:cs="Arial"/>
          <w:i/>
          <w:szCs w:val="24"/>
          <w:lang w:val="en-US"/>
        </w:rPr>
        <w:t xml:space="preserve"> </w:t>
      </w:r>
      <w:r w:rsidRPr="0014260B">
        <w:rPr>
          <w:rFonts w:cs="Arial"/>
          <w:szCs w:val="24"/>
          <w:lang w:val="en-US"/>
        </w:rPr>
        <w:t>whereby it w</w:t>
      </w:r>
      <w:r w:rsidR="00E8733B">
        <w:rPr>
          <w:rFonts w:cs="Arial"/>
          <w:szCs w:val="24"/>
          <w:lang w:val="en-US"/>
        </w:rPr>
        <w:t xml:space="preserve">as held—on a case stated </w:t>
      </w:r>
      <w:r w:rsidRPr="0014260B">
        <w:rPr>
          <w:rFonts w:cs="Arial"/>
          <w:szCs w:val="24"/>
          <w:lang w:val="en-US"/>
        </w:rPr>
        <w:t>as to—whether Succession Duty was leviable and payable for the use of the Province of Nova Scotia in respect of certain shares held by the late W. Herbert Brookfield at his death in companies of American registry, which shares were registered in the name of his nominees and had been endorsed by them in blank,—that Succession Duty was leviable and payable for the use of that Province.</w:t>
      </w:r>
    </w:p>
    <w:p w:rsidR="00B96DB2" w:rsidRPr="0014260B" w:rsidRDefault="00D766B8" w:rsidP="009903D3">
      <w:pPr>
        <w:pStyle w:val="Sollicitors"/>
        <w:rPr>
          <w:rFonts w:cs="Arial"/>
          <w:szCs w:val="24"/>
        </w:rPr>
      </w:pPr>
      <w:proofErr w:type="gramStart"/>
      <w:r w:rsidRPr="0014260B">
        <w:rPr>
          <w:rFonts w:cs="Arial"/>
          <w:szCs w:val="24"/>
          <w:lang w:val="en-US"/>
        </w:rPr>
        <w:t>R. A. Ritchie for the appellant.</w:t>
      </w:r>
      <w:proofErr w:type="gramEnd"/>
    </w:p>
    <w:p w:rsidR="00B96DB2" w:rsidRPr="0014260B" w:rsidRDefault="00D766B8" w:rsidP="009903D3">
      <w:pPr>
        <w:pStyle w:val="Sollicitors"/>
        <w:rPr>
          <w:rFonts w:cs="Arial"/>
          <w:spacing w:val="-5"/>
          <w:szCs w:val="24"/>
        </w:rPr>
      </w:pPr>
      <w:r w:rsidRPr="0014260B">
        <w:rPr>
          <w:rFonts w:cs="Arial"/>
          <w:spacing w:val="-5"/>
          <w:szCs w:val="24"/>
          <w:lang w:val="en-US"/>
        </w:rPr>
        <w:t>T. D. MacDonald K.C. for the respondent.</w:t>
      </w:r>
    </w:p>
    <w:p w:rsidR="00B96DB2" w:rsidRPr="0014260B" w:rsidRDefault="00D766B8" w:rsidP="009903D3">
      <w:pPr>
        <w:pStyle w:val="Reasons"/>
        <w:rPr>
          <w:rFonts w:cs="Arial"/>
          <w:szCs w:val="24"/>
          <w:lang w:val="en-US"/>
        </w:rPr>
      </w:pPr>
      <w:r w:rsidRPr="0014260B">
        <w:rPr>
          <w:rFonts w:cs="Arial"/>
          <w:szCs w:val="24"/>
          <w:lang w:val="en-US"/>
        </w:rPr>
        <w:t xml:space="preserve">KERWIN </w:t>
      </w:r>
      <w:r w:rsidRPr="0014260B">
        <w:rPr>
          <w:rFonts w:cs="Arial"/>
          <w:i/>
          <w:szCs w:val="24"/>
          <w:lang w:val="en-US"/>
        </w:rPr>
        <w:t xml:space="preserve">J.:—On </w:t>
      </w:r>
      <w:r w:rsidRPr="0014260B">
        <w:rPr>
          <w:rFonts w:cs="Arial"/>
          <w:szCs w:val="24"/>
          <w:lang w:val="en-US"/>
        </w:rPr>
        <w:t>October 7, 1937, W. Herbert Brookfield, domiciled and resident in Nova Scotia, made an arrangement with Royal Trust Company under which the latter from time to time, on his instructions, bought shares of</w:t>
      </w:r>
    </w:p>
    <w:p w:rsidR="007B461C" w:rsidRPr="0014260B" w:rsidRDefault="007B461C" w:rsidP="009903D3">
      <w:pPr>
        <w:pStyle w:val="Page"/>
        <w:rPr>
          <w:rFonts w:cs="Arial"/>
          <w:szCs w:val="24"/>
          <w:lang w:val="en-US"/>
        </w:rPr>
      </w:pPr>
      <w:r w:rsidRPr="0014260B">
        <w:rPr>
          <w:rFonts w:cs="Arial"/>
          <w:color w:val="000000"/>
          <w:szCs w:val="24"/>
          <w:lang w:val="en-US"/>
        </w:rPr>
        <w:t>[Page 331]</w:t>
      </w:r>
    </w:p>
    <w:p w:rsidR="00B96DB2" w:rsidRPr="0014260B" w:rsidRDefault="00D766B8" w:rsidP="009903D3">
      <w:pPr>
        <w:pStyle w:val="Reasons"/>
        <w:rPr>
          <w:rFonts w:eastAsia="Times New Roman" w:cs="Arial"/>
          <w:spacing w:val="2"/>
          <w:szCs w:val="24"/>
        </w:rPr>
      </w:pPr>
      <w:proofErr w:type="gramStart"/>
      <w:r w:rsidRPr="0014260B">
        <w:rPr>
          <w:rFonts w:eastAsia="Times New Roman" w:cs="Arial"/>
          <w:spacing w:val="2"/>
          <w:szCs w:val="24"/>
          <w:lang w:val="en-US"/>
        </w:rPr>
        <w:t>the</w:t>
      </w:r>
      <w:proofErr w:type="gramEnd"/>
      <w:r w:rsidRPr="0014260B">
        <w:rPr>
          <w:rFonts w:eastAsia="Times New Roman" w:cs="Arial"/>
          <w:spacing w:val="2"/>
          <w:szCs w:val="24"/>
          <w:lang w:val="en-US"/>
        </w:rPr>
        <w:t xml:space="preserve"> capital stock of various companies incorporated under the laws of different states of the United States of America. Each of these companies had its head-office in the United States 'and maintained no share register or transfer office in Nova Scotia. The shares were registered in the names of various persons employed by the trust compa</w:t>
      </w:r>
      <w:r w:rsidR="00E8733B">
        <w:rPr>
          <w:rFonts w:eastAsia="Times New Roman" w:cs="Arial"/>
          <w:spacing w:val="2"/>
          <w:szCs w:val="24"/>
          <w:lang w:val="en-US"/>
        </w:rPr>
        <w:t xml:space="preserve">ny at its office at Halifax and the certificates </w:t>
      </w:r>
      <w:r w:rsidRPr="0014260B">
        <w:rPr>
          <w:rFonts w:eastAsia="Times New Roman" w:cs="Arial"/>
          <w:spacing w:val="2"/>
          <w:szCs w:val="24"/>
          <w:lang w:val="en-US"/>
        </w:rPr>
        <w:t>for such shares were endorsed in blank by the respective persons in whose names they were made out. To each such certificate, singly or by</w:t>
      </w:r>
      <w:r w:rsidR="0014260B" w:rsidRPr="0014260B">
        <w:rPr>
          <w:rFonts w:eastAsia="Times New Roman" w:cs="Arial"/>
          <w:spacing w:val="2"/>
          <w:szCs w:val="24"/>
        </w:rPr>
        <w:t xml:space="preserve"> </w:t>
      </w:r>
      <w:r w:rsidRPr="0014260B">
        <w:rPr>
          <w:rFonts w:eastAsia="Times New Roman" w:cs="Arial"/>
          <w:szCs w:val="24"/>
          <w:lang w:val="en-US"/>
        </w:rPr>
        <w:t>groups, was attached a declaration of trust, signed by the person in whose name the c</w:t>
      </w:r>
      <w:r w:rsidR="0014260B" w:rsidRPr="0014260B">
        <w:rPr>
          <w:rFonts w:eastAsia="Times New Roman" w:cs="Arial"/>
          <w:szCs w:val="24"/>
          <w:lang w:val="en-US"/>
        </w:rPr>
        <w:t xml:space="preserve">ertificate was made out, declaring that such </w:t>
      </w:r>
      <w:r w:rsidRPr="0014260B">
        <w:rPr>
          <w:rFonts w:eastAsia="Times New Roman" w:cs="Arial"/>
          <w:szCs w:val="24"/>
          <w:lang w:val="en-US"/>
        </w:rPr>
        <w:t>person held the shares as nominee of the trust company and that he had furnished the company with authority to collect and receive all dividends to which he, as registered owner, might become entitled.</w:t>
      </w:r>
    </w:p>
    <w:p w:rsidR="00B96DB2" w:rsidRPr="0014260B" w:rsidRDefault="00D766B8" w:rsidP="009903D3">
      <w:pPr>
        <w:pStyle w:val="Reasons"/>
        <w:rPr>
          <w:rFonts w:eastAsia="Times New Roman" w:cs="Arial"/>
          <w:spacing w:val="5"/>
          <w:szCs w:val="24"/>
        </w:rPr>
      </w:pPr>
      <w:r w:rsidRPr="0014260B">
        <w:rPr>
          <w:rFonts w:eastAsia="Times New Roman" w:cs="Arial"/>
          <w:spacing w:val="5"/>
          <w:szCs w:val="24"/>
          <w:lang w:val="en-US"/>
        </w:rPr>
        <w:lastRenderedPageBreak/>
        <w:t>Mr. Brookfield died November 14, 1944, having previously made his last will and testament, wh</w:t>
      </w:r>
      <w:r w:rsidR="00E8733B">
        <w:rPr>
          <w:rFonts w:eastAsia="Times New Roman" w:cs="Arial"/>
          <w:spacing w:val="5"/>
          <w:szCs w:val="24"/>
          <w:lang w:val="en-US"/>
        </w:rPr>
        <w:t xml:space="preserve">erein he appointed executrices </w:t>
      </w:r>
      <w:r w:rsidRPr="0014260B">
        <w:rPr>
          <w:rFonts w:eastAsia="Times New Roman" w:cs="Arial"/>
          <w:spacing w:val="5"/>
          <w:szCs w:val="24"/>
          <w:lang w:val="en-US"/>
        </w:rPr>
        <w:t>but, they being unable or unwilling to act, administration with the will annexed was granted to the Trust Company. The trust company paid the Collector of Succession Duties for Nova Scotia a sum of money which included succession duty in respect of the property to which the testator was entitled in the shares. Later, the company paid the Collector of Inland Revenue of the United States a sum of money as Federal Estate Tax in respect of the said shares. The company c</w:t>
      </w:r>
      <w:r w:rsidR="00E8733B">
        <w:rPr>
          <w:rFonts w:eastAsia="Times New Roman" w:cs="Arial"/>
          <w:spacing w:val="5"/>
          <w:szCs w:val="24"/>
          <w:lang w:val="en-US"/>
        </w:rPr>
        <w:t xml:space="preserve">laimed a refund of this latter </w:t>
      </w:r>
      <w:r w:rsidRPr="0014260B">
        <w:rPr>
          <w:rFonts w:eastAsia="Times New Roman" w:cs="Arial"/>
          <w:spacing w:val="5"/>
          <w:szCs w:val="24"/>
          <w:lang w:val="en-US"/>
        </w:rPr>
        <w:t xml:space="preserve">amount from Nova Scotia on the theory that the </w:t>
      </w:r>
      <w:proofErr w:type="gramStart"/>
      <w:r w:rsidRPr="0014260B">
        <w:rPr>
          <w:rFonts w:eastAsia="Times New Roman" w:cs="Arial"/>
          <w:spacing w:val="5"/>
          <w:szCs w:val="24"/>
          <w:lang w:val="en-US"/>
        </w:rPr>
        <w:t>provisions of the Canada-United States of America Tax Convention Act, chapter 31 Statutes of Canada, 1944, was</w:t>
      </w:r>
      <w:proofErr w:type="gramEnd"/>
      <w:r w:rsidRPr="0014260B">
        <w:rPr>
          <w:rFonts w:eastAsia="Times New Roman" w:cs="Arial"/>
          <w:spacing w:val="5"/>
          <w:szCs w:val="24"/>
          <w:lang w:val="en-US"/>
        </w:rPr>
        <w:t xml:space="preserve"> applicable. The taxes therein referred to are the taxes imposed under the </w:t>
      </w:r>
      <w:r w:rsidRPr="0014260B">
        <w:rPr>
          <w:rFonts w:eastAsia="Times New Roman" w:cs="Arial"/>
          <w:i/>
          <w:spacing w:val="5"/>
          <w:szCs w:val="24"/>
          <w:lang w:val="en-US"/>
        </w:rPr>
        <w:t xml:space="preserve">Dominion Succession, Duty Act </w:t>
      </w:r>
      <w:r w:rsidRPr="0014260B">
        <w:rPr>
          <w:rFonts w:eastAsia="Times New Roman" w:cs="Arial"/>
          <w:spacing w:val="5"/>
          <w:szCs w:val="24"/>
          <w:lang w:val="en-US"/>
        </w:rPr>
        <w:t xml:space="preserve">and as to the first question raised by the stated case, I agree with the Court </w:t>
      </w:r>
      <w:r w:rsidRPr="0014260B">
        <w:rPr>
          <w:rFonts w:eastAsia="Times New Roman" w:cs="Arial"/>
          <w:i/>
          <w:spacing w:val="5"/>
          <w:szCs w:val="24"/>
          <w:lang w:val="en-US"/>
        </w:rPr>
        <w:t xml:space="preserve">en banc </w:t>
      </w:r>
      <w:r w:rsidRPr="0014260B">
        <w:rPr>
          <w:rFonts w:eastAsia="Times New Roman" w:cs="Arial"/>
          <w:spacing w:val="5"/>
          <w:szCs w:val="24"/>
          <w:lang w:val="en-US"/>
        </w:rPr>
        <w:t>that such an Act and the Convention could not have any effect upo</w:t>
      </w:r>
      <w:r w:rsidR="00E8733B">
        <w:rPr>
          <w:rFonts w:eastAsia="Times New Roman" w:cs="Arial"/>
          <w:spacing w:val="5"/>
          <w:szCs w:val="24"/>
          <w:lang w:val="en-US"/>
        </w:rPr>
        <w:t xml:space="preserve">n the power of the province to </w:t>
      </w:r>
      <w:r w:rsidRPr="0014260B">
        <w:rPr>
          <w:rFonts w:eastAsia="Times New Roman" w:cs="Arial"/>
          <w:spacing w:val="5"/>
          <w:szCs w:val="24"/>
          <w:lang w:val="en-US"/>
        </w:rPr>
        <w:t>collect and retain succession duty taxes.</w:t>
      </w:r>
    </w:p>
    <w:p w:rsidR="00B96DB2" w:rsidRPr="0014260B" w:rsidRDefault="00E8733B" w:rsidP="009903D3">
      <w:pPr>
        <w:pStyle w:val="Reasons"/>
        <w:rPr>
          <w:rFonts w:eastAsia="Times New Roman" w:cs="Arial"/>
          <w:szCs w:val="24"/>
        </w:rPr>
      </w:pPr>
      <w:r>
        <w:rPr>
          <w:rFonts w:eastAsia="Times New Roman" w:cs="Arial"/>
          <w:szCs w:val="24"/>
          <w:lang w:val="en-US"/>
        </w:rPr>
        <w:t xml:space="preserve">The second question is more </w:t>
      </w:r>
      <w:r w:rsidR="00D766B8" w:rsidRPr="0014260B">
        <w:rPr>
          <w:rFonts w:eastAsia="Times New Roman" w:cs="Arial"/>
          <w:szCs w:val="24"/>
          <w:lang w:val="en-US"/>
        </w:rPr>
        <w:t xml:space="preserve">difficult. Section 3(1) of the Nova Scotia </w:t>
      </w:r>
      <w:r w:rsidR="00D766B8" w:rsidRPr="0014260B">
        <w:rPr>
          <w:rFonts w:eastAsia="Times New Roman" w:cs="Arial"/>
          <w:i/>
          <w:szCs w:val="24"/>
          <w:lang w:val="en-US"/>
        </w:rPr>
        <w:t xml:space="preserve">Succession Duty Act, </w:t>
      </w:r>
      <w:r w:rsidR="00D766B8" w:rsidRPr="0014260B">
        <w:rPr>
          <w:rFonts w:eastAsia="Times New Roman" w:cs="Arial"/>
          <w:szCs w:val="24"/>
          <w:lang w:val="en-US"/>
        </w:rPr>
        <w:t>chapter 7 of the</w:t>
      </w:r>
      <w:r w:rsidR="0014260B">
        <w:rPr>
          <w:rFonts w:eastAsia="Times New Roman" w:cs="Arial"/>
          <w:szCs w:val="24"/>
        </w:rPr>
        <w:t xml:space="preserve"> </w:t>
      </w:r>
      <w:r w:rsidR="00D766B8" w:rsidRPr="0014260B">
        <w:rPr>
          <w:rFonts w:eastAsia="Times New Roman" w:cs="Arial"/>
          <w:spacing w:val="11"/>
          <w:szCs w:val="24"/>
          <w:lang w:val="en-US"/>
        </w:rPr>
        <w:t>1945 Statutes, provides:-</w:t>
      </w:r>
      <w:r w:rsidR="00D766B8" w:rsidRPr="0014260B">
        <w:rPr>
          <w:rFonts w:eastAsia="Times New Roman" w:cs="Arial"/>
          <w:szCs w:val="24"/>
          <w:lang w:val="en-US"/>
        </w:rPr>
        <w:t xml:space="preserve"> </w:t>
      </w:r>
    </w:p>
    <w:p w:rsidR="00B96DB2" w:rsidRPr="0014260B" w:rsidRDefault="00D766B8" w:rsidP="009903D3">
      <w:pPr>
        <w:pStyle w:val="Indent1"/>
        <w:spacing w:after="100" w:afterAutospacing="1"/>
      </w:pPr>
      <w:proofErr w:type="gramStart"/>
      <w:r w:rsidRPr="0014260B">
        <w:rPr>
          <w:lang w:val="en-US"/>
        </w:rPr>
        <w:t>3 (1) For the purpose of raising a revenue for provincial purposes.</w:t>
      </w:r>
      <w:proofErr w:type="gramEnd"/>
      <w:r w:rsidRPr="0014260B">
        <w:rPr>
          <w:lang w:val="en-US"/>
        </w:rPr>
        <w:t xml:space="preserve"> </w:t>
      </w:r>
      <w:proofErr w:type="gramStart"/>
      <w:r w:rsidRPr="0014260B">
        <w:rPr>
          <w:lang w:val="en-US"/>
        </w:rPr>
        <w:t>and</w:t>
      </w:r>
      <w:proofErr w:type="gramEnd"/>
      <w:r w:rsidRPr="0014260B">
        <w:rPr>
          <w:lang w:val="en-US"/>
        </w:rPr>
        <w:t xml:space="preserve"> save as is Hereinafter otherwise expressly provided, there shall he levied and paid for the use of the Province a duty (called Succession</w:t>
      </w:r>
    </w:p>
    <w:p w:rsidR="007B461C" w:rsidRPr="0014260B" w:rsidRDefault="007B461C" w:rsidP="009903D3">
      <w:pPr>
        <w:pStyle w:val="Page"/>
        <w:rPr>
          <w:lang w:val="en-US"/>
        </w:rPr>
      </w:pPr>
      <w:r w:rsidRPr="0014260B">
        <w:rPr>
          <w:lang w:val="en-US"/>
        </w:rPr>
        <w:t>[Page 332]</w:t>
      </w:r>
    </w:p>
    <w:p w:rsidR="00B96DB2" w:rsidRPr="0014260B" w:rsidRDefault="00D766B8" w:rsidP="009903D3">
      <w:pPr>
        <w:pStyle w:val="Indent1"/>
        <w:spacing w:after="100" w:afterAutospacing="1"/>
        <w:rPr>
          <w:spacing w:val="8"/>
        </w:rPr>
      </w:pPr>
      <w:r w:rsidRPr="0014260B">
        <w:rPr>
          <w:spacing w:val="8"/>
          <w:lang w:val="en-US"/>
        </w:rPr>
        <w:t xml:space="preserve">Duty), at the rates hereinafter specified upon all property hereinafter mentioned which has passed on the death of any person who </w:t>
      </w:r>
      <w:r w:rsidR="00E8733B">
        <w:rPr>
          <w:spacing w:val="8"/>
          <w:lang w:val="en-US"/>
        </w:rPr>
        <w:t>ha</w:t>
      </w:r>
      <w:r w:rsidRPr="00E8733B">
        <w:rPr>
          <w:spacing w:val="8"/>
          <w:lang w:val="en-US"/>
        </w:rPr>
        <w:t>s</w:t>
      </w:r>
      <w:r w:rsidRPr="0014260B">
        <w:rPr>
          <w:spacing w:val="8"/>
          <w:lang w:val="en-US"/>
        </w:rPr>
        <w:t xml:space="preserve"> died on or since the 1st day of July, A.D. 1892, or which passes on the death of any person who shall hereafter die, the duty to be according to the fair market value of such property at the date of the death of the deceased.</w:t>
      </w:r>
    </w:p>
    <w:p w:rsidR="00B96DB2" w:rsidRPr="0014260B" w:rsidRDefault="00D766B8" w:rsidP="009903D3">
      <w:pPr>
        <w:pStyle w:val="Reasons"/>
        <w:rPr>
          <w:rFonts w:eastAsia="Times New Roman" w:cs="Arial"/>
          <w:spacing w:val="15"/>
          <w:szCs w:val="24"/>
        </w:rPr>
      </w:pPr>
      <w:proofErr w:type="gramStart"/>
      <w:r w:rsidRPr="0014260B">
        <w:rPr>
          <w:rFonts w:eastAsia="Times New Roman" w:cs="Arial"/>
          <w:spacing w:val="15"/>
          <w:szCs w:val="24"/>
          <w:lang w:val="en-US"/>
        </w:rPr>
        <w:t>and</w:t>
      </w:r>
      <w:proofErr w:type="gramEnd"/>
      <w:r w:rsidRPr="0014260B">
        <w:rPr>
          <w:rFonts w:eastAsia="Times New Roman" w:cs="Arial"/>
          <w:spacing w:val="15"/>
          <w:szCs w:val="24"/>
          <w:lang w:val="en-US"/>
        </w:rPr>
        <w:t xml:space="preserve"> section 8(a) enacts:-</w:t>
      </w:r>
      <w:r w:rsidRPr="0014260B">
        <w:rPr>
          <w:rFonts w:eastAsia="Times New Roman" w:cs="Arial"/>
          <w:szCs w:val="24"/>
          <w:lang w:val="en-US"/>
        </w:rPr>
        <w:t xml:space="preserve"> </w:t>
      </w:r>
    </w:p>
    <w:p w:rsidR="00B96DB2" w:rsidRPr="0014260B" w:rsidRDefault="00D766B8" w:rsidP="009903D3">
      <w:pPr>
        <w:pStyle w:val="Indent1"/>
        <w:spacing w:after="100" w:afterAutospacing="1"/>
      </w:pPr>
      <w:r w:rsidRPr="0014260B">
        <w:rPr>
          <w:lang w:val="en-US"/>
        </w:rPr>
        <w:t xml:space="preserve">8. Save as is hereinafter otherwise expressly provided the property On Which succession duty shall be levied and paid under this Act at the rates hereinafter specified shall be as follows:— </w:t>
      </w:r>
    </w:p>
    <w:p w:rsidR="00B96DB2" w:rsidRPr="0014260B" w:rsidRDefault="00D766B8" w:rsidP="009903D3">
      <w:pPr>
        <w:pStyle w:val="Indent2"/>
        <w:spacing w:after="100" w:afterAutospacing="1"/>
      </w:pPr>
      <w:r w:rsidRPr="0014260B">
        <w:rPr>
          <w:lang w:val="en-US"/>
        </w:rPr>
        <w:t>(a) all property situate in Nova Scotia which has passed as aforesaid or which passes as aforesaid on the death of any person, whether the deceased was at the time of his death domiciled in Nova Scotia or elsewhere * * *</w:t>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The subject matter of the taxation is p</w:t>
      </w:r>
      <w:r w:rsidR="0014260B">
        <w:rPr>
          <w:rFonts w:eastAsia="Times New Roman" w:cs="Arial"/>
          <w:spacing w:val="6"/>
          <w:szCs w:val="24"/>
          <w:lang w:val="en-US"/>
        </w:rPr>
        <w:t>roperty "situate in Nova Scotia.</w:t>
      </w:r>
      <w:r w:rsidRPr="0014260B">
        <w:rPr>
          <w:rFonts w:eastAsia="Times New Roman" w:cs="Arial"/>
          <w:spacing w:val="6"/>
          <w:szCs w:val="24"/>
          <w:lang w:val="en-US"/>
        </w:rPr>
        <w:t>" Mr. Brookfield had the beneficial interest in the shares and undoubtedly at the time of his death that inte</w:t>
      </w:r>
      <w:r w:rsidR="00E8733B">
        <w:rPr>
          <w:rFonts w:eastAsia="Times New Roman" w:cs="Arial"/>
          <w:spacing w:val="6"/>
          <w:szCs w:val="24"/>
          <w:lang w:val="en-US"/>
        </w:rPr>
        <w:t xml:space="preserve">rest passed within the meaning </w:t>
      </w:r>
      <w:r w:rsidRPr="0014260B">
        <w:rPr>
          <w:rFonts w:eastAsia="Times New Roman" w:cs="Arial"/>
          <w:spacing w:val="6"/>
          <w:szCs w:val="24"/>
          <w:lang w:val="en-US"/>
        </w:rPr>
        <w:t>of the Act; but the question is whether such interest is property situate in the province.</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 xml:space="preserve">The court </w:t>
      </w:r>
      <w:r w:rsidRPr="0014260B">
        <w:rPr>
          <w:rFonts w:eastAsia="Times New Roman" w:cs="Arial"/>
          <w:i/>
          <w:spacing w:val="3"/>
          <w:szCs w:val="24"/>
          <w:lang w:val="en-US"/>
        </w:rPr>
        <w:t xml:space="preserve">en banc </w:t>
      </w:r>
      <w:r w:rsidRPr="0014260B">
        <w:rPr>
          <w:rFonts w:eastAsia="Times New Roman" w:cs="Arial"/>
          <w:spacing w:val="3"/>
          <w:szCs w:val="24"/>
          <w:lang w:val="en-US"/>
        </w:rPr>
        <w:t>de</w:t>
      </w:r>
      <w:r w:rsidR="0014260B">
        <w:rPr>
          <w:rFonts w:eastAsia="Times New Roman" w:cs="Arial"/>
          <w:spacing w:val="3"/>
          <w:szCs w:val="24"/>
          <w:lang w:val="en-US"/>
        </w:rPr>
        <w:t xml:space="preserve">cided that the question was concluded </w:t>
      </w:r>
      <w:r w:rsidRPr="0014260B">
        <w:rPr>
          <w:rFonts w:eastAsia="Times New Roman" w:cs="Arial"/>
          <w:spacing w:val="3"/>
          <w:szCs w:val="24"/>
          <w:lang w:val="en-US"/>
        </w:rPr>
        <w:t xml:space="preserve">by the decision in </w:t>
      </w:r>
      <w:r w:rsidRPr="0014260B">
        <w:rPr>
          <w:rFonts w:eastAsia="Times New Roman" w:cs="Arial"/>
          <w:i/>
          <w:spacing w:val="3"/>
          <w:szCs w:val="24"/>
          <w:lang w:val="en-US"/>
        </w:rPr>
        <w:t>Stern v. The Queen</w:t>
      </w:r>
      <w:r w:rsidR="00380A64" w:rsidRPr="0014260B">
        <w:rPr>
          <w:rStyle w:val="FootnoteReference"/>
          <w:rFonts w:eastAsia="Times New Roman" w:cs="Arial"/>
          <w:i/>
          <w:spacing w:val="3"/>
          <w:szCs w:val="24"/>
          <w:lang w:val="en-US"/>
        </w:rPr>
        <w:footnoteReference w:id="2"/>
      </w:r>
      <w:r w:rsidRPr="0014260B">
        <w:rPr>
          <w:rFonts w:eastAsia="Times New Roman" w:cs="Arial"/>
          <w:i/>
          <w:spacing w:val="3"/>
          <w:szCs w:val="24"/>
          <w:lang w:val="en-US"/>
        </w:rPr>
        <w:t xml:space="preserve">, </w:t>
      </w:r>
      <w:r w:rsidRPr="0014260B">
        <w:rPr>
          <w:rFonts w:eastAsia="Times New Roman" w:cs="Arial"/>
          <w:spacing w:val="3"/>
          <w:szCs w:val="24"/>
          <w:lang w:val="en-US"/>
        </w:rPr>
        <w:t>but before dealing with that decision it is convenient to</w:t>
      </w:r>
      <w:r w:rsidR="00E8733B">
        <w:rPr>
          <w:rFonts w:eastAsia="Times New Roman" w:cs="Arial"/>
          <w:spacing w:val="3"/>
          <w:szCs w:val="24"/>
          <w:lang w:val="en-US"/>
        </w:rPr>
        <w:t xml:space="preserve"> refer to certain propositions </w:t>
      </w:r>
      <w:r w:rsidRPr="0014260B">
        <w:rPr>
          <w:rFonts w:eastAsia="Times New Roman" w:cs="Arial"/>
          <w:spacing w:val="3"/>
          <w:szCs w:val="24"/>
          <w:lang w:val="en-US"/>
        </w:rPr>
        <w:t>that h</w:t>
      </w:r>
      <w:r w:rsidR="00E8733B">
        <w:rPr>
          <w:rFonts w:eastAsia="Times New Roman" w:cs="Arial"/>
          <w:spacing w:val="3"/>
          <w:szCs w:val="24"/>
          <w:lang w:val="en-US"/>
        </w:rPr>
        <w:t xml:space="preserve">ave </w:t>
      </w:r>
      <w:r w:rsidRPr="0014260B">
        <w:rPr>
          <w:rFonts w:eastAsia="Times New Roman" w:cs="Arial"/>
          <w:spacing w:val="3"/>
          <w:szCs w:val="24"/>
          <w:lang w:val="en-US"/>
        </w:rPr>
        <w:t xml:space="preserve">been established in cases of this nature. They were formulated by Chief Justice Duff, speaking for this court in </w:t>
      </w:r>
      <w:r w:rsidRPr="0014260B">
        <w:rPr>
          <w:rFonts w:eastAsia="Times New Roman" w:cs="Arial"/>
          <w:i/>
          <w:spacing w:val="3"/>
          <w:szCs w:val="24"/>
          <w:lang w:val="en-US"/>
        </w:rPr>
        <w:t>The King v. National Trust Company</w:t>
      </w:r>
      <w:r w:rsidR="00380A64" w:rsidRPr="0014260B">
        <w:rPr>
          <w:rStyle w:val="FootnoteReference"/>
          <w:rFonts w:eastAsia="Times New Roman" w:cs="Arial"/>
          <w:i/>
          <w:spacing w:val="3"/>
          <w:szCs w:val="24"/>
          <w:lang w:val="en-US"/>
        </w:rPr>
        <w:footnoteReference w:id="3"/>
      </w:r>
      <w:r w:rsidRPr="0014260B">
        <w:rPr>
          <w:rFonts w:eastAsia="Times New Roman" w:cs="Arial"/>
          <w:spacing w:val="3"/>
          <w:szCs w:val="24"/>
          <w:lang w:val="en-US"/>
        </w:rPr>
        <w:t xml:space="preserve">, and were expressly </w:t>
      </w:r>
      <w:r w:rsidRPr="0014260B">
        <w:rPr>
          <w:rFonts w:eastAsia="Times New Roman" w:cs="Arial"/>
          <w:spacing w:val="3"/>
          <w:szCs w:val="24"/>
          <w:lang w:val="en-US"/>
        </w:rPr>
        <w:lastRenderedPageBreak/>
        <w:t xml:space="preserve">approved and repeated by the Judicial Committee in </w:t>
      </w:r>
      <w:r w:rsidRPr="0014260B">
        <w:rPr>
          <w:rFonts w:eastAsia="Times New Roman" w:cs="Arial"/>
          <w:i/>
          <w:spacing w:val="3"/>
          <w:szCs w:val="24"/>
          <w:lang w:val="en-US"/>
        </w:rPr>
        <w:t>Rex v. Williams</w:t>
      </w:r>
      <w:r w:rsidR="00380A64" w:rsidRPr="0014260B">
        <w:rPr>
          <w:rStyle w:val="FootnoteReference"/>
          <w:rFonts w:eastAsia="Times New Roman" w:cs="Arial"/>
          <w:i/>
          <w:spacing w:val="3"/>
          <w:szCs w:val="24"/>
          <w:lang w:val="en-US"/>
        </w:rPr>
        <w:footnoteReference w:id="4"/>
      </w:r>
      <w:r w:rsidRPr="0014260B">
        <w:rPr>
          <w:rFonts w:eastAsia="Times New Roman" w:cs="Arial"/>
          <w:spacing w:val="3"/>
          <w:szCs w:val="24"/>
          <w:lang w:val="en-US"/>
        </w:rPr>
        <w:t xml:space="preserve">. As pointed out by Lord Uthwatt for the Judicial Committee in </w:t>
      </w:r>
      <w:r w:rsidRPr="0014260B">
        <w:rPr>
          <w:rFonts w:eastAsia="Times New Roman" w:cs="Arial"/>
          <w:i/>
          <w:spacing w:val="3"/>
          <w:szCs w:val="24"/>
          <w:lang w:val="en-US"/>
        </w:rPr>
        <w:t>Treasurer of Ontario. v. Blonde</w:t>
      </w:r>
      <w:r w:rsidR="00380A64" w:rsidRPr="0014260B">
        <w:rPr>
          <w:rStyle w:val="FootnoteReference"/>
          <w:rFonts w:eastAsia="Times New Roman" w:cs="Arial"/>
          <w:i/>
          <w:spacing w:val="3"/>
          <w:szCs w:val="24"/>
          <w:lang w:val="en-US"/>
        </w:rPr>
        <w:footnoteReference w:id="5"/>
      </w:r>
      <w:r w:rsidRPr="0014260B">
        <w:rPr>
          <w:rFonts w:eastAsia="Times New Roman" w:cs="Arial"/>
          <w:spacing w:val="3"/>
          <w:szCs w:val="24"/>
          <w:lang w:val="en-US"/>
        </w:rPr>
        <w:t xml:space="preserve">, the authorities before the </w:t>
      </w:r>
      <w:r w:rsidRPr="0014260B">
        <w:rPr>
          <w:rFonts w:eastAsia="Times New Roman" w:cs="Arial"/>
          <w:i/>
          <w:spacing w:val="3"/>
          <w:szCs w:val="24"/>
          <w:lang w:val="en-US"/>
        </w:rPr>
        <w:t xml:space="preserve">Williams </w:t>
      </w:r>
      <w:r w:rsidR="00E8733B">
        <w:rPr>
          <w:rFonts w:eastAsia="Times New Roman" w:cs="Arial"/>
          <w:spacing w:val="3"/>
          <w:szCs w:val="24"/>
          <w:lang w:val="en-US"/>
        </w:rPr>
        <w:t xml:space="preserve">case established that, if, for </w:t>
      </w:r>
      <w:r w:rsidRPr="0014260B">
        <w:rPr>
          <w:rFonts w:eastAsia="Times New Roman" w:cs="Arial"/>
          <w:spacing w:val="3"/>
          <w:szCs w:val="24"/>
          <w:lang w:val="en-US"/>
        </w:rPr>
        <w:t xml:space="preserve">the purposes of Succession Duty Acts (such as </w:t>
      </w:r>
      <w:r w:rsidR="00E8733B">
        <w:rPr>
          <w:rFonts w:eastAsia="Times New Roman" w:cs="Arial"/>
          <w:spacing w:val="3"/>
          <w:szCs w:val="24"/>
          <w:lang w:val="en-US"/>
        </w:rPr>
        <w:t xml:space="preserve">the Nova Scotia Act), there be </w:t>
      </w:r>
      <w:r w:rsidRPr="0014260B">
        <w:rPr>
          <w:rFonts w:eastAsia="Times New Roman" w:cs="Arial"/>
          <w:spacing w:val="3"/>
          <w:szCs w:val="24"/>
          <w:lang w:val="en-US"/>
        </w:rPr>
        <w:t>found within a particular provincial jurisdiction a place in which registered shares in a company ca</w:t>
      </w:r>
      <w:r w:rsidR="00E8733B">
        <w:rPr>
          <w:rFonts w:eastAsia="Times New Roman" w:cs="Arial"/>
          <w:spacing w:val="3"/>
          <w:szCs w:val="24"/>
          <w:lang w:val="en-US"/>
        </w:rPr>
        <w:t xml:space="preserve">n be effectively dealt with as </w:t>
      </w:r>
      <w:r w:rsidRPr="0014260B">
        <w:rPr>
          <w:rFonts w:eastAsia="Times New Roman" w:cs="Arial"/>
          <w:spacing w:val="3"/>
          <w:szCs w:val="24"/>
          <w:lang w:val="en-US"/>
        </w:rPr>
        <w:t xml:space="preserve">between the shareholders and company, the shares are situate within that jurisdiction; but that in none of those cases was there present the feature that there •were two places where the shares could effectively be dealt with, one within, and the other outside, the jurisdiction. Lord Uthwatt proceeded to say that </w:t>
      </w:r>
      <w:proofErr w:type="gramStart"/>
      <w:r w:rsidRPr="0014260B">
        <w:rPr>
          <w:rFonts w:eastAsia="Times New Roman" w:cs="Arial"/>
          <w:spacing w:val="3"/>
          <w:szCs w:val="24"/>
          <w:lang w:val="en-US"/>
        </w:rPr>
        <w:t>The</w:t>
      </w:r>
      <w:proofErr w:type="gramEnd"/>
      <w:r w:rsidRPr="0014260B">
        <w:rPr>
          <w:rFonts w:eastAsia="Times New Roman" w:cs="Arial"/>
          <w:spacing w:val="3"/>
          <w:szCs w:val="24"/>
          <w:lang w:val="en-US"/>
        </w:rPr>
        <w:t xml:space="preserve"> principle laid down in the </w:t>
      </w:r>
      <w:r w:rsidRPr="0014260B">
        <w:rPr>
          <w:rFonts w:eastAsia="Times New Roman" w:cs="Arial"/>
          <w:i/>
          <w:spacing w:val="3"/>
          <w:szCs w:val="24"/>
          <w:lang w:val="en-US"/>
        </w:rPr>
        <w:t xml:space="preserve">Williams </w:t>
      </w:r>
      <w:r w:rsidRPr="0014260B">
        <w:rPr>
          <w:rFonts w:eastAsia="Times New Roman" w:cs="Arial"/>
          <w:spacing w:val="3"/>
          <w:szCs w:val="24"/>
          <w:lang w:val="en-US"/>
        </w:rPr>
        <w:t>case was that if it were possible on r</w:t>
      </w:r>
      <w:r w:rsidR="00380A64" w:rsidRPr="0014260B">
        <w:rPr>
          <w:rFonts w:eastAsia="Times New Roman" w:cs="Arial"/>
          <w:spacing w:val="3"/>
          <w:szCs w:val="24"/>
          <w:lang w:val="en-US"/>
        </w:rPr>
        <w:t>ational grounds to prefer one o</w:t>
      </w:r>
      <w:r w:rsidRPr="0014260B">
        <w:rPr>
          <w:rFonts w:eastAsia="Times New Roman" w:cs="Arial"/>
          <w:spacing w:val="3"/>
          <w:szCs w:val="24"/>
          <w:lang w:val="en-US"/>
        </w:rPr>
        <w:t>f the alternative</w:t>
      </w:r>
    </w:p>
    <w:p w:rsidR="007B461C" w:rsidRPr="0014260B" w:rsidRDefault="007B461C" w:rsidP="009903D3">
      <w:pPr>
        <w:pStyle w:val="Page"/>
        <w:rPr>
          <w:rFonts w:cs="Arial"/>
          <w:szCs w:val="24"/>
          <w:lang w:val="en-US"/>
        </w:rPr>
      </w:pPr>
      <w:r w:rsidRPr="0014260B">
        <w:rPr>
          <w:rFonts w:cs="Arial"/>
          <w:color w:val="000000"/>
          <w:szCs w:val="24"/>
          <w:lang w:val="en-US"/>
        </w:rPr>
        <w:t>[Page 333]</w:t>
      </w:r>
    </w:p>
    <w:p w:rsidR="00B96DB2" w:rsidRPr="0014260B" w:rsidRDefault="00D766B8" w:rsidP="009903D3">
      <w:pPr>
        <w:pStyle w:val="Reasons"/>
        <w:rPr>
          <w:rFonts w:eastAsia="Times New Roman" w:cs="Arial"/>
          <w:spacing w:val="6"/>
          <w:szCs w:val="24"/>
        </w:rPr>
      </w:pPr>
      <w:proofErr w:type="gramStart"/>
      <w:r w:rsidRPr="0014260B">
        <w:rPr>
          <w:rFonts w:eastAsia="Times New Roman" w:cs="Arial"/>
          <w:spacing w:val="6"/>
          <w:szCs w:val="24"/>
          <w:lang w:val="en-US"/>
        </w:rPr>
        <w:t>places</w:t>
      </w:r>
      <w:proofErr w:type="gramEnd"/>
      <w:r w:rsidRPr="0014260B">
        <w:rPr>
          <w:rFonts w:eastAsia="Times New Roman" w:cs="Arial"/>
          <w:spacing w:val="6"/>
          <w:szCs w:val="24"/>
          <w:lang w:val="en-US"/>
        </w:rPr>
        <w:t xml:space="preserve"> to the other as the place of transfer for the shares in question, the selection should be made accordingly. It was in applying this principle that Viscount Maugham in the </w:t>
      </w:r>
      <w:r w:rsidRPr="0014260B">
        <w:rPr>
          <w:rFonts w:eastAsia="Times New Roman" w:cs="Arial"/>
          <w:i/>
          <w:spacing w:val="6"/>
          <w:szCs w:val="24"/>
          <w:lang w:val="en-US"/>
        </w:rPr>
        <w:t xml:space="preserve">Williams </w:t>
      </w:r>
      <w:r w:rsidRPr="0014260B">
        <w:rPr>
          <w:rFonts w:eastAsia="Times New Roman" w:cs="Arial"/>
          <w:spacing w:val="6"/>
          <w:szCs w:val="24"/>
          <w:lang w:val="en-US"/>
        </w:rPr>
        <w:t xml:space="preserve">case stated that their Lordships had come to the conclusion that the existence in Buffalo, at the date of the death, of certificates in the name of the testator, </w:t>
      </w:r>
      <w:r w:rsidR="00E8733B">
        <w:rPr>
          <w:rFonts w:eastAsia="Times New Roman" w:cs="Arial"/>
          <w:spacing w:val="6"/>
          <w:szCs w:val="24"/>
          <w:lang w:val="en-US"/>
        </w:rPr>
        <w:t xml:space="preserve">endorsed by him in blank, must </w:t>
      </w:r>
      <w:r w:rsidRPr="0014260B">
        <w:rPr>
          <w:rFonts w:eastAsia="Times New Roman" w:cs="Arial"/>
          <w:spacing w:val="6"/>
          <w:szCs w:val="24"/>
          <w:lang w:val="en-US"/>
        </w:rPr>
        <w:t xml:space="preserve">be decisive. Their Lordships did not think it right to express any opinion as to the conclusion which they would have come to if the certificates had not been endorsed and signed in blank by the testator, since the point did not arise for decision and there </w:t>
      </w:r>
      <w:r w:rsidR="00E8733B">
        <w:rPr>
          <w:rFonts w:eastAsia="Times New Roman" w:cs="Arial"/>
          <w:spacing w:val="6"/>
          <w:szCs w:val="24"/>
          <w:lang w:val="en-US"/>
        </w:rPr>
        <w:t xml:space="preserve">were some obvious distinctions </w:t>
      </w:r>
      <w:r w:rsidRPr="0014260B">
        <w:rPr>
          <w:rFonts w:eastAsia="Times New Roman" w:cs="Arial"/>
          <w:spacing w:val="6"/>
          <w:szCs w:val="24"/>
          <w:lang w:val="en-US"/>
        </w:rPr>
        <w:t>arising in cases where the endorsement on certificates has not been signed by the registered hol</w:t>
      </w:r>
      <w:r w:rsidR="00E8733B">
        <w:rPr>
          <w:rFonts w:eastAsia="Times New Roman" w:cs="Arial"/>
          <w:spacing w:val="6"/>
          <w:szCs w:val="24"/>
          <w:lang w:val="en-US"/>
        </w:rPr>
        <w:t xml:space="preserve">der. This reservation, it will </w:t>
      </w:r>
      <w:r w:rsidRPr="0014260B">
        <w:rPr>
          <w:rFonts w:eastAsia="Times New Roman" w:cs="Arial"/>
          <w:spacing w:val="6"/>
          <w:szCs w:val="24"/>
          <w:lang w:val="en-US"/>
        </w:rPr>
        <w:t xml:space="preserve">be noticed, was made in a case where the judicial committee was faced with the problem of preferring one of two alternative places, one of which was within the jurisdiction of a </w:t>
      </w:r>
      <w:r w:rsidR="002F57A9">
        <w:rPr>
          <w:rFonts w:eastAsia="Times New Roman" w:cs="Arial"/>
          <w:spacing w:val="6"/>
          <w:szCs w:val="24"/>
          <w:lang w:val="en-US"/>
        </w:rPr>
        <w:t xml:space="preserve">province and the other </w:t>
      </w:r>
      <w:r w:rsidRPr="0014260B">
        <w:rPr>
          <w:rFonts w:eastAsia="Times New Roman" w:cs="Arial"/>
          <w:spacing w:val="6"/>
          <w:szCs w:val="24"/>
          <w:lang w:val="en-US"/>
        </w:rPr>
        <w:t>outside Canada.</w:t>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 xml:space="preserve">In the </w:t>
      </w:r>
      <w:r w:rsidRPr="0014260B">
        <w:rPr>
          <w:rFonts w:eastAsia="Times New Roman" w:cs="Arial"/>
          <w:i/>
          <w:spacing w:val="6"/>
          <w:szCs w:val="24"/>
          <w:lang w:val="en-US"/>
        </w:rPr>
        <w:t xml:space="preserve">Blonde </w:t>
      </w:r>
      <w:r w:rsidRPr="0014260B">
        <w:rPr>
          <w:rFonts w:eastAsia="Times New Roman" w:cs="Arial"/>
          <w:spacing w:val="6"/>
          <w:szCs w:val="24"/>
          <w:lang w:val="en-US"/>
        </w:rPr>
        <w:t>case, as here, there was no place within the claiming province where a t</w:t>
      </w:r>
      <w:r w:rsidR="006B4A3B">
        <w:rPr>
          <w:rFonts w:eastAsia="Times New Roman" w:cs="Arial"/>
          <w:spacing w:val="6"/>
          <w:szCs w:val="24"/>
          <w:lang w:val="en-US"/>
        </w:rPr>
        <w:t xml:space="preserve">ransfer of the shares could be carried through but, </w:t>
      </w:r>
      <w:r w:rsidRPr="0014260B">
        <w:rPr>
          <w:rFonts w:eastAsia="Times New Roman" w:cs="Arial"/>
          <w:spacing w:val="6"/>
          <w:szCs w:val="24"/>
          <w:lang w:val="en-US"/>
        </w:rPr>
        <w:t>differing from the present case, the certificates, while physically situate in the claimant province, ha</w:t>
      </w:r>
      <w:r w:rsidR="006B4A3B">
        <w:rPr>
          <w:rFonts w:eastAsia="Times New Roman" w:cs="Arial"/>
          <w:spacing w:val="6"/>
          <w:szCs w:val="24"/>
          <w:lang w:val="en-US"/>
        </w:rPr>
        <w:t xml:space="preserve">d not been endorsed in </w:t>
      </w:r>
      <w:r w:rsidRPr="0014260B">
        <w:rPr>
          <w:rFonts w:eastAsia="Times New Roman" w:cs="Arial"/>
          <w:spacing w:val="6"/>
          <w:szCs w:val="24"/>
          <w:lang w:val="en-US"/>
        </w:rPr>
        <w:t>blank by the registered holder. I a</w:t>
      </w:r>
      <w:r w:rsidR="006B4A3B">
        <w:rPr>
          <w:rFonts w:eastAsia="Times New Roman" w:cs="Arial"/>
          <w:spacing w:val="6"/>
          <w:szCs w:val="24"/>
          <w:lang w:val="en-US"/>
        </w:rPr>
        <w:t xml:space="preserve">ssume without deciding that we </w:t>
      </w:r>
      <w:r w:rsidRPr="0014260B">
        <w:rPr>
          <w:rFonts w:eastAsia="Times New Roman" w:cs="Arial"/>
          <w:spacing w:val="6"/>
          <w:szCs w:val="24"/>
          <w:lang w:val="en-US"/>
        </w:rPr>
        <w:t xml:space="preserve">are dealing with "street certificates." Instating in the </w:t>
      </w:r>
      <w:r w:rsidRPr="0014260B">
        <w:rPr>
          <w:rFonts w:eastAsia="Times New Roman" w:cs="Arial"/>
          <w:i/>
          <w:spacing w:val="6"/>
          <w:szCs w:val="24"/>
          <w:lang w:val="en-US"/>
        </w:rPr>
        <w:t xml:space="preserve">Blonde </w:t>
      </w:r>
      <w:r w:rsidR="006B4A3B">
        <w:rPr>
          <w:rFonts w:eastAsia="Times New Roman" w:cs="Arial"/>
          <w:spacing w:val="6"/>
          <w:szCs w:val="24"/>
          <w:lang w:val="en-US"/>
        </w:rPr>
        <w:t xml:space="preserve">case the first matter to be ascertained, Lord Uthwatt left aside the case </w:t>
      </w:r>
      <w:r w:rsidRPr="0014260B">
        <w:rPr>
          <w:rFonts w:eastAsia="Times New Roman" w:cs="Arial"/>
          <w:spacing w:val="6"/>
          <w:szCs w:val="24"/>
          <w:lang w:val="en-US"/>
        </w:rPr>
        <w:t>of street certificates but in my view the presence in Nova Scotia of such certificates does not alter the eff</w:t>
      </w:r>
      <w:r w:rsidR="006B4A3B">
        <w:rPr>
          <w:rFonts w:eastAsia="Times New Roman" w:cs="Arial"/>
          <w:spacing w:val="6"/>
          <w:szCs w:val="24"/>
          <w:lang w:val="en-US"/>
        </w:rPr>
        <w:t xml:space="preserve">ect of the proposition that in </w:t>
      </w:r>
      <w:r w:rsidR="00CF05AD">
        <w:rPr>
          <w:rFonts w:eastAsia="Times New Roman" w:cs="Arial"/>
          <w:spacing w:val="6"/>
          <w:szCs w:val="24"/>
          <w:lang w:val="en-US"/>
        </w:rPr>
        <w:t xml:space="preserve">deciding in such </w:t>
      </w:r>
      <w:r w:rsidRPr="0014260B">
        <w:rPr>
          <w:rFonts w:eastAsia="Times New Roman" w:cs="Arial"/>
          <w:spacing w:val="6"/>
          <w:szCs w:val="24"/>
          <w:lang w:val="en-US"/>
        </w:rPr>
        <w:t xml:space="preserve">cases as this whether a matter is "taxation within </w:t>
      </w:r>
      <w:r w:rsidR="002F57A9">
        <w:rPr>
          <w:rFonts w:eastAsia="Times New Roman" w:cs="Arial"/>
          <w:spacing w:val="6"/>
          <w:szCs w:val="24"/>
          <w:lang w:val="en-US"/>
        </w:rPr>
        <w:t xml:space="preserve">the province" within head 2 of </w:t>
      </w:r>
      <w:r w:rsidRPr="0014260B">
        <w:rPr>
          <w:rFonts w:eastAsia="Times New Roman" w:cs="Arial"/>
          <w:spacing w:val="6"/>
          <w:szCs w:val="24"/>
          <w:lang w:val="en-US"/>
        </w:rPr>
        <w:t xml:space="preserve">section 92 of the </w:t>
      </w:r>
      <w:r w:rsidRPr="0014260B">
        <w:rPr>
          <w:rFonts w:eastAsia="Times New Roman" w:cs="Arial"/>
          <w:i/>
          <w:spacing w:val="6"/>
          <w:szCs w:val="24"/>
          <w:lang w:val="en-US"/>
        </w:rPr>
        <w:t xml:space="preserve">British North America Act, </w:t>
      </w:r>
      <w:r w:rsidRPr="0014260B">
        <w:rPr>
          <w:rFonts w:eastAsia="Times New Roman" w:cs="Arial"/>
          <w:spacing w:val="6"/>
          <w:szCs w:val="24"/>
          <w:lang w:val="en-US"/>
        </w:rPr>
        <w:t xml:space="preserve">the test is where the shares, not as between transferor and </w:t>
      </w:r>
      <w:r w:rsidR="006B4A3B">
        <w:rPr>
          <w:rFonts w:eastAsia="Times New Roman" w:cs="Arial"/>
          <w:spacing w:val="6"/>
          <w:szCs w:val="24"/>
          <w:lang w:val="en-US"/>
        </w:rPr>
        <w:t xml:space="preserve">transferee, but as between the </w:t>
      </w:r>
      <w:r w:rsidRPr="0014260B">
        <w:rPr>
          <w:rFonts w:eastAsia="Times New Roman" w:cs="Arial"/>
          <w:spacing w:val="6"/>
          <w:szCs w:val="24"/>
          <w:lang w:val="en-US"/>
        </w:rPr>
        <w:t>company and the owner, may be effectively dealt with. A transferee of such a</w:t>
      </w:r>
      <w:r w:rsidR="002F57A9">
        <w:rPr>
          <w:rFonts w:eastAsia="Times New Roman" w:cs="Arial"/>
          <w:spacing w:val="6"/>
          <w:szCs w:val="24"/>
          <w:lang w:val="en-US"/>
        </w:rPr>
        <w:t xml:space="preserve"> certificate would, of course, </w:t>
      </w:r>
      <w:r w:rsidRPr="0014260B">
        <w:rPr>
          <w:rFonts w:eastAsia="Times New Roman" w:cs="Arial"/>
          <w:spacing w:val="6"/>
          <w:szCs w:val="24"/>
          <w:lang w:val="en-US"/>
        </w:rPr>
        <w:t xml:space="preserve">obtain the right to </w:t>
      </w:r>
      <w:r w:rsidR="002F57A9">
        <w:rPr>
          <w:rFonts w:eastAsia="Times New Roman" w:cs="Arial"/>
          <w:spacing w:val="6"/>
          <w:szCs w:val="24"/>
          <w:lang w:val="en-US"/>
        </w:rPr>
        <w:t xml:space="preserve">take the necessary steps to become </w:t>
      </w:r>
      <w:r w:rsidRPr="0014260B">
        <w:rPr>
          <w:rFonts w:eastAsia="Times New Roman" w:cs="Arial"/>
          <w:spacing w:val="6"/>
          <w:szCs w:val="24"/>
          <w:lang w:val="en-US"/>
        </w:rPr>
        <w:t>the registered holder of the shares represented by the certificate but that is not sufficient.</w:t>
      </w:r>
    </w:p>
    <w:p w:rsidR="00B96DB2" w:rsidRPr="0014260B" w:rsidRDefault="00D766B8" w:rsidP="009903D3">
      <w:pPr>
        <w:pStyle w:val="Reasons"/>
        <w:rPr>
          <w:rFonts w:eastAsia="Times New Roman" w:cs="Arial"/>
          <w:szCs w:val="24"/>
        </w:rPr>
      </w:pPr>
      <w:proofErr w:type="gramStart"/>
      <w:r w:rsidRPr="0014260B">
        <w:rPr>
          <w:rFonts w:eastAsia="Times New Roman" w:cs="Arial"/>
          <w:szCs w:val="24"/>
          <w:lang w:val="en-US"/>
        </w:rPr>
        <w:t xml:space="preserve">The judgment in </w:t>
      </w:r>
      <w:r w:rsidRPr="0014260B">
        <w:rPr>
          <w:rFonts w:eastAsia="Times New Roman" w:cs="Arial"/>
          <w:i/>
          <w:szCs w:val="24"/>
          <w:lang w:val="en-US"/>
        </w:rPr>
        <w:t>Stern v.</w:t>
      </w:r>
      <w:proofErr w:type="gramEnd"/>
      <w:r w:rsidRPr="0014260B">
        <w:rPr>
          <w:rFonts w:eastAsia="Times New Roman" w:cs="Arial"/>
          <w:i/>
          <w:szCs w:val="24"/>
          <w:lang w:val="en-US"/>
        </w:rPr>
        <w:t xml:space="preserve"> The Queen, supra, </w:t>
      </w:r>
      <w:r w:rsidR="006B4A3B">
        <w:rPr>
          <w:rFonts w:eastAsia="Times New Roman" w:cs="Arial"/>
          <w:szCs w:val="24"/>
          <w:lang w:val="en-US"/>
        </w:rPr>
        <w:t xml:space="preserve">so strongly relied upon by </w:t>
      </w:r>
      <w:r w:rsidRPr="0014260B">
        <w:rPr>
          <w:rFonts w:eastAsia="Times New Roman" w:cs="Arial"/>
          <w:szCs w:val="24"/>
          <w:lang w:val="en-US"/>
        </w:rPr>
        <w:t xml:space="preserve">the </w:t>
      </w:r>
      <w:r w:rsidR="002F57A9">
        <w:rPr>
          <w:rFonts w:eastAsia="Times New Roman" w:cs="Arial"/>
          <w:szCs w:val="24"/>
          <w:lang w:val="en-US"/>
        </w:rPr>
        <w:t xml:space="preserve">respondent and followed by the </w:t>
      </w:r>
      <w:r w:rsidRPr="0014260B">
        <w:rPr>
          <w:rFonts w:eastAsia="Times New Roman" w:cs="Arial"/>
          <w:szCs w:val="24"/>
          <w:lang w:val="en-US"/>
        </w:rPr>
        <w:t xml:space="preserve">court </w:t>
      </w:r>
      <w:r w:rsidRPr="0014260B">
        <w:rPr>
          <w:rFonts w:eastAsia="Times New Roman" w:cs="Arial"/>
          <w:i/>
          <w:szCs w:val="24"/>
          <w:lang w:val="en-US"/>
        </w:rPr>
        <w:t xml:space="preserve">en banc, </w:t>
      </w:r>
      <w:r w:rsidRPr="0014260B">
        <w:rPr>
          <w:rFonts w:eastAsia="Times New Roman" w:cs="Arial"/>
          <w:szCs w:val="24"/>
          <w:lang w:val="en-US"/>
        </w:rPr>
        <w:t xml:space="preserve">was delivered by Wright J. on behalf of a </w:t>
      </w:r>
      <w:proofErr w:type="spellStart"/>
      <w:r w:rsidRPr="0014260B">
        <w:rPr>
          <w:rFonts w:eastAsia="Times New Roman" w:cs="Arial"/>
          <w:szCs w:val="24"/>
          <w:lang w:val="en-US"/>
        </w:rPr>
        <w:t>Divi</w:t>
      </w:r>
      <w:proofErr w:type="spellEnd"/>
      <w:r w:rsidRPr="0014260B">
        <w:rPr>
          <w:rFonts w:eastAsia="Times New Roman" w:cs="Arial"/>
          <w:szCs w:val="24"/>
          <w:lang w:val="en-US"/>
        </w:rPr>
        <w:t xml:space="preserve">- </w:t>
      </w:r>
    </w:p>
    <w:p w:rsidR="007B461C" w:rsidRPr="0014260B" w:rsidRDefault="007B461C" w:rsidP="009903D3">
      <w:pPr>
        <w:pStyle w:val="Page"/>
        <w:rPr>
          <w:rFonts w:cs="Arial"/>
          <w:szCs w:val="24"/>
          <w:lang w:val="en-US"/>
        </w:rPr>
      </w:pPr>
      <w:r w:rsidRPr="0014260B">
        <w:rPr>
          <w:rFonts w:cs="Arial"/>
          <w:color w:val="000000"/>
          <w:szCs w:val="24"/>
          <w:lang w:val="en-US"/>
        </w:rPr>
        <w:t>[Page 334]</w:t>
      </w:r>
    </w:p>
    <w:p w:rsidR="00B96DB2" w:rsidRPr="0014260B" w:rsidRDefault="00D766B8" w:rsidP="009903D3">
      <w:pPr>
        <w:pStyle w:val="Reasons"/>
        <w:rPr>
          <w:rFonts w:eastAsia="Times New Roman" w:cs="Arial"/>
          <w:spacing w:val="7"/>
          <w:szCs w:val="24"/>
        </w:rPr>
      </w:pPr>
      <w:proofErr w:type="gramStart"/>
      <w:r w:rsidRPr="0014260B">
        <w:rPr>
          <w:rFonts w:eastAsia="Times New Roman" w:cs="Arial"/>
          <w:spacing w:val="7"/>
          <w:szCs w:val="24"/>
          <w:lang w:val="en-US"/>
        </w:rPr>
        <w:t>signal</w:t>
      </w:r>
      <w:proofErr w:type="gramEnd"/>
      <w:r w:rsidRPr="0014260B">
        <w:rPr>
          <w:rFonts w:eastAsia="Times New Roman" w:cs="Arial"/>
          <w:spacing w:val="7"/>
          <w:szCs w:val="24"/>
          <w:lang w:val="en-US"/>
        </w:rPr>
        <w:t xml:space="preserve"> Court. It was concerned with certificates of shares in a foreign company. In the statement of facts it is stated that while the forms of transfer and powers of attorney had in regard to a lar</w:t>
      </w:r>
      <w:r w:rsidR="002F57A9">
        <w:rPr>
          <w:rFonts w:eastAsia="Times New Roman" w:cs="Arial"/>
          <w:spacing w:val="7"/>
          <w:szCs w:val="24"/>
          <w:lang w:val="en-US"/>
        </w:rPr>
        <w:t xml:space="preserve">ge number of the shares been signed </w:t>
      </w:r>
      <w:r w:rsidRPr="0014260B">
        <w:rPr>
          <w:rFonts w:eastAsia="Times New Roman" w:cs="Arial"/>
          <w:spacing w:val="7"/>
          <w:szCs w:val="24"/>
          <w:lang w:val="en-US"/>
        </w:rPr>
        <w:t>by the firms or persons i</w:t>
      </w:r>
      <w:r w:rsidR="002F57A9">
        <w:rPr>
          <w:rFonts w:eastAsia="Times New Roman" w:cs="Arial"/>
          <w:spacing w:val="7"/>
          <w:szCs w:val="24"/>
          <w:lang w:val="en-US"/>
        </w:rPr>
        <w:t xml:space="preserve">n whose </w:t>
      </w:r>
      <w:r w:rsidR="002F57A9">
        <w:rPr>
          <w:rFonts w:eastAsia="Times New Roman" w:cs="Arial"/>
          <w:spacing w:val="7"/>
          <w:szCs w:val="24"/>
          <w:lang w:val="en-US"/>
        </w:rPr>
        <w:lastRenderedPageBreak/>
        <w:t xml:space="preserve">names the certificates were made </w:t>
      </w:r>
      <w:r w:rsidRPr="0014260B">
        <w:rPr>
          <w:rFonts w:eastAsia="Times New Roman" w:cs="Arial"/>
          <w:spacing w:val="7"/>
          <w:szCs w:val="24"/>
          <w:lang w:val="en-US"/>
        </w:rPr>
        <w:t>out, with regard to some of the shares, of which the certificates were in the name of Stern Bros., such forms had not been signed b</w:t>
      </w:r>
      <w:r w:rsidR="006B4A3B">
        <w:rPr>
          <w:rFonts w:eastAsia="Times New Roman" w:cs="Arial"/>
          <w:spacing w:val="7"/>
          <w:szCs w:val="24"/>
          <w:lang w:val="en-US"/>
        </w:rPr>
        <w:t xml:space="preserve">y them. Nevertheless, the case </w:t>
      </w:r>
      <w:r w:rsidRPr="0014260B">
        <w:rPr>
          <w:rFonts w:eastAsia="Times New Roman" w:cs="Arial"/>
          <w:spacing w:val="7"/>
          <w:szCs w:val="24"/>
          <w:lang w:val="en-US"/>
        </w:rPr>
        <w:t xml:space="preserve">apparently proceeded on the basis that all the certificates were included in the first class. It is evident that Wright J. intended to follow </w:t>
      </w:r>
      <w:r w:rsidRPr="0014260B">
        <w:rPr>
          <w:rFonts w:eastAsia="Times New Roman" w:cs="Arial"/>
          <w:i/>
          <w:spacing w:val="7"/>
          <w:szCs w:val="24"/>
          <w:lang w:val="en-US"/>
        </w:rPr>
        <w:t>Attorney-General</w:t>
      </w:r>
      <w:r w:rsidR="004436C8" w:rsidRPr="0014260B">
        <w:rPr>
          <w:rFonts w:eastAsia="Times New Roman" w:cs="Arial"/>
          <w:spacing w:val="7"/>
          <w:szCs w:val="24"/>
        </w:rPr>
        <w:t xml:space="preserve"> </w:t>
      </w:r>
      <w:r w:rsidRPr="0014260B">
        <w:rPr>
          <w:rFonts w:eastAsia="Times New Roman" w:cs="Arial"/>
          <w:i/>
          <w:spacing w:val="6"/>
          <w:szCs w:val="24"/>
          <w:lang w:val="en-US"/>
        </w:rPr>
        <w:t xml:space="preserve">v. </w:t>
      </w:r>
      <w:proofErr w:type="spellStart"/>
      <w:r w:rsidRPr="0014260B">
        <w:rPr>
          <w:rFonts w:eastAsia="Times New Roman" w:cs="Arial"/>
          <w:i/>
          <w:spacing w:val="6"/>
          <w:szCs w:val="24"/>
          <w:lang w:val="en-US"/>
        </w:rPr>
        <w:t>Bouwens</w:t>
      </w:r>
      <w:proofErr w:type="spellEnd"/>
      <w:r w:rsidR="00380A64" w:rsidRPr="0014260B">
        <w:rPr>
          <w:rStyle w:val="FootnoteReference"/>
          <w:rFonts w:eastAsia="Times New Roman" w:cs="Arial"/>
          <w:i/>
          <w:spacing w:val="6"/>
          <w:szCs w:val="24"/>
          <w:lang w:val="en-US"/>
        </w:rPr>
        <w:footnoteReference w:id="6"/>
      </w:r>
      <w:r w:rsidRPr="0014260B">
        <w:rPr>
          <w:rFonts w:eastAsia="Times New Roman" w:cs="Arial"/>
          <w:spacing w:val="6"/>
          <w:szCs w:val="24"/>
          <w:lang w:val="en-US"/>
        </w:rPr>
        <w:t xml:space="preserve">. At the time, the view was held that he really extended the operation of that decision (12 L.Q.R. 105), and in the Court of Appeal in </w:t>
      </w:r>
      <w:proofErr w:type="spellStart"/>
      <w:r w:rsidRPr="0014260B">
        <w:rPr>
          <w:rFonts w:eastAsia="Times New Roman" w:cs="Arial"/>
          <w:i/>
          <w:spacing w:val="6"/>
          <w:szCs w:val="24"/>
          <w:lang w:val="en-US"/>
        </w:rPr>
        <w:t>Winans</w:t>
      </w:r>
      <w:proofErr w:type="spellEnd"/>
      <w:r w:rsidRPr="0014260B">
        <w:rPr>
          <w:rFonts w:eastAsia="Times New Roman" w:cs="Arial"/>
          <w:i/>
          <w:spacing w:val="6"/>
          <w:szCs w:val="24"/>
          <w:lang w:val="en-US"/>
        </w:rPr>
        <w:t xml:space="preserve"> v. Rex</w:t>
      </w:r>
      <w:r w:rsidR="00380A64" w:rsidRPr="0014260B">
        <w:rPr>
          <w:rStyle w:val="FootnoteReference"/>
          <w:rFonts w:eastAsia="Times New Roman" w:cs="Arial"/>
          <w:i/>
          <w:spacing w:val="6"/>
          <w:szCs w:val="24"/>
          <w:lang w:val="en-US"/>
        </w:rPr>
        <w:footnoteReference w:id="7"/>
      </w:r>
      <w:r w:rsidRPr="0014260B">
        <w:rPr>
          <w:rFonts w:eastAsia="Times New Roman" w:cs="Arial"/>
          <w:spacing w:val="6"/>
          <w:szCs w:val="24"/>
          <w:lang w:val="en-US"/>
        </w:rPr>
        <w:t xml:space="preserve"> at</w:t>
      </w:r>
      <w:r w:rsidR="002F57A9">
        <w:rPr>
          <w:rFonts w:eastAsia="Times New Roman" w:cs="Arial"/>
          <w:spacing w:val="6"/>
          <w:szCs w:val="24"/>
          <w:lang w:val="en-US"/>
        </w:rPr>
        <w:t xml:space="preserve"> 1026, the Master of the Rolls </w:t>
      </w:r>
      <w:r w:rsidRPr="0014260B">
        <w:rPr>
          <w:rFonts w:eastAsia="Times New Roman" w:cs="Arial"/>
          <w:spacing w:val="6"/>
          <w:szCs w:val="24"/>
          <w:lang w:val="en-US"/>
        </w:rPr>
        <w:t xml:space="preserve">states that the </w:t>
      </w:r>
      <w:proofErr w:type="spellStart"/>
      <w:r w:rsidRPr="0014260B">
        <w:rPr>
          <w:rFonts w:eastAsia="Times New Roman" w:cs="Arial"/>
          <w:i/>
          <w:spacing w:val="6"/>
          <w:szCs w:val="24"/>
          <w:lang w:val="en-US"/>
        </w:rPr>
        <w:t>Bouwens</w:t>
      </w:r>
      <w:proofErr w:type="spellEnd"/>
      <w:r w:rsidRPr="0014260B">
        <w:rPr>
          <w:rFonts w:eastAsia="Times New Roman" w:cs="Arial"/>
          <w:i/>
          <w:spacing w:val="6"/>
          <w:szCs w:val="24"/>
          <w:lang w:val="en-US"/>
        </w:rPr>
        <w:t xml:space="preserve"> </w:t>
      </w:r>
      <w:r w:rsidRPr="0014260B">
        <w:rPr>
          <w:rFonts w:eastAsia="Times New Roman" w:cs="Arial"/>
          <w:spacing w:val="6"/>
          <w:szCs w:val="24"/>
          <w:lang w:val="en-US"/>
        </w:rPr>
        <w:t>case was "p</w:t>
      </w:r>
      <w:r w:rsidR="002F57A9">
        <w:rPr>
          <w:rFonts w:eastAsia="Times New Roman" w:cs="Arial"/>
          <w:spacing w:val="6"/>
          <w:szCs w:val="24"/>
          <w:lang w:val="en-US"/>
        </w:rPr>
        <w:t xml:space="preserve">ossibly carried further in the </w:t>
      </w:r>
      <w:r w:rsidRPr="0014260B">
        <w:rPr>
          <w:rFonts w:eastAsia="Times New Roman" w:cs="Arial"/>
          <w:spacing w:val="6"/>
          <w:szCs w:val="24"/>
          <w:lang w:val="en-US"/>
        </w:rPr>
        <w:t xml:space="preserve">case of </w:t>
      </w:r>
      <w:r w:rsidR="00685B10" w:rsidRPr="0014260B">
        <w:rPr>
          <w:rFonts w:eastAsia="Times New Roman" w:cs="Arial"/>
          <w:i/>
          <w:spacing w:val="6"/>
          <w:szCs w:val="24"/>
          <w:lang w:val="en-US"/>
        </w:rPr>
        <w:t>Stern v. Reg.</w:t>
      </w:r>
      <w:r w:rsidRPr="0014260B">
        <w:rPr>
          <w:rFonts w:eastAsia="Times New Roman" w:cs="Arial"/>
          <w:i/>
          <w:spacing w:val="6"/>
          <w:szCs w:val="24"/>
          <w:lang w:val="en-US"/>
        </w:rPr>
        <w:t>"</w:t>
      </w:r>
      <w:r w:rsidR="00685B10" w:rsidRPr="0014260B">
        <w:rPr>
          <w:rStyle w:val="FootnoteReference"/>
          <w:rFonts w:eastAsia="Times New Roman" w:cs="Arial"/>
          <w:i/>
          <w:spacing w:val="6"/>
          <w:szCs w:val="24"/>
          <w:lang w:val="en-US"/>
        </w:rPr>
        <w:footnoteReference w:id="8"/>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 xml:space="preserve">In the </w:t>
      </w:r>
      <w:proofErr w:type="spellStart"/>
      <w:r w:rsidRPr="0014260B">
        <w:rPr>
          <w:rFonts w:eastAsia="Times New Roman" w:cs="Arial"/>
          <w:i/>
          <w:spacing w:val="6"/>
          <w:szCs w:val="24"/>
          <w:lang w:val="en-US"/>
        </w:rPr>
        <w:t>Winans</w:t>
      </w:r>
      <w:proofErr w:type="spellEnd"/>
      <w:r w:rsidRPr="0014260B">
        <w:rPr>
          <w:rFonts w:eastAsia="Times New Roman" w:cs="Arial"/>
          <w:i/>
          <w:spacing w:val="6"/>
          <w:szCs w:val="24"/>
          <w:lang w:val="en-US"/>
        </w:rPr>
        <w:t xml:space="preserve"> </w:t>
      </w:r>
      <w:r w:rsidRPr="0014260B">
        <w:rPr>
          <w:rFonts w:eastAsia="Times New Roman" w:cs="Arial"/>
          <w:spacing w:val="6"/>
          <w:szCs w:val="24"/>
          <w:lang w:val="en-US"/>
        </w:rPr>
        <w:t>case it was admitted for th</w:t>
      </w:r>
      <w:r w:rsidR="004436C8" w:rsidRPr="0014260B">
        <w:rPr>
          <w:rFonts w:eastAsia="Times New Roman" w:cs="Arial"/>
          <w:spacing w:val="6"/>
          <w:szCs w:val="24"/>
          <w:lang w:val="en-US"/>
        </w:rPr>
        <w:t>e purposes of argument that th</w:t>
      </w:r>
      <w:r w:rsidR="006B4A3B">
        <w:rPr>
          <w:rFonts w:eastAsia="Times New Roman" w:cs="Arial"/>
          <w:spacing w:val="6"/>
          <w:szCs w:val="24"/>
          <w:lang w:val="en-US"/>
        </w:rPr>
        <w:t xml:space="preserve">e </w:t>
      </w:r>
      <w:r w:rsidRPr="0014260B">
        <w:rPr>
          <w:rFonts w:eastAsia="Times New Roman" w:cs="Arial"/>
          <w:spacing w:val="6"/>
          <w:szCs w:val="24"/>
          <w:lang w:val="en-US"/>
        </w:rPr>
        <w:t>bonds were all bearer bonds pas</w:t>
      </w:r>
      <w:r w:rsidR="006B4A3B">
        <w:rPr>
          <w:rFonts w:eastAsia="Times New Roman" w:cs="Arial"/>
          <w:spacing w:val="6"/>
          <w:szCs w:val="24"/>
          <w:lang w:val="en-US"/>
        </w:rPr>
        <w:t xml:space="preserve">sing by delivery and that they </w:t>
      </w:r>
      <w:r w:rsidRPr="0014260B">
        <w:rPr>
          <w:rFonts w:eastAsia="Times New Roman" w:cs="Arial"/>
          <w:spacing w:val="6"/>
          <w:szCs w:val="24"/>
          <w:lang w:val="en-US"/>
        </w:rPr>
        <w:t>were capable of being dealt with, and were in fact dealt with, for money on the stock exchange. The case had, therefore</w:t>
      </w:r>
      <w:r w:rsidR="006B4A3B">
        <w:rPr>
          <w:rFonts w:eastAsia="Times New Roman" w:cs="Arial"/>
          <w:spacing w:val="6"/>
          <w:szCs w:val="24"/>
          <w:lang w:val="en-US"/>
        </w:rPr>
        <w:t>, nothing to do with shares. It</w:t>
      </w:r>
      <w:r w:rsidRPr="0014260B">
        <w:rPr>
          <w:rFonts w:eastAsia="Times New Roman" w:cs="Arial"/>
          <w:spacing w:val="6"/>
          <w:szCs w:val="24"/>
          <w:lang w:val="en-US"/>
        </w:rPr>
        <w:t xml:space="preserve"> had to do with taxation under the Finance Act of 1894 which was held to be analogous, not to the Legacy and Succession Duty Acts but to the old Probate Duty Acts, and it was in that connection that Lord Atkinson, on the appeal to the </w:t>
      </w:r>
      <w:r w:rsidR="002F57A9">
        <w:rPr>
          <w:rFonts w:eastAsia="Times New Roman" w:cs="Arial"/>
          <w:spacing w:val="6"/>
          <w:szCs w:val="24"/>
          <w:lang w:val="en-US"/>
        </w:rPr>
        <w:t xml:space="preserve">House of Lords [1910] A.C. 27, </w:t>
      </w:r>
      <w:r w:rsidRPr="0014260B">
        <w:rPr>
          <w:rFonts w:eastAsia="Times New Roman" w:cs="Arial"/>
          <w:spacing w:val="6"/>
          <w:szCs w:val="24"/>
          <w:lang w:val="en-US"/>
        </w:rPr>
        <w:t xml:space="preserve">at page 35, cited the </w:t>
      </w:r>
      <w:proofErr w:type="spellStart"/>
      <w:r w:rsidRPr="0014260B">
        <w:rPr>
          <w:rFonts w:eastAsia="Times New Roman" w:cs="Arial"/>
          <w:i/>
          <w:spacing w:val="6"/>
          <w:szCs w:val="24"/>
          <w:lang w:val="en-US"/>
        </w:rPr>
        <w:t>Bouwens</w:t>
      </w:r>
      <w:proofErr w:type="spellEnd"/>
      <w:r w:rsidRPr="0014260B">
        <w:rPr>
          <w:rFonts w:eastAsia="Times New Roman" w:cs="Arial"/>
          <w:i/>
          <w:spacing w:val="6"/>
          <w:szCs w:val="24"/>
          <w:lang w:val="en-US"/>
        </w:rPr>
        <w:t xml:space="preserve"> </w:t>
      </w:r>
      <w:r w:rsidRPr="0014260B">
        <w:rPr>
          <w:rFonts w:eastAsia="Times New Roman" w:cs="Arial"/>
          <w:spacing w:val="6"/>
          <w:szCs w:val="24"/>
          <w:lang w:val="en-US"/>
        </w:rPr>
        <w:t xml:space="preserve">and </w:t>
      </w:r>
      <w:r w:rsidRPr="0014260B">
        <w:rPr>
          <w:rFonts w:eastAsia="Times New Roman" w:cs="Arial"/>
          <w:i/>
          <w:spacing w:val="6"/>
          <w:szCs w:val="24"/>
          <w:lang w:val="en-US"/>
        </w:rPr>
        <w:t xml:space="preserve">Stern </w:t>
      </w:r>
      <w:r w:rsidRPr="0014260B">
        <w:rPr>
          <w:rFonts w:eastAsia="Times New Roman" w:cs="Arial"/>
          <w:spacing w:val="6"/>
          <w:szCs w:val="24"/>
          <w:lang w:val="en-US"/>
        </w:rPr>
        <w:t xml:space="preserve">cases for the proposition that probate duty would before the passing of the 1894 Finance Act have undoubtedly been payable in respect of the bonds. The only other law lord who referred to the </w:t>
      </w:r>
      <w:r w:rsidRPr="0014260B">
        <w:rPr>
          <w:rFonts w:eastAsia="Times New Roman" w:cs="Arial"/>
          <w:i/>
          <w:spacing w:val="6"/>
          <w:szCs w:val="24"/>
          <w:lang w:val="en-US"/>
        </w:rPr>
        <w:t xml:space="preserve">Stern </w:t>
      </w:r>
      <w:r w:rsidRPr="0014260B">
        <w:rPr>
          <w:rFonts w:eastAsia="Times New Roman" w:cs="Arial"/>
          <w:spacing w:val="6"/>
          <w:szCs w:val="24"/>
          <w:lang w:val="en-US"/>
        </w:rPr>
        <w:t xml:space="preserve">case was Lord </w:t>
      </w:r>
      <w:proofErr w:type="spellStart"/>
      <w:r w:rsidRPr="0014260B">
        <w:rPr>
          <w:rFonts w:eastAsia="Times New Roman" w:cs="Arial"/>
          <w:spacing w:val="6"/>
          <w:szCs w:val="24"/>
          <w:lang w:val="en-US"/>
        </w:rPr>
        <w:t>Gore</w:t>
      </w:r>
      <w:r w:rsidR="002F57A9">
        <w:rPr>
          <w:rFonts w:eastAsia="Times New Roman" w:cs="Arial"/>
          <w:spacing w:val="6"/>
          <w:szCs w:val="24"/>
          <w:lang w:val="en-US"/>
        </w:rPr>
        <w:t>ll</w:t>
      </w:r>
      <w:proofErr w:type="spellEnd"/>
      <w:r w:rsidR="002F57A9">
        <w:rPr>
          <w:rFonts w:eastAsia="Times New Roman" w:cs="Arial"/>
          <w:spacing w:val="6"/>
          <w:szCs w:val="24"/>
          <w:lang w:val="en-US"/>
        </w:rPr>
        <w:t xml:space="preserve"> </w:t>
      </w:r>
      <w:r w:rsidRPr="0014260B">
        <w:rPr>
          <w:rFonts w:eastAsia="Times New Roman" w:cs="Arial"/>
          <w:spacing w:val="6"/>
          <w:szCs w:val="24"/>
          <w:lang w:val="en-US"/>
        </w:rPr>
        <w:t xml:space="preserve">who, at page 39, states that the </w:t>
      </w:r>
      <w:proofErr w:type="spellStart"/>
      <w:r w:rsidRPr="0014260B">
        <w:rPr>
          <w:rFonts w:eastAsia="Times New Roman" w:cs="Arial"/>
          <w:i/>
          <w:spacing w:val="6"/>
          <w:szCs w:val="24"/>
          <w:lang w:val="en-US"/>
        </w:rPr>
        <w:t>Bouwens</w:t>
      </w:r>
      <w:proofErr w:type="spellEnd"/>
      <w:r w:rsidRPr="0014260B">
        <w:rPr>
          <w:rFonts w:eastAsia="Times New Roman" w:cs="Arial"/>
          <w:i/>
          <w:spacing w:val="6"/>
          <w:szCs w:val="24"/>
          <w:lang w:val="en-US"/>
        </w:rPr>
        <w:t xml:space="preserve"> </w:t>
      </w:r>
      <w:r w:rsidRPr="0014260B">
        <w:rPr>
          <w:rFonts w:eastAsia="Times New Roman" w:cs="Arial"/>
          <w:spacing w:val="6"/>
          <w:szCs w:val="24"/>
          <w:lang w:val="en-US"/>
        </w:rPr>
        <w:t xml:space="preserve">case was followed in </w:t>
      </w:r>
      <w:r w:rsidRPr="0014260B">
        <w:rPr>
          <w:rFonts w:eastAsia="Times New Roman" w:cs="Arial"/>
          <w:i/>
          <w:spacing w:val="6"/>
          <w:szCs w:val="24"/>
          <w:lang w:val="en-US"/>
        </w:rPr>
        <w:t>Stern.</w:t>
      </w:r>
    </w:p>
    <w:p w:rsidR="00B96DB2" w:rsidRPr="0014260B" w:rsidRDefault="006B4A3B" w:rsidP="009903D3">
      <w:pPr>
        <w:pStyle w:val="Reasons"/>
        <w:rPr>
          <w:rFonts w:eastAsia="Times New Roman" w:cs="Arial"/>
          <w:spacing w:val="6"/>
          <w:szCs w:val="24"/>
        </w:rPr>
      </w:pPr>
      <w:r>
        <w:rPr>
          <w:rFonts w:eastAsia="Times New Roman" w:cs="Arial"/>
          <w:spacing w:val="6"/>
          <w:szCs w:val="24"/>
          <w:lang w:val="en-US"/>
        </w:rPr>
        <w:t xml:space="preserve">I am inclined therefore </w:t>
      </w:r>
      <w:r w:rsidR="00D766B8" w:rsidRPr="0014260B">
        <w:rPr>
          <w:rFonts w:eastAsia="Times New Roman" w:cs="Arial"/>
          <w:spacing w:val="6"/>
          <w:szCs w:val="24"/>
          <w:lang w:val="en-US"/>
        </w:rPr>
        <w:t xml:space="preserve">to assume that the approval of the </w:t>
      </w:r>
      <w:r w:rsidR="00D766B8" w:rsidRPr="0014260B">
        <w:rPr>
          <w:rFonts w:eastAsia="Times New Roman" w:cs="Arial"/>
          <w:i/>
          <w:spacing w:val="6"/>
          <w:szCs w:val="24"/>
          <w:lang w:val="en-US"/>
        </w:rPr>
        <w:t xml:space="preserve">Stern </w:t>
      </w:r>
      <w:r>
        <w:rPr>
          <w:rFonts w:eastAsia="Times New Roman" w:cs="Arial"/>
          <w:spacing w:val="6"/>
          <w:szCs w:val="24"/>
          <w:lang w:val="en-US"/>
        </w:rPr>
        <w:t xml:space="preserve">case by Lord Atkinson and Lord </w:t>
      </w:r>
      <w:proofErr w:type="spellStart"/>
      <w:r>
        <w:rPr>
          <w:rFonts w:eastAsia="Times New Roman" w:cs="Arial"/>
          <w:spacing w:val="6"/>
          <w:szCs w:val="24"/>
          <w:lang w:val="en-US"/>
        </w:rPr>
        <w:t>Gorell</w:t>
      </w:r>
      <w:proofErr w:type="spellEnd"/>
      <w:r>
        <w:rPr>
          <w:rFonts w:eastAsia="Times New Roman" w:cs="Arial"/>
          <w:spacing w:val="6"/>
          <w:szCs w:val="24"/>
          <w:lang w:val="en-US"/>
        </w:rPr>
        <w:t xml:space="preserve"> was </w:t>
      </w:r>
      <w:r w:rsidR="00D766B8" w:rsidRPr="0014260B">
        <w:rPr>
          <w:rFonts w:eastAsia="Times New Roman" w:cs="Arial"/>
          <w:spacing w:val="6"/>
          <w:szCs w:val="24"/>
          <w:lang w:val="en-US"/>
        </w:rPr>
        <w:t xml:space="preserve">confined to cases of bonds. Even if that be not so and if the </w:t>
      </w:r>
      <w:r w:rsidR="00D766B8" w:rsidRPr="0014260B">
        <w:rPr>
          <w:rFonts w:eastAsia="Times New Roman" w:cs="Arial"/>
          <w:i/>
          <w:spacing w:val="6"/>
          <w:szCs w:val="24"/>
          <w:lang w:val="en-US"/>
        </w:rPr>
        <w:t xml:space="preserve">Stern </w:t>
      </w:r>
      <w:r w:rsidR="00D766B8" w:rsidRPr="0014260B">
        <w:rPr>
          <w:rFonts w:eastAsia="Times New Roman" w:cs="Arial"/>
          <w:spacing w:val="6"/>
          <w:szCs w:val="24"/>
          <w:lang w:val="en-US"/>
        </w:rPr>
        <w:t xml:space="preserve">case be treated as an extension in England of the common law rule in the </w:t>
      </w:r>
      <w:proofErr w:type="spellStart"/>
      <w:r w:rsidR="00D766B8" w:rsidRPr="0014260B">
        <w:rPr>
          <w:rFonts w:eastAsia="Times New Roman" w:cs="Arial"/>
          <w:i/>
          <w:spacing w:val="6"/>
          <w:szCs w:val="24"/>
          <w:lang w:val="en-US"/>
        </w:rPr>
        <w:t>Bouwens</w:t>
      </w:r>
      <w:proofErr w:type="spellEnd"/>
      <w:r w:rsidR="00D766B8" w:rsidRPr="0014260B">
        <w:rPr>
          <w:rFonts w:eastAsia="Times New Roman" w:cs="Arial"/>
          <w:i/>
          <w:spacing w:val="6"/>
          <w:szCs w:val="24"/>
          <w:lang w:val="en-US"/>
        </w:rPr>
        <w:t xml:space="preserve"> </w:t>
      </w:r>
      <w:r>
        <w:rPr>
          <w:rFonts w:eastAsia="Times New Roman" w:cs="Arial"/>
          <w:spacing w:val="6"/>
          <w:szCs w:val="24"/>
          <w:lang w:val="en-US"/>
        </w:rPr>
        <w:t xml:space="preserve">case, it should not be so </w:t>
      </w:r>
      <w:r w:rsidR="00D766B8" w:rsidRPr="0014260B">
        <w:rPr>
          <w:rFonts w:eastAsia="Times New Roman" w:cs="Arial"/>
          <w:spacing w:val="6"/>
          <w:szCs w:val="24"/>
          <w:lang w:val="en-US"/>
        </w:rPr>
        <w:t>treated here in constitutional cases. In England there is no question of divided jurisdiction but certainly in Canada</w:t>
      </w:r>
    </w:p>
    <w:p w:rsidR="007B461C" w:rsidRPr="0014260B" w:rsidRDefault="007B461C" w:rsidP="009903D3">
      <w:pPr>
        <w:pStyle w:val="Page"/>
        <w:rPr>
          <w:rFonts w:cs="Arial"/>
          <w:szCs w:val="24"/>
          <w:lang w:val="fr-CA"/>
        </w:rPr>
      </w:pPr>
      <w:r w:rsidRPr="0014260B">
        <w:rPr>
          <w:rFonts w:cs="Arial"/>
          <w:color w:val="000000"/>
          <w:szCs w:val="24"/>
          <w:lang w:val="fr-CA"/>
        </w:rPr>
        <w:t>[Page 335]</w:t>
      </w:r>
    </w:p>
    <w:p w:rsidR="00B96DB2" w:rsidRPr="0014260B" w:rsidRDefault="00D766B8" w:rsidP="009903D3">
      <w:pPr>
        <w:pStyle w:val="Reasons"/>
        <w:rPr>
          <w:rFonts w:eastAsia="Times New Roman" w:cs="Arial"/>
          <w:szCs w:val="24"/>
        </w:rPr>
      </w:pPr>
      <w:proofErr w:type="gramStart"/>
      <w:r w:rsidRPr="0014260B">
        <w:rPr>
          <w:rFonts w:eastAsia="Times New Roman" w:cs="Arial"/>
          <w:szCs w:val="24"/>
          <w:lang w:val="en-US"/>
        </w:rPr>
        <w:t>it</w:t>
      </w:r>
      <w:proofErr w:type="gramEnd"/>
      <w:r w:rsidRPr="0014260B">
        <w:rPr>
          <w:rFonts w:eastAsia="Times New Roman" w:cs="Arial"/>
          <w:szCs w:val="24"/>
          <w:lang w:val="en-US"/>
        </w:rPr>
        <w:t xml:space="preserve"> would make serious inroads upon the test of the </w:t>
      </w:r>
      <w:r w:rsidRPr="0014260B">
        <w:rPr>
          <w:rFonts w:eastAsia="Times New Roman" w:cs="Arial"/>
          <w:i/>
          <w:szCs w:val="24"/>
          <w:lang w:val="en-US"/>
        </w:rPr>
        <w:t xml:space="preserve">situs </w:t>
      </w:r>
      <w:r w:rsidRPr="0014260B">
        <w:rPr>
          <w:rFonts w:eastAsia="Times New Roman" w:cs="Arial"/>
          <w:szCs w:val="24"/>
          <w:lang w:val="en-US"/>
        </w:rPr>
        <w:t>of shares as being where they may be effectively dealt with as between the company and the owner.</w:t>
      </w:r>
    </w:p>
    <w:p w:rsidR="00B96DB2" w:rsidRPr="0014260B" w:rsidRDefault="00D766B8" w:rsidP="009903D3">
      <w:pPr>
        <w:pStyle w:val="Reasons"/>
        <w:rPr>
          <w:rFonts w:eastAsia="Times New Roman" w:cs="Arial"/>
          <w:szCs w:val="24"/>
        </w:rPr>
      </w:pPr>
      <w:r w:rsidRPr="0014260B">
        <w:rPr>
          <w:rFonts w:eastAsia="Times New Roman" w:cs="Arial"/>
          <w:szCs w:val="24"/>
          <w:lang w:val="en-US"/>
        </w:rPr>
        <w:t xml:space="preserve">Another argument of the respondent is put thus in his factum:— </w:t>
      </w:r>
    </w:p>
    <w:p w:rsidR="00B96DB2" w:rsidRPr="0014260B" w:rsidRDefault="00D766B8" w:rsidP="009903D3">
      <w:pPr>
        <w:pStyle w:val="Indent1"/>
        <w:spacing w:after="100" w:afterAutospacing="1"/>
      </w:pPr>
      <w:r w:rsidRPr="0014260B">
        <w:rPr>
          <w:lang w:val="en-US"/>
        </w:rPr>
        <w:t xml:space="preserve">The notional rule of the </w:t>
      </w:r>
      <w:r w:rsidRPr="0014260B">
        <w:rPr>
          <w:i/>
          <w:lang w:val="en-US"/>
        </w:rPr>
        <w:t>Brassard</w:t>
      </w:r>
      <w:r w:rsidR="004436C8" w:rsidRPr="0014260B">
        <w:rPr>
          <w:rStyle w:val="FootnoteReference"/>
          <w:rFonts w:eastAsia="Times New Roman" w:cs="Arial"/>
          <w:i/>
          <w:spacing w:val="10"/>
          <w:szCs w:val="24"/>
          <w:lang w:val="en-US"/>
        </w:rPr>
        <w:footnoteReference w:id="9"/>
      </w:r>
      <w:r w:rsidRPr="0014260B">
        <w:rPr>
          <w:i/>
          <w:lang w:val="en-US"/>
        </w:rPr>
        <w:t xml:space="preserve"> </w:t>
      </w:r>
      <w:r w:rsidRPr="0014260B">
        <w:rPr>
          <w:lang w:val="en-US"/>
        </w:rPr>
        <w:t xml:space="preserve">case fixes the </w:t>
      </w:r>
      <w:r w:rsidRPr="0014260B">
        <w:rPr>
          <w:i/>
          <w:lang w:val="en-US"/>
        </w:rPr>
        <w:t xml:space="preserve">situs </w:t>
      </w:r>
      <w:r w:rsidRPr="0014260B">
        <w:rPr>
          <w:lang w:val="en-US"/>
        </w:rPr>
        <w:t xml:space="preserve">of </w:t>
      </w:r>
      <w:r w:rsidR="002F57A9">
        <w:rPr>
          <w:lang w:val="en-US"/>
        </w:rPr>
        <w:t>the</w:t>
      </w:r>
      <w:r w:rsidRPr="0014260B">
        <w:rPr>
          <w:lang w:val="en-US"/>
        </w:rPr>
        <w:t xml:space="preserve"> property of a registered owner of shares as the </w:t>
      </w:r>
      <w:r w:rsidRPr="0014260B">
        <w:rPr>
          <w:i/>
          <w:lang w:val="en-US"/>
        </w:rPr>
        <w:t xml:space="preserve">locus </w:t>
      </w:r>
      <w:r w:rsidRPr="0014260B">
        <w:rPr>
          <w:lang w:val="en-US"/>
        </w:rPr>
        <w:t xml:space="preserve">of the share registry because that is where the rights that make up that property may be dealt with:—the rights to </w:t>
      </w:r>
      <w:proofErr w:type="gramStart"/>
      <w:r w:rsidRPr="0014260B">
        <w:rPr>
          <w:lang w:val="en-US"/>
        </w:rPr>
        <w:t>vote,</w:t>
      </w:r>
      <w:proofErr w:type="gramEnd"/>
      <w:r w:rsidRPr="0014260B">
        <w:rPr>
          <w:lang w:val="en-US"/>
        </w:rPr>
        <w:t xml:space="preserve"> attend meetings and receive dividends. The rule</w:t>
      </w:r>
      <w:r w:rsidR="002F57A9">
        <w:rPr>
          <w:lang w:val="en-US"/>
        </w:rPr>
        <w:t xml:space="preserve"> </w:t>
      </w:r>
      <w:r w:rsidRPr="0014260B">
        <w:rPr>
          <w:lang w:val="en-US"/>
        </w:rPr>
        <w:t>would completely lose its logic if applied to such a</w:t>
      </w:r>
      <w:r w:rsidR="002F57A9">
        <w:rPr>
          <w:lang w:val="en-US"/>
        </w:rPr>
        <w:t xml:space="preserve"> </w:t>
      </w:r>
      <w:r w:rsidRPr="0014260B">
        <w:rPr>
          <w:lang w:val="en-US"/>
        </w:rPr>
        <w:t>case as the present where the deceased held none of these rights.</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 xml:space="preserve">In the first place, Duff J., as he then was, in </w:t>
      </w:r>
      <w:r w:rsidRPr="0014260B">
        <w:rPr>
          <w:rFonts w:eastAsia="Times New Roman" w:cs="Arial"/>
          <w:i/>
          <w:spacing w:val="3"/>
          <w:szCs w:val="24"/>
          <w:lang w:val="en-US"/>
        </w:rPr>
        <w:t>Smith v. Levesque</w:t>
      </w:r>
      <w:r w:rsidR="004436C8" w:rsidRPr="0014260B">
        <w:rPr>
          <w:rStyle w:val="FootnoteReference"/>
          <w:rFonts w:eastAsia="Times New Roman" w:cs="Arial"/>
          <w:i/>
          <w:spacing w:val="3"/>
          <w:szCs w:val="24"/>
          <w:lang w:val="en-US"/>
        </w:rPr>
        <w:footnoteReference w:id="10"/>
      </w:r>
      <w:r w:rsidRPr="0014260B">
        <w:rPr>
          <w:rFonts w:eastAsia="Times New Roman" w:cs="Arial"/>
          <w:spacing w:val="3"/>
          <w:szCs w:val="24"/>
          <w:lang w:val="en-US"/>
        </w:rPr>
        <w:t xml:space="preserve">, points out that </w:t>
      </w:r>
      <w:r w:rsidRPr="0014260B">
        <w:rPr>
          <w:rFonts w:eastAsia="Times New Roman" w:cs="Arial"/>
          <w:i/>
          <w:spacing w:val="3"/>
          <w:szCs w:val="24"/>
          <w:lang w:val="en-US"/>
        </w:rPr>
        <w:t xml:space="preserve">situs </w:t>
      </w:r>
      <w:r w:rsidRPr="0014260B">
        <w:rPr>
          <w:rFonts w:eastAsia="Times New Roman" w:cs="Arial"/>
          <w:spacing w:val="3"/>
          <w:szCs w:val="24"/>
          <w:lang w:val="en-US"/>
        </w:rPr>
        <w:t xml:space="preserve">ascribed to intangible property for the purpose of determining the authority of the executor to deal with it is not, strictly speaking, a fictitious </w:t>
      </w:r>
      <w:r w:rsidRPr="0014260B">
        <w:rPr>
          <w:rFonts w:eastAsia="Times New Roman" w:cs="Arial"/>
          <w:i/>
          <w:spacing w:val="3"/>
          <w:szCs w:val="24"/>
          <w:lang w:val="en-US"/>
        </w:rPr>
        <w:t xml:space="preserve">situs. </w:t>
      </w:r>
      <w:r w:rsidRPr="0014260B">
        <w:rPr>
          <w:rFonts w:eastAsia="Times New Roman" w:cs="Arial"/>
          <w:spacing w:val="3"/>
          <w:szCs w:val="24"/>
          <w:lang w:val="en-US"/>
        </w:rPr>
        <w:t>Then, so far as the respondent's present contention i</w:t>
      </w:r>
      <w:r w:rsidR="006B4A3B">
        <w:rPr>
          <w:rFonts w:eastAsia="Times New Roman" w:cs="Arial"/>
          <w:spacing w:val="3"/>
          <w:szCs w:val="24"/>
          <w:lang w:val="en-US"/>
        </w:rPr>
        <w:t xml:space="preserve">s based upon the fact that the </w:t>
      </w:r>
      <w:r w:rsidRPr="0014260B">
        <w:rPr>
          <w:rFonts w:eastAsia="Times New Roman" w:cs="Arial"/>
          <w:spacing w:val="3"/>
          <w:szCs w:val="24"/>
          <w:lang w:val="en-US"/>
        </w:rPr>
        <w:t xml:space="preserve">deceased was not the registered owner nor in possession of the certificates, the trust company and its employees, in my view, </w:t>
      </w:r>
      <w:r w:rsidRPr="0014260B">
        <w:rPr>
          <w:rFonts w:eastAsia="Times New Roman" w:cs="Arial"/>
          <w:spacing w:val="3"/>
          <w:szCs w:val="24"/>
          <w:lang w:val="en-US"/>
        </w:rPr>
        <w:lastRenderedPageBreak/>
        <w:t>were merely Mr. Brookfield's agents, bound to follow his instructions as to voting, attending meetings and receiving dividends. The contention that the real nature of Mr. Brookfield's property was a right of action under a Nov</w:t>
      </w:r>
      <w:r w:rsidR="006B4A3B">
        <w:rPr>
          <w:rFonts w:eastAsia="Times New Roman" w:cs="Arial"/>
          <w:spacing w:val="3"/>
          <w:szCs w:val="24"/>
          <w:lang w:val="en-US"/>
        </w:rPr>
        <w:t xml:space="preserve">a Scotia </w:t>
      </w:r>
      <w:proofErr w:type="gramStart"/>
      <w:r w:rsidR="006B4A3B">
        <w:rPr>
          <w:rFonts w:eastAsia="Times New Roman" w:cs="Arial"/>
          <w:spacing w:val="3"/>
          <w:szCs w:val="24"/>
          <w:lang w:val="en-US"/>
        </w:rPr>
        <w:t>trust,</w:t>
      </w:r>
      <w:proofErr w:type="gramEnd"/>
      <w:r w:rsidR="006B4A3B">
        <w:rPr>
          <w:rFonts w:eastAsia="Times New Roman" w:cs="Arial"/>
          <w:spacing w:val="3"/>
          <w:szCs w:val="24"/>
          <w:lang w:val="en-US"/>
        </w:rPr>
        <w:t xml:space="preserve"> is to overlook </w:t>
      </w:r>
      <w:r w:rsidRPr="0014260B">
        <w:rPr>
          <w:rFonts w:eastAsia="Times New Roman" w:cs="Arial"/>
          <w:spacing w:val="3"/>
          <w:szCs w:val="24"/>
          <w:lang w:val="en-US"/>
        </w:rPr>
        <w:t>the realities of the situation. Even if the trust company and its employees were trustees, the trusts ended when the certificates, endorsed in blank, came into possession of the trust company as administrator with the will annexed of the deceased.</w:t>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The appeal .sho</w:t>
      </w:r>
      <w:r w:rsidR="006B4A3B">
        <w:rPr>
          <w:rFonts w:eastAsia="Times New Roman" w:cs="Arial"/>
          <w:spacing w:val="6"/>
          <w:szCs w:val="24"/>
          <w:lang w:val="en-US"/>
        </w:rPr>
        <w:t xml:space="preserve">uld </w:t>
      </w:r>
      <w:proofErr w:type="gramStart"/>
      <w:r w:rsidRPr="0014260B">
        <w:rPr>
          <w:rFonts w:eastAsia="Times New Roman" w:cs="Arial"/>
          <w:spacing w:val="6"/>
          <w:szCs w:val="24"/>
          <w:lang w:val="en-US"/>
        </w:rPr>
        <w:t>be</w:t>
      </w:r>
      <w:proofErr w:type="gramEnd"/>
      <w:r w:rsidRPr="0014260B">
        <w:rPr>
          <w:rFonts w:eastAsia="Times New Roman" w:cs="Arial"/>
          <w:spacing w:val="6"/>
          <w:szCs w:val="24"/>
          <w:lang w:val="en-US"/>
        </w:rPr>
        <w:t xml:space="preserve"> allowed. Notwithstanding the form of the stated case and of a written agreement signed on behalf of the parties, I understand that if the above views prevail, the proper order to be made is that the answer to the following q</w:t>
      </w:r>
      <w:r w:rsidR="004436C8" w:rsidRPr="0014260B">
        <w:rPr>
          <w:rFonts w:eastAsia="Times New Roman" w:cs="Arial"/>
          <w:spacing w:val="6"/>
          <w:szCs w:val="24"/>
          <w:lang w:val="en-US"/>
        </w:rPr>
        <w:t>uestion submitted for determina</w:t>
      </w:r>
      <w:r w:rsidRPr="0014260B">
        <w:rPr>
          <w:rFonts w:eastAsia="Times New Roman" w:cs="Arial"/>
          <w:spacing w:val="6"/>
          <w:szCs w:val="24"/>
          <w:lang w:val="en-US"/>
        </w:rPr>
        <w:t>tion, namely:—</w:t>
      </w:r>
      <w:r w:rsidRPr="0014260B">
        <w:rPr>
          <w:rFonts w:eastAsia="Times New Roman" w:cs="Arial"/>
          <w:szCs w:val="24"/>
          <w:lang w:val="en-US"/>
        </w:rPr>
        <w:t xml:space="preserve"> </w:t>
      </w:r>
    </w:p>
    <w:p w:rsidR="00B96DB2" w:rsidRPr="0014260B" w:rsidRDefault="00D766B8" w:rsidP="009903D3">
      <w:pPr>
        <w:pStyle w:val="Indent1"/>
        <w:spacing w:after="100" w:afterAutospacing="1"/>
        <w:rPr>
          <w:rFonts w:cs="Arial"/>
          <w:szCs w:val="24"/>
        </w:rPr>
      </w:pPr>
      <w:r w:rsidRPr="0014260B">
        <w:rPr>
          <w:rFonts w:cs="Arial"/>
          <w:szCs w:val="24"/>
          <w:lang w:val="en-US"/>
        </w:rPr>
        <w:t xml:space="preserve">Whether succession duty was leviable and payable for the use of the Province </w:t>
      </w:r>
      <w:r w:rsidRPr="0014260B">
        <w:rPr>
          <w:rFonts w:cs="Arial"/>
          <w:szCs w:val="24"/>
          <w:vertAlign w:val="superscript"/>
          <w:lang w:val="en-US"/>
        </w:rPr>
        <w:t>of</w:t>
      </w:r>
      <w:r w:rsidRPr="0014260B">
        <w:rPr>
          <w:rFonts w:cs="Arial"/>
          <w:szCs w:val="24"/>
          <w:lang w:val="en-US"/>
        </w:rPr>
        <w:t xml:space="preserve"> Nova Scotia in respect to the</w:t>
      </w:r>
      <w:r w:rsidR="006B4A3B">
        <w:rPr>
          <w:rFonts w:cs="Arial"/>
          <w:szCs w:val="24"/>
          <w:lang w:val="en-US"/>
        </w:rPr>
        <w:t xml:space="preserve"> property to which the said W. </w:t>
      </w:r>
      <w:r w:rsidRPr="0014260B">
        <w:rPr>
          <w:rFonts w:cs="Arial"/>
          <w:szCs w:val="24"/>
          <w:lang w:val="en-US"/>
        </w:rPr>
        <w:t>Herbert Brookfield was at the time of his death entitled or which passed upon his death by reason of the facts related in Paragraphs 5, 6 and 7 of the Stated Case herein?</w:t>
      </w:r>
    </w:p>
    <w:p w:rsidR="00B96DB2" w:rsidRPr="0014260B" w:rsidRDefault="00D766B8" w:rsidP="009903D3">
      <w:pPr>
        <w:pStyle w:val="Reasons"/>
        <w:rPr>
          <w:rFonts w:eastAsia="Times New Roman" w:cs="Arial"/>
          <w:spacing w:val="6"/>
          <w:szCs w:val="24"/>
        </w:rPr>
      </w:pPr>
      <w:proofErr w:type="gramStart"/>
      <w:r w:rsidRPr="0014260B">
        <w:rPr>
          <w:rFonts w:eastAsia="Times New Roman" w:cs="Arial"/>
          <w:spacing w:val="6"/>
          <w:szCs w:val="24"/>
          <w:lang w:val="en-US"/>
        </w:rPr>
        <w:t>is</w:t>
      </w:r>
      <w:proofErr w:type="gramEnd"/>
      <w:r w:rsidRPr="0014260B">
        <w:rPr>
          <w:rFonts w:eastAsia="Times New Roman" w:cs="Arial"/>
          <w:spacing w:val="6"/>
          <w:szCs w:val="24"/>
          <w:lang w:val="en-US"/>
        </w:rPr>
        <w:t xml:space="preserve"> that such succession duty was not leviable and payable for the use of the province of Nova . Scotia and that the province of Nova Scotia was not right in exacting the said</w:t>
      </w:r>
    </w:p>
    <w:p w:rsidR="007B461C" w:rsidRPr="0014260B" w:rsidRDefault="007B461C" w:rsidP="009903D3">
      <w:pPr>
        <w:pStyle w:val="Page"/>
        <w:rPr>
          <w:rFonts w:cs="Arial"/>
          <w:szCs w:val="24"/>
          <w:lang w:val="en-US"/>
        </w:rPr>
      </w:pPr>
      <w:r w:rsidRPr="0014260B">
        <w:rPr>
          <w:rFonts w:cs="Arial"/>
          <w:color w:val="000000"/>
          <w:szCs w:val="24"/>
          <w:lang w:val="en-US"/>
        </w:rPr>
        <w:t>[Page 336]</w:t>
      </w:r>
    </w:p>
    <w:p w:rsidR="00B96DB2" w:rsidRPr="0014260B" w:rsidRDefault="00D766B8" w:rsidP="009903D3">
      <w:pPr>
        <w:pStyle w:val="Reasons"/>
        <w:rPr>
          <w:rFonts w:eastAsia="Times New Roman" w:cs="Arial"/>
          <w:szCs w:val="24"/>
        </w:rPr>
      </w:pPr>
      <w:proofErr w:type="gramStart"/>
      <w:r w:rsidRPr="0014260B">
        <w:rPr>
          <w:rFonts w:eastAsia="Times New Roman" w:cs="Arial"/>
          <w:szCs w:val="24"/>
          <w:lang w:val="en-US"/>
        </w:rPr>
        <w:t>tax</w:t>
      </w:r>
      <w:proofErr w:type="gramEnd"/>
      <w:r w:rsidRPr="0014260B">
        <w:rPr>
          <w:rFonts w:eastAsia="Times New Roman" w:cs="Arial"/>
          <w:szCs w:val="24"/>
          <w:lang w:val="en-US"/>
        </w:rPr>
        <w:t xml:space="preserve"> and is required to make a refund of the sum of $14,347.09 without costs of any of the proceedings in this court or in the court </w:t>
      </w:r>
      <w:r w:rsidRPr="0014260B">
        <w:rPr>
          <w:rFonts w:eastAsia="Times New Roman" w:cs="Arial"/>
          <w:i/>
          <w:szCs w:val="24"/>
          <w:lang w:val="en-US"/>
        </w:rPr>
        <w:t>en banc.</w:t>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TASCHEREAU, J.:—W. Herbert Brookfield died in November, 1944, and at the time of his death, had his domicile in the province of N</w:t>
      </w:r>
      <w:r w:rsidR="006B4A3B">
        <w:rPr>
          <w:rFonts w:eastAsia="Times New Roman" w:cs="Arial"/>
          <w:spacing w:val="6"/>
          <w:szCs w:val="24"/>
          <w:lang w:val="en-US"/>
        </w:rPr>
        <w:t xml:space="preserve">ova Scotia. The administration </w:t>
      </w:r>
      <w:r w:rsidRPr="0014260B">
        <w:rPr>
          <w:rFonts w:eastAsia="Times New Roman" w:cs="Arial"/>
          <w:spacing w:val="6"/>
          <w:szCs w:val="24"/>
          <w:lang w:val="en-US"/>
        </w:rPr>
        <w:t>of his estate, valued at more than $450,000 was given to the Royal Trust •Company,</w:t>
      </w:r>
      <w:r w:rsidR="004436C8" w:rsidRPr="0014260B">
        <w:rPr>
          <w:rFonts w:eastAsia="Times New Roman" w:cs="Arial"/>
          <w:spacing w:val="6"/>
          <w:szCs w:val="24"/>
          <w:lang w:val="en-US"/>
        </w:rPr>
        <w:t xml:space="preserve"> appellant in th</w:t>
      </w:r>
      <w:r w:rsidRPr="0014260B">
        <w:rPr>
          <w:rFonts w:eastAsia="Times New Roman" w:cs="Arial"/>
          <w:spacing w:val="6"/>
          <w:szCs w:val="24"/>
          <w:lang w:val="en-US"/>
        </w:rPr>
        <w:t>e present case.</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Prior to his death, the testator caused to be registered in t</w:t>
      </w:r>
      <w:r w:rsidR="00E8733B">
        <w:rPr>
          <w:rFonts w:eastAsia="Times New Roman" w:cs="Arial"/>
          <w:spacing w:val="3"/>
          <w:szCs w:val="24"/>
          <w:lang w:val="en-US"/>
        </w:rPr>
        <w:t xml:space="preserve">he names of certain persons, </w:t>
      </w:r>
      <w:r w:rsidRPr="0014260B">
        <w:rPr>
          <w:rFonts w:eastAsia="Times New Roman" w:cs="Arial"/>
          <w:spacing w:val="3"/>
          <w:szCs w:val="24"/>
          <w:lang w:val="en-US"/>
        </w:rPr>
        <w:t>shares of incorporated companies having their respective head-offices in the United States of America, and no transfer office's in the province of No</w:t>
      </w:r>
      <w:r w:rsidR="006B4A3B">
        <w:rPr>
          <w:rFonts w:eastAsia="Times New Roman" w:cs="Arial"/>
          <w:spacing w:val="3"/>
          <w:szCs w:val="24"/>
          <w:lang w:val="en-US"/>
        </w:rPr>
        <w:t xml:space="preserve">va Scotia. It is common ground that these shares were held on the </w:t>
      </w:r>
      <w:r w:rsidRPr="0014260B">
        <w:rPr>
          <w:rFonts w:eastAsia="Times New Roman" w:cs="Arial"/>
          <w:spacing w:val="3"/>
          <w:szCs w:val="24"/>
          <w:lang w:val="en-US"/>
        </w:rPr>
        <w:t>testator's behalf, for management and safe keeping, in the vaults of the Royal Trust Company in Halifax. The certificates were endorsed in blank by the respective persons in whose name's they were made out, and to each certificate was attached a Declaration of Trust.</w:t>
      </w:r>
    </w:p>
    <w:p w:rsidR="00B96DB2" w:rsidRPr="0014260B" w:rsidRDefault="00D766B8" w:rsidP="009903D3">
      <w:pPr>
        <w:pStyle w:val="Reasons"/>
        <w:rPr>
          <w:rFonts w:eastAsia="Times New Roman" w:cs="Arial"/>
          <w:spacing w:val="7"/>
          <w:szCs w:val="24"/>
        </w:rPr>
      </w:pPr>
      <w:proofErr w:type="spellStart"/>
      <w:r w:rsidRPr="0014260B">
        <w:rPr>
          <w:rFonts w:eastAsia="Times New Roman" w:cs="Arial"/>
          <w:spacing w:val="7"/>
          <w:szCs w:val="24"/>
          <w:lang w:val="en-US"/>
        </w:rPr>
        <w:t>Some time</w:t>
      </w:r>
      <w:proofErr w:type="spellEnd"/>
      <w:r w:rsidRPr="0014260B">
        <w:rPr>
          <w:rFonts w:eastAsia="Times New Roman" w:cs="Arial"/>
          <w:spacing w:val="7"/>
          <w:szCs w:val="24"/>
          <w:lang w:val="en-US"/>
        </w:rPr>
        <w:t xml:space="preserve"> after the death of M</w:t>
      </w:r>
      <w:r w:rsidR="00E8733B">
        <w:rPr>
          <w:rFonts w:eastAsia="Times New Roman" w:cs="Arial"/>
          <w:spacing w:val="7"/>
          <w:szCs w:val="24"/>
          <w:lang w:val="en-US"/>
        </w:rPr>
        <w:t xml:space="preserve">r. Brookfield, the Royal Trust </w:t>
      </w:r>
      <w:r w:rsidRPr="0014260B">
        <w:rPr>
          <w:rFonts w:eastAsia="Times New Roman" w:cs="Arial"/>
          <w:spacing w:val="7"/>
          <w:szCs w:val="24"/>
          <w:lang w:val="en-US"/>
        </w:rPr>
        <w:t>Company, as administrat</w:t>
      </w:r>
      <w:r w:rsidR="00E8733B">
        <w:rPr>
          <w:rFonts w:eastAsia="Times New Roman" w:cs="Arial"/>
          <w:spacing w:val="7"/>
          <w:szCs w:val="24"/>
          <w:lang w:val="en-US"/>
        </w:rPr>
        <w:t xml:space="preserve">or of the estate, paid to the </w:t>
      </w:r>
      <w:r w:rsidR="006B4A3B">
        <w:rPr>
          <w:rFonts w:eastAsia="Times New Roman" w:cs="Arial"/>
          <w:spacing w:val="7"/>
          <w:szCs w:val="24"/>
          <w:lang w:val="en-US"/>
        </w:rPr>
        <w:t xml:space="preserve">Collector of </w:t>
      </w:r>
      <w:r w:rsidRPr="0014260B">
        <w:rPr>
          <w:rFonts w:eastAsia="Times New Roman" w:cs="Arial"/>
          <w:spacing w:val="7"/>
          <w:szCs w:val="24"/>
          <w:lang w:val="en-US"/>
        </w:rPr>
        <w:t>Succession Duties for the province of Nova Scotia, the sum of $65,258.97, in which amou</w:t>
      </w:r>
      <w:r w:rsidR="00E8733B">
        <w:rPr>
          <w:rFonts w:eastAsia="Times New Roman" w:cs="Arial"/>
          <w:spacing w:val="7"/>
          <w:szCs w:val="24"/>
          <w:lang w:val="en-US"/>
        </w:rPr>
        <w:t xml:space="preserve">nt were included duties on the </w:t>
      </w:r>
      <w:r w:rsidRPr="0014260B">
        <w:rPr>
          <w:rFonts w:eastAsia="Times New Roman" w:cs="Arial"/>
          <w:spacing w:val="7"/>
          <w:szCs w:val="24"/>
          <w:lang w:val="en-US"/>
        </w:rPr>
        <w:t xml:space="preserve">shares previously referred </w:t>
      </w:r>
      <w:proofErr w:type="gramStart"/>
      <w:r w:rsidRPr="0014260B">
        <w:rPr>
          <w:rFonts w:eastAsia="Times New Roman" w:cs="Arial"/>
          <w:spacing w:val="7"/>
          <w:szCs w:val="24"/>
          <w:lang w:val="en-US"/>
        </w:rPr>
        <w:t>to.</w:t>
      </w:r>
      <w:proofErr w:type="gramEnd"/>
      <w:r w:rsidRPr="0014260B">
        <w:rPr>
          <w:rFonts w:eastAsia="Times New Roman" w:cs="Arial"/>
          <w:spacing w:val="7"/>
          <w:szCs w:val="24"/>
          <w:lang w:val="en-US"/>
        </w:rPr>
        <w:t xml:space="preserve"> An amount of $</w:t>
      </w:r>
      <w:r w:rsidR="00E8733B">
        <w:rPr>
          <w:rFonts w:eastAsia="Times New Roman" w:cs="Arial"/>
          <w:spacing w:val="7"/>
          <w:szCs w:val="24"/>
          <w:lang w:val="en-US"/>
        </w:rPr>
        <w:t xml:space="preserve">17,897.92 was also paid to the </w:t>
      </w:r>
      <w:r w:rsidRPr="0014260B">
        <w:rPr>
          <w:rFonts w:eastAsia="Times New Roman" w:cs="Arial"/>
          <w:spacing w:val="7"/>
          <w:szCs w:val="24"/>
          <w:lang w:val="en-US"/>
        </w:rPr>
        <w:t>Collector of Inland Revenue of the United States, being the Federal American taxes due on the transfer of said shares. The appellant, then claimed a refund from the province of Nova Scotia amounting to $14,347.09, and a st</w:t>
      </w:r>
      <w:r w:rsidR="00E8733B">
        <w:rPr>
          <w:rFonts w:eastAsia="Times New Roman" w:cs="Arial"/>
          <w:spacing w:val="7"/>
          <w:szCs w:val="24"/>
          <w:lang w:val="en-US"/>
        </w:rPr>
        <w:t xml:space="preserve">ated case was submitted to the </w:t>
      </w:r>
      <w:r w:rsidRPr="0014260B">
        <w:rPr>
          <w:rFonts w:eastAsia="Times New Roman" w:cs="Arial"/>
          <w:spacing w:val="7"/>
          <w:szCs w:val="24"/>
          <w:lang w:val="en-US"/>
        </w:rPr>
        <w:t xml:space="preserve">Supreme •Court of Nova Scotia </w:t>
      </w:r>
      <w:r w:rsidRPr="0014260B">
        <w:rPr>
          <w:rFonts w:eastAsia="Times New Roman" w:cs="Arial"/>
          <w:i/>
          <w:spacing w:val="7"/>
          <w:szCs w:val="24"/>
          <w:lang w:val="en-US"/>
        </w:rPr>
        <w:t xml:space="preserve">-en banc. </w:t>
      </w:r>
      <w:r w:rsidRPr="0014260B">
        <w:rPr>
          <w:rFonts w:eastAsia="Times New Roman" w:cs="Arial"/>
          <w:spacing w:val="7"/>
          <w:szCs w:val="24"/>
          <w:lang w:val="en-US"/>
        </w:rPr>
        <w:t>The question was the following:—</w:t>
      </w:r>
      <w:r w:rsidRPr="0014260B">
        <w:rPr>
          <w:rFonts w:eastAsia="Times New Roman" w:cs="Arial"/>
          <w:szCs w:val="24"/>
          <w:lang w:val="en-US"/>
        </w:rPr>
        <w:t xml:space="preserve"> </w:t>
      </w:r>
    </w:p>
    <w:p w:rsidR="00B96DB2" w:rsidRPr="0014260B" w:rsidRDefault="00D766B8" w:rsidP="009903D3">
      <w:pPr>
        <w:pStyle w:val="Indent1"/>
        <w:spacing w:after="100" w:afterAutospacing="1"/>
      </w:pPr>
      <w:r w:rsidRPr="0014260B">
        <w:rPr>
          <w:lang w:val="en-US"/>
        </w:rPr>
        <w:t>Whether succession duty was leviable and payable for the use of the Province of Nova Scotia in respect to the property to which the said W. Herbert Brookfield was at the time of his death</w:t>
      </w:r>
      <w:r w:rsidR="006B4A3B">
        <w:rPr>
          <w:lang w:val="en-US"/>
        </w:rPr>
        <w:t xml:space="preserve"> entitled or which passed upon </w:t>
      </w:r>
      <w:r w:rsidRPr="0014260B">
        <w:rPr>
          <w:lang w:val="en-US"/>
        </w:rPr>
        <w:t>his death by reason of the facts related in Paragraphs 5, 6 and 7 of the Stated Case ;herein?</w:t>
      </w:r>
    </w:p>
    <w:p w:rsidR="00B96DB2" w:rsidRPr="0014260B" w:rsidRDefault="006B4A3B" w:rsidP="009903D3">
      <w:pPr>
        <w:pStyle w:val="Reasons"/>
        <w:rPr>
          <w:rFonts w:eastAsia="Times New Roman" w:cs="Arial"/>
          <w:szCs w:val="24"/>
        </w:rPr>
      </w:pPr>
      <w:r>
        <w:rPr>
          <w:rFonts w:eastAsia="Times New Roman" w:cs="Arial"/>
          <w:szCs w:val="24"/>
          <w:lang w:val="en-US"/>
        </w:rPr>
        <w:lastRenderedPageBreak/>
        <w:t xml:space="preserve">The unanimous </w:t>
      </w:r>
      <w:r w:rsidR="00D766B8" w:rsidRPr="0014260B">
        <w:rPr>
          <w:rFonts w:eastAsia="Times New Roman" w:cs="Arial"/>
          <w:szCs w:val="24"/>
          <w:lang w:val="en-US"/>
        </w:rPr>
        <w:t>answer was that such duties were leviable and payable, and that the province of Nova Scotia was right in exacting the tax, and was not required to make a refund thereof.</w:t>
      </w:r>
    </w:p>
    <w:p w:rsidR="007B461C" w:rsidRPr="0014260B" w:rsidRDefault="007B461C" w:rsidP="009903D3">
      <w:pPr>
        <w:pStyle w:val="Page"/>
        <w:rPr>
          <w:rFonts w:cs="Arial"/>
          <w:szCs w:val="24"/>
          <w:lang w:val="en-US"/>
        </w:rPr>
      </w:pPr>
      <w:r w:rsidRPr="0014260B">
        <w:rPr>
          <w:rFonts w:cs="Arial"/>
          <w:color w:val="000000"/>
          <w:szCs w:val="24"/>
          <w:lang w:val="en-US"/>
        </w:rPr>
        <w:t>[Page 337]</w:t>
      </w:r>
    </w:p>
    <w:p w:rsidR="00B96DB2" w:rsidRPr="0014260B" w:rsidRDefault="006B4A3B" w:rsidP="009903D3">
      <w:pPr>
        <w:pStyle w:val="Reasons"/>
        <w:rPr>
          <w:rFonts w:eastAsia="Garamond" w:cs="Arial"/>
          <w:spacing w:val="5"/>
          <w:szCs w:val="24"/>
        </w:rPr>
      </w:pPr>
      <w:r>
        <w:rPr>
          <w:rFonts w:eastAsia="Garamond" w:cs="Arial"/>
          <w:spacing w:val="5"/>
          <w:szCs w:val="24"/>
          <w:lang w:val="en-US"/>
        </w:rPr>
        <w:t xml:space="preserve">I </w:t>
      </w:r>
      <w:r w:rsidR="00D766B8" w:rsidRPr="0014260B">
        <w:rPr>
          <w:rFonts w:eastAsia="Garamond" w:cs="Arial"/>
          <w:spacing w:val="5"/>
          <w:szCs w:val="24"/>
          <w:lang w:val="en-US"/>
        </w:rPr>
        <w:t xml:space="preserve">agree with the Supreme Court </w:t>
      </w:r>
      <w:r w:rsidR="00D766B8" w:rsidRPr="0014260B">
        <w:rPr>
          <w:rFonts w:eastAsia="Garamond" w:cs="Arial"/>
          <w:i/>
          <w:spacing w:val="5"/>
          <w:szCs w:val="24"/>
          <w:lang w:val="en-US"/>
        </w:rPr>
        <w:t xml:space="preserve">en bane </w:t>
      </w:r>
      <w:r w:rsidR="00D766B8" w:rsidRPr="0014260B">
        <w:rPr>
          <w:rFonts w:eastAsia="Garamond" w:cs="Arial"/>
          <w:spacing w:val="5"/>
          <w:szCs w:val="24"/>
          <w:lang w:val="en-US"/>
        </w:rPr>
        <w:t>of Nova Scotia</w:t>
      </w:r>
      <w:r w:rsidR="004436C8" w:rsidRPr="0014260B">
        <w:rPr>
          <w:rStyle w:val="FootnoteReference"/>
          <w:rFonts w:eastAsia="Garamond" w:cs="Arial"/>
          <w:spacing w:val="5"/>
          <w:szCs w:val="24"/>
          <w:lang w:val="en-US"/>
        </w:rPr>
        <w:footnoteReference w:id="11"/>
      </w:r>
      <w:r w:rsidR="00D766B8" w:rsidRPr="0014260B">
        <w:rPr>
          <w:rFonts w:eastAsia="Garamond" w:cs="Arial"/>
          <w:spacing w:val="5"/>
          <w:szCs w:val="24"/>
          <w:lang w:val="en-US"/>
        </w:rPr>
        <w:t xml:space="preserve">, that the Royal Trust, as administrator, cannot base its claim for a refund •on the ground that under the </w:t>
      </w:r>
      <w:r w:rsidR="00D766B8" w:rsidRPr="0014260B">
        <w:rPr>
          <w:rFonts w:eastAsia="Garamond" w:cs="Arial"/>
          <w:i/>
          <w:spacing w:val="5"/>
          <w:szCs w:val="24"/>
          <w:lang w:val="en-US"/>
        </w:rPr>
        <w:t xml:space="preserve">Canada-United States of America Tax Convention Act, </w:t>
      </w:r>
      <w:r w:rsidR="00D766B8" w:rsidRPr="0014260B">
        <w:rPr>
          <w:rFonts w:eastAsia="Garamond" w:cs="Arial"/>
          <w:spacing w:val="5"/>
          <w:szCs w:val="24"/>
          <w:lang w:val="en-US"/>
        </w:rPr>
        <w:t xml:space="preserve">(Statutes of Canada, 1944, chap. 31) the taxes </w:t>
      </w:r>
      <w:r>
        <w:rPr>
          <w:rFonts w:eastAsia="Garamond" w:cs="Arial"/>
          <w:spacing w:val="5"/>
          <w:szCs w:val="24"/>
          <w:lang w:val="en-US"/>
        </w:rPr>
        <w:t xml:space="preserve">are not due. I fully concur in </w:t>
      </w:r>
      <w:r w:rsidR="00D766B8" w:rsidRPr="0014260B">
        <w:rPr>
          <w:rFonts w:eastAsia="Garamond" w:cs="Arial"/>
          <w:spacing w:val="5"/>
          <w:szCs w:val="24"/>
          <w:lang w:val="en-US"/>
        </w:rPr>
        <w:t xml:space="preserve">the following statement made by Mr. Justice </w:t>
      </w:r>
      <w:proofErr w:type="spellStart"/>
      <w:r w:rsidR="00D766B8" w:rsidRPr="0014260B">
        <w:rPr>
          <w:rFonts w:eastAsia="Garamond" w:cs="Arial"/>
          <w:spacing w:val="5"/>
          <w:szCs w:val="24"/>
          <w:lang w:val="en-US"/>
        </w:rPr>
        <w:t>Doull</w:t>
      </w:r>
      <w:proofErr w:type="spellEnd"/>
      <w:r w:rsidR="00D766B8" w:rsidRPr="0014260B">
        <w:rPr>
          <w:rFonts w:eastAsia="Garamond" w:cs="Arial"/>
          <w:spacing w:val="5"/>
          <w:szCs w:val="24"/>
          <w:lang w:val="en-US"/>
        </w:rPr>
        <w:t>:—</w:t>
      </w:r>
      <w:r w:rsidR="00D766B8" w:rsidRPr="0014260B">
        <w:rPr>
          <w:rFonts w:eastAsia="Garamond" w:cs="Arial"/>
          <w:szCs w:val="24"/>
          <w:lang w:val="en-US"/>
        </w:rPr>
        <w:t xml:space="preserve"> </w:t>
      </w:r>
    </w:p>
    <w:p w:rsidR="00B96DB2" w:rsidRPr="0014260B" w:rsidRDefault="006B4A3B" w:rsidP="009903D3">
      <w:pPr>
        <w:pStyle w:val="Indent1"/>
        <w:spacing w:after="100" w:afterAutospacing="1"/>
      </w:pPr>
      <w:r>
        <w:rPr>
          <w:lang w:val="en-US"/>
        </w:rPr>
        <w:t xml:space="preserve">I am of </w:t>
      </w:r>
      <w:r w:rsidR="00D766B8" w:rsidRPr="0014260B">
        <w:rPr>
          <w:lang w:val="en-US"/>
        </w:rPr>
        <w:t xml:space="preserve">opinion that this convention can have no application to a question of </w:t>
      </w:r>
      <w:r w:rsidR="00D766B8" w:rsidRPr="0014260B">
        <w:rPr>
          <w:i/>
          <w:lang w:val="en-US"/>
        </w:rPr>
        <w:t xml:space="preserve">situs </w:t>
      </w:r>
      <w:r w:rsidR="00D766B8" w:rsidRPr="0014260B">
        <w:rPr>
          <w:lang w:val="en-US"/>
        </w:rPr>
        <w:t xml:space="preserve">arising under the Nova Scotia </w:t>
      </w:r>
      <w:r w:rsidR="00D766B8" w:rsidRPr="0014260B">
        <w:rPr>
          <w:i/>
          <w:lang w:val="en-US"/>
        </w:rPr>
        <w:t xml:space="preserve">Succession Duty Act. </w:t>
      </w:r>
      <w:r w:rsidR="00D766B8" w:rsidRPr="0014260B">
        <w:rPr>
          <w:lang w:val="en-US"/>
        </w:rPr>
        <w:t xml:space="preserve">I do not agree with the suggestion that the Dominion Parliament has power to change the Nova Scotia enactment, if such enactment is within the power of the Nova Scotia Legislature under the </w:t>
      </w:r>
      <w:r w:rsidR="00D766B8" w:rsidRPr="0014260B">
        <w:rPr>
          <w:i/>
          <w:lang w:val="en-US"/>
        </w:rPr>
        <w:t xml:space="preserve">British North America Act, </w:t>
      </w:r>
      <w:r w:rsidR="00D766B8" w:rsidRPr="0014260B">
        <w:rPr>
          <w:lang w:val="en-US"/>
        </w:rPr>
        <w:t>but in the present case, no such question arises for the</w:t>
      </w:r>
      <w:r>
        <w:rPr>
          <w:lang w:val="en-US"/>
        </w:rPr>
        <w:t xml:space="preserve"> convention by its terms deals </w:t>
      </w:r>
      <w:r w:rsidR="00D766B8" w:rsidRPr="0014260B">
        <w:rPr>
          <w:lang w:val="en-US"/>
        </w:rPr>
        <w:t xml:space="preserve">only with "the tax imposed under the </w:t>
      </w:r>
      <w:r w:rsidR="00D766B8" w:rsidRPr="0014260B">
        <w:rPr>
          <w:i/>
          <w:lang w:val="en-US"/>
        </w:rPr>
        <w:t xml:space="preserve">Dominion Succession Duty Act." </w:t>
      </w:r>
      <w:r w:rsidR="00D766B8" w:rsidRPr="0014260B">
        <w:rPr>
          <w:lang w:val="en-US"/>
        </w:rPr>
        <w:t>Equally true it i</w:t>
      </w:r>
      <w:r>
        <w:rPr>
          <w:lang w:val="en-US"/>
        </w:rPr>
        <w:t xml:space="preserve">s that while Canada is defined </w:t>
      </w:r>
      <w:r w:rsidR="00D766B8" w:rsidRPr="0014260B">
        <w:rPr>
          <w:lang w:val="en-US"/>
        </w:rPr>
        <w:t xml:space="preserve">as the "Provinces, the Territories and Sable Island," the definition is only </w:t>
      </w:r>
      <w:r>
        <w:rPr>
          <w:lang w:val="en-US"/>
        </w:rPr>
        <w:t xml:space="preserve">"in a geographical sense." The </w:t>
      </w:r>
      <w:r w:rsidR="00D766B8" w:rsidRPr="0014260B">
        <w:rPr>
          <w:lang w:val="en-US"/>
        </w:rPr>
        <w:t>convention does not purport to affect any Provincial power.</w:t>
      </w:r>
    </w:p>
    <w:p w:rsidR="00B96DB2" w:rsidRPr="0014260B" w:rsidRDefault="006B4A3B" w:rsidP="009903D3">
      <w:pPr>
        <w:pStyle w:val="Reasons"/>
        <w:rPr>
          <w:rFonts w:eastAsia="Garamond" w:cs="Arial"/>
          <w:szCs w:val="24"/>
        </w:rPr>
      </w:pPr>
      <w:r>
        <w:rPr>
          <w:rFonts w:eastAsia="Garamond" w:cs="Arial"/>
          <w:szCs w:val="24"/>
          <w:lang w:val="en-US"/>
        </w:rPr>
        <w:t xml:space="preserve">But with due </w:t>
      </w:r>
      <w:r w:rsidR="00D766B8" w:rsidRPr="0014260B">
        <w:rPr>
          <w:rFonts w:eastAsia="Garamond" w:cs="Arial"/>
          <w:szCs w:val="24"/>
          <w:lang w:val="en-US"/>
        </w:rPr>
        <w:t>deference, I cannot agree with the court below on the second point.</w:t>
      </w:r>
    </w:p>
    <w:p w:rsidR="00B96DB2" w:rsidRPr="0014260B" w:rsidRDefault="00D766B8" w:rsidP="009903D3">
      <w:pPr>
        <w:pStyle w:val="Reasons"/>
        <w:rPr>
          <w:rFonts w:eastAsia="Garamond" w:cs="Arial"/>
          <w:spacing w:val="2"/>
          <w:szCs w:val="24"/>
        </w:rPr>
      </w:pPr>
      <w:r w:rsidRPr="0014260B">
        <w:rPr>
          <w:rFonts w:eastAsia="Garamond" w:cs="Arial"/>
          <w:spacing w:val="2"/>
          <w:szCs w:val="24"/>
          <w:lang w:val="en-US"/>
        </w:rPr>
        <w:t xml:space="preserve">The relevant section of the Nova Scotia </w:t>
      </w:r>
      <w:r w:rsidRPr="0014260B">
        <w:rPr>
          <w:rFonts w:eastAsia="Garamond" w:cs="Arial"/>
          <w:i/>
          <w:spacing w:val="2"/>
          <w:szCs w:val="24"/>
          <w:lang w:val="en-US"/>
        </w:rPr>
        <w:t>Succession Duty</w:t>
      </w:r>
    </w:p>
    <w:p w:rsidR="00B96DB2" w:rsidRPr="0014260B" w:rsidRDefault="00D766B8" w:rsidP="009903D3">
      <w:pPr>
        <w:pStyle w:val="Reasons"/>
        <w:rPr>
          <w:rFonts w:eastAsia="Garamond" w:cs="Arial"/>
          <w:i/>
          <w:spacing w:val="8"/>
          <w:szCs w:val="24"/>
        </w:rPr>
      </w:pPr>
      <w:r w:rsidRPr="0014260B">
        <w:rPr>
          <w:rFonts w:eastAsia="Garamond" w:cs="Arial"/>
          <w:i/>
          <w:spacing w:val="8"/>
          <w:szCs w:val="24"/>
          <w:lang w:val="en-US"/>
        </w:rPr>
        <w:t xml:space="preserve">Act </w:t>
      </w:r>
      <w:r w:rsidRPr="0014260B">
        <w:rPr>
          <w:rFonts w:eastAsia="Garamond" w:cs="Arial"/>
          <w:spacing w:val="8"/>
          <w:szCs w:val="24"/>
          <w:lang w:val="en-US"/>
        </w:rPr>
        <w:t>is the following:-</w:t>
      </w:r>
      <w:r w:rsidRPr="0014260B">
        <w:rPr>
          <w:rFonts w:eastAsia="Garamond" w:cs="Arial"/>
          <w:szCs w:val="24"/>
          <w:lang w:val="en-US"/>
        </w:rPr>
        <w:t xml:space="preserve"> </w:t>
      </w:r>
    </w:p>
    <w:p w:rsidR="00B96DB2" w:rsidRPr="0014260B" w:rsidRDefault="00D766B8" w:rsidP="009903D3">
      <w:pPr>
        <w:pStyle w:val="Indent1"/>
        <w:spacing w:after="100" w:afterAutospacing="1"/>
      </w:pPr>
      <w:r w:rsidRPr="0014260B">
        <w:rPr>
          <w:lang w:val="en-US"/>
        </w:rPr>
        <w:t xml:space="preserve">8. Save as is thereinafter otherwise expressly provided the property on which succession duty shall be levied and paid under this Act at the rates hereinafter specified shall be as follows:— </w:t>
      </w:r>
    </w:p>
    <w:p w:rsidR="00B96DB2" w:rsidRPr="0014260B" w:rsidRDefault="00D766B8" w:rsidP="009903D3">
      <w:pPr>
        <w:pStyle w:val="Indent2"/>
        <w:spacing w:after="100" w:afterAutospacing="1"/>
      </w:pPr>
      <w:r w:rsidRPr="0014260B">
        <w:rPr>
          <w:lang w:val="en-US"/>
        </w:rPr>
        <w:t>(a) all property situate in Nova Scotia which has passed as aforesaid or which passes as aforesaid on the death of any person, whether the deceased was at the time of his death domiciled in Nova Scotia or elsewhere * * *</w:t>
      </w:r>
    </w:p>
    <w:p w:rsidR="00B96DB2" w:rsidRPr="0014260B" w:rsidRDefault="00D766B8" w:rsidP="009903D3">
      <w:pPr>
        <w:pStyle w:val="Reasons"/>
        <w:rPr>
          <w:rFonts w:eastAsia="Garamond" w:cs="Arial"/>
          <w:szCs w:val="24"/>
        </w:rPr>
      </w:pPr>
      <w:r w:rsidRPr="0014260B">
        <w:rPr>
          <w:rFonts w:eastAsia="Garamond" w:cs="Arial"/>
          <w:szCs w:val="24"/>
          <w:lang w:val="en-US"/>
        </w:rPr>
        <w:t>The words "property situate in Nova Scotia", mean property, and in the present case, "shares that can be effectively dealt with in Nova Scotia, as between the sh</w:t>
      </w:r>
      <w:r w:rsidR="006B4A3B">
        <w:rPr>
          <w:rFonts w:eastAsia="Garamond" w:cs="Arial"/>
          <w:szCs w:val="24"/>
          <w:lang w:val="en-US"/>
        </w:rPr>
        <w:t xml:space="preserve">areholders and the company". I am of </w:t>
      </w:r>
      <w:r w:rsidRPr="0014260B">
        <w:rPr>
          <w:rFonts w:eastAsia="Garamond" w:cs="Arial"/>
          <w:szCs w:val="24"/>
          <w:lang w:val="en-US"/>
        </w:rPr>
        <w:t>the opinion that these shares purchased with the deceased's money, in which of course, he had a beneficial interest, issued in the</w:t>
      </w:r>
      <w:r w:rsidR="006B4A3B">
        <w:rPr>
          <w:rFonts w:eastAsia="Garamond" w:cs="Arial"/>
          <w:szCs w:val="24"/>
          <w:lang w:val="en-US"/>
        </w:rPr>
        <w:t xml:space="preserve"> name of nominees and endorsed </w:t>
      </w:r>
      <w:r w:rsidRPr="0014260B">
        <w:rPr>
          <w:rFonts w:eastAsia="Garamond" w:cs="Arial"/>
          <w:szCs w:val="24"/>
          <w:lang w:val="en-US"/>
        </w:rPr>
        <w:t>by them in (blank, cannot</w:t>
      </w:r>
      <w:r w:rsidR="006B4A3B">
        <w:rPr>
          <w:rFonts w:eastAsia="Garamond" w:cs="Arial"/>
          <w:szCs w:val="24"/>
          <w:lang w:val="en-US"/>
        </w:rPr>
        <w:t xml:space="preserve"> be dealt with in Nova Scotia, </w:t>
      </w:r>
      <w:r w:rsidRPr="0014260B">
        <w:rPr>
          <w:rFonts w:eastAsia="Garamond" w:cs="Arial"/>
          <w:szCs w:val="24"/>
          <w:lang w:val="en-US"/>
        </w:rPr>
        <w:t>as between the shareholder and the c</w:t>
      </w:r>
      <w:r w:rsidR="006B4A3B">
        <w:rPr>
          <w:rFonts w:eastAsia="Garamond" w:cs="Arial"/>
          <w:szCs w:val="24"/>
          <w:lang w:val="en-US"/>
        </w:rPr>
        <w:t xml:space="preserve">ompany, but only in the United States, where </w:t>
      </w:r>
      <w:r w:rsidRPr="0014260B">
        <w:rPr>
          <w:rFonts w:eastAsia="Garamond" w:cs="Arial"/>
          <w:szCs w:val="24"/>
          <w:lang w:val="en-US"/>
        </w:rPr>
        <w:t>are the share registers and transfer offices.</w:t>
      </w:r>
    </w:p>
    <w:p w:rsidR="00B96DB2" w:rsidRPr="0014260B" w:rsidRDefault="006B4A3B" w:rsidP="009903D3">
      <w:pPr>
        <w:pStyle w:val="Reasons"/>
        <w:rPr>
          <w:rFonts w:eastAsia="Garamond" w:cs="Arial"/>
          <w:szCs w:val="24"/>
        </w:rPr>
      </w:pPr>
      <w:r>
        <w:rPr>
          <w:rFonts w:eastAsia="Garamond" w:cs="Arial"/>
          <w:szCs w:val="24"/>
          <w:lang w:val="en-US"/>
        </w:rPr>
        <w:t xml:space="preserve">I would allow the appeal, but </w:t>
      </w:r>
      <w:r w:rsidR="00D766B8" w:rsidRPr="0014260B">
        <w:rPr>
          <w:rFonts w:eastAsia="Garamond" w:cs="Arial"/>
          <w:szCs w:val="24"/>
          <w:lang w:val="en-US"/>
        </w:rPr>
        <w:t xml:space="preserve">without costs here, or in the court </w:t>
      </w:r>
      <w:r w:rsidR="00D766B8" w:rsidRPr="0014260B">
        <w:rPr>
          <w:rFonts w:eastAsia="Garamond" w:cs="Arial"/>
          <w:i/>
          <w:szCs w:val="24"/>
          <w:lang w:val="en-US"/>
        </w:rPr>
        <w:t>en bane.</w:t>
      </w:r>
    </w:p>
    <w:p w:rsidR="00B96DB2" w:rsidRPr="0014260B" w:rsidRDefault="00D766B8" w:rsidP="009903D3">
      <w:pPr>
        <w:pStyle w:val="Reasons"/>
        <w:rPr>
          <w:rFonts w:eastAsia="Garamond" w:cs="Arial"/>
          <w:spacing w:val="-2"/>
          <w:szCs w:val="24"/>
          <w:lang w:val="en-US"/>
        </w:rPr>
      </w:pPr>
      <w:r w:rsidRPr="0014260B">
        <w:rPr>
          <w:rFonts w:eastAsia="Garamond" w:cs="Arial"/>
          <w:spacing w:val="-2"/>
          <w:szCs w:val="24"/>
          <w:lang w:val="en-US"/>
        </w:rPr>
        <w:t>RAND, J</w:t>
      </w:r>
      <w:r w:rsidR="00805BAA" w:rsidRPr="0014260B">
        <w:rPr>
          <w:rFonts w:eastAsia="Garamond" w:cs="Arial"/>
          <w:spacing w:val="-2"/>
          <w:szCs w:val="24"/>
          <w:lang w:val="en-US"/>
        </w:rPr>
        <w:t>.:</w:t>
      </w:r>
      <w:r w:rsidRPr="0014260B">
        <w:rPr>
          <w:rFonts w:eastAsia="Garamond" w:cs="Arial"/>
          <w:spacing w:val="-2"/>
          <w:szCs w:val="24"/>
          <w:lang w:val="en-US"/>
        </w:rPr>
        <w:t>—</w:t>
      </w:r>
      <w:proofErr w:type="gramStart"/>
      <w:r w:rsidRPr="0014260B">
        <w:rPr>
          <w:rFonts w:eastAsia="Garamond" w:cs="Arial"/>
          <w:spacing w:val="-2"/>
          <w:szCs w:val="24"/>
          <w:lang w:val="en-US"/>
        </w:rPr>
        <w:t>At</w:t>
      </w:r>
      <w:proofErr w:type="gramEnd"/>
      <w:r w:rsidRPr="0014260B">
        <w:rPr>
          <w:rFonts w:eastAsia="Garamond" w:cs="Arial"/>
          <w:spacing w:val="-2"/>
          <w:szCs w:val="24"/>
          <w:lang w:val="en-US"/>
        </w:rPr>
        <w:t xml:space="preserve"> the threshold of any consideration of the </w:t>
      </w:r>
      <w:r w:rsidRPr="0014260B">
        <w:rPr>
          <w:rFonts w:eastAsia="Garamond" w:cs="Arial"/>
          <w:i/>
          <w:spacing w:val="-2"/>
          <w:szCs w:val="24"/>
          <w:lang w:val="en-US"/>
        </w:rPr>
        <w:t xml:space="preserve">situs </w:t>
      </w:r>
      <w:r w:rsidRPr="0014260B">
        <w:rPr>
          <w:rFonts w:eastAsia="Garamond" w:cs="Arial"/>
          <w:spacing w:val="-2"/>
          <w:szCs w:val="24"/>
          <w:lang w:val="en-US"/>
        </w:rPr>
        <w:t>of shares of stock in relation to succession duty lie two</w:t>
      </w:r>
    </w:p>
    <w:p w:rsidR="007B461C" w:rsidRPr="0014260B" w:rsidRDefault="007B461C" w:rsidP="009903D3">
      <w:pPr>
        <w:pStyle w:val="Page"/>
        <w:rPr>
          <w:rFonts w:cs="Arial"/>
          <w:szCs w:val="24"/>
          <w:lang w:val="en-US"/>
        </w:rPr>
      </w:pPr>
      <w:r w:rsidRPr="0014260B">
        <w:rPr>
          <w:rFonts w:cs="Arial"/>
          <w:color w:val="000000"/>
          <w:szCs w:val="24"/>
          <w:lang w:val="en-US"/>
        </w:rPr>
        <w:t>[Page 338]</w:t>
      </w:r>
    </w:p>
    <w:p w:rsidR="00B96DB2" w:rsidRPr="0014260B" w:rsidRDefault="00D766B8" w:rsidP="009903D3">
      <w:pPr>
        <w:pStyle w:val="Reasons"/>
        <w:rPr>
          <w:rFonts w:eastAsia="Times New Roman" w:cs="Arial"/>
          <w:spacing w:val="4"/>
          <w:szCs w:val="24"/>
        </w:rPr>
      </w:pPr>
      <w:proofErr w:type="gramStart"/>
      <w:r w:rsidRPr="0014260B">
        <w:rPr>
          <w:rFonts w:eastAsia="Times New Roman" w:cs="Arial"/>
          <w:spacing w:val="4"/>
          <w:szCs w:val="24"/>
          <w:lang w:val="en-US"/>
        </w:rPr>
        <w:t>recent</w:t>
      </w:r>
      <w:proofErr w:type="gramEnd"/>
      <w:r w:rsidRPr="0014260B">
        <w:rPr>
          <w:rFonts w:eastAsia="Times New Roman" w:cs="Arial"/>
          <w:spacing w:val="4"/>
          <w:szCs w:val="24"/>
          <w:lang w:val="en-US"/>
        </w:rPr>
        <w:t xml:space="preserve"> rulings of the Judicial Committee. In </w:t>
      </w:r>
      <w:r w:rsidR="006B4A3B">
        <w:rPr>
          <w:rFonts w:eastAsia="Times New Roman" w:cs="Arial"/>
          <w:i/>
          <w:spacing w:val="4"/>
          <w:szCs w:val="24"/>
          <w:lang w:val="en-US"/>
        </w:rPr>
        <w:t>Brassard v.</w:t>
      </w:r>
      <w:r w:rsidRPr="0014260B">
        <w:rPr>
          <w:rFonts w:eastAsia="Times New Roman" w:cs="Arial"/>
          <w:i/>
          <w:spacing w:val="4"/>
          <w:szCs w:val="24"/>
          <w:lang w:val="en-US"/>
        </w:rPr>
        <w:t xml:space="preserve"> Smith</w:t>
      </w:r>
      <w:r w:rsidR="004436C8" w:rsidRPr="0014260B">
        <w:rPr>
          <w:rStyle w:val="FootnoteReference"/>
          <w:rFonts w:eastAsia="Times New Roman" w:cs="Arial"/>
          <w:i/>
          <w:spacing w:val="4"/>
          <w:szCs w:val="24"/>
          <w:lang w:val="en-US"/>
        </w:rPr>
        <w:footnoteReference w:id="12"/>
      </w:r>
      <w:r w:rsidRPr="0014260B">
        <w:rPr>
          <w:rFonts w:eastAsia="Times New Roman" w:cs="Arial"/>
          <w:i/>
          <w:spacing w:val="4"/>
          <w:szCs w:val="24"/>
          <w:lang w:val="en-US"/>
        </w:rPr>
        <w:t xml:space="preserve">, </w:t>
      </w:r>
      <w:r w:rsidRPr="0014260B">
        <w:rPr>
          <w:rFonts w:eastAsia="Times New Roman" w:cs="Arial"/>
          <w:spacing w:val="4"/>
          <w:szCs w:val="24"/>
          <w:lang w:val="en-US"/>
        </w:rPr>
        <w:t>the test of the lo</w:t>
      </w:r>
      <w:r w:rsidR="006B4A3B">
        <w:rPr>
          <w:rFonts w:eastAsia="Times New Roman" w:cs="Arial"/>
          <w:spacing w:val="4"/>
          <w:szCs w:val="24"/>
          <w:lang w:val="en-US"/>
        </w:rPr>
        <w:t>cal situation, the place where</w:t>
      </w:r>
      <w:r w:rsidRPr="0014260B">
        <w:rPr>
          <w:rFonts w:eastAsia="Times New Roman" w:cs="Arial"/>
          <w:spacing w:val="4"/>
          <w:szCs w:val="24"/>
          <w:lang w:val="en-US"/>
        </w:rPr>
        <w:t xml:space="preserve"> shares are to be taken to be situate, was enunciated in the </w:t>
      </w:r>
      <w:r w:rsidRPr="0014260B">
        <w:rPr>
          <w:rFonts w:eastAsia="Times New Roman" w:cs="Arial"/>
          <w:spacing w:val="4"/>
          <w:szCs w:val="24"/>
          <w:lang w:val="en-US"/>
        </w:rPr>
        <w:lastRenderedPageBreak/>
        <w:t xml:space="preserve">question, where can they be effectually dealt with? In </w:t>
      </w:r>
      <w:r w:rsidRPr="0014260B">
        <w:rPr>
          <w:rFonts w:eastAsia="Times New Roman" w:cs="Arial"/>
          <w:i/>
          <w:spacing w:val="4"/>
          <w:szCs w:val="24"/>
          <w:lang w:val="en-US"/>
        </w:rPr>
        <w:t>Rex v. Williams</w:t>
      </w:r>
      <w:r w:rsidR="004436C8" w:rsidRPr="0014260B">
        <w:rPr>
          <w:rStyle w:val="FootnoteReference"/>
          <w:rFonts w:eastAsia="Times New Roman" w:cs="Arial"/>
          <w:i/>
          <w:spacing w:val="4"/>
          <w:szCs w:val="24"/>
          <w:lang w:val="en-US"/>
        </w:rPr>
        <w:footnoteReference w:id="13"/>
      </w:r>
      <w:r w:rsidRPr="0014260B">
        <w:rPr>
          <w:rFonts w:eastAsia="Times New Roman" w:cs="Arial"/>
          <w:spacing w:val="4"/>
          <w:szCs w:val="24"/>
          <w:lang w:val="en-US"/>
        </w:rPr>
        <w:t xml:space="preserve">, this was declared to mean, dealt with as between the shareholder and the company. </w:t>
      </w:r>
      <w:r w:rsidRPr="0014260B">
        <w:rPr>
          <w:rFonts w:eastAsia="Times New Roman" w:cs="Arial"/>
          <w:i/>
          <w:spacing w:val="4"/>
          <w:szCs w:val="24"/>
          <w:lang w:val="en-US"/>
        </w:rPr>
        <w:t xml:space="preserve">Situs, </w:t>
      </w:r>
      <w:r w:rsidRPr="0014260B">
        <w:rPr>
          <w:rFonts w:eastAsia="Times New Roman" w:cs="Arial"/>
          <w:spacing w:val="4"/>
          <w:szCs w:val="24"/>
          <w:lang w:val="en-US"/>
        </w:rPr>
        <w:t xml:space="preserve">in other words, is at the </w:t>
      </w:r>
      <w:r w:rsidRPr="0014260B">
        <w:rPr>
          <w:rFonts w:eastAsia="Times New Roman" w:cs="Arial"/>
          <w:i/>
          <w:spacing w:val="4"/>
          <w:szCs w:val="24"/>
          <w:lang w:val="en-US"/>
        </w:rPr>
        <w:t xml:space="preserve">locus </w:t>
      </w:r>
      <w:r w:rsidR="006B4A3B">
        <w:rPr>
          <w:rFonts w:eastAsia="Times New Roman" w:cs="Arial"/>
          <w:spacing w:val="4"/>
          <w:szCs w:val="24"/>
          <w:lang w:val="en-US"/>
        </w:rPr>
        <w:t xml:space="preserve">of the </w:t>
      </w:r>
      <w:r w:rsidRPr="0014260B">
        <w:rPr>
          <w:rFonts w:eastAsia="Times New Roman" w:cs="Arial"/>
          <w:spacing w:val="4"/>
          <w:szCs w:val="24"/>
          <w:lang w:val="en-US"/>
        </w:rPr>
        <w:t xml:space="preserve">controlling act from which the relation of shareholder immediately arises. As between transferor and transferee the test </w:t>
      </w:r>
      <w:proofErr w:type="gramStart"/>
      <w:r w:rsidRPr="0014260B">
        <w:rPr>
          <w:rFonts w:eastAsia="Times New Roman" w:cs="Arial"/>
          <w:spacing w:val="4"/>
          <w:szCs w:val="24"/>
          <w:lang w:val="en-US"/>
        </w:rPr>
        <w:t>would :be</w:t>
      </w:r>
      <w:proofErr w:type="gramEnd"/>
      <w:r w:rsidRPr="0014260B">
        <w:rPr>
          <w:rFonts w:eastAsia="Times New Roman" w:cs="Arial"/>
          <w:spacing w:val="4"/>
          <w:szCs w:val="24"/>
          <w:lang w:val="en-US"/>
        </w:rPr>
        <w:t xml:space="preserve"> virtually useless since a shareholder can, speaking generally, effectively transfer the right to a share in any part of the world.</w:t>
      </w:r>
    </w:p>
    <w:p w:rsidR="00B96DB2" w:rsidRPr="0014260B" w:rsidRDefault="00D766B8" w:rsidP="009903D3">
      <w:pPr>
        <w:pStyle w:val="Reasons"/>
        <w:rPr>
          <w:rFonts w:eastAsia="Times New Roman" w:cs="Arial"/>
          <w:spacing w:val="4"/>
          <w:szCs w:val="24"/>
        </w:rPr>
      </w:pPr>
      <w:r w:rsidRPr="0014260B">
        <w:rPr>
          <w:rFonts w:eastAsia="Times New Roman" w:cs="Arial"/>
          <w:spacing w:val="4"/>
          <w:szCs w:val="24"/>
          <w:lang w:val="en-US"/>
        </w:rPr>
        <w:t xml:space="preserve">The latter judgment affirms certain other propositions relating to death duties imposed by Canadian provinces: first, that as between provinces, moveable or immoveable property transmitted owing to death can have only one local situation; that the </w:t>
      </w:r>
      <w:r w:rsidRPr="0014260B">
        <w:rPr>
          <w:rFonts w:eastAsia="Times New Roman" w:cs="Arial"/>
          <w:i/>
          <w:spacing w:val="4"/>
          <w:szCs w:val="24"/>
          <w:lang w:val="en-US"/>
        </w:rPr>
        <w:t xml:space="preserve">situs </w:t>
      </w:r>
      <w:r w:rsidRPr="0014260B">
        <w:rPr>
          <w:rFonts w:eastAsia="Times New Roman" w:cs="Arial"/>
          <w:spacing w:val="4"/>
          <w:szCs w:val="24"/>
          <w:lang w:val="en-US"/>
        </w:rPr>
        <w:t>of intangible property must be determined by some "principle or</w:t>
      </w:r>
      <w:r w:rsidR="00DC215D">
        <w:rPr>
          <w:rFonts w:eastAsia="Times New Roman" w:cs="Arial"/>
          <w:spacing w:val="4"/>
          <w:szCs w:val="24"/>
          <w:lang w:val="en-US"/>
        </w:rPr>
        <w:t xml:space="preserve"> </w:t>
      </w:r>
      <w:r w:rsidRPr="0014260B">
        <w:rPr>
          <w:rFonts w:eastAsia="Times New Roman" w:cs="Arial"/>
          <w:spacing w:val="4"/>
          <w:szCs w:val="24"/>
          <w:lang w:val="en-US"/>
        </w:rPr>
        <w:t xml:space="preserve">coherent system of principles" deducible from the common law of England; and that a provincial legislature is not competent to prescribe the conditions fixing. </w:t>
      </w:r>
      <w:proofErr w:type="gramStart"/>
      <w:r w:rsidRPr="0014260B">
        <w:rPr>
          <w:rFonts w:eastAsia="Times New Roman" w:cs="Arial"/>
          <w:i/>
          <w:spacing w:val="4"/>
          <w:szCs w:val="24"/>
          <w:lang w:val="en-US"/>
        </w:rPr>
        <w:t>situs</w:t>
      </w:r>
      <w:proofErr w:type="gramEnd"/>
      <w:r w:rsidRPr="0014260B">
        <w:rPr>
          <w:rFonts w:eastAsia="Times New Roman" w:cs="Arial"/>
          <w:i/>
          <w:spacing w:val="4"/>
          <w:szCs w:val="24"/>
          <w:lang w:val="en-US"/>
        </w:rPr>
        <w:t xml:space="preserve"> </w:t>
      </w:r>
      <w:r w:rsidRPr="0014260B">
        <w:rPr>
          <w:rFonts w:eastAsia="Times New Roman" w:cs="Arial"/>
          <w:spacing w:val="4"/>
          <w:szCs w:val="24"/>
          <w:lang w:val="en-US"/>
        </w:rPr>
        <w:t>for the purpose o</w:t>
      </w:r>
      <w:r w:rsidR="006B4A3B">
        <w:rPr>
          <w:rFonts w:eastAsia="Times New Roman" w:cs="Arial"/>
          <w:spacing w:val="4"/>
          <w:szCs w:val="24"/>
          <w:lang w:val="en-US"/>
        </w:rPr>
        <w:t xml:space="preserve">f defining the subjects of its </w:t>
      </w:r>
      <w:r w:rsidRPr="0014260B">
        <w:rPr>
          <w:rFonts w:eastAsia="Times New Roman" w:cs="Arial"/>
          <w:spacing w:val="4"/>
          <w:szCs w:val="24"/>
          <w:lang w:val="en-US"/>
        </w:rPr>
        <w:t>taxing powers under section 92(2). The further rule was laid down that "the solution must be the same in this case (where there were two valid registries, one in Ontario and one in Buffalo, New York) as it would have been if the testator had been do</w:t>
      </w:r>
      <w:r w:rsidR="006B4A3B">
        <w:rPr>
          <w:rFonts w:eastAsia="Times New Roman" w:cs="Arial"/>
          <w:spacing w:val="4"/>
          <w:szCs w:val="24"/>
          <w:lang w:val="en-US"/>
        </w:rPr>
        <w:t xml:space="preserve">miciled in another province of </w:t>
      </w:r>
      <w:r w:rsidRPr="0014260B">
        <w:rPr>
          <w:rFonts w:eastAsia="Times New Roman" w:cs="Arial"/>
          <w:spacing w:val="4"/>
          <w:szCs w:val="24"/>
          <w:lang w:val="en-US"/>
        </w:rPr>
        <w:t>Canada, say in Quebec, instead of in New York, and if a</w:t>
      </w:r>
      <w:r w:rsidR="006B4A3B">
        <w:rPr>
          <w:rFonts w:eastAsia="Times New Roman" w:cs="Arial"/>
          <w:spacing w:val="4"/>
          <w:szCs w:val="24"/>
          <w:lang w:val="en-US"/>
        </w:rPr>
        <w:t xml:space="preserve">ll the other facts had been as </w:t>
      </w:r>
      <w:r w:rsidRPr="0014260B">
        <w:rPr>
          <w:rFonts w:eastAsia="Times New Roman" w:cs="Arial"/>
          <w:spacing w:val="4"/>
          <w:szCs w:val="24"/>
          <w:lang w:val="en-US"/>
        </w:rPr>
        <w:t>they were in fact, including the existence of a separate registry in Quebec."</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 xml:space="preserve">These pronouncements, re-affirmed in </w:t>
      </w:r>
      <w:r w:rsidRPr="0014260B">
        <w:rPr>
          <w:rFonts w:eastAsia="Times New Roman" w:cs="Arial"/>
          <w:i/>
          <w:spacing w:val="3"/>
          <w:szCs w:val="24"/>
          <w:lang w:val="en-US"/>
        </w:rPr>
        <w:t>Treasurer of Ontario v. Blonde</w:t>
      </w:r>
      <w:r w:rsidR="004436C8" w:rsidRPr="0014260B">
        <w:rPr>
          <w:rStyle w:val="FootnoteReference"/>
          <w:rFonts w:eastAsia="Times New Roman" w:cs="Arial"/>
          <w:i/>
          <w:spacing w:val="3"/>
          <w:szCs w:val="24"/>
          <w:lang w:val="en-US"/>
        </w:rPr>
        <w:footnoteReference w:id="14"/>
      </w:r>
      <w:r w:rsidRPr="0014260B">
        <w:rPr>
          <w:rFonts w:eastAsia="Times New Roman" w:cs="Arial"/>
          <w:spacing w:val="3"/>
          <w:szCs w:val="24"/>
          <w:lang w:val="en-US"/>
        </w:rPr>
        <w:t xml:space="preserve">, treat mere transferability or merchantability of the right to :become a shareholder, in the initial stages of the enquiry, as having little if any relevance to </w:t>
      </w:r>
      <w:r w:rsidRPr="0014260B">
        <w:rPr>
          <w:rFonts w:eastAsia="Times New Roman" w:cs="Arial"/>
          <w:i/>
          <w:spacing w:val="3"/>
          <w:szCs w:val="24"/>
          <w:lang w:val="en-US"/>
        </w:rPr>
        <w:t xml:space="preserve">situs; </w:t>
      </w:r>
      <w:r w:rsidR="006B4A3B">
        <w:rPr>
          <w:rFonts w:eastAsia="Times New Roman" w:cs="Arial"/>
          <w:spacing w:val="3"/>
          <w:szCs w:val="24"/>
          <w:lang w:val="en-US"/>
        </w:rPr>
        <w:t xml:space="preserve">but </w:t>
      </w:r>
      <w:r w:rsidRPr="0014260B">
        <w:rPr>
          <w:rFonts w:eastAsia="Times New Roman" w:cs="Arial"/>
          <w:spacing w:val="3"/>
          <w:szCs w:val="24"/>
          <w:lang w:val="en-US"/>
        </w:rPr>
        <w:t>they recognize as matters of a determinative nature what the law creating the shares has provided to evidence their characteristics as property. Registratio</w:t>
      </w:r>
      <w:r w:rsidR="006B4A3B">
        <w:rPr>
          <w:rFonts w:eastAsia="Times New Roman" w:cs="Arial"/>
          <w:spacing w:val="3"/>
          <w:szCs w:val="24"/>
          <w:lang w:val="en-US"/>
        </w:rPr>
        <w:t xml:space="preserve">n in a book and representation </w:t>
      </w:r>
      <w:r w:rsidRPr="0014260B">
        <w:rPr>
          <w:rFonts w:eastAsia="Times New Roman" w:cs="Arial"/>
          <w:spacing w:val="3"/>
          <w:szCs w:val="24"/>
          <w:lang w:val="en-US"/>
        </w:rPr>
        <w:t>by as certificate are tangible badges which set conditions to complete transferability of the shares as well as facilitate dealings with</w:t>
      </w:r>
    </w:p>
    <w:p w:rsidR="007B461C" w:rsidRPr="009903D3" w:rsidRDefault="007B461C" w:rsidP="009903D3">
      <w:pPr>
        <w:pStyle w:val="Page"/>
        <w:rPr>
          <w:rFonts w:cs="Arial"/>
          <w:szCs w:val="24"/>
          <w:lang w:val="en-US"/>
        </w:rPr>
      </w:pPr>
      <w:r w:rsidRPr="009903D3">
        <w:rPr>
          <w:rFonts w:cs="Arial"/>
          <w:color w:val="000000"/>
          <w:szCs w:val="24"/>
          <w:lang w:val="en-US"/>
        </w:rPr>
        <w:t>[Page 339]</w:t>
      </w:r>
    </w:p>
    <w:p w:rsidR="00B96DB2" w:rsidRPr="0014260B" w:rsidRDefault="00D766B8" w:rsidP="009903D3">
      <w:pPr>
        <w:pStyle w:val="Reasons"/>
        <w:rPr>
          <w:rFonts w:eastAsia="Times New Roman" w:cs="Arial"/>
          <w:spacing w:val="4"/>
          <w:szCs w:val="24"/>
        </w:rPr>
      </w:pPr>
      <w:proofErr w:type="gramStart"/>
      <w:r w:rsidRPr="0014260B">
        <w:rPr>
          <w:rFonts w:eastAsia="Times New Roman" w:cs="Arial"/>
          <w:spacing w:val="4"/>
          <w:szCs w:val="24"/>
          <w:lang w:val="en-US"/>
        </w:rPr>
        <w:t>them</w:t>
      </w:r>
      <w:proofErr w:type="gramEnd"/>
      <w:r w:rsidRPr="0014260B">
        <w:rPr>
          <w:rFonts w:eastAsia="Times New Roman" w:cs="Arial"/>
          <w:spacing w:val="4"/>
          <w:szCs w:val="24"/>
          <w:lang w:val="en-US"/>
        </w:rPr>
        <w:t xml:space="preserve">. If, as in the case of bearer shares, in analogy to bearer bonds, the issuing jurisdiction has in effect embodied in a certain instrument the exclusive symbol of the total rights created, then, certainly, as a rule, the </w:t>
      </w:r>
      <w:r w:rsidRPr="0014260B">
        <w:rPr>
          <w:rFonts w:eastAsia="Times New Roman" w:cs="Arial"/>
          <w:i/>
          <w:spacing w:val="4"/>
          <w:szCs w:val="24"/>
          <w:lang w:val="en-US"/>
        </w:rPr>
        <w:t xml:space="preserve">situs </w:t>
      </w:r>
      <w:r w:rsidRPr="0014260B">
        <w:rPr>
          <w:rFonts w:eastAsia="Times New Roman" w:cs="Arial"/>
          <w:spacing w:val="4"/>
          <w:szCs w:val="24"/>
          <w:lang w:val="en-US"/>
        </w:rPr>
        <w:t>is taken to be the locality in which the instrument may at any time be.</w:t>
      </w:r>
    </w:p>
    <w:p w:rsidR="00B96DB2" w:rsidRPr="0014260B" w:rsidRDefault="00D766B8" w:rsidP="009903D3">
      <w:pPr>
        <w:pStyle w:val="Reasons"/>
        <w:rPr>
          <w:rFonts w:eastAsia="Times New Roman" w:cs="Arial"/>
          <w:spacing w:val="4"/>
          <w:szCs w:val="24"/>
        </w:rPr>
      </w:pPr>
      <w:r w:rsidRPr="0014260B">
        <w:rPr>
          <w:rFonts w:eastAsia="Times New Roman" w:cs="Arial"/>
          <w:spacing w:val="4"/>
          <w:szCs w:val="24"/>
          <w:lang w:val="en-US"/>
        </w:rPr>
        <w:t>Mr. MacDonald's contention is that the merchantability of street certificates differentiates the case he</w:t>
      </w:r>
      <w:r w:rsidR="006B4A3B">
        <w:rPr>
          <w:rFonts w:eastAsia="Times New Roman" w:cs="Arial"/>
          <w:spacing w:val="4"/>
          <w:szCs w:val="24"/>
          <w:lang w:val="en-US"/>
        </w:rPr>
        <w:t xml:space="preserve">re </w:t>
      </w:r>
      <w:r w:rsidRPr="0014260B">
        <w:rPr>
          <w:rFonts w:eastAsia="Times New Roman" w:cs="Arial"/>
          <w:spacing w:val="4"/>
          <w:szCs w:val="24"/>
          <w:lang w:val="en-US"/>
        </w:rPr>
        <w:t>from the previous controversies. His argument is this: a share certificate endorsed in blank by the registered holder and transferred to a purchaser by delivery has come thereupon to represent a separa</w:t>
      </w:r>
      <w:r w:rsidR="006B4A3B">
        <w:rPr>
          <w:rFonts w:eastAsia="Times New Roman" w:cs="Arial"/>
          <w:spacing w:val="4"/>
          <w:szCs w:val="24"/>
          <w:lang w:val="en-US"/>
        </w:rPr>
        <w:t xml:space="preserve">te unit of property consisting </w:t>
      </w:r>
      <w:r w:rsidRPr="0014260B">
        <w:rPr>
          <w:rFonts w:eastAsia="Times New Roman" w:cs="Arial"/>
          <w:spacing w:val="4"/>
          <w:szCs w:val="24"/>
          <w:lang w:val="en-US"/>
        </w:rPr>
        <w:t xml:space="preserve">of the beneficial interest in the share coupled with a power in the bearer to become a shareholder, with the delivery of the certificate concluding the transaction between the parties; the right thus acquired, as against the company, to make a transfer of ownership on the registry satisfies the requirement that direct and immediate legal relations must arise between the transferee and the company as the result of acts done at the </w:t>
      </w:r>
      <w:r w:rsidRPr="0014260B">
        <w:rPr>
          <w:rFonts w:eastAsia="Times New Roman" w:cs="Arial"/>
          <w:i/>
          <w:spacing w:val="4"/>
          <w:szCs w:val="24"/>
          <w:lang w:val="en-US"/>
        </w:rPr>
        <w:t xml:space="preserve">situs. </w:t>
      </w:r>
      <w:r w:rsidRPr="0014260B">
        <w:rPr>
          <w:rFonts w:eastAsia="Times New Roman" w:cs="Arial"/>
          <w:spacing w:val="4"/>
          <w:szCs w:val="24"/>
          <w:lang w:val="en-US"/>
        </w:rPr>
        <w:t>The difference betwee</w:t>
      </w:r>
      <w:r w:rsidR="006B4A3B">
        <w:rPr>
          <w:rFonts w:eastAsia="Times New Roman" w:cs="Arial"/>
          <w:spacing w:val="4"/>
          <w:szCs w:val="24"/>
          <w:lang w:val="en-US"/>
        </w:rPr>
        <w:t xml:space="preserve">n the two cases is obvious: in </w:t>
      </w:r>
      <w:r w:rsidRPr="0014260B">
        <w:rPr>
          <w:rFonts w:eastAsia="Times New Roman" w:cs="Arial"/>
          <w:spacing w:val="4"/>
          <w:szCs w:val="24"/>
          <w:lang w:val="en-US"/>
        </w:rPr>
        <w:t xml:space="preserve">the one a person is or can be made a shareholder by acts within the jurisdiction; in the other, by such acts he is clothed with power only to make himself a shareholder by means of his further acts outside: and the test remains </w:t>
      </w:r>
      <w:r w:rsidRPr="0014260B">
        <w:rPr>
          <w:rFonts w:eastAsia="Times New Roman" w:cs="Arial"/>
          <w:spacing w:val="4"/>
          <w:szCs w:val="24"/>
          <w:lang w:val="en-US"/>
        </w:rPr>
        <w:lastRenderedPageBreak/>
        <w:t xml:space="preserve">unsatisfied. For his proposition, however, Mr. MacDonald has the support of </w:t>
      </w:r>
      <w:r w:rsidRPr="0014260B">
        <w:rPr>
          <w:rFonts w:eastAsia="Times New Roman" w:cs="Arial"/>
          <w:i/>
          <w:spacing w:val="4"/>
          <w:szCs w:val="24"/>
          <w:lang w:val="en-US"/>
        </w:rPr>
        <w:t xml:space="preserve">Stern v. The </w:t>
      </w:r>
      <w:proofErr w:type="gramStart"/>
      <w:r w:rsidRPr="0014260B">
        <w:rPr>
          <w:rFonts w:eastAsia="Times New Roman" w:cs="Arial"/>
          <w:i/>
          <w:spacing w:val="4"/>
          <w:szCs w:val="24"/>
          <w:lang w:val="en-US"/>
        </w:rPr>
        <w:t>Queen</w:t>
      </w:r>
      <w:r w:rsidR="001662A8" w:rsidRPr="0014260B">
        <w:rPr>
          <w:rStyle w:val="FootnoteReference"/>
          <w:rFonts w:eastAsia="Times New Roman" w:cs="Arial"/>
          <w:i/>
          <w:spacing w:val="4"/>
          <w:szCs w:val="24"/>
          <w:lang w:val="en-US"/>
        </w:rPr>
        <w:footnoteReference w:id="15"/>
      </w:r>
      <w:r w:rsidRPr="0014260B">
        <w:rPr>
          <w:rFonts w:eastAsia="Times New Roman" w:cs="Arial"/>
          <w:i/>
          <w:spacing w:val="4"/>
          <w:szCs w:val="24"/>
          <w:lang w:val="en-US"/>
        </w:rPr>
        <w:t>,</w:t>
      </w:r>
      <w:proofErr w:type="gramEnd"/>
      <w:r w:rsidRPr="0014260B">
        <w:rPr>
          <w:rFonts w:eastAsia="Times New Roman" w:cs="Arial"/>
          <w:i/>
          <w:spacing w:val="4"/>
          <w:szCs w:val="24"/>
          <w:lang w:val="en-US"/>
        </w:rPr>
        <w:t xml:space="preserve"> </w:t>
      </w:r>
      <w:r w:rsidRPr="0014260B">
        <w:rPr>
          <w:rFonts w:eastAsia="Times New Roman" w:cs="Arial"/>
          <w:spacing w:val="4"/>
          <w:szCs w:val="24"/>
          <w:lang w:val="en-US"/>
        </w:rPr>
        <w:t xml:space="preserve">and the question </w:t>
      </w:r>
      <w:r w:rsidR="006B4A3B">
        <w:rPr>
          <w:rFonts w:eastAsia="Times New Roman" w:cs="Arial"/>
          <w:spacing w:val="4"/>
          <w:szCs w:val="24"/>
          <w:lang w:val="en-US"/>
        </w:rPr>
        <w:t xml:space="preserve">comes down to this: whether in </w:t>
      </w:r>
      <w:r w:rsidRPr="0014260B">
        <w:rPr>
          <w:rFonts w:eastAsia="Times New Roman" w:cs="Arial"/>
          <w:spacing w:val="4"/>
          <w:szCs w:val="24"/>
          <w:lang w:val="en-US"/>
        </w:rPr>
        <w:t xml:space="preserve">a province under the rules laid </w:t>
      </w:r>
      <w:r w:rsidR="006B4A3B">
        <w:rPr>
          <w:rFonts w:eastAsia="Times New Roman" w:cs="Arial"/>
          <w:spacing w:val="4"/>
          <w:szCs w:val="24"/>
          <w:lang w:val="en-US"/>
        </w:rPr>
        <w:t xml:space="preserve">down, the </w:t>
      </w:r>
      <w:r w:rsidRPr="0014260B">
        <w:rPr>
          <w:rFonts w:eastAsia="Times New Roman" w:cs="Arial"/>
          <w:spacing w:val="4"/>
          <w:szCs w:val="24"/>
          <w:lang w:val="en-US"/>
        </w:rPr>
        <w:t>legislative situation is such as will permit the distinction to be acted on.</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 xml:space="preserve">Under a law-making sovereignty the subject-matter of taxation may in fact be anything on which power can be exerted or in respect of which the payment of money can be made the condition of the doing of an act or exercising a right within </w:t>
      </w:r>
      <w:r w:rsidR="006B4A3B">
        <w:rPr>
          <w:rFonts w:eastAsia="Times New Roman" w:cs="Arial"/>
          <w:spacing w:val="3"/>
          <w:szCs w:val="24"/>
          <w:lang w:val="en-US"/>
        </w:rPr>
        <w:t xml:space="preserve">its territorial boundaries. In </w:t>
      </w:r>
      <w:r w:rsidRPr="0014260B">
        <w:rPr>
          <w:rFonts w:eastAsia="Times New Roman" w:cs="Arial"/>
          <w:spacing w:val="3"/>
          <w:szCs w:val="24"/>
          <w:lang w:val="en-US"/>
        </w:rPr>
        <w:t xml:space="preserve">the </w:t>
      </w:r>
      <w:r w:rsidRPr="0014260B">
        <w:rPr>
          <w:rFonts w:eastAsia="Times New Roman" w:cs="Arial"/>
          <w:i/>
          <w:spacing w:val="3"/>
          <w:szCs w:val="24"/>
          <w:lang w:val="en-US"/>
        </w:rPr>
        <w:t xml:space="preserve">Stern </w:t>
      </w:r>
      <w:r w:rsidRPr="0014260B">
        <w:rPr>
          <w:rFonts w:eastAsia="Times New Roman" w:cs="Arial"/>
          <w:spacing w:val="3"/>
          <w:szCs w:val="24"/>
          <w:lang w:val="en-US"/>
        </w:rPr>
        <w:t>case there were street</w:t>
      </w:r>
      <w:r w:rsidR="006B4A3B">
        <w:rPr>
          <w:rFonts w:eastAsia="Times New Roman" w:cs="Arial"/>
          <w:spacing w:val="3"/>
          <w:szCs w:val="24"/>
          <w:lang w:val="en-US"/>
        </w:rPr>
        <w:t xml:space="preserve"> </w:t>
      </w:r>
      <w:r w:rsidRPr="0014260B">
        <w:rPr>
          <w:rFonts w:eastAsia="Times New Roman" w:cs="Arial"/>
          <w:spacing w:val="3"/>
          <w:szCs w:val="24"/>
          <w:lang w:val="en-US"/>
        </w:rPr>
        <w:t>certificates within England which were essential to an entry of transfer on the register outside of England; and the legislative</w:t>
      </w:r>
      <w:r w:rsidR="009903D3">
        <w:rPr>
          <w:rFonts w:eastAsia="Times New Roman" w:cs="Arial"/>
          <w:spacing w:val="3"/>
          <w:szCs w:val="24"/>
          <w:lang w:val="en-US"/>
        </w:rPr>
        <w:t xml:space="preserve"> authority of England extended </w:t>
      </w:r>
      <w:r w:rsidRPr="0014260B">
        <w:rPr>
          <w:rFonts w:eastAsia="Times New Roman" w:cs="Arial"/>
          <w:spacing w:val="3"/>
          <w:szCs w:val="24"/>
          <w:lang w:val="en-US"/>
        </w:rPr>
        <w:t>in effect to restrain the use of t</w:t>
      </w:r>
      <w:r w:rsidR="006B4A3B">
        <w:rPr>
          <w:rFonts w:eastAsia="Times New Roman" w:cs="Arial"/>
          <w:spacing w:val="3"/>
          <w:szCs w:val="24"/>
          <w:lang w:val="en-US"/>
        </w:rPr>
        <w:t xml:space="preserve">hose certificates until, or to </w:t>
      </w:r>
      <w:r w:rsidRPr="0014260B">
        <w:rPr>
          <w:rFonts w:eastAsia="Times New Roman" w:cs="Arial"/>
          <w:spacing w:val="3"/>
          <w:szCs w:val="24"/>
          <w:lang w:val="en-US"/>
        </w:rPr>
        <w:t>charge other property admittedly in En</w:t>
      </w:r>
      <w:r w:rsidR="006B4A3B">
        <w:rPr>
          <w:rFonts w:eastAsia="Times New Roman" w:cs="Arial"/>
          <w:spacing w:val="3"/>
          <w:szCs w:val="24"/>
          <w:lang w:val="en-US"/>
        </w:rPr>
        <w:t xml:space="preserve">gland with, the payment of </w:t>
      </w:r>
      <w:r w:rsidRPr="0014260B">
        <w:rPr>
          <w:rFonts w:eastAsia="Times New Roman" w:cs="Arial"/>
          <w:spacing w:val="3"/>
          <w:szCs w:val="24"/>
          <w:lang w:val="en-US"/>
        </w:rPr>
        <w:t>certain monies related to them. Whether</w:t>
      </w:r>
    </w:p>
    <w:p w:rsidR="007B461C" w:rsidRPr="0014260B" w:rsidRDefault="007B461C" w:rsidP="009903D3">
      <w:pPr>
        <w:pStyle w:val="Page"/>
        <w:rPr>
          <w:rFonts w:cs="Arial"/>
          <w:szCs w:val="24"/>
          <w:lang w:val="en-US"/>
        </w:rPr>
      </w:pPr>
      <w:r w:rsidRPr="0014260B">
        <w:rPr>
          <w:rFonts w:cs="Arial"/>
          <w:color w:val="000000"/>
          <w:szCs w:val="24"/>
          <w:lang w:val="en-US"/>
        </w:rPr>
        <w:t>[Page 340]</w:t>
      </w:r>
    </w:p>
    <w:p w:rsidR="00B96DB2" w:rsidRPr="0014260B" w:rsidRDefault="00D766B8" w:rsidP="009903D3">
      <w:pPr>
        <w:pStyle w:val="Reasons"/>
        <w:rPr>
          <w:rFonts w:eastAsia="Times New Roman" w:cs="Arial"/>
          <w:szCs w:val="24"/>
        </w:rPr>
      </w:pPr>
      <w:proofErr w:type="gramStart"/>
      <w:r w:rsidRPr="0014260B">
        <w:rPr>
          <w:rFonts w:eastAsia="Times New Roman" w:cs="Arial"/>
          <w:szCs w:val="24"/>
          <w:lang w:val="en-US"/>
        </w:rPr>
        <w:t>these</w:t>
      </w:r>
      <w:proofErr w:type="gramEnd"/>
      <w:r w:rsidRPr="0014260B">
        <w:rPr>
          <w:rFonts w:eastAsia="Times New Roman" w:cs="Arial"/>
          <w:szCs w:val="24"/>
          <w:lang w:val="en-US"/>
        </w:rPr>
        <w:t xml:space="preserve"> monies are taken to :be probate or estate duties or legacy or succession </w:t>
      </w:r>
      <w:r w:rsidR="006B4A3B">
        <w:rPr>
          <w:rFonts w:eastAsia="Times New Roman" w:cs="Arial"/>
          <w:szCs w:val="24"/>
          <w:lang w:val="en-US"/>
        </w:rPr>
        <w:t xml:space="preserve">duties does not, for purposes </w:t>
      </w:r>
      <w:r w:rsidRPr="0014260B">
        <w:rPr>
          <w:rFonts w:eastAsia="Times New Roman" w:cs="Arial"/>
          <w:szCs w:val="24"/>
          <w:lang w:val="en-US"/>
        </w:rPr>
        <w:t>of .jurisdiction in taxes, appear to be material.</w:t>
      </w:r>
    </w:p>
    <w:p w:rsidR="00B96DB2" w:rsidRPr="0014260B" w:rsidRDefault="006B4A3B" w:rsidP="009903D3">
      <w:pPr>
        <w:pStyle w:val="Reasons"/>
        <w:rPr>
          <w:rFonts w:eastAsia="Times New Roman" w:cs="Arial"/>
          <w:spacing w:val="6"/>
          <w:szCs w:val="24"/>
        </w:rPr>
      </w:pPr>
      <w:r>
        <w:rPr>
          <w:rFonts w:eastAsia="Times New Roman" w:cs="Arial"/>
          <w:spacing w:val="6"/>
          <w:szCs w:val="24"/>
          <w:lang w:val="en-US"/>
        </w:rPr>
        <w:t xml:space="preserve">But a province </w:t>
      </w:r>
      <w:r w:rsidR="00D766B8" w:rsidRPr="0014260B">
        <w:rPr>
          <w:rFonts w:eastAsia="Times New Roman" w:cs="Arial"/>
          <w:spacing w:val="6"/>
          <w:szCs w:val="24"/>
          <w:lang w:val="en-US"/>
        </w:rPr>
        <w:t>of the Dominion is</w:t>
      </w:r>
      <w:r>
        <w:rPr>
          <w:rFonts w:eastAsia="Times New Roman" w:cs="Arial"/>
          <w:spacing w:val="6"/>
          <w:szCs w:val="24"/>
          <w:lang w:val="en-US"/>
        </w:rPr>
        <w:t xml:space="preserve"> not apparently in that degree </w:t>
      </w:r>
      <w:r w:rsidR="00D766B8" w:rsidRPr="0014260B">
        <w:rPr>
          <w:rFonts w:eastAsia="Times New Roman" w:cs="Arial"/>
          <w:spacing w:val="6"/>
          <w:szCs w:val="24"/>
          <w:lang w:val="en-US"/>
        </w:rPr>
        <w:t>of sov</w:t>
      </w:r>
      <w:r>
        <w:rPr>
          <w:rFonts w:eastAsia="Times New Roman" w:cs="Arial"/>
          <w:spacing w:val="6"/>
          <w:szCs w:val="24"/>
          <w:lang w:val="en-US"/>
        </w:rPr>
        <w:t xml:space="preserve">ereignty. The power of "direct </w:t>
      </w:r>
      <w:r w:rsidR="00D766B8" w:rsidRPr="0014260B">
        <w:rPr>
          <w:rFonts w:eastAsia="Times New Roman" w:cs="Arial"/>
          <w:spacing w:val="6"/>
          <w:szCs w:val="24"/>
          <w:lang w:val="en-US"/>
        </w:rPr>
        <w:t>taxation within the province", interpreted as it has been by the authorities cited, is to be exercised on t</w:t>
      </w:r>
      <w:r>
        <w:rPr>
          <w:rFonts w:eastAsia="Times New Roman" w:cs="Arial"/>
          <w:spacing w:val="6"/>
          <w:szCs w:val="24"/>
          <w:lang w:val="en-US"/>
        </w:rPr>
        <w:t xml:space="preserve">he footing that there </w:t>
      </w:r>
      <w:proofErr w:type="spellStart"/>
      <w:r>
        <w:rPr>
          <w:rFonts w:eastAsia="Times New Roman" w:cs="Arial"/>
          <w:spacing w:val="6"/>
          <w:szCs w:val="24"/>
          <w:lang w:val="en-US"/>
        </w:rPr>
        <w:t>its</w:t>
      </w:r>
      <w:proofErr w:type="spellEnd"/>
      <w:r>
        <w:rPr>
          <w:rFonts w:eastAsia="Times New Roman" w:cs="Arial"/>
          <w:spacing w:val="6"/>
          <w:szCs w:val="24"/>
          <w:lang w:val="en-US"/>
        </w:rPr>
        <w:t xml:space="preserve"> only </w:t>
      </w:r>
      <w:r w:rsidR="00D766B8" w:rsidRPr="0014260B">
        <w:rPr>
          <w:rFonts w:eastAsia="Times New Roman" w:cs="Arial"/>
          <w:spacing w:val="6"/>
          <w:szCs w:val="24"/>
          <w:lang w:val="en-US"/>
        </w:rPr>
        <w:t xml:space="preserve">one </w:t>
      </w:r>
      <w:proofErr w:type="spellStart"/>
      <w:r w:rsidR="00D766B8" w:rsidRPr="0014260B">
        <w:rPr>
          <w:rFonts w:eastAsia="Times New Roman" w:cs="Arial"/>
          <w:i/>
          <w:spacing w:val="6"/>
          <w:szCs w:val="24"/>
          <w:lang w:val="en-US"/>
        </w:rPr>
        <w:t>situs</w:t>
      </w:r>
      <w:proofErr w:type="spellEnd"/>
      <w:r w:rsidR="00D766B8" w:rsidRPr="0014260B">
        <w:rPr>
          <w:rFonts w:eastAsia="Times New Roman" w:cs="Arial"/>
          <w:i/>
          <w:spacing w:val="6"/>
          <w:szCs w:val="24"/>
          <w:lang w:val="en-US"/>
        </w:rPr>
        <w:t xml:space="preserve"> </w:t>
      </w:r>
      <w:r w:rsidR="00D766B8" w:rsidRPr="0014260B">
        <w:rPr>
          <w:rFonts w:eastAsia="Times New Roman" w:cs="Arial"/>
          <w:spacing w:val="6"/>
          <w:szCs w:val="24"/>
          <w:lang w:val="en-US"/>
        </w:rPr>
        <w:t xml:space="preserve">for every class of property and that that </w:t>
      </w:r>
      <w:r w:rsidR="00D766B8" w:rsidRPr="0014260B">
        <w:rPr>
          <w:rFonts w:eastAsia="Times New Roman" w:cs="Arial"/>
          <w:i/>
          <w:spacing w:val="6"/>
          <w:szCs w:val="24"/>
          <w:lang w:val="en-US"/>
        </w:rPr>
        <w:t xml:space="preserve">situs </w:t>
      </w:r>
      <w:r w:rsidR="00D766B8" w:rsidRPr="0014260B">
        <w:rPr>
          <w:rFonts w:eastAsia="Times New Roman" w:cs="Arial"/>
          <w:spacing w:val="6"/>
          <w:szCs w:val="24"/>
          <w:lang w:val="en-US"/>
        </w:rPr>
        <w:t>must be within the province. And for Shares, there can be no such divisio</w:t>
      </w:r>
      <w:r>
        <w:rPr>
          <w:rFonts w:eastAsia="Times New Roman" w:cs="Arial"/>
          <w:spacing w:val="6"/>
          <w:szCs w:val="24"/>
          <w:lang w:val="en-US"/>
        </w:rPr>
        <w:t xml:space="preserve">n of interests or powers in or </w:t>
      </w:r>
      <w:r w:rsidR="00D766B8" w:rsidRPr="0014260B">
        <w:rPr>
          <w:rFonts w:eastAsia="Times New Roman" w:cs="Arial"/>
          <w:spacing w:val="6"/>
          <w:szCs w:val="24"/>
          <w:lang w:val="en-US"/>
        </w:rPr>
        <w:t xml:space="preserve">annexed to them as would in the result attribute to them a </w:t>
      </w:r>
      <w:r w:rsidR="00D766B8" w:rsidRPr="0014260B">
        <w:rPr>
          <w:rFonts w:eastAsia="Times New Roman" w:cs="Arial"/>
          <w:i/>
          <w:spacing w:val="6"/>
          <w:szCs w:val="24"/>
          <w:lang w:val="en-US"/>
        </w:rPr>
        <w:t xml:space="preserve">situs </w:t>
      </w:r>
      <w:r w:rsidR="00D766B8" w:rsidRPr="0014260B">
        <w:rPr>
          <w:rFonts w:eastAsia="Times New Roman" w:cs="Arial"/>
          <w:spacing w:val="6"/>
          <w:szCs w:val="24"/>
          <w:lang w:val="en-US"/>
        </w:rPr>
        <w:t>in two or more places.</w:t>
      </w:r>
    </w:p>
    <w:p w:rsidR="00B96DB2" w:rsidRPr="0014260B" w:rsidRDefault="00D766B8" w:rsidP="009903D3">
      <w:pPr>
        <w:pStyle w:val="Reasons"/>
        <w:rPr>
          <w:rFonts w:eastAsia="Times New Roman" w:cs="Arial"/>
          <w:spacing w:val="4"/>
          <w:szCs w:val="24"/>
        </w:rPr>
      </w:pPr>
      <w:r w:rsidRPr="0014260B">
        <w:rPr>
          <w:rFonts w:eastAsia="Times New Roman" w:cs="Arial"/>
          <w:spacing w:val="4"/>
          <w:szCs w:val="24"/>
          <w:lang w:val="en-US"/>
        </w:rPr>
        <w:t xml:space="preserve">It is not suggested that the law of New York has embodied the visible and exclusive evidence of these rights in one tangible and moveable symbol to be looked upon and dealt with as a chattel as in </w:t>
      </w:r>
      <w:r w:rsidR="00EE4F0F">
        <w:rPr>
          <w:rFonts w:eastAsia="Times New Roman" w:cs="Arial"/>
          <w:i/>
          <w:spacing w:val="4"/>
          <w:szCs w:val="24"/>
          <w:lang w:val="en-US"/>
        </w:rPr>
        <w:t xml:space="preserve">Attorney-General v. </w:t>
      </w:r>
      <w:proofErr w:type="spellStart"/>
      <w:r w:rsidR="00EE4F0F">
        <w:rPr>
          <w:rFonts w:eastAsia="Times New Roman" w:cs="Arial"/>
          <w:i/>
          <w:spacing w:val="4"/>
          <w:szCs w:val="24"/>
          <w:lang w:val="en-US"/>
        </w:rPr>
        <w:t>Bou</w:t>
      </w:r>
      <w:r w:rsidRPr="0014260B">
        <w:rPr>
          <w:rFonts w:eastAsia="Times New Roman" w:cs="Arial"/>
          <w:i/>
          <w:spacing w:val="4"/>
          <w:szCs w:val="24"/>
          <w:lang w:val="en-US"/>
        </w:rPr>
        <w:t>wens</w:t>
      </w:r>
      <w:proofErr w:type="spellEnd"/>
      <w:r w:rsidR="001662A8" w:rsidRPr="0014260B">
        <w:rPr>
          <w:rStyle w:val="FootnoteReference"/>
          <w:rFonts w:eastAsia="Times New Roman" w:cs="Arial"/>
          <w:i/>
          <w:spacing w:val="4"/>
          <w:szCs w:val="24"/>
          <w:lang w:val="en-US"/>
        </w:rPr>
        <w:footnoteReference w:id="16"/>
      </w:r>
      <w:r w:rsidRPr="0014260B">
        <w:rPr>
          <w:rFonts w:eastAsia="Times New Roman" w:cs="Arial"/>
          <w:spacing w:val="4"/>
          <w:szCs w:val="24"/>
          <w:lang w:val="en-US"/>
        </w:rPr>
        <w:t>, and that being so, we are remitted to the considerations by which the shares are localized in the place where they may be effectually dealt with. Bu</w:t>
      </w:r>
      <w:r w:rsidR="00EE4F0F">
        <w:rPr>
          <w:rFonts w:eastAsia="Times New Roman" w:cs="Arial"/>
          <w:spacing w:val="4"/>
          <w:szCs w:val="24"/>
          <w:lang w:val="en-US"/>
        </w:rPr>
        <w:t xml:space="preserve">t it is conceded that an entry of the purchaser's name </w:t>
      </w:r>
      <w:r w:rsidRPr="0014260B">
        <w:rPr>
          <w:rFonts w:eastAsia="Times New Roman" w:cs="Arial"/>
          <w:spacing w:val="4"/>
          <w:szCs w:val="24"/>
          <w:lang w:val="en-US"/>
        </w:rPr>
        <w:t>on the registry o</w:t>
      </w:r>
      <w:r w:rsidR="00EE4F0F">
        <w:rPr>
          <w:rFonts w:eastAsia="Times New Roman" w:cs="Arial"/>
          <w:spacing w:val="4"/>
          <w:szCs w:val="24"/>
          <w:lang w:val="en-US"/>
        </w:rPr>
        <w:t xml:space="preserve">f the shares in New York would be essential </w:t>
      </w:r>
      <w:r w:rsidRPr="0014260B">
        <w:rPr>
          <w:rFonts w:eastAsia="Times New Roman" w:cs="Arial"/>
          <w:spacing w:val="4"/>
          <w:szCs w:val="24"/>
          <w:lang w:val="en-US"/>
        </w:rPr>
        <w:t>to admitting hi</w:t>
      </w:r>
      <w:r w:rsidR="00EE4F0F">
        <w:rPr>
          <w:rFonts w:eastAsia="Times New Roman" w:cs="Arial"/>
          <w:spacing w:val="4"/>
          <w:szCs w:val="24"/>
          <w:lang w:val="en-US"/>
        </w:rPr>
        <w:t xml:space="preserve">m to membership in the company </w:t>
      </w:r>
      <w:r w:rsidRPr="0014260B">
        <w:rPr>
          <w:rFonts w:eastAsia="Times New Roman" w:cs="Arial"/>
          <w:spacing w:val="4"/>
          <w:szCs w:val="24"/>
          <w:lang w:val="en-US"/>
        </w:rPr>
        <w:t>and the case comes then directly within the principles laid down.</w:t>
      </w:r>
    </w:p>
    <w:p w:rsidR="00B96DB2" w:rsidRPr="0014260B" w:rsidRDefault="00D766B8" w:rsidP="009903D3">
      <w:pPr>
        <w:pStyle w:val="Reasons"/>
        <w:rPr>
          <w:rFonts w:eastAsia="Times New Roman" w:cs="Arial"/>
          <w:szCs w:val="24"/>
        </w:rPr>
      </w:pPr>
      <w:r w:rsidRPr="0014260B">
        <w:rPr>
          <w:rFonts w:eastAsia="Times New Roman" w:cs="Arial"/>
          <w:szCs w:val="24"/>
          <w:lang w:val="en-US"/>
        </w:rPr>
        <w:t>The appeal must, therefore, be allowed but as agreed without costs in both courts.</w:t>
      </w:r>
    </w:p>
    <w:p w:rsidR="00B96DB2" w:rsidRPr="0014260B" w:rsidRDefault="00D766B8" w:rsidP="009903D3">
      <w:pPr>
        <w:pStyle w:val="Reasons"/>
        <w:rPr>
          <w:rFonts w:eastAsia="Times New Roman" w:cs="Arial"/>
          <w:spacing w:val="2"/>
          <w:szCs w:val="24"/>
        </w:rPr>
      </w:pPr>
      <w:r w:rsidRPr="0014260B">
        <w:rPr>
          <w:rFonts w:eastAsia="Times New Roman" w:cs="Arial"/>
          <w:spacing w:val="2"/>
          <w:szCs w:val="24"/>
          <w:lang w:val="en-US"/>
        </w:rPr>
        <w:t>KELLOCK</w:t>
      </w:r>
      <w:r w:rsidR="00EE4F0F">
        <w:rPr>
          <w:rFonts w:eastAsia="Times New Roman" w:cs="Arial"/>
          <w:spacing w:val="2"/>
          <w:szCs w:val="24"/>
          <w:lang w:val="en-US"/>
        </w:rPr>
        <w:t xml:space="preserve"> J</w:t>
      </w:r>
      <w:r w:rsidR="00DC215D">
        <w:rPr>
          <w:rFonts w:eastAsia="Times New Roman" w:cs="Arial"/>
          <w:spacing w:val="2"/>
          <w:szCs w:val="24"/>
          <w:lang w:val="en-US"/>
        </w:rPr>
        <w:t>.</w:t>
      </w:r>
      <w:r w:rsidR="00EE4F0F">
        <w:rPr>
          <w:rFonts w:eastAsia="Times New Roman" w:cs="Arial"/>
          <w:spacing w:val="2"/>
          <w:szCs w:val="24"/>
          <w:lang w:val="en-US"/>
        </w:rPr>
        <w:t xml:space="preserve"> (concurred in by </w:t>
      </w:r>
      <w:proofErr w:type="spellStart"/>
      <w:r w:rsidR="00EE4F0F">
        <w:rPr>
          <w:rFonts w:eastAsia="Times New Roman" w:cs="Arial"/>
          <w:spacing w:val="2"/>
          <w:szCs w:val="24"/>
          <w:lang w:val="en-US"/>
        </w:rPr>
        <w:t>Estey</w:t>
      </w:r>
      <w:proofErr w:type="spellEnd"/>
      <w:r w:rsidR="00EE4F0F">
        <w:rPr>
          <w:rFonts w:eastAsia="Times New Roman" w:cs="Arial"/>
          <w:spacing w:val="2"/>
          <w:szCs w:val="24"/>
          <w:lang w:val="en-US"/>
        </w:rPr>
        <w:t xml:space="preserve"> J.)</w:t>
      </w:r>
      <w:r w:rsidRPr="0014260B">
        <w:rPr>
          <w:rFonts w:eastAsia="Times New Roman" w:cs="Arial"/>
          <w:spacing w:val="2"/>
          <w:szCs w:val="24"/>
          <w:lang w:val="en-US"/>
        </w:rPr>
        <w:t>:—</w:t>
      </w:r>
      <w:proofErr w:type="gramStart"/>
      <w:r w:rsidRPr="0014260B">
        <w:rPr>
          <w:rFonts w:eastAsia="Times New Roman" w:cs="Arial"/>
          <w:spacing w:val="2"/>
          <w:szCs w:val="24"/>
          <w:lang w:val="en-US"/>
        </w:rPr>
        <w:t>The</w:t>
      </w:r>
      <w:proofErr w:type="gramEnd"/>
      <w:r w:rsidRPr="0014260B">
        <w:rPr>
          <w:rFonts w:eastAsia="Times New Roman" w:cs="Arial"/>
          <w:spacing w:val="2"/>
          <w:szCs w:val="24"/>
          <w:lang w:val="en-US"/>
        </w:rPr>
        <w:t xml:space="preserve"> stated case shows that at his death on the 14th of November, 1944, the testator was domiciled and resided in Nova Scotia. Some time prior to his death the shares here in question, all common shares, were registered, pursuant to the instructions of the deceased, in the names of nominees of The Royal Trust Company, the share certificat</w:t>
      </w:r>
      <w:r w:rsidR="00EE4F0F">
        <w:rPr>
          <w:rFonts w:eastAsia="Times New Roman" w:cs="Arial"/>
          <w:spacing w:val="2"/>
          <w:szCs w:val="24"/>
          <w:lang w:val="en-US"/>
        </w:rPr>
        <w:t xml:space="preserve">es being endorsed in blank. In </w:t>
      </w:r>
      <w:r w:rsidRPr="0014260B">
        <w:rPr>
          <w:rFonts w:eastAsia="Times New Roman" w:cs="Arial"/>
          <w:spacing w:val="2"/>
          <w:szCs w:val="24"/>
          <w:lang w:val="en-US"/>
        </w:rPr>
        <w:t xml:space="preserve">every instance a "Declaration of Trust" was </w:t>
      </w:r>
      <w:r w:rsidR="00EE4F0F">
        <w:rPr>
          <w:rFonts w:eastAsia="Times New Roman" w:cs="Arial"/>
          <w:spacing w:val="2"/>
          <w:szCs w:val="24"/>
          <w:lang w:val="en-US"/>
        </w:rPr>
        <w:t xml:space="preserve">also executed by the nominee, </w:t>
      </w:r>
      <w:r w:rsidRPr="0014260B">
        <w:rPr>
          <w:rFonts w:eastAsia="Times New Roman" w:cs="Arial"/>
          <w:spacing w:val="2"/>
          <w:szCs w:val="24"/>
          <w:lang w:val="en-US"/>
        </w:rPr>
        <w:t>stating that the shares were registered in the name of the shareholder as the nominee of The Royal Trust</w:t>
      </w:r>
      <w:r w:rsidR="001662A8" w:rsidRPr="0014260B">
        <w:rPr>
          <w:rFonts w:eastAsia="Times New Roman" w:cs="Arial"/>
          <w:spacing w:val="2"/>
          <w:szCs w:val="24"/>
          <w:lang w:val="en-US"/>
        </w:rPr>
        <w:t xml:space="preserve"> </w:t>
      </w:r>
      <w:r w:rsidRPr="0014260B">
        <w:rPr>
          <w:rFonts w:eastAsia="Times New Roman" w:cs="Arial"/>
          <w:spacing w:val="2"/>
          <w:szCs w:val="24"/>
          <w:lang w:val="en-US"/>
        </w:rPr>
        <w:t>Company and that the c</w:t>
      </w:r>
      <w:r w:rsidR="00EE4F0F">
        <w:rPr>
          <w:rFonts w:eastAsia="Times New Roman" w:cs="Arial"/>
          <w:spacing w:val="2"/>
          <w:szCs w:val="24"/>
          <w:lang w:val="en-US"/>
        </w:rPr>
        <w:t xml:space="preserve">ertificates had been delivered </w:t>
      </w:r>
      <w:r w:rsidRPr="0014260B">
        <w:rPr>
          <w:rFonts w:eastAsia="Times New Roman" w:cs="Arial"/>
          <w:spacing w:val="2"/>
          <w:szCs w:val="24"/>
          <w:lang w:val="en-US"/>
        </w:rPr>
        <w:t>to the Trust Compan</w:t>
      </w:r>
      <w:r w:rsidR="00EE4F0F">
        <w:rPr>
          <w:rFonts w:eastAsia="Times New Roman" w:cs="Arial"/>
          <w:spacing w:val="2"/>
          <w:szCs w:val="24"/>
          <w:lang w:val="en-US"/>
        </w:rPr>
        <w:t xml:space="preserve">y together with an irrevocable </w:t>
      </w:r>
      <w:r w:rsidRPr="0014260B">
        <w:rPr>
          <w:rFonts w:eastAsia="Times New Roman" w:cs="Arial"/>
          <w:spacing w:val="2"/>
          <w:szCs w:val="24"/>
          <w:lang w:val="en-US"/>
        </w:rPr>
        <w:t>authority to collect</w:t>
      </w:r>
      <w:r w:rsidR="00EE4F0F">
        <w:rPr>
          <w:rFonts w:eastAsia="Times New Roman" w:cs="Arial"/>
          <w:spacing w:val="2"/>
          <w:szCs w:val="24"/>
          <w:lang w:val="en-US"/>
        </w:rPr>
        <w:t xml:space="preserve"> and receive the dividends. It </w:t>
      </w:r>
      <w:r w:rsidRPr="0014260B">
        <w:rPr>
          <w:rFonts w:eastAsia="Times New Roman" w:cs="Arial"/>
          <w:spacing w:val="2"/>
          <w:szCs w:val="24"/>
          <w:lang w:val="en-US"/>
        </w:rPr>
        <w:t>appears also that these certificates were</w:t>
      </w:r>
    </w:p>
    <w:p w:rsidR="007B461C" w:rsidRPr="0014260B" w:rsidRDefault="007B461C" w:rsidP="009903D3">
      <w:pPr>
        <w:pStyle w:val="Page"/>
        <w:rPr>
          <w:rFonts w:cs="Arial"/>
          <w:szCs w:val="24"/>
          <w:lang w:val="en-US"/>
        </w:rPr>
      </w:pPr>
      <w:r w:rsidRPr="0014260B">
        <w:rPr>
          <w:rFonts w:cs="Arial"/>
          <w:color w:val="000000"/>
          <w:szCs w:val="24"/>
          <w:lang w:val="en-US"/>
        </w:rPr>
        <w:t>[Page 341]</w:t>
      </w:r>
    </w:p>
    <w:p w:rsidR="00B96DB2" w:rsidRPr="0014260B" w:rsidRDefault="00D766B8" w:rsidP="009903D3">
      <w:pPr>
        <w:pStyle w:val="Reasons"/>
        <w:rPr>
          <w:rFonts w:eastAsia="Times New Roman" w:cs="Arial"/>
          <w:szCs w:val="24"/>
        </w:rPr>
      </w:pPr>
      <w:proofErr w:type="gramStart"/>
      <w:r w:rsidRPr="0014260B">
        <w:rPr>
          <w:rFonts w:eastAsia="Times New Roman" w:cs="Arial"/>
          <w:szCs w:val="24"/>
          <w:lang w:val="en-US"/>
        </w:rPr>
        <w:t>so</w:t>
      </w:r>
      <w:proofErr w:type="gramEnd"/>
      <w:r w:rsidRPr="0014260B">
        <w:rPr>
          <w:rFonts w:eastAsia="Times New Roman" w:cs="Arial"/>
          <w:szCs w:val="24"/>
          <w:lang w:val="en-US"/>
        </w:rPr>
        <w:t xml:space="preserve"> delivered pursuant to the direction of the deceased for safekeeping and management. They were therefore in the possession of the deceased through his agent.</w:t>
      </w:r>
    </w:p>
    <w:p w:rsidR="00B96DB2" w:rsidRPr="0014260B" w:rsidRDefault="00D766B8" w:rsidP="009903D3">
      <w:pPr>
        <w:pStyle w:val="Reasons"/>
        <w:rPr>
          <w:rFonts w:eastAsia="Times New Roman" w:cs="Arial"/>
          <w:spacing w:val="4"/>
          <w:szCs w:val="24"/>
        </w:rPr>
      </w:pPr>
      <w:r w:rsidRPr="0014260B">
        <w:rPr>
          <w:rFonts w:eastAsia="Times New Roman" w:cs="Arial"/>
          <w:spacing w:val="4"/>
          <w:szCs w:val="24"/>
          <w:lang w:val="en-US"/>
        </w:rPr>
        <w:lastRenderedPageBreak/>
        <w:t xml:space="preserve">The respondent contends that the case is not within the principle of the decision in </w:t>
      </w:r>
      <w:proofErr w:type="spellStart"/>
      <w:r w:rsidRPr="0014260B">
        <w:rPr>
          <w:rFonts w:eastAsia="Times New Roman" w:cs="Arial"/>
          <w:i/>
          <w:spacing w:val="4"/>
          <w:szCs w:val="24"/>
          <w:lang w:val="en-US"/>
        </w:rPr>
        <w:t>Rex</w:t>
      </w:r>
      <w:r w:rsidRPr="0014260B">
        <w:rPr>
          <w:rFonts w:eastAsia="Times New Roman" w:cs="Arial"/>
          <w:i/>
          <w:spacing w:val="4"/>
          <w:szCs w:val="24"/>
          <w:vertAlign w:val="superscript"/>
          <w:lang w:val="en-US"/>
        </w:rPr>
        <w:t>.</w:t>
      </w:r>
      <w:r w:rsidRPr="0014260B">
        <w:rPr>
          <w:rFonts w:eastAsia="Times New Roman" w:cs="Arial"/>
          <w:i/>
          <w:spacing w:val="4"/>
          <w:szCs w:val="24"/>
          <w:lang w:val="en-US"/>
        </w:rPr>
        <w:t>v</w:t>
      </w:r>
      <w:proofErr w:type="spellEnd"/>
      <w:r w:rsidRPr="0014260B">
        <w:rPr>
          <w:rFonts w:eastAsia="Times New Roman" w:cs="Arial"/>
          <w:i/>
          <w:spacing w:val="4"/>
          <w:szCs w:val="24"/>
          <w:lang w:val="en-US"/>
        </w:rPr>
        <w:t xml:space="preserve">. </w:t>
      </w:r>
      <w:proofErr w:type="gramStart"/>
      <w:r w:rsidRPr="0014260B">
        <w:rPr>
          <w:rFonts w:eastAsia="Times New Roman" w:cs="Arial"/>
          <w:i/>
          <w:spacing w:val="4"/>
          <w:szCs w:val="24"/>
          <w:lang w:val="en-US"/>
        </w:rPr>
        <w:t>Williams</w:t>
      </w:r>
      <w:r w:rsidR="001662A8" w:rsidRPr="0014260B">
        <w:rPr>
          <w:rStyle w:val="FootnoteReference"/>
          <w:rFonts w:eastAsia="Times New Roman" w:cs="Arial"/>
          <w:i/>
          <w:spacing w:val="4"/>
          <w:szCs w:val="24"/>
          <w:lang w:val="en-US"/>
        </w:rPr>
        <w:footnoteReference w:id="17"/>
      </w:r>
      <w:r w:rsidRPr="0014260B">
        <w:rPr>
          <w:rFonts w:eastAsia="Times New Roman" w:cs="Arial"/>
          <w:i/>
          <w:spacing w:val="4"/>
          <w:szCs w:val="24"/>
          <w:lang w:val="en-US"/>
        </w:rPr>
        <w:t xml:space="preserve">, </w:t>
      </w:r>
      <w:r w:rsidRPr="0014260B">
        <w:rPr>
          <w:rFonts w:eastAsia="Times New Roman" w:cs="Arial"/>
          <w:spacing w:val="4"/>
          <w:szCs w:val="24"/>
          <w:lang w:val="en-US"/>
        </w:rPr>
        <w:t>for the reason that although the deceased was the beneficial owner, he was not the registered owner.</w:t>
      </w:r>
      <w:proofErr w:type="gramEnd"/>
      <w:r w:rsidRPr="0014260B">
        <w:rPr>
          <w:rFonts w:eastAsia="Times New Roman" w:cs="Arial"/>
          <w:spacing w:val="4"/>
          <w:szCs w:val="24"/>
          <w:lang w:val="en-US"/>
        </w:rPr>
        <w:t xml:space="preserve"> It is said th</w:t>
      </w:r>
      <w:r w:rsidR="00EE4F0F">
        <w:rPr>
          <w:rFonts w:eastAsia="Times New Roman" w:cs="Arial"/>
          <w:spacing w:val="4"/>
          <w:szCs w:val="24"/>
          <w:lang w:val="en-US"/>
        </w:rPr>
        <w:t xml:space="preserve">at in the case of certificates </w:t>
      </w:r>
      <w:r w:rsidRPr="0014260B">
        <w:rPr>
          <w:rFonts w:eastAsia="Times New Roman" w:cs="Arial"/>
          <w:spacing w:val="4"/>
          <w:szCs w:val="24"/>
          <w:lang w:val="en-US"/>
        </w:rPr>
        <w:t xml:space="preserve">endorsed in blank, where the deceased was not the registered shareholder, the physical location of the certificates fixes the </w:t>
      </w:r>
      <w:r w:rsidRPr="0014260B">
        <w:rPr>
          <w:rFonts w:eastAsia="Times New Roman" w:cs="Arial"/>
          <w:i/>
          <w:spacing w:val="4"/>
          <w:szCs w:val="24"/>
          <w:lang w:val="en-US"/>
        </w:rPr>
        <w:t xml:space="preserve">situs </w:t>
      </w:r>
      <w:r w:rsidRPr="0014260B">
        <w:rPr>
          <w:rFonts w:eastAsia="Times New Roman" w:cs="Arial"/>
          <w:spacing w:val="4"/>
          <w:szCs w:val="24"/>
          <w:lang w:val="en-US"/>
        </w:rPr>
        <w:t>for succession duty purposes, their marketability there, according to the contention, being the 'determining consideration; and</w:t>
      </w:r>
      <w:r w:rsidR="001662A8" w:rsidRPr="0014260B">
        <w:rPr>
          <w:rStyle w:val="FootnoteReference"/>
          <w:rFonts w:eastAsia="Times New Roman" w:cs="Arial"/>
          <w:spacing w:val="4"/>
          <w:szCs w:val="24"/>
          <w:lang w:val="en-US"/>
        </w:rPr>
        <w:footnoteReference w:id="18"/>
      </w:r>
      <w:r w:rsidRPr="0014260B">
        <w:rPr>
          <w:rFonts w:eastAsia="Times New Roman" w:cs="Arial"/>
          <w:spacing w:val="4"/>
          <w:szCs w:val="24"/>
          <w:lang w:val="en-US"/>
        </w:rPr>
        <w:t xml:space="preserve"> that in any event the only property which passed on the death was a </w:t>
      </w:r>
      <w:r w:rsidRPr="0014260B">
        <w:rPr>
          <w:rFonts w:eastAsia="Times New Roman" w:cs="Arial"/>
          <w:i/>
          <w:spacing w:val="4"/>
          <w:szCs w:val="24"/>
          <w:lang w:val="en-US"/>
        </w:rPr>
        <w:t xml:space="preserve">chose </w:t>
      </w:r>
      <w:r w:rsidRPr="0014260B">
        <w:rPr>
          <w:rFonts w:eastAsia="Times New Roman" w:cs="Arial"/>
          <w:spacing w:val="4"/>
          <w:szCs w:val="24"/>
          <w:lang w:val="en-US"/>
        </w:rPr>
        <w:t xml:space="preserve">in </w:t>
      </w:r>
      <w:r w:rsidRPr="0014260B">
        <w:rPr>
          <w:rFonts w:eastAsia="Times New Roman" w:cs="Arial"/>
          <w:i/>
          <w:spacing w:val="4"/>
          <w:szCs w:val="24"/>
          <w:lang w:val="en-US"/>
        </w:rPr>
        <w:t xml:space="preserve">action </w:t>
      </w:r>
      <w:r w:rsidRPr="0014260B">
        <w:rPr>
          <w:rFonts w:eastAsia="Times New Roman" w:cs="Arial"/>
          <w:spacing w:val="4"/>
          <w:szCs w:val="24"/>
          <w:lang w:val="en-US"/>
        </w:rPr>
        <w:t>under a Nova Scotia trust.</w:t>
      </w:r>
    </w:p>
    <w:p w:rsidR="00B96DB2" w:rsidRPr="0014260B" w:rsidRDefault="00D766B8" w:rsidP="009903D3">
      <w:pPr>
        <w:pStyle w:val="Reasons"/>
        <w:rPr>
          <w:rFonts w:eastAsia="Times New Roman" w:cs="Arial"/>
          <w:spacing w:val="7"/>
          <w:szCs w:val="24"/>
        </w:rPr>
      </w:pPr>
      <w:r w:rsidRPr="0014260B">
        <w:rPr>
          <w:rFonts w:eastAsia="Times New Roman" w:cs="Arial"/>
          <w:spacing w:val="7"/>
          <w:szCs w:val="24"/>
          <w:lang w:val="en-US"/>
        </w:rPr>
        <w:t xml:space="preserve">The statute which is applicable is the </w:t>
      </w:r>
      <w:r w:rsidRPr="0014260B">
        <w:rPr>
          <w:rFonts w:eastAsia="Times New Roman" w:cs="Arial"/>
          <w:i/>
          <w:spacing w:val="7"/>
          <w:szCs w:val="24"/>
          <w:lang w:val="en-US"/>
        </w:rPr>
        <w:t xml:space="preserve">Succession Duty Act </w:t>
      </w:r>
      <w:r w:rsidRPr="0014260B">
        <w:rPr>
          <w:rFonts w:eastAsia="Times New Roman" w:cs="Arial"/>
          <w:spacing w:val="7"/>
          <w:szCs w:val="24"/>
          <w:lang w:val="en-US"/>
        </w:rPr>
        <w:t xml:space="preserve">of Nova Scotia, 9 Geo. VI, c. </w:t>
      </w:r>
      <w:r w:rsidRPr="0014260B">
        <w:rPr>
          <w:rFonts w:eastAsia="Times New Roman" w:cs="Arial"/>
          <w:i/>
          <w:spacing w:val="7"/>
          <w:szCs w:val="24"/>
          <w:lang w:val="en-US"/>
        </w:rPr>
        <w:t xml:space="preserve">7. </w:t>
      </w:r>
      <w:r w:rsidRPr="0014260B">
        <w:rPr>
          <w:rFonts w:eastAsia="Times New Roman" w:cs="Arial"/>
          <w:spacing w:val="7"/>
          <w:szCs w:val="24"/>
          <w:lang w:val="en-US"/>
        </w:rPr>
        <w:t>By section 3, subsection 1, provision is made for the levying of a succession duty upon all property mentioned in the statute passing on the death of any person who has died on or since the 1st day of July, 1892. By subsection 2 "property passing on the death" is deemed to include for all purposes of the Act:</w:t>
      </w:r>
    </w:p>
    <w:p w:rsidR="00B96DB2" w:rsidRPr="0014260B" w:rsidRDefault="00D766B8" w:rsidP="009903D3">
      <w:pPr>
        <w:pStyle w:val="Indent1"/>
        <w:spacing w:after="100" w:afterAutospacing="1"/>
      </w:pPr>
      <w:r w:rsidRPr="0014260B">
        <w:rPr>
          <w:lang w:val="en-US"/>
        </w:rPr>
        <w:t xml:space="preserve">(a) </w:t>
      </w:r>
      <w:proofErr w:type="gramStart"/>
      <w:r w:rsidRPr="0014260B">
        <w:rPr>
          <w:lang w:val="en-US"/>
        </w:rPr>
        <w:t>property</w:t>
      </w:r>
      <w:proofErr w:type="gramEnd"/>
      <w:r w:rsidRPr="0014260B">
        <w:rPr>
          <w:lang w:val="en-US"/>
        </w:rPr>
        <w:t xml:space="preserve"> of which the deceased was at the time of his death competent to dispose.</w:t>
      </w:r>
    </w:p>
    <w:p w:rsidR="00B96DB2" w:rsidRPr="0014260B" w:rsidRDefault="00D766B8" w:rsidP="009903D3">
      <w:pPr>
        <w:pStyle w:val="Reasons"/>
        <w:rPr>
          <w:rFonts w:eastAsia="Times New Roman" w:cs="Arial"/>
          <w:spacing w:val="4"/>
          <w:szCs w:val="24"/>
        </w:rPr>
      </w:pPr>
      <w:r w:rsidRPr="0014260B">
        <w:rPr>
          <w:rFonts w:eastAsia="Times New Roman" w:cs="Arial"/>
          <w:spacing w:val="4"/>
          <w:szCs w:val="24"/>
          <w:lang w:val="en-US"/>
        </w:rPr>
        <w:t xml:space="preserve">By section 2 </w:t>
      </w:r>
      <w:r w:rsidRPr="0014260B">
        <w:rPr>
          <w:rFonts w:eastAsia="Times New Roman" w:cs="Arial"/>
          <w:i/>
          <w:spacing w:val="4"/>
          <w:szCs w:val="24"/>
          <w:lang w:val="en-US"/>
        </w:rPr>
        <w:t xml:space="preserve">(b) </w:t>
      </w:r>
      <w:r w:rsidRPr="0014260B">
        <w:rPr>
          <w:rFonts w:eastAsia="Times New Roman" w:cs="Arial"/>
          <w:spacing w:val="4"/>
          <w:szCs w:val="24"/>
          <w:lang w:val="en-US"/>
        </w:rPr>
        <w:t>the expression "property" inclu</w:t>
      </w:r>
      <w:r w:rsidR="00EE4F0F">
        <w:rPr>
          <w:rFonts w:eastAsia="Times New Roman" w:cs="Arial"/>
          <w:spacing w:val="4"/>
          <w:szCs w:val="24"/>
          <w:lang w:val="en-US"/>
        </w:rPr>
        <w:t xml:space="preserve">des real and personal property </w:t>
      </w:r>
      <w:r w:rsidRPr="0014260B">
        <w:rPr>
          <w:rFonts w:eastAsia="Times New Roman" w:cs="Arial"/>
          <w:spacing w:val="4"/>
          <w:szCs w:val="24"/>
          <w:lang w:val="en-US"/>
        </w:rPr>
        <w:t>of every description, whether tangible or intangible, and every estate and interest therein. By subsection 2 (a) of section 2, a person shall be deemed competent to dispose of property for the purposes of the Act:</w:t>
      </w:r>
    </w:p>
    <w:p w:rsidR="00B96DB2" w:rsidRPr="0014260B" w:rsidRDefault="00D766B8" w:rsidP="009903D3">
      <w:pPr>
        <w:pStyle w:val="Indent1"/>
        <w:spacing w:after="100" w:afterAutospacing="1"/>
      </w:pPr>
      <w:proofErr w:type="gramStart"/>
      <w:r w:rsidRPr="0014260B">
        <w:rPr>
          <w:lang w:val="en-US"/>
        </w:rPr>
        <w:t>if</w:t>
      </w:r>
      <w:proofErr w:type="gramEnd"/>
      <w:r w:rsidRPr="0014260B">
        <w:rPr>
          <w:lang w:val="en-US"/>
        </w:rPr>
        <w:t xml:space="preserve"> he has such an estate or interest therein or such general power as would if he were </w:t>
      </w:r>
      <w:r w:rsidRPr="0014260B">
        <w:rPr>
          <w:i/>
          <w:lang w:val="en-US"/>
        </w:rPr>
        <w:t xml:space="preserve">sui </w:t>
      </w:r>
      <w:proofErr w:type="spellStart"/>
      <w:r w:rsidRPr="0014260B">
        <w:rPr>
          <w:i/>
          <w:lang w:val="en-US"/>
        </w:rPr>
        <w:t>juris</w:t>
      </w:r>
      <w:proofErr w:type="spellEnd"/>
      <w:r w:rsidRPr="0014260B">
        <w:rPr>
          <w:i/>
          <w:lang w:val="en-US"/>
        </w:rPr>
        <w:t xml:space="preserve"> </w:t>
      </w:r>
      <w:r w:rsidRPr="0014260B">
        <w:rPr>
          <w:lang w:val="en-US"/>
        </w:rPr>
        <w:t>enable him to dispose of the property.</w:t>
      </w:r>
    </w:p>
    <w:p w:rsidR="00B96DB2" w:rsidRPr="0014260B" w:rsidRDefault="00D766B8" w:rsidP="009903D3">
      <w:pPr>
        <w:pStyle w:val="Reasons"/>
        <w:rPr>
          <w:rFonts w:eastAsia="Times New Roman" w:cs="Arial"/>
          <w:szCs w:val="24"/>
        </w:rPr>
      </w:pPr>
      <w:r w:rsidRPr="0014260B">
        <w:rPr>
          <w:rFonts w:eastAsia="Times New Roman" w:cs="Arial"/>
          <w:szCs w:val="24"/>
          <w:lang w:val="en-US"/>
        </w:rPr>
        <w:t xml:space="preserve">In </w:t>
      </w:r>
      <w:r w:rsidRPr="0014260B">
        <w:rPr>
          <w:rFonts w:eastAsia="Times New Roman" w:cs="Arial"/>
          <w:i/>
          <w:szCs w:val="24"/>
          <w:lang w:val="en-US"/>
        </w:rPr>
        <w:t>Bradbu</w:t>
      </w:r>
      <w:r w:rsidR="009903D3">
        <w:rPr>
          <w:rFonts w:eastAsia="Times New Roman" w:cs="Arial"/>
          <w:i/>
          <w:szCs w:val="24"/>
          <w:lang w:val="en-US"/>
        </w:rPr>
        <w:t>ry v. English Sewing Cotton Co.</w:t>
      </w:r>
      <w:r w:rsidRPr="0014260B">
        <w:rPr>
          <w:rFonts w:eastAsia="Times New Roman" w:cs="Arial"/>
          <w:szCs w:val="24"/>
          <w:lang w:val="en-US"/>
        </w:rPr>
        <w:t xml:space="preserve">, Lord </w:t>
      </w:r>
      <w:proofErr w:type="spellStart"/>
      <w:r w:rsidRPr="0014260B">
        <w:rPr>
          <w:rFonts w:eastAsia="Times New Roman" w:cs="Arial"/>
          <w:szCs w:val="24"/>
          <w:lang w:val="en-US"/>
        </w:rPr>
        <w:t>Wrenbury</w:t>
      </w:r>
      <w:proofErr w:type="spellEnd"/>
      <w:r w:rsidRPr="0014260B">
        <w:rPr>
          <w:rFonts w:eastAsia="Times New Roman" w:cs="Arial"/>
          <w:szCs w:val="24"/>
          <w:lang w:val="en-US"/>
        </w:rPr>
        <w:t xml:space="preserve"> said at page 767:</w:t>
      </w:r>
    </w:p>
    <w:p w:rsidR="00B96DB2" w:rsidRPr="0014260B" w:rsidRDefault="00D766B8" w:rsidP="009903D3">
      <w:pPr>
        <w:pStyle w:val="Indent1"/>
        <w:spacing w:after="100" w:afterAutospacing="1"/>
      </w:pPr>
      <w:r w:rsidRPr="0014260B">
        <w:rPr>
          <w:lang w:val="en-US"/>
        </w:rPr>
        <w:t>A share is, therefore, a fractional part of the capital. It confers upon the holder a certain right to a proportionate part of the assets of the corporation.</w:t>
      </w:r>
    </w:p>
    <w:p w:rsidR="00B96DB2" w:rsidRPr="0014260B" w:rsidRDefault="00D766B8" w:rsidP="009903D3">
      <w:pPr>
        <w:pStyle w:val="Reasons"/>
        <w:rPr>
          <w:rFonts w:eastAsia="Times New Roman" w:cs="Arial"/>
          <w:szCs w:val="24"/>
        </w:rPr>
      </w:pPr>
      <w:r w:rsidRPr="0014260B">
        <w:rPr>
          <w:rFonts w:eastAsia="Times New Roman" w:cs="Arial"/>
          <w:szCs w:val="24"/>
          <w:lang w:val="en-US"/>
        </w:rPr>
        <w:t>Certain rights or incidents are attached thereto, such as the right to attend meetings and to vote, etc.</w:t>
      </w:r>
    </w:p>
    <w:p w:rsidR="00B96DB2" w:rsidRPr="0014260B" w:rsidRDefault="00D766B8" w:rsidP="009903D3">
      <w:pPr>
        <w:pStyle w:val="Reasons"/>
        <w:rPr>
          <w:rFonts w:eastAsia="Times New Roman" w:cs="Arial"/>
          <w:spacing w:val="13"/>
          <w:szCs w:val="24"/>
        </w:rPr>
      </w:pPr>
      <w:r w:rsidRPr="0014260B">
        <w:rPr>
          <w:rFonts w:eastAsia="Times New Roman" w:cs="Arial"/>
          <w:spacing w:val="13"/>
          <w:szCs w:val="24"/>
          <w:lang w:val="en-US"/>
        </w:rPr>
        <w:t>In the case at bar the property passing on the death of the late Mr. Brookfield was, in my opinion, the full</w:t>
      </w:r>
    </w:p>
    <w:p w:rsidR="007B461C" w:rsidRPr="0014260B" w:rsidRDefault="007B461C" w:rsidP="009903D3">
      <w:pPr>
        <w:pStyle w:val="Page"/>
        <w:rPr>
          <w:rFonts w:cs="Arial"/>
          <w:szCs w:val="24"/>
          <w:lang w:val="en-US"/>
        </w:rPr>
      </w:pPr>
      <w:r w:rsidRPr="0014260B">
        <w:rPr>
          <w:rFonts w:cs="Arial"/>
          <w:color w:val="000000"/>
          <w:szCs w:val="24"/>
          <w:lang w:val="en-US"/>
        </w:rPr>
        <w:t>[Page 342]</w:t>
      </w:r>
    </w:p>
    <w:p w:rsidR="00B96DB2" w:rsidRPr="0014260B" w:rsidRDefault="00D766B8" w:rsidP="009903D3">
      <w:pPr>
        <w:pStyle w:val="Reasons"/>
        <w:rPr>
          <w:rFonts w:eastAsia="Times New Roman" w:cs="Arial"/>
          <w:spacing w:val="8"/>
          <w:szCs w:val="24"/>
        </w:rPr>
      </w:pPr>
      <w:proofErr w:type="gramStart"/>
      <w:r w:rsidRPr="0014260B">
        <w:rPr>
          <w:rFonts w:eastAsia="Times New Roman" w:cs="Arial"/>
          <w:spacing w:val="8"/>
          <w:szCs w:val="24"/>
          <w:lang w:val="en-US"/>
        </w:rPr>
        <w:t>beneficial</w:t>
      </w:r>
      <w:proofErr w:type="gramEnd"/>
      <w:r w:rsidRPr="0014260B">
        <w:rPr>
          <w:rFonts w:eastAsia="Times New Roman" w:cs="Arial"/>
          <w:spacing w:val="8"/>
          <w:szCs w:val="24"/>
          <w:lang w:val="en-US"/>
        </w:rPr>
        <w:t xml:space="preserve"> interest in the shares and was not merely a </w:t>
      </w:r>
      <w:r w:rsidRPr="0014260B">
        <w:rPr>
          <w:rFonts w:eastAsia="Times New Roman" w:cs="Arial"/>
          <w:i/>
          <w:spacing w:val="8"/>
          <w:szCs w:val="24"/>
          <w:lang w:val="en-US"/>
        </w:rPr>
        <w:t xml:space="preserve">chose in action. </w:t>
      </w:r>
      <w:r w:rsidRPr="0014260B">
        <w:rPr>
          <w:rFonts w:eastAsia="Times New Roman" w:cs="Arial"/>
          <w:spacing w:val="8"/>
          <w:szCs w:val="24"/>
          <w:lang w:val="en-US"/>
        </w:rPr>
        <w:t>I think it unnecessary to say more as to the second branch of the argument.</w:t>
      </w:r>
    </w:p>
    <w:p w:rsidR="00B96DB2" w:rsidRPr="0014260B" w:rsidRDefault="00DC215D" w:rsidP="009903D3">
      <w:pPr>
        <w:pStyle w:val="Reasons"/>
        <w:rPr>
          <w:rFonts w:eastAsia="Times New Roman" w:cs="Arial"/>
          <w:spacing w:val="5"/>
          <w:szCs w:val="24"/>
        </w:rPr>
      </w:pPr>
      <w:r>
        <w:rPr>
          <w:rFonts w:eastAsia="Times New Roman" w:cs="Arial"/>
          <w:spacing w:val="5"/>
          <w:szCs w:val="24"/>
          <w:lang w:val="en-US"/>
        </w:rPr>
        <w:t>Coming to</w:t>
      </w:r>
      <w:r w:rsidR="00D766B8" w:rsidRPr="0014260B">
        <w:rPr>
          <w:rFonts w:eastAsia="Times New Roman" w:cs="Arial"/>
          <w:spacing w:val="5"/>
          <w:szCs w:val="24"/>
          <w:lang w:val="en-US"/>
        </w:rPr>
        <w:t xml:space="preserve"> the first branch, the deceased in </w:t>
      </w:r>
      <w:r w:rsidR="00D766B8" w:rsidRPr="0014260B">
        <w:rPr>
          <w:rFonts w:eastAsia="Times New Roman" w:cs="Arial"/>
          <w:i/>
          <w:spacing w:val="5"/>
          <w:szCs w:val="24"/>
          <w:lang w:val="en-US"/>
        </w:rPr>
        <w:t xml:space="preserve">Rex v. Williams, supra, </w:t>
      </w:r>
      <w:r w:rsidR="00D766B8" w:rsidRPr="0014260B">
        <w:rPr>
          <w:rFonts w:eastAsia="Times New Roman" w:cs="Arial"/>
          <w:spacing w:val="5"/>
          <w:szCs w:val="24"/>
          <w:lang w:val="en-US"/>
        </w:rPr>
        <w:t xml:space="preserve">an </w:t>
      </w:r>
      <w:proofErr w:type="gramStart"/>
      <w:r w:rsidR="00D766B8" w:rsidRPr="0014260B">
        <w:rPr>
          <w:rFonts w:eastAsia="Times New Roman" w:cs="Arial"/>
          <w:spacing w:val="5"/>
          <w:szCs w:val="24"/>
          <w:lang w:val="en-US"/>
        </w:rPr>
        <w:t>American  citizen</w:t>
      </w:r>
      <w:proofErr w:type="gramEnd"/>
      <w:r w:rsidR="00D766B8" w:rsidRPr="0014260B">
        <w:rPr>
          <w:rFonts w:eastAsia="Times New Roman" w:cs="Arial"/>
          <w:spacing w:val="5"/>
          <w:szCs w:val="24"/>
          <w:lang w:val="en-US"/>
        </w:rPr>
        <w:t>, domiciled in the state of New York, was the owner of certain shares of Lake Shore Mine</w:t>
      </w:r>
      <w:r w:rsidR="00EE4F0F">
        <w:rPr>
          <w:rFonts w:eastAsia="Times New Roman" w:cs="Arial"/>
          <w:spacing w:val="5"/>
          <w:szCs w:val="24"/>
          <w:lang w:val="en-US"/>
        </w:rPr>
        <w:t xml:space="preserve">s Ltd., a company incorporated </w:t>
      </w:r>
      <w:r w:rsidR="00D766B8" w:rsidRPr="0014260B">
        <w:rPr>
          <w:rFonts w:eastAsia="Times New Roman" w:cs="Arial"/>
          <w:spacing w:val="5"/>
          <w:szCs w:val="24"/>
          <w:lang w:val="en-US"/>
        </w:rPr>
        <w:t xml:space="preserve">by letters patent issued under the </w:t>
      </w:r>
      <w:r w:rsidR="00D766B8" w:rsidRPr="0014260B">
        <w:rPr>
          <w:rFonts w:eastAsia="Times New Roman" w:cs="Arial"/>
          <w:i/>
          <w:spacing w:val="5"/>
          <w:szCs w:val="24"/>
          <w:lang w:val="en-US"/>
        </w:rPr>
        <w:t xml:space="preserve">Ontario Companies Act. </w:t>
      </w:r>
      <w:r w:rsidR="00D766B8" w:rsidRPr="0014260B">
        <w:rPr>
          <w:rFonts w:eastAsia="Times New Roman" w:cs="Arial"/>
          <w:spacing w:val="5"/>
          <w:szCs w:val="24"/>
          <w:lang w:val="en-US"/>
        </w:rPr>
        <w:t xml:space="preserve">The share certificates </w:t>
      </w:r>
      <w:proofErr w:type="gramStart"/>
      <w:r w:rsidR="00D766B8" w:rsidRPr="0014260B">
        <w:rPr>
          <w:rFonts w:eastAsia="Times New Roman" w:cs="Arial"/>
          <w:spacing w:val="5"/>
          <w:szCs w:val="24"/>
          <w:lang w:val="en-US"/>
        </w:rPr>
        <w:t>Were</w:t>
      </w:r>
      <w:proofErr w:type="gramEnd"/>
      <w:r w:rsidR="00D766B8" w:rsidRPr="0014260B">
        <w:rPr>
          <w:rFonts w:eastAsia="Times New Roman" w:cs="Arial"/>
          <w:spacing w:val="5"/>
          <w:szCs w:val="24"/>
          <w:lang w:val="en-US"/>
        </w:rPr>
        <w:t xml:space="preserve"> at all material times physically located in the state</w:t>
      </w:r>
      <w:r w:rsidR="00EE4F0F">
        <w:rPr>
          <w:rFonts w:eastAsia="Times New Roman" w:cs="Arial"/>
          <w:spacing w:val="5"/>
          <w:szCs w:val="24"/>
          <w:lang w:val="en-US"/>
        </w:rPr>
        <w:t xml:space="preserve"> of New York and they had been </w:t>
      </w:r>
      <w:r w:rsidR="00D766B8" w:rsidRPr="0014260B">
        <w:rPr>
          <w:rFonts w:eastAsia="Times New Roman" w:cs="Arial"/>
          <w:spacing w:val="5"/>
          <w:szCs w:val="24"/>
          <w:lang w:val="en-US"/>
        </w:rPr>
        <w:t xml:space="preserve">endorsed in blank by the testator. At the date of the death, the company had an office in Toronto and one in Buffalo, in </w:t>
      </w:r>
      <w:r w:rsidR="00EE4F0F">
        <w:rPr>
          <w:rFonts w:eastAsia="Times New Roman" w:cs="Arial"/>
          <w:spacing w:val="5"/>
          <w:szCs w:val="24"/>
          <w:lang w:val="en-US"/>
        </w:rPr>
        <w:t xml:space="preserve">the state of New York, at both </w:t>
      </w:r>
      <w:r w:rsidR="00D766B8" w:rsidRPr="0014260B">
        <w:rPr>
          <w:rFonts w:eastAsia="Times New Roman" w:cs="Arial"/>
          <w:spacing w:val="5"/>
          <w:szCs w:val="24"/>
          <w:lang w:val="en-US"/>
        </w:rPr>
        <w:t>of which transfers of shares might prope</w:t>
      </w:r>
      <w:r w:rsidR="00EE4F0F">
        <w:rPr>
          <w:rFonts w:eastAsia="Times New Roman" w:cs="Arial"/>
          <w:spacing w:val="5"/>
          <w:szCs w:val="24"/>
          <w:lang w:val="en-US"/>
        </w:rPr>
        <w:t xml:space="preserve">rly be made. The executors had </w:t>
      </w:r>
      <w:r w:rsidR="00D766B8" w:rsidRPr="0014260B">
        <w:rPr>
          <w:rFonts w:eastAsia="Times New Roman" w:cs="Arial"/>
          <w:spacing w:val="5"/>
          <w:szCs w:val="24"/>
          <w:lang w:val="en-US"/>
        </w:rPr>
        <w:t>taken out probate in the state of New York and subsequently ancillary letters probate in Ontario, where the testator possessed property apart from the shares. The</w:t>
      </w:r>
      <w:r w:rsidR="00EE4F0F">
        <w:rPr>
          <w:rFonts w:eastAsia="Times New Roman" w:cs="Arial"/>
          <w:spacing w:val="5"/>
          <w:szCs w:val="24"/>
          <w:lang w:val="en-US"/>
        </w:rPr>
        <w:t xml:space="preserve"> question for decision was as </w:t>
      </w:r>
      <w:r w:rsidR="00D766B8" w:rsidRPr="0014260B">
        <w:rPr>
          <w:rFonts w:eastAsia="Times New Roman" w:cs="Arial"/>
          <w:spacing w:val="5"/>
          <w:szCs w:val="24"/>
          <w:lang w:val="en-US"/>
        </w:rPr>
        <w:t xml:space="preserve">to </w:t>
      </w:r>
      <w:r w:rsidR="00D766B8" w:rsidRPr="0014260B">
        <w:rPr>
          <w:rFonts w:eastAsia="Times New Roman" w:cs="Arial"/>
          <w:spacing w:val="5"/>
          <w:szCs w:val="24"/>
          <w:lang w:val="en-US"/>
        </w:rPr>
        <w:lastRenderedPageBreak/>
        <w:t>whether the testator's property in the shares was liable to succession duty in Ontario. It was held that the shares were not so subject, not being property situate in Ontario. I</w:t>
      </w:r>
      <w:r w:rsidR="00EE4F0F">
        <w:rPr>
          <w:rFonts w:eastAsia="Times New Roman" w:cs="Arial"/>
          <w:spacing w:val="5"/>
          <w:szCs w:val="24"/>
          <w:lang w:val="en-US"/>
        </w:rPr>
        <w:t xml:space="preserve">n the course of delivering the </w:t>
      </w:r>
      <w:r w:rsidR="00D766B8" w:rsidRPr="0014260B">
        <w:rPr>
          <w:rFonts w:eastAsia="Times New Roman" w:cs="Arial"/>
          <w:spacing w:val="5"/>
          <w:szCs w:val="24"/>
          <w:lang w:val="en-US"/>
        </w:rPr>
        <w:t>opinion of the Board</w:t>
      </w:r>
      <w:r w:rsidR="00EE4F0F">
        <w:rPr>
          <w:rFonts w:eastAsia="Times New Roman" w:cs="Arial"/>
          <w:spacing w:val="5"/>
          <w:szCs w:val="24"/>
          <w:lang w:val="en-US"/>
        </w:rPr>
        <w:t xml:space="preserve">, Viscount Maugham referred to </w:t>
      </w:r>
      <w:r w:rsidR="00D766B8" w:rsidRPr="0014260B">
        <w:rPr>
          <w:rFonts w:eastAsia="Times New Roman" w:cs="Arial"/>
          <w:spacing w:val="5"/>
          <w:szCs w:val="24"/>
          <w:lang w:val="en-US"/>
        </w:rPr>
        <w:t xml:space="preserve">the earlier decision of the Board in </w:t>
      </w:r>
      <w:r w:rsidR="00D766B8" w:rsidRPr="0014260B">
        <w:rPr>
          <w:rFonts w:eastAsia="Times New Roman" w:cs="Arial"/>
          <w:i/>
          <w:spacing w:val="5"/>
          <w:szCs w:val="24"/>
          <w:lang w:val="en-US"/>
        </w:rPr>
        <w:t>Brassard v. Smith</w:t>
      </w:r>
      <w:r w:rsidR="001662A8" w:rsidRPr="0014260B">
        <w:rPr>
          <w:rStyle w:val="FootnoteReference"/>
          <w:rFonts w:eastAsia="Times New Roman" w:cs="Arial"/>
          <w:i/>
          <w:spacing w:val="5"/>
          <w:szCs w:val="24"/>
          <w:lang w:val="en-US"/>
        </w:rPr>
        <w:footnoteReference w:id="19"/>
      </w:r>
      <w:r w:rsidR="00D766B8" w:rsidRPr="0014260B">
        <w:rPr>
          <w:rFonts w:eastAsia="Times New Roman" w:cs="Arial"/>
          <w:i/>
          <w:spacing w:val="5"/>
          <w:szCs w:val="24"/>
          <w:lang w:val="en-US"/>
        </w:rPr>
        <w:t xml:space="preserve">, </w:t>
      </w:r>
      <w:r w:rsidR="00D766B8" w:rsidRPr="0014260B">
        <w:rPr>
          <w:rFonts w:eastAsia="Times New Roman" w:cs="Arial"/>
          <w:spacing w:val="5"/>
          <w:szCs w:val="24"/>
          <w:lang w:val="en-US"/>
        </w:rPr>
        <w:t>where the rule was laid down that in cases where there is but a single province in Canada in which shares of a company may be effectivel</w:t>
      </w:r>
      <w:r w:rsidR="00EE4F0F">
        <w:rPr>
          <w:rFonts w:eastAsia="Times New Roman" w:cs="Arial"/>
          <w:spacing w:val="5"/>
          <w:szCs w:val="24"/>
          <w:lang w:val="en-US"/>
        </w:rPr>
        <w:t xml:space="preserve">y dealt with, i.e., where they can </w:t>
      </w:r>
      <w:r w:rsidR="00D766B8" w:rsidRPr="0014260B">
        <w:rPr>
          <w:rFonts w:eastAsia="Times New Roman" w:cs="Arial"/>
          <w:spacing w:val="5"/>
          <w:szCs w:val="24"/>
          <w:lang w:val="en-US"/>
        </w:rPr>
        <w:t xml:space="preserve">be transferred on the books of the company, the </w:t>
      </w:r>
      <w:r w:rsidR="00D766B8" w:rsidRPr="0014260B">
        <w:rPr>
          <w:rFonts w:eastAsia="Times New Roman" w:cs="Arial"/>
          <w:i/>
          <w:spacing w:val="5"/>
          <w:szCs w:val="24"/>
          <w:lang w:val="en-US"/>
        </w:rPr>
        <w:t xml:space="preserve">situs </w:t>
      </w:r>
      <w:r w:rsidR="00D766B8" w:rsidRPr="0014260B">
        <w:rPr>
          <w:rFonts w:eastAsia="Times New Roman" w:cs="Arial"/>
          <w:spacing w:val="5"/>
          <w:szCs w:val="24"/>
          <w:lang w:val="en-US"/>
        </w:rPr>
        <w:t>of the shares for fiscal purposes is in that province. At page 558 he said:</w:t>
      </w:r>
    </w:p>
    <w:p w:rsidR="00B96DB2" w:rsidRPr="0014260B" w:rsidRDefault="00D766B8" w:rsidP="009903D3">
      <w:pPr>
        <w:pStyle w:val="Indent1"/>
        <w:spacing w:after="100" w:afterAutospacing="1"/>
        <w:rPr>
          <w:rFonts w:cs="Arial"/>
          <w:szCs w:val="24"/>
        </w:rPr>
      </w:pPr>
      <w:r w:rsidRPr="0014260B">
        <w:rPr>
          <w:rFonts w:cs="Arial"/>
          <w:szCs w:val="24"/>
          <w:lang w:val="en-US"/>
        </w:rPr>
        <w:t>The first observation is that the phrase used in laying down the principle clearly means "where the shares can be effectively dealt with as between the shareholder and the company, so that the transferee will become legally entitled to all the rights of a member", e.g., the right of attending meetings and voting and of receiving dividends.</w:t>
      </w:r>
    </w:p>
    <w:p w:rsidR="00B96DB2" w:rsidRPr="009903D3" w:rsidRDefault="00D766B8" w:rsidP="009903D3">
      <w:pPr>
        <w:pStyle w:val="Reasons"/>
        <w:rPr>
          <w:rFonts w:eastAsia="Times New Roman" w:cs="Arial"/>
          <w:spacing w:val="6"/>
          <w:szCs w:val="24"/>
          <w:lang w:val="en-US"/>
        </w:rPr>
      </w:pPr>
      <w:r w:rsidRPr="0014260B">
        <w:rPr>
          <w:rFonts w:eastAsia="Times New Roman" w:cs="Arial"/>
          <w:spacing w:val="6"/>
          <w:szCs w:val="24"/>
          <w:lang w:val="en-US"/>
        </w:rPr>
        <w:t xml:space="preserve">In the circumstances present, in the </w:t>
      </w:r>
      <w:r w:rsidRPr="0014260B">
        <w:rPr>
          <w:rFonts w:eastAsia="Times New Roman" w:cs="Arial"/>
          <w:i/>
          <w:spacing w:val="6"/>
          <w:szCs w:val="24"/>
          <w:lang w:val="en-US"/>
        </w:rPr>
        <w:t xml:space="preserve">Williams' </w:t>
      </w:r>
      <w:r w:rsidRPr="0014260B">
        <w:rPr>
          <w:rFonts w:eastAsia="Times New Roman" w:cs="Arial"/>
          <w:spacing w:val="6"/>
          <w:szCs w:val="24"/>
          <w:lang w:val="en-US"/>
        </w:rPr>
        <w:t>case, as already noted, the shar</w:t>
      </w:r>
      <w:r w:rsidR="00EE4F0F">
        <w:rPr>
          <w:rFonts w:eastAsia="Times New Roman" w:cs="Arial"/>
          <w:spacing w:val="6"/>
          <w:szCs w:val="24"/>
          <w:lang w:val="en-US"/>
        </w:rPr>
        <w:t xml:space="preserve">es were transferable either in </w:t>
      </w:r>
      <w:r w:rsidRPr="0014260B">
        <w:rPr>
          <w:rFonts w:eastAsia="Times New Roman" w:cs="Arial"/>
          <w:spacing w:val="6"/>
          <w:szCs w:val="24"/>
          <w:lang w:val="en-US"/>
        </w:rPr>
        <w:t>Onta</w:t>
      </w:r>
      <w:r w:rsidR="00EE4F0F">
        <w:rPr>
          <w:rFonts w:eastAsia="Times New Roman" w:cs="Arial"/>
          <w:spacing w:val="6"/>
          <w:szCs w:val="24"/>
          <w:lang w:val="en-US"/>
        </w:rPr>
        <w:t xml:space="preserve">rio or in New York, and it was held </w:t>
      </w:r>
      <w:r w:rsidRPr="0014260B">
        <w:rPr>
          <w:rFonts w:eastAsia="Times New Roman" w:cs="Arial"/>
          <w:spacing w:val="6"/>
          <w:szCs w:val="24"/>
          <w:lang w:val="en-US"/>
        </w:rPr>
        <w:t xml:space="preserve">that the presence of the certificate's, endorsed as mentioned, in New York, was </w:t>
      </w:r>
      <w:r w:rsidR="00EE4F0F">
        <w:rPr>
          <w:rFonts w:eastAsia="Times New Roman" w:cs="Arial"/>
          <w:spacing w:val="6"/>
          <w:szCs w:val="24"/>
          <w:lang w:val="en-US"/>
        </w:rPr>
        <w:t xml:space="preserve">the determining element. As to </w:t>
      </w:r>
      <w:r w:rsidRPr="0014260B">
        <w:rPr>
          <w:rFonts w:eastAsia="Times New Roman" w:cs="Arial"/>
          <w:spacing w:val="6"/>
          <w:szCs w:val="24"/>
          <w:lang w:val="en-US"/>
        </w:rPr>
        <w:t>whether a .different rule ap</w:t>
      </w:r>
      <w:r w:rsidR="00EE4F0F">
        <w:rPr>
          <w:rFonts w:eastAsia="Times New Roman" w:cs="Arial"/>
          <w:spacing w:val="6"/>
          <w:szCs w:val="24"/>
          <w:lang w:val="en-US"/>
        </w:rPr>
        <w:t xml:space="preserve">plies as between two provinces </w:t>
      </w:r>
      <w:r w:rsidRPr="0014260B">
        <w:rPr>
          <w:rFonts w:eastAsia="Times New Roman" w:cs="Arial"/>
          <w:spacing w:val="6"/>
          <w:szCs w:val="24"/>
          <w:lang w:val="en-US"/>
        </w:rPr>
        <w:t>than as between one or more provinces and a foreign country, their Lordships stated at page 559:</w:t>
      </w:r>
    </w:p>
    <w:p w:rsidR="007B461C" w:rsidRPr="0014260B" w:rsidRDefault="007B461C" w:rsidP="009903D3">
      <w:pPr>
        <w:pStyle w:val="Page"/>
        <w:rPr>
          <w:rFonts w:cs="Arial"/>
          <w:szCs w:val="24"/>
          <w:lang w:val="en-US"/>
        </w:rPr>
      </w:pPr>
      <w:r w:rsidRPr="0014260B">
        <w:rPr>
          <w:rFonts w:cs="Arial"/>
          <w:color w:val="000000"/>
          <w:szCs w:val="24"/>
          <w:lang w:val="en-US"/>
        </w:rPr>
        <w:t>[Page 343]</w:t>
      </w:r>
    </w:p>
    <w:p w:rsidR="00B96DB2" w:rsidRPr="0014260B" w:rsidRDefault="00D766B8" w:rsidP="009903D3">
      <w:pPr>
        <w:pStyle w:val="Reasons"/>
        <w:rPr>
          <w:rFonts w:cs="Arial"/>
          <w:szCs w:val="24"/>
        </w:rPr>
      </w:pPr>
      <w:r w:rsidRPr="0014260B">
        <w:rPr>
          <w:rFonts w:cs="Arial"/>
          <w:szCs w:val="24"/>
          <w:lang w:val="en-US"/>
        </w:rPr>
        <w:t xml:space="preserve">They observe that the solution must be the same in this case as it would have been if the testator had been domiciled in another province of Canada, say in Quebec, instead of in New York, and if all the other facts had been </w:t>
      </w:r>
      <w:r w:rsidRPr="0014260B">
        <w:rPr>
          <w:rFonts w:cs="Arial"/>
          <w:i/>
          <w:szCs w:val="24"/>
          <w:lang w:val="en-US"/>
        </w:rPr>
        <w:t xml:space="preserve">as </w:t>
      </w:r>
      <w:r w:rsidRPr="0014260B">
        <w:rPr>
          <w:rFonts w:cs="Arial"/>
          <w:szCs w:val="24"/>
          <w:lang w:val="en-US"/>
        </w:rPr>
        <w:t>they were in fact, including the existence of a separate registry in Quebec.</w:t>
      </w:r>
    </w:p>
    <w:p w:rsidR="00B96DB2" w:rsidRPr="00DC215D" w:rsidRDefault="00D766B8" w:rsidP="009903D3">
      <w:pPr>
        <w:pStyle w:val="Reasons"/>
        <w:rPr>
          <w:rFonts w:cs="Arial"/>
          <w:spacing w:val="-2"/>
          <w:szCs w:val="24"/>
        </w:rPr>
      </w:pPr>
      <w:r w:rsidRPr="0014260B">
        <w:rPr>
          <w:rFonts w:cs="Arial"/>
          <w:spacing w:val="-2"/>
          <w:szCs w:val="24"/>
          <w:lang w:val="en-US"/>
        </w:rPr>
        <w:t xml:space="preserve">The same principle was applied in </w:t>
      </w:r>
      <w:r w:rsidRPr="0014260B">
        <w:rPr>
          <w:rFonts w:cs="Arial"/>
          <w:i/>
          <w:spacing w:val="-2"/>
          <w:szCs w:val="24"/>
          <w:lang w:val="en-US"/>
        </w:rPr>
        <w:t>Treasurer of Ontario</w:t>
      </w:r>
      <w:r w:rsidR="00DC215D">
        <w:rPr>
          <w:rFonts w:cs="Arial"/>
          <w:spacing w:val="-2"/>
          <w:szCs w:val="24"/>
        </w:rPr>
        <w:t xml:space="preserve"> </w:t>
      </w:r>
      <w:r w:rsidRPr="0014260B">
        <w:rPr>
          <w:rFonts w:cs="Arial"/>
          <w:i/>
          <w:spacing w:val="5"/>
          <w:szCs w:val="24"/>
          <w:lang w:val="en-US"/>
        </w:rPr>
        <w:t xml:space="preserve">v. </w:t>
      </w:r>
      <w:proofErr w:type="spellStart"/>
      <w:r w:rsidRPr="0014260B">
        <w:rPr>
          <w:rFonts w:cs="Arial"/>
          <w:i/>
          <w:spacing w:val="5"/>
          <w:szCs w:val="24"/>
          <w:lang w:val="en-US"/>
        </w:rPr>
        <w:t>Aberdein</w:t>
      </w:r>
      <w:proofErr w:type="spellEnd"/>
      <w:r w:rsidR="00D51409" w:rsidRPr="0014260B">
        <w:rPr>
          <w:rStyle w:val="FootnoteReference"/>
          <w:rFonts w:cs="Arial"/>
          <w:i/>
          <w:spacing w:val="5"/>
          <w:szCs w:val="24"/>
          <w:lang w:val="en-US"/>
        </w:rPr>
        <w:footnoteReference w:id="20"/>
      </w:r>
      <w:r w:rsidRPr="0014260B">
        <w:rPr>
          <w:rFonts w:cs="Arial"/>
          <w:i/>
          <w:spacing w:val="5"/>
          <w:szCs w:val="24"/>
          <w:lang w:val="en-US"/>
        </w:rPr>
        <w:t>.</w:t>
      </w:r>
    </w:p>
    <w:p w:rsidR="00B96DB2" w:rsidRPr="0014260B" w:rsidRDefault="00D766B8" w:rsidP="009903D3">
      <w:pPr>
        <w:pStyle w:val="Reasons"/>
        <w:rPr>
          <w:rFonts w:cs="Arial"/>
          <w:spacing w:val="-4"/>
          <w:szCs w:val="24"/>
        </w:rPr>
      </w:pPr>
      <w:r w:rsidRPr="0014260B">
        <w:rPr>
          <w:rFonts w:cs="Arial"/>
          <w:spacing w:val="-4"/>
          <w:szCs w:val="24"/>
          <w:lang w:val="en-US"/>
        </w:rPr>
        <w:t xml:space="preserve">The present problem differs from the problem presented by the facts in the </w:t>
      </w:r>
      <w:r w:rsidRPr="0014260B">
        <w:rPr>
          <w:rFonts w:cs="Arial"/>
          <w:i/>
          <w:spacing w:val="-4"/>
          <w:szCs w:val="24"/>
          <w:lang w:val="en-US"/>
        </w:rPr>
        <w:t xml:space="preserve">Williams' </w:t>
      </w:r>
      <w:r w:rsidRPr="0014260B">
        <w:rPr>
          <w:rFonts w:cs="Arial"/>
          <w:spacing w:val="-4"/>
          <w:szCs w:val="24"/>
          <w:lang w:val="en-US"/>
        </w:rPr>
        <w:t>case in that in the case at bar the deceased was not the registered owner.</w:t>
      </w:r>
    </w:p>
    <w:p w:rsidR="00B96DB2" w:rsidRPr="0014260B" w:rsidRDefault="00D766B8" w:rsidP="009903D3">
      <w:pPr>
        <w:pStyle w:val="Reasons"/>
        <w:rPr>
          <w:rFonts w:cs="Arial"/>
          <w:szCs w:val="24"/>
        </w:rPr>
      </w:pPr>
      <w:r w:rsidRPr="0014260B">
        <w:rPr>
          <w:rFonts w:cs="Arial"/>
          <w:szCs w:val="24"/>
          <w:lang w:val="en-US"/>
        </w:rPr>
        <w:t xml:space="preserve">In the </w:t>
      </w:r>
      <w:r w:rsidRPr="0014260B">
        <w:rPr>
          <w:rFonts w:cs="Arial"/>
          <w:i/>
          <w:szCs w:val="24"/>
          <w:lang w:val="en-US"/>
        </w:rPr>
        <w:t xml:space="preserve">Williams' </w:t>
      </w:r>
      <w:r w:rsidRPr="0014260B">
        <w:rPr>
          <w:rFonts w:cs="Arial"/>
          <w:szCs w:val="24"/>
          <w:lang w:val="en-US"/>
        </w:rPr>
        <w:t>case Viscount Maugham said at page 556:</w:t>
      </w:r>
    </w:p>
    <w:p w:rsidR="00B96DB2" w:rsidRPr="0014260B" w:rsidRDefault="00D766B8" w:rsidP="009903D3">
      <w:pPr>
        <w:pStyle w:val="Indent10"/>
      </w:pPr>
      <w:r w:rsidRPr="0014260B">
        <w:rPr>
          <w:lang w:val="en-US"/>
        </w:rPr>
        <w:t xml:space="preserve">The rule laid down in </w:t>
      </w:r>
      <w:r w:rsidRPr="0014260B">
        <w:rPr>
          <w:i/>
          <w:lang w:val="en-US"/>
        </w:rPr>
        <w:t>Brassard v. Smi</w:t>
      </w:r>
      <w:r w:rsidR="00D51409" w:rsidRPr="0014260B">
        <w:rPr>
          <w:i/>
          <w:lang w:val="en-US"/>
        </w:rPr>
        <w:t>th</w:t>
      </w:r>
      <w:r w:rsidR="00D51409" w:rsidRPr="0014260B">
        <w:rPr>
          <w:rStyle w:val="FootnoteReference"/>
          <w:rFonts w:cs="Arial"/>
          <w:i/>
          <w:szCs w:val="24"/>
          <w:lang w:val="en-US"/>
        </w:rPr>
        <w:footnoteReference w:id="21"/>
      </w:r>
      <w:r w:rsidRPr="0014260B">
        <w:rPr>
          <w:lang w:val="en-US"/>
        </w:rPr>
        <w:t xml:space="preserve"> would in practice be useless if the place where the certificates for shares were found at the time of the death should be taken to be necessarily the </w:t>
      </w:r>
      <w:r w:rsidRPr="0014260B">
        <w:rPr>
          <w:i/>
          <w:lang w:val="en-US"/>
        </w:rPr>
        <w:t xml:space="preserve">situs </w:t>
      </w:r>
      <w:r w:rsidRPr="0014260B">
        <w:rPr>
          <w:lang w:val="en-US"/>
        </w:rPr>
        <w:t xml:space="preserve">of the shares. Their Lordships have no hesitation in holding that the </w:t>
      </w:r>
      <w:r w:rsidRPr="0014260B">
        <w:rPr>
          <w:i/>
          <w:lang w:val="en-US"/>
        </w:rPr>
        <w:t xml:space="preserve">situs </w:t>
      </w:r>
      <w:r w:rsidRPr="0014260B">
        <w:rPr>
          <w:lang w:val="en-US"/>
        </w:rPr>
        <w:t>of the certificates is not, taken alone, sufficient to afford a solution to the present problem.</w:t>
      </w:r>
    </w:p>
    <w:p w:rsidR="00B96DB2" w:rsidRPr="0014260B" w:rsidRDefault="00D766B8" w:rsidP="009903D3">
      <w:pPr>
        <w:pStyle w:val="Reasons"/>
        <w:rPr>
          <w:rFonts w:cs="Arial"/>
          <w:spacing w:val="-4"/>
          <w:szCs w:val="24"/>
        </w:rPr>
      </w:pPr>
      <w:r w:rsidRPr="0014260B">
        <w:rPr>
          <w:rFonts w:cs="Arial"/>
          <w:spacing w:val="-4"/>
          <w:szCs w:val="24"/>
          <w:lang w:val="en-US"/>
        </w:rPr>
        <w:t xml:space="preserve">In adverting to the fact that the certificates in the </w:t>
      </w:r>
      <w:r w:rsidRPr="0014260B">
        <w:rPr>
          <w:rFonts w:cs="Arial"/>
          <w:i/>
          <w:spacing w:val="-4"/>
          <w:szCs w:val="24"/>
          <w:lang w:val="en-US"/>
        </w:rPr>
        <w:t xml:space="preserve">Williams' </w:t>
      </w:r>
      <w:r w:rsidRPr="0014260B">
        <w:rPr>
          <w:rFonts w:cs="Arial"/>
          <w:spacing w:val="-4"/>
          <w:szCs w:val="24"/>
          <w:lang w:val="en-US"/>
        </w:rPr>
        <w:t>case had been endorsed in blank, their Lordships said at page 557:</w:t>
      </w:r>
    </w:p>
    <w:p w:rsidR="00B96DB2" w:rsidRPr="0014260B" w:rsidRDefault="00D766B8" w:rsidP="009903D3">
      <w:pPr>
        <w:pStyle w:val="Indent1"/>
        <w:spacing w:after="100" w:afterAutospacing="1"/>
      </w:pPr>
      <w:r w:rsidRPr="0014260B">
        <w:rPr>
          <w:lang w:val="en-US"/>
        </w:rPr>
        <w:t xml:space="preserve">This had the admitted result of making a delivery of the certificates with the endorsements signed in blank a good assignment of the shares, since it passed a title to the assignees both legal and equitable, with a right as against the company to obtain registration and to obtain new certificates; </w:t>
      </w:r>
      <w:r w:rsidRPr="0014260B">
        <w:rPr>
          <w:i/>
          <w:lang w:val="en-US"/>
        </w:rPr>
        <w:t>Colonial Bank v. Cady</w:t>
      </w:r>
      <w:r w:rsidR="00D51409" w:rsidRPr="0014260B">
        <w:rPr>
          <w:rStyle w:val="FootnoteReference"/>
          <w:rFonts w:cs="Arial"/>
          <w:i/>
          <w:szCs w:val="24"/>
          <w:lang w:val="en-US"/>
        </w:rPr>
        <w:footnoteReference w:id="22"/>
      </w:r>
      <w:r w:rsidRPr="0014260B">
        <w:rPr>
          <w:lang w:val="en-US"/>
        </w:rPr>
        <w:t xml:space="preserve">. It must be accepted, therefore, as a fact, that the certificates were currently marketable in the State of New </w:t>
      </w:r>
      <w:r w:rsidRPr="0014260B">
        <w:rPr>
          <w:lang w:val="en-US"/>
        </w:rPr>
        <w:lastRenderedPageBreak/>
        <w:t>York as securities for the shares, and that they were documents necessary for vouching the title of the testator to the shares.</w:t>
      </w:r>
    </w:p>
    <w:p w:rsidR="00B96DB2" w:rsidRPr="0014260B" w:rsidRDefault="00D766B8" w:rsidP="009903D3">
      <w:pPr>
        <w:pStyle w:val="Reasons"/>
        <w:rPr>
          <w:rFonts w:cs="Arial"/>
          <w:spacing w:val="-4"/>
          <w:szCs w:val="24"/>
        </w:rPr>
      </w:pPr>
      <w:r w:rsidRPr="0014260B">
        <w:rPr>
          <w:rFonts w:cs="Arial"/>
          <w:spacing w:val="-4"/>
          <w:szCs w:val="24"/>
          <w:lang w:val="en-US"/>
        </w:rPr>
        <w:t>Again at page 558:</w:t>
      </w:r>
    </w:p>
    <w:p w:rsidR="00B96DB2" w:rsidRPr="0014260B" w:rsidRDefault="00D766B8" w:rsidP="009903D3">
      <w:pPr>
        <w:pStyle w:val="Indent1"/>
        <w:spacing w:after="100" w:afterAutospacing="1"/>
      </w:pPr>
      <w:r w:rsidRPr="0014260B">
        <w:rPr>
          <w:lang w:val="en-US"/>
        </w:rPr>
        <w:t>The late owner in the normal case was absolutely entitled to the shares as the registered owner of them in the books of the company, and, if resident in a country or province different from that in which the shares can be effectively dealt with, could nevertheless have sold the shares and completed the transaction by an attorney or otherwise.</w:t>
      </w:r>
    </w:p>
    <w:p w:rsidR="00B96DB2" w:rsidRPr="0014260B" w:rsidRDefault="00D766B8" w:rsidP="009903D3">
      <w:pPr>
        <w:pStyle w:val="Reasons"/>
        <w:rPr>
          <w:rFonts w:cs="Arial"/>
          <w:spacing w:val="-8"/>
          <w:szCs w:val="24"/>
        </w:rPr>
      </w:pPr>
      <w:r w:rsidRPr="0014260B">
        <w:rPr>
          <w:rFonts w:cs="Arial"/>
          <w:spacing w:val="-8"/>
          <w:szCs w:val="24"/>
          <w:lang w:val="en-US"/>
        </w:rPr>
        <w:t xml:space="preserve">In the present case the deceased, although not the registered owner, was in a position to deliver the certificates, endorsed in blank, to whomsoever he pleased and thereby to pass to his assignee the interest of the registered shareholder </w:t>
      </w:r>
      <w:r w:rsidRPr="0014260B">
        <w:rPr>
          <w:rFonts w:cs="Arial"/>
          <w:i/>
          <w:spacing w:val="-8"/>
          <w:szCs w:val="24"/>
          <w:lang w:val="en-US"/>
        </w:rPr>
        <w:t xml:space="preserve">(Colonial Bank v. Cady, supra, </w:t>
      </w:r>
      <w:r w:rsidRPr="0014260B">
        <w:rPr>
          <w:rFonts w:cs="Arial"/>
          <w:spacing w:val="-8"/>
          <w:szCs w:val="24"/>
          <w:lang w:val="en-US"/>
        </w:rPr>
        <w:t>per Lord Watson at 277) as well as his own interest, with a right as against the company to obtain registration and new certificates. It is difficult perhaps to s</w:t>
      </w:r>
      <w:r w:rsidR="00C14087">
        <w:rPr>
          <w:rFonts w:cs="Arial"/>
          <w:spacing w:val="-8"/>
          <w:szCs w:val="24"/>
          <w:lang w:val="en-US"/>
        </w:rPr>
        <w:t>ee why, if the respondent's contention</w:t>
      </w:r>
      <w:r w:rsidRPr="0014260B">
        <w:rPr>
          <w:rFonts w:cs="Arial"/>
          <w:szCs w:val="24"/>
          <w:lang w:val="en-US"/>
        </w:rPr>
        <w:t xml:space="preserve"> </w:t>
      </w:r>
    </w:p>
    <w:p w:rsidR="007B461C" w:rsidRPr="0014260B" w:rsidRDefault="007B461C" w:rsidP="009903D3">
      <w:pPr>
        <w:pStyle w:val="Page"/>
        <w:rPr>
          <w:rFonts w:cs="Arial"/>
          <w:szCs w:val="24"/>
          <w:lang w:val="en-US"/>
        </w:rPr>
      </w:pPr>
      <w:r w:rsidRPr="0014260B">
        <w:rPr>
          <w:rFonts w:cs="Arial"/>
          <w:color w:val="000000"/>
          <w:szCs w:val="24"/>
          <w:lang w:val="en-US"/>
        </w:rPr>
        <w:t>[Page 344]</w:t>
      </w:r>
    </w:p>
    <w:p w:rsidR="00B96DB2" w:rsidRPr="0014260B" w:rsidRDefault="00D766B8" w:rsidP="009903D3">
      <w:pPr>
        <w:pStyle w:val="Reasons"/>
        <w:rPr>
          <w:rFonts w:eastAsia="Times New Roman" w:cs="Arial"/>
          <w:szCs w:val="24"/>
        </w:rPr>
      </w:pPr>
      <w:r w:rsidRPr="0014260B">
        <w:rPr>
          <w:rFonts w:eastAsia="Times New Roman" w:cs="Arial"/>
          <w:szCs w:val="24"/>
          <w:lang w:val="en-US"/>
        </w:rPr>
        <w:t xml:space="preserve">be correct, the ability of a registered owner to sell his shares and to satisfy his contract by delivering endorsed certificates, does not touch the question of </w:t>
      </w:r>
      <w:r w:rsidRPr="0014260B">
        <w:rPr>
          <w:rFonts w:eastAsia="Times New Roman" w:cs="Arial"/>
          <w:i/>
          <w:szCs w:val="24"/>
          <w:lang w:val="en-US"/>
        </w:rPr>
        <w:t xml:space="preserve">situs, </w:t>
      </w:r>
      <w:r w:rsidRPr="0014260B">
        <w:rPr>
          <w:rFonts w:eastAsia="Times New Roman" w:cs="Arial"/>
          <w:szCs w:val="24"/>
          <w:lang w:val="en-US"/>
        </w:rPr>
        <w:t>while the same capacity on the part of a beneficial owner has not the same effect.</w:t>
      </w:r>
    </w:p>
    <w:p w:rsidR="00B96DB2" w:rsidRPr="0014260B" w:rsidRDefault="00D766B8" w:rsidP="009903D3">
      <w:pPr>
        <w:pStyle w:val="Reasons"/>
        <w:rPr>
          <w:rFonts w:eastAsia="Times New Roman" w:cs="Arial"/>
          <w:szCs w:val="24"/>
        </w:rPr>
      </w:pPr>
      <w:r w:rsidRPr="0014260B">
        <w:rPr>
          <w:rFonts w:eastAsia="Times New Roman" w:cs="Arial"/>
          <w:szCs w:val="24"/>
          <w:lang w:val="en-US"/>
        </w:rPr>
        <w:t xml:space="preserve">In the </w:t>
      </w:r>
      <w:r w:rsidRPr="0014260B">
        <w:rPr>
          <w:rFonts w:eastAsia="Times New Roman" w:cs="Arial"/>
          <w:i/>
          <w:szCs w:val="24"/>
          <w:lang w:val="en-US"/>
        </w:rPr>
        <w:t xml:space="preserve">Williams' </w:t>
      </w:r>
      <w:r w:rsidRPr="0014260B">
        <w:rPr>
          <w:rFonts w:eastAsia="Times New Roman" w:cs="Arial"/>
          <w:szCs w:val="24"/>
          <w:lang w:val="en-US"/>
        </w:rPr>
        <w:t>case their Lordships went on to say at page 560:</w:t>
      </w:r>
    </w:p>
    <w:p w:rsidR="00B96DB2" w:rsidRPr="0014260B" w:rsidRDefault="00D766B8" w:rsidP="009903D3">
      <w:pPr>
        <w:pStyle w:val="Indent1"/>
        <w:spacing w:after="100" w:afterAutospacing="1"/>
      </w:pPr>
      <w:r w:rsidRPr="0014260B">
        <w:rPr>
          <w:lang w:val="en-US"/>
        </w:rPr>
        <w:t xml:space="preserve">The certificates endorsed and signed as they were cannot be regarded as mere evidence of title. They were valuable documents situate in Buffalo and marketable there, and a transferee was capable of being registered as holder there without leaving the </w:t>
      </w:r>
      <w:r w:rsidR="00EE4F0F">
        <w:rPr>
          <w:lang w:val="en-US"/>
        </w:rPr>
        <w:t xml:space="preserve">State of New York or </w:t>
      </w:r>
      <w:r w:rsidRPr="0014260B">
        <w:rPr>
          <w:lang w:val="en-US"/>
        </w:rPr>
        <w:t>p</w:t>
      </w:r>
      <w:r w:rsidR="00EE4F0F">
        <w:rPr>
          <w:lang w:val="en-US"/>
        </w:rPr>
        <w:t xml:space="preserve">erforming any act in </w:t>
      </w:r>
      <w:r w:rsidRPr="0014260B">
        <w:rPr>
          <w:lang w:val="en-US"/>
        </w:rPr>
        <w:t>Ontario. On the testator's death his legal personal representatives in the State of New York became the lawful holders of the certificates, entitled to deal with them there. Any sale by them would be "in order", and the purchaser could obtain registration in the Buffa</w:t>
      </w:r>
      <w:r w:rsidR="00EE4F0F">
        <w:rPr>
          <w:lang w:val="en-US"/>
        </w:rPr>
        <w:t xml:space="preserve">lo registry. If we contrast the </w:t>
      </w:r>
      <w:r w:rsidRPr="0014260B">
        <w:rPr>
          <w:lang w:val="en-US"/>
        </w:rPr>
        <w:t>positio</w:t>
      </w:r>
      <w:r w:rsidR="00EE4F0F">
        <w:rPr>
          <w:lang w:val="en-US"/>
        </w:rPr>
        <w:t xml:space="preserve">n in Ontario the difference is </w:t>
      </w:r>
      <w:r w:rsidRPr="0014260B">
        <w:rPr>
          <w:lang w:val="en-US"/>
        </w:rPr>
        <w:t>obvious. Nothing effective could lawfully be done there wit</w:t>
      </w:r>
      <w:r w:rsidR="00EE4F0F">
        <w:rPr>
          <w:lang w:val="en-US"/>
        </w:rPr>
        <w:t>hout producing the certificates. In</w:t>
      </w:r>
      <w:r w:rsidRPr="0014260B">
        <w:rPr>
          <w:lang w:val="en-US"/>
        </w:rPr>
        <w:t xml:space="preserve"> a business sense </w:t>
      </w:r>
      <w:r w:rsidRPr="0014260B">
        <w:rPr>
          <w:i/>
          <w:lang w:val="en-US"/>
        </w:rPr>
        <w:t>the shares at the date of the death could effectively be dealt with in Buffalo and not in Ontario.</w:t>
      </w:r>
    </w:p>
    <w:p w:rsidR="00B96DB2" w:rsidRPr="0014260B" w:rsidRDefault="00D766B8" w:rsidP="009903D3">
      <w:pPr>
        <w:pStyle w:val="Reasons"/>
        <w:rPr>
          <w:rFonts w:eastAsia="Times New Roman" w:cs="Arial"/>
          <w:spacing w:val="2"/>
          <w:szCs w:val="24"/>
        </w:rPr>
      </w:pPr>
      <w:r w:rsidRPr="0014260B">
        <w:rPr>
          <w:rFonts w:eastAsia="Times New Roman" w:cs="Arial"/>
          <w:spacing w:val="2"/>
          <w:szCs w:val="24"/>
          <w:lang w:val="en-US"/>
        </w:rPr>
        <w:t>In the case at bar the shares could be "effectively dealt" with only in some one or more of the</w:t>
      </w:r>
      <w:r w:rsidR="00EE4F0F">
        <w:rPr>
          <w:rFonts w:eastAsia="Times New Roman" w:cs="Arial"/>
          <w:spacing w:val="2"/>
          <w:szCs w:val="24"/>
          <w:lang w:val="en-US"/>
        </w:rPr>
        <w:t xml:space="preserve"> United States. The transferee </w:t>
      </w:r>
      <w:r w:rsidRPr="0014260B">
        <w:rPr>
          <w:rFonts w:eastAsia="Times New Roman" w:cs="Arial"/>
          <w:spacing w:val="2"/>
          <w:szCs w:val="24"/>
          <w:lang w:val="en-US"/>
        </w:rPr>
        <w:t xml:space="preserve">could not become "legally entitled to all the rights </w:t>
      </w:r>
      <w:proofErr w:type="gramStart"/>
      <w:r w:rsidRPr="0014260B">
        <w:rPr>
          <w:rFonts w:eastAsia="Times New Roman" w:cs="Arial"/>
          <w:spacing w:val="2"/>
          <w:szCs w:val="24"/>
          <w:lang w:val="en-US"/>
        </w:rPr>
        <w:t>of :a</w:t>
      </w:r>
      <w:proofErr w:type="gramEnd"/>
      <w:r w:rsidRPr="0014260B">
        <w:rPr>
          <w:rFonts w:eastAsia="Times New Roman" w:cs="Arial"/>
          <w:spacing w:val="2"/>
          <w:szCs w:val="24"/>
          <w:lang w:val="en-US"/>
        </w:rPr>
        <w:t xml:space="preserve"> member" in Nova Scotia; see Viscount Maugham at page 558. It seems to me therefore •that, in the circumstances of the present case, the mere fact that the shares were not registered in the name of</w:t>
      </w:r>
      <w:r w:rsidR="00CF05AD">
        <w:rPr>
          <w:rFonts w:eastAsia="Times New Roman" w:cs="Arial"/>
          <w:spacing w:val="2"/>
          <w:szCs w:val="24"/>
          <w:lang w:val="en-US"/>
        </w:rPr>
        <w:t xml:space="preserve"> the deceased •does not render </w:t>
      </w:r>
      <w:r w:rsidRPr="0014260B">
        <w:rPr>
          <w:rFonts w:eastAsia="Times New Roman" w:cs="Arial"/>
          <w:spacing w:val="2"/>
          <w:szCs w:val="24"/>
          <w:lang w:val="en-US"/>
        </w:rPr>
        <w:t xml:space="preserve">inapplicable the principle of the decision in </w:t>
      </w:r>
      <w:r w:rsidRPr="0014260B">
        <w:rPr>
          <w:rFonts w:eastAsia="Times New Roman" w:cs="Arial"/>
          <w:i/>
          <w:spacing w:val="2"/>
          <w:szCs w:val="24"/>
          <w:lang w:val="en-US"/>
        </w:rPr>
        <w:t xml:space="preserve">Rex v. Williams. </w:t>
      </w:r>
      <w:r w:rsidRPr="0014260B">
        <w:rPr>
          <w:rFonts w:eastAsia="Times New Roman" w:cs="Arial"/>
          <w:spacing w:val="2"/>
          <w:szCs w:val="24"/>
          <w:lang w:val="en-US"/>
        </w:rPr>
        <w:t>The certificates here in question all require the production of the certificate for the purpose of transfer.</w:t>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The conclusion as above to which I have come was the conclusion arrived at in somewhat similar circumstances in the •Supreme C</w:t>
      </w:r>
      <w:r w:rsidR="00EE4F0F">
        <w:rPr>
          <w:rFonts w:eastAsia="Times New Roman" w:cs="Arial"/>
          <w:spacing w:val="6"/>
          <w:szCs w:val="24"/>
          <w:lang w:val="en-US"/>
        </w:rPr>
        <w:t>ourt of the Irish Free State in</w:t>
      </w:r>
      <w:r w:rsidRPr="0014260B">
        <w:rPr>
          <w:rFonts w:eastAsia="Times New Roman" w:cs="Arial"/>
          <w:spacing w:val="6"/>
          <w:szCs w:val="24"/>
          <w:lang w:val="en-US"/>
        </w:rPr>
        <w:t xml:space="preserve"> </w:t>
      </w:r>
      <w:r w:rsidRPr="0014260B">
        <w:rPr>
          <w:rFonts w:eastAsia="Times New Roman" w:cs="Arial"/>
          <w:i/>
          <w:spacing w:val="6"/>
          <w:szCs w:val="24"/>
          <w:lang w:val="en-US"/>
        </w:rPr>
        <w:t>In re Ferguson</w:t>
      </w:r>
      <w:r w:rsidR="00D51409" w:rsidRPr="0014260B">
        <w:rPr>
          <w:rStyle w:val="FootnoteReference"/>
          <w:rFonts w:eastAsia="Times New Roman" w:cs="Arial"/>
          <w:i/>
          <w:spacing w:val="6"/>
          <w:szCs w:val="24"/>
          <w:lang w:val="en-US"/>
        </w:rPr>
        <w:footnoteReference w:id="23"/>
      </w:r>
      <w:r w:rsidRPr="0014260B">
        <w:rPr>
          <w:rFonts w:eastAsia="Times New Roman" w:cs="Arial"/>
          <w:i/>
          <w:spacing w:val="6"/>
          <w:szCs w:val="24"/>
          <w:lang w:val="en-US"/>
        </w:rPr>
        <w:t xml:space="preserve">. </w:t>
      </w:r>
      <w:r w:rsidRPr="0014260B">
        <w:rPr>
          <w:rFonts w:eastAsia="Times New Roman" w:cs="Arial"/>
          <w:spacing w:val="6"/>
          <w:szCs w:val="24"/>
          <w:lang w:val="en-US"/>
        </w:rPr>
        <w:t>In that case shares in a British company belonging to a person of unsound mi</w:t>
      </w:r>
      <w:r w:rsidR="00DC215D">
        <w:rPr>
          <w:rFonts w:eastAsia="Times New Roman" w:cs="Arial"/>
          <w:spacing w:val="6"/>
          <w:szCs w:val="24"/>
          <w:lang w:val="en-US"/>
        </w:rPr>
        <w:t xml:space="preserve">nd, which had been transferred </w:t>
      </w:r>
      <w:r w:rsidRPr="0014260B">
        <w:rPr>
          <w:rFonts w:eastAsia="Times New Roman" w:cs="Arial"/>
          <w:spacing w:val="6"/>
          <w:szCs w:val="24"/>
          <w:lang w:val="en-US"/>
        </w:rPr>
        <w:t>into the name of the accountant of the Courts of Justice, were he</w:t>
      </w:r>
      <w:r w:rsidR="00EE4F0F">
        <w:rPr>
          <w:rFonts w:eastAsia="Times New Roman" w:cs="Arial"/>
          <w:spacing w:val="6"/>
          <w:szCs w:val="24"/>
          <w:lang w:val="en-US"/>
        </w:rPr>
        <w:t xml:space="preserve">ld to have </w:t>
      </w:r>
      <w:r w:rsidRPr="0014260B">
        <w:rPr>
          <w:rFonts w:eastAsia="Times New Roman" w:cs="Arial"/>
          <w:spacing w:val="6"/>
          <w:szCs w:val="24"/>
          <w:lang w:val="en-US"/>
        </w:rPr>
        <w:t xml:space="preserve">their </w:t>
      </w:r>
      <w:r w:rsidRPr="0014260B">
        <w:rPr>
          <w:rFonts w:eastAsia="Times New Roman" w:cs="Arial"/>
          <w:i/>
          <w:spacing w:val="6"/>
          <w:szCs w:val="24"/>
          <w:lang w:val="en-US"/>
        </w:rPr>
        <w:t xml:space="preserve">situs </w:t>
      </w:r>
      <w:r w:rsidR="00C14087">
        <w:rPr>
          <w:rFonts w:eastAsia="Times New Roman" w:cs="Arial"/>
          <w:spacing w:val="6"/>
          <w:szCs w:val="24"/>
          <w:lang w:val="en-US"/>
        </w:rPr>
        <w:t>in</w:t>
      </w:r>
      <w:r w:rsidRPr="0014260B">
        <w:rPr>
          <w:rFonts w:eastAsia="Times New Roman" w:cs="Arial"/>
          <w:spacing w:val="6"/>
          <w:szCs w:val="24"/>
          <w:lang w:val="en-US"/>
        </w:rPr>
        <w:t xml:space="preserve"> England where the register of shareholders was </w:t>
      </w:r>
      <w:r w:rsidRPr="0014260B">
        <w:rPr>
          <w:rFonts w:eastAsia="Times New Roman" w:cs="Arial"/>
          <w:spacing w:val="6"/>
          <w:szCs w:val="24"/>
          <w:lang w:val="en-US"/>
        </w:rPr>
        <w:lastRenderedPageBreak/>
        <w:t>located. The statute there considered was the Finance Act, 1894, the relevant provisions of which are all reproduced in the Nova Scotia statute set out above. The court applied the principle of</w:t>
      </w:r>
    </w:p>
    <w:p w:rsidR="00D21369" w:rsidRPr="0014260B" w:rsidRDefault="00D21369" w:rsidP="009903D3">
      <w:pPr>
        <w:pStyle w:val="Page"/>
        <w:rPr>
          <w:rFonts w:cs="Arial"/>
          <w:szCs w:val="24"/>
          <w:lang w:val="en-US"/>
        </w:rPr>
      </w:pPr>
      <w:r w:rsidRPr="0014260B">
        <w:rPr>
          <w:rFonts w:cs="Arial"/>
          <w:color w:val="000000"/>
          <w:szCs w:val="24"/>
          <w:lang w:val="en-US"/>
        </w:rPr>
        <w:t>[Page 345]</w:t>
      </w:r>
    </w:p>
    <w:p w:rsidR="00B96DB2" w:rsidRPr="00DC215D" w:rsidRDefault="00D766B8" w:rsidP="009903D3">
      <w:pPr>
        <w:pStyle w:val="Reasons"/>
        <w:rPr>
          <w:rFonts w:eastAsia="Times New Roman" w:cs="Arial"/>
          <w:i/>
          <w:szCs w:val="24"/>
        </w:rPr>
      </w:pPr>
      <w:proofErr w:type="gramStart"/>
      <w:r w:rsidRPr="0014260B">
        <w:rPr>
          <w:rFonts w:eastAsia="Times New Roman" w:cs="Arial"/>
          <w:i/>
          <w:szCs w:val="24"/>
          <w:lang w:val="en-US"/>
        </w:rPr>
        <w:t>Attorney-General v. Higgins</w:t>
      </w:r>
      <w:r w:rsidR="00D51409" w:rsidRPr="0014260B">
        <w:rPr>
          <w:rStyle w:val="FootnoteReference"/>
          <w:rFonts w:eastAsia="Times New Roman" w:cs="Arial"/>
          <w:i/>
          <w:szCs w:val="24"/>
          <w:lang w:val="en-US"/>
        </w:rPr>
        <w:footnoteReference w:id="24"/>
      </w:r>
      <w:r w:rsidRPr="0014260B">
        <w:rPr>
          <w:rFonts w:eastAsia="Times New Roman" w:cs="Arial"/>
          <w:szCs w:val="24"/>
          <w:lang w:val="en-US"/>
        </w:rPr>
        <w:t xml:space="preserve">, and </w:t>
      </w:r>
      <w:r w:rsidRPr="0014260B">
        <w:rPr>
          <w:rFonts w:eastAsia="Times New Roman" w:cs="Arial"/>
          <w:i/>
          <w:szCs w:val="24"/>
          <w:lang w:val="en-US"/>
        </w:rPr>
        <w:t xml:space="preserve">Brassard v. Smith, supra, </w:t>
      </w:r>
      <w:r w:rsidRPr="0014260B">
        <w:rPr>
          <w:rFonts w:eastAsia="Times New Roman" w:cs="Arial"/>
          <w:szCs w:val="24"/>
          <w:lang w:val="en-US"/>
        </w:rPr>
        <w:t xml:space="preserve">as well as </w:t>
      </w:r>
      <w:r w:rsidRPr="0014260B">
        <w:rPr>
          <w:rFonts w:eastAsia="Times New Roman" w:cs="Arial"/>
          <w:i/>
          <w:szCs w:val="24"/>
          <w:lang w:val="en-US"/>
        </w:rPr>
        <w:t>Erie Beach Co., Ltd., v. Attorney-General for Ontario</w:t>
      </w:r>
      <w:r w:rsidR="00D51409" w:rsidRPr="0014260B">
        <w:rPr>
          <w:rStyle w:val="FootnoteReference"/>
          <w:rFonts w:eastAsia="Times New Roman" w:cs="Arial"/>
          <w:i/>
          <w:szCs w:val="24"/>
          <w:lang w:val="en-US"/>
        </w:rPr>
        <w:footnoteReference w:id="25"/>
      </w:r>
      <w:r w:rsidRPr="0014260B">
        <w:rPr>
          <w:rFonts w:eastAsia="Times New Roman" w:cs="Arial"/>
          <w:szCs w:val="24"/>
          <w:lang w:val="en-US"/>
        </w:rPr>
        <w:t>.</w:t>
      </w:r>
      <w:proofErr w:type="gramEnd"/>
      <w:r w:rsidRPr="0014260B">
        <w:rPr>
          <w:rFonts w:eastAsia="Times New Roman" w:cs="Arial"/>
          <w:szCs w:val="24"/>
          <w:lang w:val="en-US"/>
        </w:rPr>
        <w:t xml:space="preserve"> The argument presented in the present case on behalf of the respondent was rejected in </w:t>
      </w:r>
      <w:r w:rsidRPr="0014260B">
        <w:rPr>
          <w:rFonts w:eastAsia="Times New Roman" w:cs="Arial"/>
          <w:i/>
          <w:szCs w:val="24"/>
          <w:lang w:val="en-US"/>
        </w:rPr>
        <w:t>Ferguson's</w:t>
      </w:r>
      <w:r w:rsidR="00DC215D">
        <w:rPr>
          <w:rFonts w:eastAsia="Times New Roman" w:cs="Arial"/>
          <w:i/>
          <w:szCs w:val="24"/>
        </w:rPr>
        <w:t xml:space="preserve"> </w:t>
      </w:r>
      <w:r w:rsidRPr="0014260B">
        <w:rPr>
          <w:rFonts w:eastAsia="Times New Roman" w:cs="Arial"/>
          <w:spacing w:val="5"/>
          <w:szCs w:val="24"/>
          <w:lang w:val="en-US"/>
        </w:rPr>
        <w:t>case. Hanna, J., at page 49 says:—</w:t>
      </w:r>
      <w:r w:rsidRPr="0014260B">
        <w:rPr>
          <w:rFonts w:eastAsia="Times New Roman" w:cs="Arial"/>
          <w:szCs w:val="24"/>
          <w:lang w:val="en-US"/>
        </w:rPr>
        <w:t xml:space="preserve"> </w:t>
      </w:r>
    </w:p>
    <w:p w:rsidR="00B96DB2" w:rsidRPr="0014260B" w:rsidRDefault="00D766B8" w:rsidP="009903D3">
      <w:pPr>
        <w:pStyle w:val="Indent1"/>
        <w:spacing w:after="100" w:afterAutospacing="1"/>
      </w:pPr>
      <w:r w:rsidRPr="0014260B">
        <w:rPr>
          <w:lang w:val="en-US"/>
        </w:rPr>
        <w:t>Mr. McCann distinguishes all these cases by the fact that in each of them the legal interest and the beneficial ownership were in the same person. In my view that cannot affect the position, even if we resort to the dissection of the legal situation as the Revenue Commiss</w:t>
      </w:r>
      <w:r w:rsidR="00EE4F0F">
        <w:rPr>
          <w:lang w:val="en-US"/>
        </w:rPr>
        <w:t xml:space="preserve">ioners invite us to do. If the Chief Justice desired </w:t>
      </w:r>
      <w:r w:rsidRPr="0014260B">
        <w:rPr>
          <w:lang w:val="en-US"/>
        </w:rPr>
        <w:t xml:space="preserve">by an order to deal with the shares, it could not be effective save by operating upon the register in Great Britain where the property is situate and seeking in aid, if necessary, the jurisdiction of the British Courts. The executors also, in the final resort, must go to the register in Great Britain or appeal to the British Court. Accordingly, I think that the distinction drawn by Mr. McCann in this case does not </w:t>
      </w:r>
      <w:proofErr w:type="spellStart"/>
      <w:proofErr w:type="gramStart"/>
      <w:r w:rsidRPr="0014260B">
        <w:rPr>
          <w:lang w:val="en-US"/>
        </w:rPr>
        <w:t>effect</w:t>
      </w:r>
      <w:proofErr w:type="spellEnd"/>
      <w:proofErr w:type="gramEnd"/>
      <w:r w:rsidRPr="0014260B">
        <w:rPr>
          <w:lang w:val="en-US"/>
        </w:rPr>
        <w:t xml:space="preserve"> the principle once the Court comes to the conclusion that it is the shares that pass.</w:t>
      </w:r>
    </w:p>
    <w:p w:rsidR="00B96DB2" w:rsidRPr="0014260B" w:rsidRDefault="00D766B8" w:rsidP="009903D3">
      <w:pPr>
        <w:pStyle w:val="Reasons"/>
        <w:rPr>
          <w:rFonts w:eastAsia="Times New Roman" w:cs="Arial"/>
          <w:szCs w:val="24"/>
        </w:rPr>
      </w:pPr>
      <w:r w:rsidRPr="0014260B">
        <w:rPr>
          <w:rFonts w:eastAsia="Times New Roman" w:cs="Arial"/>
          <w:szCs w:val="24"/>
          <w:lang w:val="en-US"/>
        </w:rPr>
        <w:t>Fitzgibbon J., at page 65 in delivering the judgment on appeal said:</w:t>
      </w:r>
    </w:p>
    <w:p w:rsidR="00B96DB2" w:rsidRPr="0014260B" w:rsidRDefault="00D766B8" w:rsidP="009903D3">
      <w:pPr>
        <w:pStyle w:val="Indent1"/>
        <w:spacing w:after="100" w:afterAutospacing="1"/>
      </w:pPr>
      <w:r w:rsidRPr="0014260B">
        <w:rPr>
          <w:lang w:val="en-US"/>
        </w:rPr>
        <w:t xml:space="preserve">The law is summed up by Lord </w:t>
      </w:r>
      <w:proofErr w:type="spellStart"/>
      <w:r w:rsidRPr="0014260B">
        <w:rPr>
          <w:lang w:val="en-US"/>
        </w:rPr>
        <w:t>Merrivale</w:t>
      </w:r>
      <w:proofErr w:type="spellEnd"/>
      <w:r w:rsidRPr="0014260B">
        <w:rPr>
          <w:lang w:val="en-US"/>
        </w:rPr>
        <w:t xml:space="preserve">, quoting from Baron Martin's judgment in </w:t>
      </w:r>
      <w:r w:rsidRPr="0014260B">
        <w:rPr>
          <w:i/>
          <w:lang w:val="en-US"/>
        </w:rPr>
        <w:t>Attorney-General v. Higgins</w:t>
      </w:r>
      <w:r w:rsidR="00D51409" w:rsidRPr="0014260B">
        <w:rPr>
          <w:rStyle w:val="FootnoteReference"/>
          <w:rFonts w:eastAsia="Times New Roman" w:cs="Arial"/>
          <w:i/>
          <w:spacing w:val="8"/>
          <w:szCs w:val="24"/>
          <w:lang w:val="en-US"/>
        </w:rPr>
        <w:footnoteReference w:id="26"/>
      </w:r>
      <w:r w:rsidR="00D51409" w:rsidRPr="0014260B">
        <w:rPr>
          <w:i/>
          <w:lang w:val="en-US"/>
        </w:rPr>
        <w:t>:</w:t>
      </w:r>
      <w:r w:rsidRPr="0014260B">
        <w:rPr>
          <w:lang w:val="en-US"/>
        </w:rPr>
        <w:t xml:space="preserve"> "When transfer of shares in a company must be </w:t>
      </w:r>
      <w:proofErr w:type="gramStart"/>
      <w:r w:rsidRPr="0014260B">
        <w:rPr>
          <w:lang w:val="en-US"/>
        </w:rPr>
        <w:t>effected</w:t>
      </w:r>
      <w:proofErr w:type="gramEnd"/>
      <w:r w:rsidRPr="0014260B">
        <w:rPr>
          <w:lang w:val="en-US"/>
        </w:rPr>
        <w:t xml:space="preserve"> by a change in the register, the place where the register is required by law to be kept determines the locality of the shares." The Revenue Commissioners can have no doubt that estate duty is payable in Great Britain upon these shares by reason of the death •of Sarah Ferguson; it has been decided by us that it was the property in these shares that passed upon her death; and it follows that the respondents are entitled to an allowance of the sum paid in duty in Great Britain.</w:t>
      </w:r>
    </w:p>
    <w:p w:rsidR="00B96DB2" w:rsidRPr="0014260B" w:rsidRDefault="00D766B8" w:rsidP="009903D3">
      <w:pPr>
        <w:pStyle w:val="Reasons"/>
        <w:rPr>
          <w:rFonts w:eastAsia="Times New Roman" w:cs="Arial"/>
          <w:szCs w:val="24"/>
        </w:rPr>
      </w:pPr>
      <w:r w:rsidRPr="0014260B">
        <w:rPr>
          <w:rFonts w:eastAsia="Times New Roman" w:cs="Arial"/>
          <w:szCs w:val="24"/>
          <w:lang w:val="en-US"/>
        </w:rPr>
        <w:t>At page 66 Fitzgibbon J., also said in dealing with the same point:</w:t>
      </w:r>
    </w:p>
    <w:p w:rsidR="00B96DB2" w:rsidRPr="0014260B" w:rsidRDefault="00D766B8" w:rsidP="009903D3">
      <w:pPr>
        <w:pStyle w:val="Indent1"/>
        <w:spacing w:after="100" w:afterAutospacing="1"/>
      </w:pPr>
      <w:r w:rsidRPr="0014260B">
        <w:rPr>
          <w:lang w:val="en-US"/>
        </w:rPr>
        <w:t xml:space="preserve">We do not agree with this contention, having regard to the circumstances in which the name of the Accountant came to be placed upon the registers, but in any event the decision of Eve J. in </w:t>
      </w:r>
      <w:r w:rsidRPr="0014260B">
        <w:rPr>
          <w:i/>
          <w:lang w:val="en-US"/>
        </w:rPr>
        <w:t xml:space="preserve">In re </w:t>
      </w:r>
      <w:proofErr w:type="spellStart"/>
      <w:r w:rsidRPr="0014260B">
        <w:rPr>
          <w:i/>
          <w:lang w:val="en-US"/>
        </w:rPr>
        <w:t>Aschrott</w:t>
      </w:r>
      <w:proofErr w:type="spellEnd"/>
      <w:r w:rsidR="00D51409" w:rsidRPr="0014260B">
        <w:rPr>
          <w:rStyle w:val="FootnoteReference"/>
          <w:rFonts w:eastAsia="Times New Roman" w:cs="Arial"/>
          <w:i/>
          <w:spacing w:val="7"/>
          <w:szCs w:val="24"/>
          <w:lang w:val="en-US"/>
        </w:rPr>
        <w:footnoteReference w:id="27"/>
      </w:r>
      <w:r w:rsidR="00EE4F0F">
        <w:rPr>
          <w:lang w:val="en-US"/>
        </w:rPr>
        <w:t xml:space="preserve">, is an </w:t>
      </w:r>
      <w:r w:rsidRPr="0014260B">
        <w:rPr>
          <w:lang w:val="en-US"/>
        </w:rPr>
        <w:t>authority for the proposition that the same principles apply even when the name of the deceased person is not actually upon the register of shareholders at the time of his death.</w:t>
      </w:r>
    </w:p>
    <w:p w:rsidR="00B96DB2" w:rsidRPr="0014260B" w:rsidRDefault="00D766B8" w:rsidP="009903D3">
      <w:pPr>
        <w:pStyle w:val="Reasons"/>
        <w:rPr>
          <w:rFonts w:eastAsia="Times New Roman" w:cs="Arial"/>
          <w:spacing w:val="2"/>
          <w:szCs w:val="24"/>
        </w:rPr>
      </w:pPr>
      <w:r w:rsidRPr="0014260B">
        <w:rPr>
          <w:rFonts w:eastAsia="Times New Roman" w:cs="Arial"/>
          <w:spacing w:val="2"/>
          <w:szCs w:val="24"/>
          <w:lang w:val="en-US"/>
        </w:rPr>
        <w:t xml:space="preserve">In </w:t>
      </w:r>
      <w:r w:rsidRPr="0014260B">
        <w:rPr>
          <w:rFonts w:eastAsia="Times New Roman" w:cs="Arial"/>
          <w:i/>
          <w:spacing w:val="2"/>
          <w:szCs w:val="24"/>
          <w:lang w:val="en-US"/>
        </w:rPr>
        <w:t xml:space="preserve">Aschrott's </w:t>
      </w:r>
      <w:r w:rsidRPr="0014260B">
        <w:rPr>
          <w:rFonts w:eastAsia="Times New Roman" w:cs="Arial"/>
          <w:spacing w:val="2"/>
          <w:szCs w:val="24"/>
          <w:lang w:val="en-US"/>
        </w:rPr>
        <w:t>case the testator, a German subject, was entitled to stock, shares and securities in English, South African and American companies wh</w:t>
      </w:r>
      <w:r w:rsidR="00EE4F0F">
        <w:rPr>
          <w:rFonts w:eastAsia="Times New Roman" w:cs="Arial"/>
          <w:spacing w:val="2"/>
          <w:szCs w:val="24"/>
          <w:lang w:val="en-US"/>
        </w:rPr>
        <w:t xml:space="preserve">ich had been purchased for him </w:t>
      </w:r>
      <w:r w:rsidRPr="0014260B">
        <w:rPr>
          <w:rFonts w:eastAsia="Times New Roman" w:cs="Arial"/>
          <w:spacing w:val="2"/>
          <w:szCs w:val="24"/>
          <w:lang w:val="en-US"/>
        </w:rPr>
        <w:t xml:space="preserve">by certain German banks acting through their London agencies. The certificates were in all cases </w:t>
      </w:r>
      <w:proofErr w:type="gramStart"/>
      <w:r w:rsidRPr="0014260B">
        <w:rPr>
          <w:rFonts w:eastAsia="Times New Roman" w:cs="Arial"/>
          <w:spacing w:val="2"/>
          <w:szCs w:val="24"/>
          <w:lang w:val="en-US"/>
        </w:rPr>
        <w:t>situate</w:t>
      </w:r>
      <w:proofErr w:type="gramEnd"/>
      <w:r w:rsidRPr="0014260B">
        <w:rPr>
          <w:rFonts w:eastAsia="Times New Roman" w:cs="Arial"/>
          <w:spacing w:val="2"/>
          <w:szCs w:val="24"/>
          <w:lang w:val="en-US"/>
        </w:rPr>
        <w:t xml:space="preserve"> in London and the securities</w:t>
      </w:r>
      <w:r w:rsidR="00EE4F0F">
        <w:rPr>
          <w:rFonts w:eastAsia="Times New Roman" w:cs="Arial"/>
          <w:spacing w:val="2"/>
          <w:szCs w:val="24"/>
          <w:lang w:val="en-US"/>
        </w:rPr>
        <w:t xml:space="preserve"> themselves were transferable in London at </w:t>
      </w:r>
      <w:r w:rsidRPr="0014260B">
        <w:rPr>
          <w:rFonts w:eastAsia="Times New Roman" w:cs="Arial"/>
          <w:spacing w:val="2"/>
          <w:szCs w:val="24"/>
          <w:lang w:val="en-US"/>
        </w:rPr>
        <w:t xml:space="preserve">the outbreak of the war </w:t>
      </w:r>
      <w:r w:rsidR="00EE4F0F">
        <w:rPr>
          <w:rFonts w:eastAsia="Times New Roman" w:cs="Arial"/>
          <w:spacing w:val="2"/>
          <w:szCs w:val="24"/>
          <w:lang w:val="en-US"/>
        </w:rPr>
        <w:t xml:space="preserve">of 1914 and at the date of the </w:t>
      </w:r>
      <w:r w:rsidRPr="0014260B">
        <w:rPr>
          <w:rFonts w:eastAsia="Times New Roman" w:cs="Arial"/>
          <w:spacing w:val="2"/>
          <w:szCs w:val="24"/>
          <w:lang w:val="en-US"/>
        </w:rPr>
        <w:t>testator's death in 1915. The securities were</w:t>
      </w:r>
    </w:p>
    <w:p w:rsidR="00D21369" w:rsidRPr="0014260B" w:rsidRDefault="00D21369" w:rsidP="009903D3">
      <w:pPr>
        <w:pStyle w:val="Page"/>
        <w:rPr>
          <w:rFonts w:cs="Arial"/>
          <w:szCs w:val="24"/>
          <w:lang w:val="en-US"/>
        </w:rPr>
      </w:pPr>
      <w:r w:rsidRPr="0014260B">
        <w:rPr>
          <w:rFonts w:cs="Arial"/>
          <w:color w:val="000000"/>
          <w:szCs w:val="24"/>
          <w:lang w:val="en-US"/>
        </w:rPr>
        <w:lastRenderedPageBreak/>
        <w:t>[Page 346]</w:t>
      </w:r>
    </w:p>
    <w:p w:rsidR="00B96DB2" w:rsidRPr="0014260B" w:rsidRDefault="00D766B8" w:rsidP="009903D3">
      <w:pPr>
        <w:pStyle w:val="Reasons"/>
        <w:rPr>
          <w:rFonts w:eastAsia="Times New Roman" w:cs="Arial"/>
          <w:spacing w:val="4"/>
          <w:szCs w:val="24"/>
        </w:rPr>
      </w:pPr>
      <w:proofErr w:type="gramStart"/>
      <w:r w:rsidRPr="0014260B">
        <w:rPr>
          <w:rFonts w:eastAsia="Times New Roman" w:cs="Arial"/>
          <w:spacing w:val="4"/>
          <w:szCs w:val="24"/>
          <w:lang w:val="en-US"/>
        </w:rPr>
        <w:t>held</w:t>
      </w:r>
      <w:proofErr w:type="gramEnd"/>
      <w:r w:rsidRPr="0014260B">
        <w:rPr>
          <w:rFonts w:eastAsia="Times New Roman" w:cs="Arial"/>
          <w:spacing w:val="4"/>
          <w:szCs w:val="24"/>
          <w:lang w:val="en-US"/>
        </w:rPr>
        <w:t xml:space="preserve"> in large blocks by the London agencies and had not prior to his death been specifically allocated to the te</w:t>
      </w:r>
      <w:r w:rsidR="00EE4F0F">
        <w:rPr>
          <w:rFonts w:eastAsia="Times New Roman" w:cs="Arial"/>
          <w:spacing w:val="4"/>
          <w:szCs w:val="24"/>
          <w:lang w:val="en-US"/>
        </w:rPr>
        <w:t xml:space="preserve">stator so that it would appear </w:t>
      </w:r>
      <w:r w:rsidRPr="0014260B">
        <w:rPr>
          <w:rFonts w:eastAsia="Times New Roman" w:cs="Arial"/>
          <w:spacing w:val="4"/>
          <w:szCs w:val="24"/>
          <w:lang w:val="en-US"/>
        </w:rPr>
        <w:t xml:space="preserve">that none of the certificates </w:t>
      </w:r>
      <w:r w:rsidR="00EE4F0F">
        <w:rPr>
          <w:rFonts w:eastAsia="Times New Roman" w:cs="Arial"/>
          <w:spacing w:val="4"/>
          <w:szCs w:val="24"/>
          <w:lang w:val="en-US"/>
        </w:rPr>
        <w:t xml:space="preserve">were in his name. By virtue </w:t>
      </w:r>
      <w:r w:rsidRPr="0014260B">
        <w:rPr>
          <w:rFonts w:eastAsia="Times New Roman" w:cs="Arial"/>
          <w:spacing w:val="4"/>
          <w:szCs w:val="24"/>
          <w:lang w:val="en-US"/>
        </w:rPr>
        <w:t>of the provisions of the Treaty of Peac</w:t>
      </w:r>
      <w:r w:rsidR="00EE4F0F">
        <w:rPr>
          <w:rFonts w:eastAsia="Times New Roman" w:cs="Arial"/>
          <w:spacing w:val="4"/>
          <w:szCs w:val="24"/>
          <w:lang w:val="en-US"/>
        </w:rPr>
        <w:t xml:space="preserve">e Orders all the shares became </w:t>
      </w:r>
      <w:r w:rsidRPr="0014260B">
        <w:rPr>
          <w:rFonts w:eastAsia="Times New Roman" w:cs="Arial"/>
          <w:spacing w:val="4"/>
          <w:szCs w:val="24"/>
          <w:lang w:val="en-US"/>
        </w:rPr>
        <w:t>charged with the claim of the</w:t>
      </w:r>
      <w:r w:rsidR="00DC215D">
        <w:rPr>
          <w:rFonts w:eastAsia="Times New Roman" w:cs="Arial"/>
          <w:spacing w:val="4"/>
          <w:szCs w:val="24"/>
          <w:lang w:val="en-US"/>
        </w:rPr>
        <w:t xml:space="preserve"> </w:t>
      </w:r>
      <w:r w:rsidRPr="0014260B">
        <w:rPr>
          <w:rFonts w:eastAsia="Times New Roman" w:cs="Arial"/>
          <w:spacing w:val="4"/>
          <w:szCs w:val="24"/>
          <w:lang w:val="en-US"/>
        </w:rPr>
        <w:t>Custodian of Enemy Property. The question for decision in the case was whether estate duty was payable on all or any of the securities which in turn depended, as put by Eve J., on the question "were these shares in companies registered in South Africa and America,</w:t>
      </w:r>
      <w:r w:rsidR="00EE4F0F">
        <w:rPr>
          <w:rFonts w:eastAsia="Times New Roman" w:cs="Arial"/>
          <w:spacing w:val="4"/>
          <w:szCs w:val="24"/>
          <w:lang w:val="en-US"/>
        </w:rPr>
        <w:t xml:space="preserve"> but having offices in England </w:t>
      </w:r>
      <w:r w:rsidRPr="0014260B">
        <w:rPr>
          <w:rFonts w:eastAsia="Times New Roman" w:cs="Arial"/>
          <w:spacing w:val="4"/>
          <w:szCs w:val="24"/>
          <w:lang w:val="en-US"/>
        </w:rPr>
        <w:t xml:space="preserve">where certificates could be produced, transfers passed, and the names of transferees entered on the </w:t>
      </w:r>
      <w:r w:rsidR="00EE4F0F">
        <w:rPr>
          <w:rFonts w:eastAsia="Times New Roman" w:cs="Arial"/>
          <w:spacing w:val="4"/>
          <w:szCs w:val="24"/>
          <w:lang w:val="en-US"/>
        </w:rPr>
        <w:t xml:space="preserve">register, property situate out </w:t>
      </w:r>
      <w:r w:rsidRPr="0014260B">
        <w:rPr>
          <w:rFonts w:eastAsia="Times New Roman" w:cs="Arial"/>
          <w:spacing w:val="4"/>
          <w:szCs w:val="24"/>
          <w:lang w:val="en-US"/>
        </w:rPr>
        <w:t xml:space="preserve">of the United </w:t>
      </w:r>
      <w:r w:rsidR="00EE4F0F">
        <w:rPr>
          <w:rFonts w:eastAsia="Times New Roman" w:cs="Arial"/>
          <w:spacing w:val="4"/>
          <w:szCs w:val="24"/>
          <w:lang w:val="en-US"/>
        </w:rPr>
        <w:t xml:space="preserve">Kingdom?" It was held that the </w:t>
      </w:r>
      <w:r w:rsidRPr="0014260B">
        <w:rPr>
          <w:rFonts w:eastAsia="Times New Roman" w:cs="Arial"/>
          <w:spacing w:val="4"/>
          <w:szCs w:val="24"/>
          <w:lang w:val="en-US"/>
        </w:rPr>
        <w:t xml:space="preserve">shares had their </w:t>
      </w:r>
      <w:r w:rsidRPr="0014260B">
        <w:rPr>
          <w:rFonts w:eastAsia="Times New Roman" w:cs="Arial"/>
          <w:i/>
          <w:spacing w:val="4"/>
          <w:szCs w:val="24"/>
          <w:lang w:val="en-US"/>
        </w:rPr>
        <w:t xml:space="preserve">situs </w:t>
      </w:r>
      <w:r w:rsidRPr="0014260B">
        <w:rPr>
          <w:rFonts w:eastAsia="Times New Roman" w:cs="Arial"/>
          <w:spacing w:val="4"/>
          <w:szCs w:val="24"/>
          <w:lang w:val="en-US"/>
        </w:rPr>
        <w:t>in England.</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If it be the province where the sh</w:t>
      </w:r>
      <w:r w:rsidR="00EE4F0F">
        <w:rPr>
          <w:rFonts w:eastAsia="Times New Roman" w:cs="Arial"/>
          <w:spacing w:val="3"/>
          <w:szCs w:val="24"/>
          <w:lang w:val="en-US"/>
        </w:rPr>
        <w:t xml:space="preserve">ares are situate which has the </w:t>
      </w:r>
      <w:r w:rsidRPr="0014260B">
        <w:rPr>
          <w:rFonts w:eastAsia="Times New Roman" w:cs="Arial"/>
          <w:spacing w:val="3"/>
          <w:szCs w:val="24"/>
          <w:lang w:val="en-US"/>
        </w:rPr>
        <w:t>constitutional authority to levy a succession duty upon the death of the owner, it seems past question that, upon the death of the person in Nova Scotia who is the registered shareholder but who is not the beneficial owner, if the register, of the company is situate in another province, say Quebec, the latter province would be entitled to levy succession duty in respect of nothing more than the interest of the nominee, i.e., the bare legal intere</w:t>
      </w:r>
      <w:r w:rsidR="00EE4F0F">
        <w:rPr>
          <w:rFonts w:eastAsia="Times New Roman" w:cs="Arial"/>
          <w:spacing w:val="3"/>
          <w:szCs w:val="24"/>
          <w:lang w:val="en-US"/>
        </w:rPr>
        <w:t xml:space="preserve">st. The value of such interest </w:t>
      </w:r>
      <w:r w:rsidRPr="0014260B">
        <w:rPr>
          <w:rFonts w:eastAsia="Times New Roman" w:cs="Arial"/>
          <w:spacing w:val="3"/>
          <w:szCs w:val="24"/>
          <w:lang w:val="en-US"/>
        </w:rPr>
        <w:t>would appear to be nominal only.</w:t>
      </w:r>
    </w:p>
    <w:p w:rsidR="00B96DB2" w:rsidRPr="0014260B" w:rsidRDefault="00D766B8" w:rsidP="009903D3">
      <w:pPr>
        <w:pStyle w:val="Reasons"/>
        <w:rPr>
          <w:rFonts w:eastAsia="Times New Roman" w:cs="Arial"/>
          <w:spacing w:val="6"/>
          <w:szCs w:val="24"/>
        </w:rPr>
      </w:pPr>
      <w:r w:rsidRPr="0014260B">
        <w:rPr>
          <w:rFonts w:eastAsia="Times New Roman" w:cs="Arial"/>
          <w:spacing w:val="6"/>
          <w:szCs w:val="24"/>
          <w:lang w:val="en-US"/>
        </w:rPr>
        <w:t xml:space="preserve">In the court below reliance was placed on the case </w:t>
      </w:r>
      <w:r w:rsidRPr="0014260B">
        <w:rPr>
          <w:rFonts w:eastAsia="Times New Roman" w:cs="Arial"/>
          <w:i/>
          <w:spacing w:val="6"/>
          <w:szCs w:val="24"/>
          <w:lang w:val="en-US"/>
        </w:rPr>
        <w:t xml:space="preserve">Stern v. </w:t>
      </w:r>
      <w:proofErr w:type="gramStart"/>
      <w:r w:rsidRPr="0014260B">
        <w:rPr>
          <w:rFonts w:eastAsia="Times New Roman" w:cs="Arial"/>
          <w:i/>
          <w:spacing w:val="6"/>
          <w:szCs w:val="24"/>
          <w:lang w:val="en-US"/>
        </w:rPr>
        <w:t>The Queen</w:t>
      </w:r>
      <w:r w:rsidR="00D51409" w:rsidRPr="0014260B">
        <w:rPr>
          <w:rStyle w:val="FootnoteReference"/>
          <w:rFonts w:eastAsia="Times New Roman" w:cs="Arial"/>
          <w:i/>
          <w:spacing w:val="6"/>
          <w:szCs w:val="24"/>
          <w:lang w:val="en-US"/>
        </w:rPr>
        <w:footnoteReference w:id="28"/>
      </w:r>
      <w:r w:rsidR="00EE4F0F">
        <w:rPr>
          <w:rFonts w:eastAsia="Times New Roman" w:cs="Arial"/>
          <w:spacing w:val="6"/>
          <w:szCs w:val="24"/>
          <w:lang w:val="en-US"/>
        </w:rPr>
        <w:t>.</w:t>
      </w:r>
      <w:proofErr w:type="gramEnd"/>
      <w:r w:rsidR="00EE4F0F">
        <w:rPr>
          <w:rFonts w:eastAsia="Times New Roman" w:cs="Arial"/>
          <w:spacing w:val="6"/>
          <w:szCs w:val="24"/>
          <w:lang w:val="en-US"/>
        </w:rPr>
        <w:t xml:space="preserve"> In that case the </w:t>
      </w:r>
      <w:r w:rsidRPr="0014260B">
        <w:rPr>
          <w:rFonts w:eastAsia="Times New Roman" w:cs="Arial"/>
          <w:spacing w:val="6"/>
          <w:szCs w:val="24"/>
          <w:lang w:val="en-US"/>
        </w:rPr>
        <w:t>testator</w:t>
      </w:r>
      <w:r w:rsidR="00EE4F0F">
        <w:rPr>
          <w:rFonts w:eastAsia="Times New Roman" w:cs="Arial"/>
          <w:spacing w:val="6"/>
          <w:szCs w:val="24"/>
          <w:lang w:val="en-US"/>
        </w:rPr>
        <w:t xml:space="preserve"> died in England owning shares in foreign </w:t>
      </w:r>
      <w:r w:rsidRPr="0014260B">
        <w:rPr>
          <w:rFonts w:eastAsia="Times New Roman" w:cs="Arial"/>
          <w:spacing w:val="6"/>
          <w:szCs w:val="24"/>
          <w:lang w:val="en-US"/>
        </w:rPr>
        <w:t>companies, the certificates being in England and standing in the names of persons other than the testator. Some were endorsed' but so</w:t>
      </w:r>
      <w:r w:rsidR="00EE4F0F">
        <w:rPr>
          <w:rFonts w:eastAsia="Times New Roman" w:cs="Arial"/>
          <w:spacing w:val="6"/>
          <w:szCs w:val="24"/>
          <w:lang w:val="en-US"/>
        </w:rPr>
        <w:t xml:space="preserve">me had not been at the time of </w:t>
      </w:r>
      <w:r w:rsidRPr="0014260B">
        <w:rPr>
          <w:rFonts w:eastAsia="Times New Roman" w:cs="Arial"/>
          <w:spacing w:val="6"/>
          <w:szCs w:val="24"/>
          <w:lang w:val="en-US"/>
        </w:rPr>
        <w:t>the death. It was hel</w:t>
      </w:r>
      <w:r w:rsidR="00EE4F0F">
        <w:rPr>
          <w:rFonts w:eastAsia="Times New Roman" w:cs="Arial"/>
          <w:spacing w:val="6"/>
          <w:szCs w:val="24"/>
          <w:lang w:val="en-US"/>
        </w:rPr>
        <w:t xml:space="preserve">d that the certificates being </w:t>
      </w:r>
      <w:r w:rsidRPr="0014260B">
        <w:rPr>
          <w:rFonts w:eastAsia="Times New Roman" w:cs="Arial"/>
          <w:spacing w:val="6"/>
          <w:szCs w:val="24"/>
          <w:lang w:val="en-US"/>
        </w:rPr>
        <w:t>currently marketable in England were liable to probate duty.</w:t>
      </w:r>
    </w:p>
    <w:p w:rsidR="00B96DB2" w:rsidRPr="0014260B" w:rsidRDefault="00D766B8" w:rsidP="009903D3">
      <w:pPr>
        <w:pStyle w:val="Reasons"/>
        <w:rPr>
          <w:rFonts w:eastAsia="Times New Roman" w:cs="Arial"/>
          <w:spacing w:val="3"/>
          <w:szCs w:val="24"/>
        </w:rPr>
      </w:pPr>
      <w:r w:rsidRPr="0014260B">
        <w:rPr>
          <w:rFonts w:eastAsia="Times New Roman" w:cs="Arial"/>
          <w:spacing w:val="3"/>
          <w:szCs w:val="24"/>
          <w:lang w:val="en-US"/>
        </w:rPr>
        <w:t xml:space="preserve">That case was decided upon a stated case which contained the statement, </w:t>
      </w:r>
      <w:r w:rsidRPr="0014260B">
        <w:rPr>
          <w:rFonts w:eastAsia="Times New Roman" w:cs="Arial"/>
          <w:i/>
          <w:spacing w:val="3"/>
          <w:szCs w:val="24"/>
          <w:lang w:val="en-US"/>
        </w:rPr>
        <w:t xml:space="preserve">inter alia, </w:t>
      </w:r>
      <w:r w:rsidRPr="0014260B">
        <w:rPr>
          <w:rFonts w:eastAsia="Times New Roman" w:cs="Arial"/>
          <w:spacing w:val="3"/>
          <w:szCs w:val="24"/>
          <w:lang w:val="en-US"/>
        </w:rPr>
        <w:t>that the delivery of a certificate endorsed by the registered owner in blank constitutes as between the parties to the transaction a go</w:t>
      </w:r>
      <w:r w:rsidR="009903D3">
        <w:rPr>
          <w:rFonts w:eastAsia="Times New Roman" w:cs="Arial"/>
          <w:spacing w:val="3"/>
          <w:szCs w:val="24"/>
          <w:lang w:val="en-US"/>
        </w:rPr>
        <w:t xml:space="preserve">od </w:t>
      </w:r>
      <w:r w:rsidR="00CF05AD">
        <w:rPr>
          <w:rFonts w:eastAsia="Times New Roman" w:cs="Arial"/>
          <w:spacing w:val="3"/>
          <w:szCs w:val="24"/>
          <w:lang w:val="en-US"/>
        </w:rPr>
        <w:t xml:space="preserve">assignment of "the shares" </w:t>
      </w:r>
      <w:r w:rsidRPr="0014260B">
        <w:rPr>
          <w:rFonts w:eastAsia="Times New Roman" w:cs="Arial"/>
          <w:spacing w:val="3"/>
          <w:szCs w:val="24"/>
          <w:lang w:val="en-US"/>
        </w:rPr>
        <w:t>both in law and in equity passing the title to the shares both legal and equitable. In giving judgment Wright J. said at p. 218:</w:t>
      </w:r>
    </w:p>
    <w:p w:rsidR="00B96DB2" w:rsidRPr="009903D3" w:rsidRDefault="00CF05AD" w:rsidP="009903D3">
      <w:pPr>
        <w:pStyle w:val="Indent1"/>
        <w:spacing w:after="100" w:afterAutospacing="1"/>
      </w:pPr>
      <w:r>
        <w:rPr>
          <w:lang w:val="en-US"/>
        </w:rPr>
        <w:t xml:space="preserve">There is in this country a </w:t>
      </w:r>
      <w:r w:rsidR="00D766B8" w:rsidRPr="0014260B">
        <w:rPr>
          <w:lang w:val="en-US"/>
        </w:rPr>
        <w:t>document the existence of which</w:t>
      </w:r>
      <w:r w:rsidR="00DC215D">
        <w:t xml:space="preserve"> </w:t>
      </w:r>
      <w:r w:rsidR="00D766B8" w:rsidRPr="0014260B">
        <w:rPr>
          <w:spacing w:val="11"/>
          <w:lang w:val="en-US"/>
        </w:rPr>
        <w:t>vouches and is ne</w:t>
      </w:r>
      <w:r>
        <w:rPr>
          <w:spacing w:val="11"/>
          <w:lang w:val="en-US"/>
        </w:rPr>
        <w:t xml:space="preserve">cessary for vouching the title </w:t>
      </w:r>
      <w:r w:rsidR="00D766B8" w:rsidRPr="0014260B">
        <w:rPr>
          <w:spacing w:val="11"/>
          <w:lang w:val="en-US"/>
        </w:rPr>
        <w:t xml:space="preserve">of </w:t>
      </w:r>
      <w:proofErr w:type="spellStart"/>
      <w:r w:rsidR="00D766B8" w:rsidRPr="0014260B">
        <w:rPr>
          <w:spacing w:val="11"/>
          <w:lang w:val="en-US"/>
        </w:rPr>
        <w:t>some one</w:t>
      </w:r>
      <w:proofErr w:type="spellEnd"/>
      <w:r w:rsidR="00D766B8" w:rsidRPr="0014260B">
        <w:rPr>
          <w:spacing w:val="11"/>
          <w:lang w:val="en-US"/>
        </w:rPr>
        <w:t xml:space="preserve"> to the</w:t>
      </w:r>
    </w:p>
    <w:p w:rsidR="00D21369" w:rsidRPr="0014260B" w:rsidRDefault="00D21369" w:rsidP="009903D3">
      <w:pPr>
        <w:pStyle w:val="Page"/>
        <w:rPr>
          <w:lang w:val="en-US"/>
        </w:rPr>
      </w:pPr>
      <w:r w:rsidRPr="0014260B">
        <w:rPr>
          <w:lang w:val="en-US"/>
        </w:rPr>
        <w:t>[Page 347]</w:t>
      </w:r>
    </w:p>
    <w:p w:rsidR="00B96DB2" w:rsidRPr="0014260B" w:rsidRDefault="00D766B8" w:rsidP="009903D3">
      <w:pPr>
        <w:pStyle w:val="Indent1"/>
        <w:spacing w:after="100" w:afterAutospacing="1"/>
        <w:rPr>
          <w:spacing w:val="7"/>
        </w:rPr>
      </w:pPr>
      <w:r w:rsidRPr="0014260B">
        <w:rPr>
          <w:spacing w:val="7"/>
          <w:lang w:val="en-US"/>
        </w:rPr>
        <w:t>foreign share, so that in the absence of that document no one at all could establish a title to the share * * * It being a marketable security 'operative, though not completely operative, to pass the title, and. having a marketable value here, I think that it is itself a document which is a document of value in the hands of the executors within the jurisdiction of the Ordinary.</w:t>
      </w:r>
    </w:p>
    <w:p w:rsidR="00B96DB2" w:rsidRPr="0014260B" w:rsidRDefault="00D766B8" w:rsidP="009903D3">
      <w:pPr>
        <w:pStyle w:val="Reasons"/>
        <w:rPr>
          <w:rFonts w:eastAsia="Times New Roman" w:cs="Arial"/>
          <w:spacing w:val="5"/>
          <w:szCs w:val="24"/>
        </w:rPr>
      </w:pPr>
      <w:r w:rsidRPr="0014260B">
        <w:rPr>
          <w:rFonts w:eastAsia="Times New Roman" w:cs="Arial"/>
          <w:spacing w:val="5"/>
          <w:szCs w:val="24"/>
          <w:lang w:val="en-US"/>
        </w:rPr>
        <w:t>It would appear that the considerations which determined the decision were the existence of the endorsed certificates within the jurisdiction and their marketability there, together with the fact that as between transferor and transferee, the legal and equitable title to "the shares" was vested in the transferee.</w:t>
      </w:r>
    </w:p>
    <w:p w:rsidR="00B96DB2" w:rsidRPr="0014260B" w:rsidRDefault="00D766B8" w:rsidP="009903D3">
      <w:pPr>
        <w:pStyle w:val="Reasons"/>
        <w:rPr>
          <w:rFonts w:eastAsia="Times New Roman" w:cs="Arial"/>
          <w:szCs w:val="24"/>
        </w:rPr>
      </w:pPr>
      <w:r w:rsidRPr="0014260B">
        <w:rPr>
          <w:rFonts w:eastAsia="Times New Roman" w:cs="Arial"/>
          <w:szCs w:val="24"/>
          <w:lang w:val="en-US"/>
        </w:rPr>
        <w:lastRenderedPageBreak/>
        <w:t xml:space="preserve">Marketability as later laid down in the </w:t>
      </w:r>
      <w:r w:rsidRPr="0014260B">
        <w:rPr>
          <w:rFonts w:eastAsia="Times New Roman" w:cs="Arial"/>
          <w:i/>
          <w:szCs w:val="24"/>
          <w:lang w:val="en-US"/>
        </w:rPr>
        <w:t xml:space="preserve">Williams' </w:t>
      </w:r>
      <w:r w:rsidRPr="0014260B">
        <w:rPr>
          <w:rFonts w:eastAsia="Times New Roman" w:cs="Arial"/>
          <w:szCs w:val="24"/>
          <w:lang w:val="en-US"/>
        </w:rPr>
        <w:t xml:space="preserve">case "does not touch the question of </w:t>
      </w:r>
      <w:r w:rsidRPr="0014260B">
        <w:rPr>
          <w:rFonts w:eastAsia="Times New Roman" w:cs="Arial"/>
          <w:i/>
          <w:szCs w:val="24"/>
          <w:lang w:val="en-US"/>
        </w:rPr>
        <w:t xml:space="preserve">situs", </w:t>
      </w:r>
      <w:r w:rsidRPr="0014260B">
        <w:rPr>
          <w:rFonts w:eastAsia="Times New Roman" w:cs="Arial"/>
          <w:szCs w:val="24"/>
          <w:lang w:val="en-US"/>
        </w:rPr>
        <w:t>and the</w:t>
      </w:r>
      <w:r w:rsidR="00CF05AD">
        <w:rPr>
          <w:rFonts w:eastAsia="Times New Roman" w:cs="Arial"/>
          <w:szCs w:val="24"/>
          <w:lang w:val="en-US"/>
        </w:rPr>
        <w:t xml:space="preserve"> </w:t>
      </w:r>
      <w:r w:rsidRPr="0014260B">
        <w:rPr>
          <w:rFonts w:eastAsia="Times New Roman" w:cs="Arial"/>
          <w:szCs w:val="24"/>
          <w:lang w:val="en-US"/>
        </w:rPr>
        <w:t>"situs of the certificates is not, taken alone, sufficient to afford a solution to the problem."</w:t>
      </w:r>
    </w:p>
    <w:p w:rsidR="00B96DB2" w:rsidRPr="0014260B" w:rsidRDefault="00D766B8" w:rsidP="009903D3">
      <w:pPr>
        <w:pStyle w:val="Reasons"/>
        <w:rPr>
          <w:rFonts w:eastAsia="Times New Roman" w:cs="Arial"/>
          <w:szCs w:val="24"/>
        </w:rPr>
      </w:pPr>
      <w:r w:rsidRPr="0014260B">
        <w:rPr>
          <w:rFonts w:eastAsia="Times New Roman" w:cs="Arial"/>
          <w:szCs w:val="24"/>
          <w:lang w:val="en-US"/>
        </w:rPr>
        <w:t xml:space="preserve">Unless the decision in </w:t>
      </w:r>
      <w:r w:rsidRPr="0014260B">
        <w:rPr>
          <w:rFonts w:eastAsia="Times New Roman" w:cs="Arial"/>
          <w:i/>
          <w:szCs w:val="24"/>
          <w:lang w:val="en-US"/>
        </w:rPr>
        <w:t xml:space="preserve">Stern's </w:t>
      </w:r>
      <w:r w:rsidRPr="0014260B">
        <w:rPr>
          <w:rFonts w:eastAsia="Times New Roman" w:cs="Arial"/>
          <w:szCs w:val="24"/>
          <w:lang w:val="en-US"/>
        </w:rPr>
        <w:t xml:space="preserve">case proceeded on the ground, apparently assumed by counsel in </w:t>
      </w:r>
      <w:r w:rsidRPr="0014260B">
        <w:rPr>
          <w:rFonts w:eastAsia="Times New Roman" w:cs="Arial"/>
          <w:i/>
          <w:szCs w:val="24"/>
          <w:lang w:val="en-US"/>
        </w:rPr>
        <w:t xml:space="preserve">Aschrott's </w:t>
      </w:r>
      <w:r w:rsidRPr="0014260B">
        <w:rPr>
          <w:rFonts w:eastAsia="Times New Roman" w:cs="Arial"/>
          <w:szCs w:val="24"/>
          <w:lang w:val="en-US"/>
        </w:rPr>
        <w:t xml:space="preserve">case at: 317, and in </w:t>
      </w:r>
      <w:r w:rsidRPr="0014260B">
        <w:rPr>
          <w:rFonts w:eastAsia="Times New Roman" w:cs="Arial"/>
          <w:i/>
          <w:szCs w:val="24"/>
          <w:lang w:val="en-US"/>
        </w:rPr>
        <w:t xml:space="preserve">Blonde's </w:t>
      </w:r>
      <w:r w:rsidRPr="0014260B">
        <w:rPr>
          <w:rFonts w:eastAsia="Times New Roman" w:cs="Arial"/>
          <w:szCs w:val="24"/>
          <w:lang w:val="en-US"/>
        </w:rPr>
        <w:t xml:space="preserve">case at p. 27, that the shares in question in that case were transferable on branch registers in. England, I cannot consider it a governing authority as to the </w:t>
      </w:r>
      <w:r w:rsidRPr="0014260B">
        <w:rPr>
          <w:rFonts w:eastAsia="Times New Roman" w:cs="Arial"/>
          <w:i/>
          <w:szCs w:val="24"/>
          <w:lang w:val="en-US"/>
        </w:rPr>
        <w:t xml:space="preserve">situs </w:t>
      </w:r>
      <w:r w:rsidR="009903D3">
        <w:rPr>
          <w:rFonts w:eastAsia="Times New Roman" w:cs="Arial"/>
          <w:szCs w:val="24"/>
          <w:lang w:val="en-US"/>
        </w:rPr>
        <w:t xml:space="preserve">of shares for the purposes of </w:t>
      </w:r>
      <w:r w:rsidRPr="0014260B">
        <w:rPr>
          <w:rFonts w:eastAsia="Times New Roman" w:cs="Arial"/>
          <w:szCs w:val="24"/>
          <w:lang w:val="en-US"/>
        </w:rPr>
        <w:t xml:space="preserve">succession duty in one of the provinces of Canada where </w:t>
      </w:r>
      <w:r w:rsidRPr="0014260B">
        <w:rPr>
          <w:rFonts w:eastAsia="Times New Roman" w:cs="Arial"/>
          <w:i/>
          <w:szCs w:val="24"/>
          <w:lang w:val="en-US"/>
        </w:rPr>
        <w:t xml:space="preserve">situs </w:t>
      </w:r>
      <w:r w:rsidRPr="0014260B">
        <w:rPr>
          <w:rFonts w:eastAsia="Times New Roman" w:cs="Arial"/>
          <w:szCs w:val="24"/>
          <w:lang w:val="en-US"/>
        </w:rPr>
        <w:t>has been authoritatively determined to depend on the</w:t>
      </w:r>
      <w:r w:rsidR="00DC215D">
        <w:rPr>
          <w:rFonts w:eastAsia="Times New Roman" w:cs="Arial"/>
          <w:szCs w:val="24"/>
          <w:lang w:val="en-US"/>
        </w:rPr>
        <w:t xml:space="preserve"> </w:t>
      </w:r>
      <w:r w:rsidRPr="0014260B">
        <w:rPr>
          <w:rFonts w:eastAsia="Times New Roman" w:cs="Arial"/>
          <w:szCs w:val="24"/>
          <w:lang w:val="en-US"/>
        </w:rPr>
        <w:t xml:space="preserve">considerations already discussed and not mentioned in </w:t>
      </w:r>
      <w:r w:rsidRPr="0014260B">
        <w:rPr>
          <w:rFonts w:eastAsia="Times New Roman" w:cs="Arial"/>
          <w:i/>
          <w:szCs w:val="24"/>
          <w:lang w:val="en-US"/>
        </w:rPr>
        <w:t xml:space="preserve">Stern's </w:t>
      </w:r>
      <w:r w:rsidRPr="0014260B">
        <w:rPr>
          <w:rFonts w:eastAsia="Times New Roman" w:cs="Arial"/>
          <w:szCs w:val="24"/>
          <w:lang w:val="en-US"/>
        </w:rPr>
        <w:t>case.</w:t>
      </w:r>
    </w:p>
    <w:p w:rsidR="00B96DB2" w:rsidRPr="0014260B" w:rsidRDefault="00D766B8" w:rsidP="009903D3">
      <w:pPr>
        <w:pStyle w:val="Reasons"/>
        <w:rPr>
          <w:rFonts w:eastAsia="Times New Roman" w:cs="Arial"/>
          <w:szCs w:val="24"/>
        </w:rPr>
      </w:pPr>
      <w:r w:rsidRPr="0014260B">
        <w:rPr>
          <w:rFonts w:eastAsia="Times New Roman" w:cs="Arial"/>
          <w:szCs w:val="24"/>
          <w:lang w:val="en-US"/>
        </w:rPr>
        <w:t xml:space="preserve">In </w:t>
      </w:r>
      <w:proofErr w:type="spellStart"/>
      <w:r w:rsidRPr="0014260B">
        <w:rPr>
          <w:rFonts w:eastAsia="Times New Roman" w:cs="Arial"/>
          <w:i/>
          <w:szCs w:val="24"/>
          <w:lang w:val="en-US"/>
        </w:rPr>
        <w:t>Winans</w:t>
      </w:r>
      <w:proofErr w:type="spellEnd"/>
      <w:r w:rsidRPr="0014260B">
        <w:rPr>
          <w:rFonts w:eastAsia="Times New Roman" w:cs="Arial"/>
          <w:i/>
          <w:szCs w:val="24"/>
          <w:lang w:val="en-US"/>
        </w:rPr>
        <w:t xml:space="preserve"> v. Attorney-General</w:t>
      </w:r>
      <w:r w:rsidR="00621140" w:rsidRPr="0014260B">
        <w:rPr>
          <w:rStyle w:val="FootnoteReference"/>
          <w:rFonts w:eastAsia="Times New Roman" w:cs="Arial"/>
          <w:i/>
          <w:szCs w:val="24"/>
          <w:lang w:val="en-US"/>
        </w:rPr>
        <w:footnoteReference w:id="29"/>
      </w:r>
      <w:r w:rsidRPr="0014260B">
        <w:rPr>
          <w:rFonts w:eastAsia="Times New Roman" w:cs="Arial"/>
          <w:i/>
          <w:szCs w:val="24"/>
          <w:lang w:val="en-US"/>
        </w:rPr>
        <w:t xml:space="preserve">, </w:t>
      </w:r>
      <w:r w:rsidRPr="0014260B">
        <w:rPr>
          <w:rFonts w:eastAsia="Times New Roman" w:cs="Arial"/>
          <w:szCs w:val="24"/>
          <w:lang w:val="en-US"/>
        </w:rPr>
        <w:t xml:space="preserve">a case concerned with bonds, Lord Atkinson at page 35 treated </w:t>
      </w:r>
      <w:r w:rsidRPr="0014260B">
        <w:rPr>
          <w:rFonts w:eastAsia="Times New Roman" w:cs="Arial"/>
          <w:i/>
          <w:szCs w:val="24"/>
          <w:lang w:val="en-US"/>
        </w:rPr>
        <w:t xml:space="preserve">Stern's </w:t>
      </w:r>
      <w:r w:rsidRPr="0014260B">
        <w:rPr>
          <w:rFonts w:eastAsia="Times New Roman" w:cs="Arial"/>
          <w:szCs w:val="24"/>
          <w:lang w:val="en-US"/>
        </w:rPr>
        <w:t xml:space="preserve">case and </w:t>
      </w:r>
      <w:r w:rsidRPr="0014260B">
        <w:rPr>
          <w:rFonts w:eastAsia="Times New Roman" w:cs="Arial"/>
          <w:i/>
          <w:szCs w:val="24"/>
          <w:lang w:val="en-US"/>
        </w:rPr>
        <w:t xml:space="preserve">Attorney-General v. </w:t>
      </w:r>
      <w:proofErr w:type="spellStart"/>
      <w:r w:rsidRPr="0014260B">
        <w:rPr>
          <w:rFonts w:eastAsia="Times New Roman" w:cs="Arial"/>
          <w:i/>
          <w:szCs w:val="24"/>
          <w:lang w:val="en-US"/>
        </w:rPr>
        <w:t>Bouwens</w:t>
      </w:r>
      <w:proofErr w:type="spellEnd"/>
      <w:r w:rsidRPr="0014260B">
        <w:rPr>
          <w:rFonts w:eastAsia="Times New Roman" w:cs="Arial"/>
          <w:i/>
          <w:szCs w:val="24"/>
          <w:lang w:val="en-US"/>
        </w:rPr>
        <w:t xml:space="preserve">, </w:t>
      </w:r>
      <w:r w:rsidRPr="0014260B">
        <w:rPr>
          <w:rFonts w:eastAsia="Times New Roman" w:cs="Arial"/>
          <w:szCs w:val="24"/>
          <w:lang w:val="en-US"/>
        </w:rPr>
        <w:t>as founded on a comm</w:t>
      </w:r>
      <w:r w:rsidR="00CF05AD">
        <w:rPr>
          <w:rFonts w:eastAsia="Times New Roman" w:cs="Arial"/>
          <w:szCs w:val="24"/>
          <w:lang w:val="en-US"/>
        </w:rPr>
        <w:t xml:space="preserve">on principle, as did also Lord </w:t>
      </w:r>
      <w:proofErr w:type="spellStart"/>
      <w:r w:rsidR="00CF05AD">
        <w:rPr>
          <w:rFonts w:eastAsia="Times New Roman" w:cs="Arial"/>
          <w:szCs w:val="24"/>
          <w:lang w:val="en-US"/>
        </w:rPr>
        <w:t>Gorell</w:t>
      </w:r>
      <w:proofErr w:type="spellEnd"/>
      <w:r w:rsidRPr="0014260B">
        <w:rPr>
          <w:rFonts w:eastAsia="Times New Roman" w:cs="Arial"/>
          <w:szCs w:val="24"/>
          <w:lang w:val="en-US"/>
        </w:rPr>
        <w:t xml:space="preserve"> at pp. 38</w:t>
      </w:r>
      <w:r w:rsidR="00CF05AD">
        <w:rPr>
          <w:rFonts w:eastAsia="Times New Roman" w:cs="Arial"/>
          <w:szCs w:val="24"/>
          <w:lang w:val="en-US"/>
        </w:rPr>
        <w:t>-</w:t>
      </w:r>
      <w:r w:rsidRPr="0014260B">
        <w:rPr>
          <w:rFonts w:eastAsia="Times New Roman" w:cs="Arial"/>
          <w:szCs w:val="24"/>
          <w:lang w:val="en-US"/>
        </w:rPr>
        <w:t>39. At page 31 Lord Atkinson said:</w:t>
      </w:r>
    </w:p>
    <w:p w:rsidR="00B96DB2" w:rsidRPr="0014260B" w:rsidRDefault="00D766B8" w:rsidP="009903D3">
      <w:pPr>
        <w:pStyle w:val="Indent1"/>
        <w:spacing w:after="100" w:afterAutospacing="1"/>
      </w:pPr>
      <w:r w:rsidRPr="0014260B">
        <w:rPr>
          <w:lang w:val="en-US"/>
        </w:rPr>
        <w:t xml:space="preserve">It is not disputed that the bonds are payable to bearer, are marketable in England, are not </w:t>
      </w:r>
      <w:r w:rsidR="00CF05AD" w:rsidRPr="0014260B">
        <w:rPr>
          <w:lang w:val="en-US"/>
        </w:rPr>
        <w:t>registered</w:t>
      </w:r>
      <w:r w:rsidRPr="0014260B">
        <w:rPr>
          <w:lang w:val="en-US"/>
        </w:rPr>
        <w:t xml:space="preserve"> in the name of the deceased, nor is his name mentioned in them, are transferable in England by delivery, and that no act other than delivery need be done in or out of England to complete the title of </w:t>
      </w:r>
      <w:r w:rsidRPr="0014260B">
        <w:rPr>
          <w:i/>
          <w:lang w:val="en-US"/>
        </w:rPr>
        <w:t>the transferee.</w:t>
      </w:r>
    </w:p>
    <w:p w:rsidR="00B96DB2" w:rsidRPr="0014260B" w:rsidRDefault="00D766B8" w:rsidP="009903D3">
      <w:pPr>
        <w:pStyle w:val="Reasons"/>
        <w:rPr>
          <w:rFonts w:eastAsia="Times New Roman" w:cs="Arial"/>
          <w:szCs w:val="24"/>
        </w:rPr>
      </w:pPr>
      <w:r w:rsidRPr="0014260B">
        <w:rPr>
          <w:rFonts w:eastAsia="Times New Roman" w:cs="Arial"/>
          <w:szCs w:val="24"/>
          <w:lang w:val="en-US"/>
        </w:rPr>
        <w:t>All of this applies to the certificates here in question except the last, and the first and "leading" enquiry in the</w:t>
      </w:r>
      <w:r w:rsidR="00CF05AD">
        <w:rPr>
          <w:rFonts w:eastAsia="Times New Roman" w:cs="Arial"/>
          <w:szCs w:val="24"/>
          <w:lang w:val="en-US"/>
        </w:rPr>
        <w:t xml:space="preserve"> </w:t>
      </w:r>
      <w:r w:rsidRPr="0014260B">
        <w:rPr>
          <w:rFonts w:eastAsia="Times New Roman" w:cs="Arial"/>
          <w:szCs w:val="24"/>
          <w:lang w:val="en-US"/>
        </w:rPr>
        <w:t xml:space="preserve">case of shares is the location of the place of transfer where the transferee will become </w:t>
      </w:r>
      <w:r w:rsidRPr="0014260B">
        <w:rPr>
          <w:rFonts w:eastAsia="Times New Roman" w:cs="Arial"/>
          <w:i/>
          <w:szCs w:val="24"/>
          <w:lang w:val="en-US"/>
        </w:rPr>
        <w:t xml:space="preserve">legally </w:t>
      </w:r>
      <w:r w:rsidR="00CF05AD">
        <w:rPr>
          <w:rFonts w:eastAsia="Times New Roman" w:cs="Arial"/>
          <w:szCs w:val="24"/>
          <w:lang w:val="en-US"/>
        </w:rPr>
        <w:t>entitled to all the rights of</w:t>
      </w:r>
      <w:r w:rsidRPr="0014260B">
        <w:rPr>
          <w:rFonts w:eastAsia="Times New Roman" w:cs="Arial"/>
          <w:szCs w:val="24"/>
          <w:lang w:val="en-US"/>
        </w:rPr>
        <w:t xml:space="preserve"> a member. That consideration is the same for the transferee whether or not he receives a certificat</w:t>
      </w:r>
      <w:r w:rsidR="00CF05AD">
        <w:rPr>
          <w:rFonts w:eastAsia="Times New Roman" w:cs="Arial"/>
          <w:szCs w:val="24"/>
          <w:lang w:val="en-US"/>
        </w:rPr>
        <w:t xml:space="preserve">e directly from the registered </w:t>
      </w:r>
      <w:r w:rsidRPr="0014260B">
        <w:rPr>
          <w:rFonts w:eastAsia="Times New Roman" w:cs="Arial"/>
          <w:szCs w:val="24"/>
          <w:lang w:val="en-US"/>
        </w:rPr>
        <w:t>shareholder. In a case of shares as distinct</w:t>
      </w:r>
    </w:p>
    <w:p w:rsidR="00D21369" w:rsidRPr="0014260B" w:rsidRDefault="00D21369" w:rsidP="009903D3">
      <w:pPr>
        <w:pStyle w:val="Page"/>
        <w:rPr>
          <w:rFonts w:cs="Arial"/>
          <w:szCs w:val="24"/>
          <w:lang w:val="en-US"/>
        </w:rPr>
      </w:pPr>
      <w:r w:rsidRPr="0014260B">
        <w:rPr>
          <w:rFonts w:cs="Arial"/>
          <w:color w:val="000000"/>
          <w:szCs w:val="24"/>
          <w:lang w:val="en-US"/>
        </w:rPr>
        <w:t>[Page 348]</w:t>
      </w:r>
    </w:p>
    <w:p w:rsidR="00B96DB2" w:rsidRPr="0014260B" w:rsidRDefault="00D766B8" w:rsidP="009903D3">
      <w:pPr>
        <w:pStyle w:val="Reasons"/>
        <w:rPr>
          <w:rFonts w:eastAsia="Times New Roman" w:cs="Arial"/>
          <w:szCs w:val="24"/>
        </w:rPr>
      </w:pPr>
      <w:proofErr w:type="gramStart"/>
      <w:r w:rsidRPr="0014260B">
        <w:rPr>
          <w:rFonts w:eastAsia="Times New Roman" w:cs="Arial"/>
          <w:szCs w:val="24"/>
          <w:lang w:val="en-US"/>
        </w:rPr>
        <w:t>from</w:t>
      </w:r>
      <w:proofErr w:type="gramEnd"/>
      <w:r w:rsidRPr="0014260B">
        <w:rPr>
          <w:rFonts w:eastAsia="Times New Roman" w:cs="Arial"/>
          <w:szCs w:val="24"/>
          <w:lang w:val="en-US"/>
        </w:rPr>
        <w:t xml:space="preserve"> the case of bearer bonds </w:t>
      </w:r>
      <w:r w:rsidRPr="0014260B">
        <w:rPr>
          <w:rFonts w:eastAsia="Times New Roman" w:cs="Arial"/>
          <w:i/>
          <w:szCs w:val="24"/>
          <w:lang w:val="en-US"/>
        </w:rPr>
        <w:t xml:space="preserve">Attorney-General v. </w:t>
      </w:r>
      <w:proofErr w:type="spellStart"/>
      <w:r w:rsidRPr="0014260B">
        <w:rPr>
          <w:rFonts w:eastAsia="Times New Roman" w:cs="Arial"/>
          <w:i/>
          <w:szCs w:val="24"/>
          <w:lang w:val="en-US"/>
        </w:rPr>
        <w:t>Bouwens</w:t>
      </w:r>
      <w:proofErr w:type="spellEnd"/>
      <w:r w:rsidRPr="0014260B">
        <w:rPr>
          <w:rFonts w:eastAsia="Times New Roman" w:cs="Arial"/>
          <w:i/>
          <w:szCs w:val="24"/>
          <w:lang w:val="en-US"/>
        </w:rPr>
        <w:t xml:space="preserve"> </w:t>
      </w:r>
      <w:r w:rsidRPr="0014260B">
        <w:rPr>
          <w:rFonts w:eastAsia="Times New Roman" w:cs="Arial"/>
          <w:szCs w:val="24"/>
          <w:lang w:val="en-US"/>
        </w:rPr>
        <w:t xml:space="preserve">has been determined not to be, but </w:t>
      </w:r>
      <w:r w:rsidRPr="0014260B">
        <w:rPr>
          <w:rFonts w:eastAsia="Times New Roman" w:cs="Arial"/>
          <w:i/>
          <w:szCs w:val="24"/>
          <w:lang w:val="en-US"/>
        </w:rPr>
        <w:t xml:space="preserve">Attorney-General v. Higgins, </w:t>
      </w:r>
      <w:r w:rsidRPr="0014260B">
        <w:rPr>
          <w:rFonts w:eastAsia="Times New Roman" w:cs="Arial"/>
          <w:szCs w:val="24"/>
          <w:lang w:val="en-US"/>
        </w:rPr>
        <w:t>the governing authority.</w:t>
      </w:r>
    </w:p>
    <w:p w:rsidR="00B96DB2" w:rsidRPr="0014260B" w:rsidRDefault="00D766B8" w:rsidP="009903D3">
      <w:pPr>
        <w:pStyle w:val="Reasons"/>
        <w:rPr>
          <w:rFonts w:eastAsia="Times New Roman" w:cs="Arial"/>
          <w:spacing w:val="4"/>
          <w:szCs w:val="24"/>
        </w:rPr>
      </w:pPr>
      <w:r w:rsidRPr="0014260B">
        <w:rPr>
          <w:rFonts w:eastAsia="Times New Roman" w:cs="Arial"/>
          <w:spacing w:val="4"/>
          <w:szCs w:val="24"/>
          <w:lang w:val="en-US"/>
        </w:rPr>
        <w:t xml:space="preserve">In the judgment in </w:t>
      </w:r>
      <w:r w:rsidR="00CF05AD">
        <w:rPr>
          <w:rFonts w:eastAsia="Times New Roman" w:cs="Arial"/>
          <w:i/>
          <w:spacing w:val="4"/>
          <w:szCs w:val="24"/>
          <w:lang w:val="en-US"/>
        </w:rPr>
        <w:t>Blonde's case</w:t>
      </w:r>
      <w:r w:rsidRPr="0014260B">
        <w:rPr>
          <w:rFonts w:eastAsia="Times New Roman" w:cs="Arial"/>
          <w:i/>
          <w:spacing w:val="4"/>
          <w:szCs w:val="24"/>
          <w:lang w:val="en-US"/>
        </w:rPr>
        <w:t xml:space="preserve">, </w:t>
      </w:r>
      <w:r w:rsidRPr="0014260B">
        <w:rPr>
          <w:rFonts w:eastAsia="Times New Roman" w:cs="Arial"/>
          <w:spacing w:val="4"/>
          <w:szCs w:val="24"/>
          <w:lang w:val="en-US"/>
        </w:rPr>
        <w:t xml:space="preserve">Lord Uthwatt left open the question of the </w:t>
      </w:r>
      <w:r w:rsidRPr="0014260B">
        <w:rPr>
          <w:rFonts w:eastAsia="Times New Roman" w:cs="Arial"/>
          <w:i/>
          <w:spacing w:val="4"/>
          <w:szCs w:val="24"/>
          <w:lang w:val="en-US"/>
        </w:rPr>
        <w:t xml:space="preserve">situs </w:t>
      </w:r>
      <w:r w:rsidRPr="0014260B">
        <w:rPr>
          <w:rFonts w:eastAsia="Times New Roman" w:cs="Arial"/>
          <w:spacing w:val="4"/>
          <w:szCs w:val="24"/>
          <w:lang w:val="en-US"/>
        </w:rPr>
        <w:t xml:space="preserve">of "street certificates". Until a different rule is established by their Lordships in such cases however, my view is as above. Bearer share warrants are subject to different considerations. In such case the legislation usually provides that delivery of the warrant in itself </w:t>
      </w:r>
      <w:proofErr w:type="gramStart"/>
      <w:r w:rsidRPr="0014260B">
        <w:rPr>
          <w:rFonts w:eastAsia="Times New Roman" w:cs="Arial"/>
          <w:spacing w:val="4"/>
          <w:szCs w:val="24"/>
          <w:lang w:val="en-US"/>
        </w:rPr>
        <w:t>effects</w:t>
      </w:r>
      <w:proofErr w:type="gramEnd"/>
      <w:r w:rsidRPr="0014260B">
        <w:rPr>
          <w:rFonts w:eastAsia="Times New Roman" w:cs="Arial"/>
          <w:spacing w:val="4"/>
          <w:szCs w:val="24"/>
          <w:lang w:val="en-US"/>
        </w:rPr>
        <w:t xml:space="preserve"> a transfer of the shares without more.</w:t>
      </w:r>
    </w:p>
    <w:p w:rsidR="00B96DB2" w:rsidRPr="0014260B" w:rsidRDefault="00D766B8" w:rsidP="009903D3">
      <w:pPr>
        <w:pStyle w:val="Reasons"/>
        <w:rPr>
          <w:rFonts w:eastAsia="Times New Roman" w:cs="Arial"/>
          <w:szCs w:val="24"/>
        </w:rPr>
      </w:pPr>
      <w:r w:rsidRPr="0014260B">
        <w:rPr>
          <w:rFonts w:eastAsia="Times New Roman" w:cs="Arial"/>
          <w:szCs w:val="24"/>
          <w:lang w:val="en-US"/>
        </w:rPr>
        <w:t>I would allow the appeal. There should be no costs in this court or below.</w:t>
      </w:r>
    </w:p>
    <w:p w:rsidR="00B96DB2" w:rsidRPr="0014260B" w:rsidRDefault="00D766B8" w:rsidP="009903D3">
      <w:pPr>
        <w:pStyle w:val="Reasons"/>
        <w:rPr>
          <w:rFonts w:eastAsia="Times New Roman" w:cs="Arial"/>
          <w:i/>
          <w:spacing w:val="5"/>
          <w:szCs w:val="24"/>
        </w:rPr>
      </w:pPr>
      <w:r w:rsidRPr="0014260B">
        <w:rPr>
          <w:rFonts w:eastAsia="Times New Roman" w:cs="Arial"/>
          <w:i/>
          <w:spacing w:val="5"/>
          <w:szCs w:val="24"/>
          <w:lang w:val="en-US"/>
        </w:rPr>
        <w:t>Appeal allowed without costs.</w:t>
      </w:r>
    </w:p>
    <w:p w:rsidR="007B461C" w:rsidRPr="0014260B" w:rsidRDefault="00D766B8" w:rsidP="009903D3">
      <w:pPr>
        <w:pStyle w:val="Sollicitors"/>
        <w:rPr>
          <w:rFonts w:cs="Arial"/>
          <w:szCs w:val="24"/>
          <w:lang w:val="en-US"/>
        </w:rPr>
      </w:pPr>
      <w:r w:rsidRPr="0014260B">
        <w:rPr>
          <w:rFonts w:cs="Arial"/>
          <w:szCs w:val="24"/>
          <w:lang w:val="en-US"/>
        </w:rPr>
        <w:t xml:space="preserve">Solicitor for the appellant: Roland A. Ritchie. </w:t>
      </w:r>
    </w:p>
    <w:p w:rsidR="00B96DB2" w:rsidRPr="0014260B" w:rsidRDefault="00D766B8" w:rsidP="009903D3">
      <w:pPr>
        <w:pStyle w:val="Sollicitors"/>
        <w:rPr>
          <w:rFonts w:cs="Arial"/>
          <w:szCs w:val="24"/>
        </w:rPr>
      </w:pPr>
      <w:r w:rsidRPr="0014260B">
        <w:rPr>
          <w:rFonts w:cs="Arial"/>
          <w:szCs w:val="24"/>
          <w:lang w:val="en-US"/>
        </w:rPr>
        <w:t>Solicitor for the respondent: Thomas D. MacDonald.</w:t>
      </w:r>
    </w:p>
    <w:sectPr w:rsidR="00B96DB2" w:rsidRPr="0014260B" w:rsidSect="009903D3">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AA" w:rsidRDefault="00805BAA" w:rsidP="00380A64">
      <w:r>
        <w:separator/>
      </w:r>
    </w:p>
  </w:endnote>
  <w:endnote w:type="continuationSeparator" w:id="0">
    <w:p w:rsidR="00805BAA" w:rsidRDefault="00805BAA" w:rsidP="0038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AA" w:rsidRDefault="00805BAA" w:rsidP="00380A64">
      <w:r>
        <w:separator/>
      </w:r>
    </w:p>
  </w:footnote>
  <w:footnote w:type="continuationSeparator" w:id="0">
    <w:p w:rsidR="00805BAA" w:rsidRDefault="00805BAA" w:rsidP="00380A64">
      <w:r>
        <w:continuationSeparator/>
      </w:r>
    </w:p>
  </w:footnote>
  <w:footnote w:id="1">
    <w:p w:rsidR="00805BAA" w:rsidRPr="009903D3" w:rsidRDefault="00805BAA" w:rsidP="00395373">
      <w:pPr>
        <w:pStyle w:val="FootnoteText"/>
        <w:rPr>
          <w:lang w:val="en-US"/>
        </w:rPr>
      </w:pPr>
      <w:r w:rsidRPr="00380A64">
        <w:rPr>
          <w:rStyle w:val="FootnoteReference"/>
        </w:rPr>
        <w:footnoteRef/>
      </w:r>
      <w:r w:rsidRPr="00380A64">
        <w:t xml:space="preserve"> </w:t>
      </w:r>
      <w:proofErr w:type="gramStart"/>
      <w:r w:rsidRPr="00380A64">
        <w:rPr>
          <w:lang w:val="en-US"/>
        </w:rPr>
        <w:t>(1948) 22 M.P.R. 140.</w:t>
      </w:r>
      <w:proofErr w:type="gramEnd"/>
    </w:p>
  </w:footnote>
  <w:footnote w:id="2">
    <w:p w:rsidR="00805BAA" w:rsidRPr="009903D3" w:rsidRDefault="00805BAA" w:rsidP="00395373">
      <w:pPr>
        <w:pStyle w:val="FootnoteText"/>
        <w:rPr>
          <w:lang w:val="en-US"/>
        </w:rPr>
      </w:pPr>
      <w:r w:rsidRPr="00380A64">
        <w:rPr>
          <w:rStyle w:val="FootnoteReference"/>
        </w:rPr>
        <w:footnoteRef/>
      </w:r>
      <w:r w:rsidRPr="00380A64">
        <w:t xml:space="preserve"> </w:t>
      </w:r>
      <w:proofErr w:type="gramStart"/>
      <w:r w:rsidRPr="00380A64">
        <w:rPr>
          <w:lang w:val="en-US"/>
        </w:rPr>
        <w:t>[1896] 1 Q.B. 211.</w:t>
      </w:r>
      <w:proofErr w:type="gramEnd"/>
    </w:p>
  </w:footnote>
  <w:footnote w:id="3">
    <w:p w:rsidR="00805BAA" w:rsidRPr="009903D3" w:rsidRDefault="00805BAA" w:rsidP="00395373">
      <w:pPr>
        <w:pStyle w:val="FootnoteText"/>
        <w:rPr>
          <w:lang w:val="en-US"/>
        </w:rPr>
      </w:pPr>
      <w:r w:rsidRPr="00380A64">
        <w:rPr>
          <w:rStyle w:val="FootnoteReference"/>
        </w:rPr>
        <w:footnoteRef/>
      </w:r>
      <w:r w:rsidRPr="00380A64">
        <w:t xml:space="preserve"> </w:t>
      </w:r>
      <w:proofErr w:type="gramStart"/>
      <w:r w:rsidRPr="00380A64">
        <w:rPr>
          <w:lang w:val="en-US"/>
        </w:rPr>
        <w:t>[1933] S.C.R. 670.</w:t>
      </w:r>
      <w:proofErr w:type="gramEnd"/>
    </w:p>
  </w:footnote>
  <w:footnote w:id="4">
    <w:p w:rsidR="00805BAA" w:rsidRPr="009903D3" w:rsidRDefault="00805BAA" w:rsidP="00395373">
      <w:pPr>
        <w:pStyle w:val="FootnoteText"/>
        <w:rPr>
          <w:lang w:val="en-US"/>
        </w:rPr>
      </w:pPr>
      <w:r w:rsidRPr="00380A64">
        <w:rPr>
          <w:rStyle w:val="FootnoteReference"/>
        </w:rPr>
        <w:footnoteRef/>
      </w:r>
      <w:r w:rsidRPr="00380A64">
        <w:t xml:space="preserve"> </w:t>
      </w:r>
      <w:proofErr w:type="gramStart"/>
      <w:r w:rsidRPr="00380A64">
        <w:rPr>
          <w:lang w:val="en-US"/>
        </w:rPr>
        <w:t>[1942] A.C. 541 at 559.</w:t>
      </w:r>
      <w:proofErr w:type="gramEnd"/>
    </w:p>
  </w:footnote>
  <w:footnote w:id="5">
    <w:p w:rsidR="00805BAA" w:rsidRPr="009903D3" w:rsidRDefault="00805BAA" w:rsidP="00395373">
      <w:pPr>
        <w:pStyle w:val="FootnoteText"/>
        <w:rPr>
          <w:lang w:val="en-US"/>
        </w:rPr>
      </w:pPr>
      <w:r w:rsidRPr="00380A64">
        <w:rPr>
          <w:rStyle w:val="FootnoteReference"/>
        </w:rPr>
        <w:footnoteRef/>
      </w:r>
      <w:r w:rsidRPr="00380A64">
        <w:t xml:space="preserve"> </w:t>
      </w:r>
      <w:proofErr w:type="gramStart"/>
      <w:r w:rsidRPr="00380A64">
        <w:rPr>
          <w:lang w:val="en-US"/>
        </w:rPr>
        <w:t>[19471 A.C. 24 at 30.</w:t>
      </w:r>
      <w:proofErr w:type="gramEnd"/>
    </w:p>
  </w:footnote>
  <w:footnote w:id="6">
    <w:p w:rsidR="00805BAA" w:rsidRPr="009903D3" w:rsidRDefault="00805BAA" w:rsidP="00395373">
      <w:pPr>
        <w:pStyle w:val="FootnoteText"/>
        <w:rPr>
          <w:lang w:val="en-US"/>
        </w:rPr>
      </w:pPr>
      <w:r>
        <w:rPr>
          <w:rStyle w:val="FootnoteReference"/>
        </w:rPr>
        <w:footnoteRef/>
      </w:r>
      <w:r>
        <w:t xml:space="preserve"> </w:t>
      </w:r>
      <w:proofErr w:type="gramStart"/>
      <w:r w:rsidRPr="009903D3">
        <w:rPr>
          <w:lang w:val="en-US"/>
        </w:rPr>
        <w:t>(1838) 4 M. &amp; W. 171.</w:t>
      </w:r>
      <w:proofErr w:type="gramEnd"/>
    </w:p>
  </w:footnote>
  <w:footnote w:id="7">
    <w:p w:rsidR="00805BAA" w:rsidRPr="009903D3" w:rsidRDefault="00805BAA" w:rsidP="00395373">
      <w:pPr>
        <w:pStyle w:val="FootnoteText"/>
        <w:rPr>
          <w:lang w:val="en-US"/>
        </w:rPr>
      </w:pPr>
      <w:r>
        <w:rPr>
          <w:rStyle w:val="FootnoteReference"/>
        </w:rPr>
        <w:footnoteRef/>
      </w:r>
      <w:r>
        <w:t xml:space="preserve"> </w:t>
      </w:r>
      <w:proofErr w:type="gramStart"/>
      <w:r w:rsidRPr="009903D3">
        <w:rPr>
          <w:lang w:val="en-US"/>
        </w:rPr>
        <w:t>[1908] 1 K.B. 1022.</w:t>
      </w:r>
      <w:proofErr w:type="gramEnd"/>
    </w:p>
  </w:footnote>
  <w:footnote w:id="8">
    <w:p w:rsidR="00805BAA" w:rsidRPr="009903D3" w:rsidRDefault="00805BAA" w:rsidP="00395373">
      <w:pPr>
        <w:pStyle w:val="FootnoteText"/>
        <w:rPr>
          <w:lang w:val="en-US"/>
        </w:rPr>
      </w:pPr>
      <w:r>
        <w:rPr>
          <w:rStyle w:val="FootnoteReference"/>
        </w:rPr>
        <w:footnoteRef/>
      </w:r>
      <w:r>
        <w:t xml:space="preserve"> </w:t>
      </w:r>
      <w:proofErr w:type="gramStart"/>
      <w:r w:rsidRPr="009903D3">
        <w:rPr>
          <w:lang w:val="en-US"/>
        </w:rPr>
        <w:t>[1896] 1 Q.B. 211.</w:t>
      </w:r>
      <w:proofErr w:type="gramEnd"/>
    </w:p>
  </w:footnote>
  <w:footnote w:id="9">
    <w:p w:rsidR="00805BAA" w:rsidRPr="009903D3" w:rsidRDefault="00805BAA" w:rsidP="00395373">
      <w:pPr>
        <w:pStyle w:val="FootnoteText"/>
        <w:rPr>
          <w:lang w:val="en-US"/>
        </w:rPr>
      </w:pPr>
      <w:r w:rsidRPr="004436C8">
        <w:rPr>
          <w:rStyle w:val="FootnoteReference"/>
        </w:rPr>
        <w:footnoteRef/>
      </w:r>
      <w:r w:rsidRPr="004436C8">
        <w:t xml:space="preserve"> </w:t>
      </w:r>
      <w:proofErr w:type="gramStart"/>
      <w:r w:rsidRPr="004436C8">
        <w:rPr>
          <w:lang w:val="en-US"/>
        </w:rPr>
        <w:t>[1925] A.C. 371.</w:t>
      </w:r>
      <w:proofErr w:type="gramEnd"/>
    </w:p>
  </w:footnote>
  <w:footnote w:id="10">
    <w:p w:rsidR="00805BAA" w:rsidRPr="009903D3" w:rsidRDefault="00805BAA" w:rsidP="00395373">
      <w:pPr>
        <w:pStyle w:val="FootnoteText"/>
        <w:rPr>
          <w:lang w:val="en-US"/>
        </w:rPr>
      </w:pPr>
      <w:r w:rsidRPr="004436C8">
        <w:rPr>
          <w:rStyle w:val="FootnoteReference"/>
        </w:rPr>
        <w:footnoteRef/>
      </w:r>
      <w:r w:rsidRPr="004436C8">
        <w:t xml:space="preserve"> </w:t>
      </w:r>
      <w:r w:rsidRPr="004436C8">
        <w:rPr>
          <w:lang w:val="en-US"/>
        </w:rPr>
        <w:t>[1923] S.C.R. 578 at 585-586.</w:t>
      </w:r>
    </w:p>
  </w:footnote>
  <w:footnote w:id="11">
    <w:p w:rsidR="00805BAA" w:rsidRPr="009903D3" w:rsidRDefault="00805BAA" w:rsidP="00395373">
      <w:pPr>
        <w:pStyle w:val="FootnoteText"/>
        <w:rPr>
          <w:lang w:val="en-US"/>
        </w:rPr>
      </w:pPr>
      <w:r>
        <w:rPr>
          <w:rStyle w:val="FootnoteReference"/>
        </w:rPr>
        <w:footnoteRef/>
      </w:r>
      <w:r>
        <w:t xml:space="preserve"> </w:t>
      </w:r>
      <w:proofErr w:type="gramStart"/>
      <w:r>
        <w:rPr>
          <w:lang w:val="en-US"/>
        </w:rPr>
        <w:t>(1948) 22 M.P.R. 140.</w:t>
      </w:r>
      <w:proofErr w:type="gramEnd"/>
    </w:p>
  </w:footnote>
  <w:footnote w:id="12">
    <w:p w:rsidR="00805BAA" w:rsidRPr="009903D3" w:rsidRDefault="00805BAA" w:rsidP="00395373">
      <w:pPr>
        <w:pStyle w:val="FootnoteText"/>
        <w:rPr>
          <w:lang w:val="en-US"/>
        </w:rPr>
      </w:pPr>
      <w:r>
        <w:rPr>
          <w:rStyle w:val="FootnoteReference"/>
        </w:rPr>
        <w:footnoteRef/>
      </w:r>
      <w:r>
        <w:t xml:space="preserve"> </w:t>
      </w:r>
      <w:proofErr w:type="gramStart"/>
      <w:r w:rsidRPr="009903D3">
        <w:rPr>
          <w:lang w:val="en-US"/>
        </w:rPr>
        <w:t>[1925] A.C. 371.</w:t>
      </w:r>
      <w:proofErr w:type="gramEnd"/>
    </w:p>
  </w:footnote>
  <w:footnote w:id="13">
    <w:p w:rsidR="00805BAA" w:rsidRPr="007B0D2B" w:rsidRDefault="00805BAA" w:rsidP="00395373">
      <w:pPr>
        <w:pStyle w:val="FootnoteText"/>
        <w:rPr>
          <w:lang w:val="en-US"/>
        </w:rPr>
      </w:pPr>
      <w:r>
        <w:rPr>
          <w:rStyle w:val="FootnoteReference"/>
        </w:rPr>
        <w:footnoteRef/>
      </w:r>
      <w:r>
        <w:t xml:space="preserve"> </w:t>
      </w:r>
      <w:proofErr w:type="gramStart"/>
      <w:r w:rsidRPr="007B0D2B">
        <w:rPr>
          <w:lang w:val="en-US"/>
        </w:rPr>
        <w:t>[1942] A.C. 541.</w:t>
      </w:r>
      <w:proofErr w:type="gramEnd"/>
    </w:p>
  </w:footnote>
  <w:footnote w:id="14">
    <w:p w:rsidR="00805BAA" w:rsidRPr="007B0D2B" w:rsidRDefault="00805BAA" w:rsidP="00395373">
      <w:pPr>
        <w:pStyle w:val="FootnoteText"/>
        <w:rPr>
          <w:lang w:val="en-US"/>
        </w:rPr>
      </w:pPr>
      <w:r w:rsidRPr="004436C8">
        <w:rPr>
          <w:rStyle w:val="FootnoteReference"/>
        </w:rPr>
        <w:footnoteRef/>
      </w:r>
      <w:r w:rsidRPr="004436C8">
        <w:t xml:space="preserve"> </w:t>
      </w:r>
      <w:proofErr w:type="gramStart"/>
      <w:r w:rsidRPr="007B0D2B">
        <w:rPr>
          <w:lang w:val="en-US"/>
        </w:rPr>
        <w:t>[1947] A.C. 24.</w:t>
      </w:r>
      <w:proofErr w:type="gramEnd"/>
    </w:p>
  </w:footnote>
  <w:footnote w:id="15">
    <w:p w:rsidR="00805BAA" w:rsidRPr="007B0D2B" w:rsidRDefault="00805BAA" w:rsidP="00395373">
      <w:pPr>
        <w:pStyle w:val="FootnoteText"/>
        <w:rPr>
          <w:lang w:val="en-US"/>
        </w:rPr>
      </w:pPr>
      <w:r>
        <w:rPr>
          <w:rStyle w:val="FootnoteReference"/>
        </w:rPr>
        <w:footnoteRef/>
      </w:r>
      <w:r w:rsidRPr="007B0D2B">
        <w:rPr>
          <w:lang w:val="en-US"/>
        </w:rPr>
        <w:t xml:space="preserve"> </w:t>
      </w:r>
      <w:proofErr w:type="gramStart"/>
      <w:r w:rsidRPr="007B0D2B">
        <w:rPr>
          <w:lang w:val="en-US"/>
        </w:rPr>
        <w:t>[1896] 1 Q.B. 211.</w:t>
      </w:r>
      <w:proofErr w:type="gramEnd"/>
    </w:p>
  </w:footnote>
  <w:footnote w:id="16">
    <w:p w:rsidR="00805BAA" w:rsidRPr="007B0D2B" w:rsidRDefault="00805BAA" w:rsidP="00395373">
      <w:pPr>
        <w:pStyle w:val="FootnoteText"/>
        <w:rPr>
          <w:lang w:val="en-US"/>
        </w:rPr>
      </w:pPr>
      <w:r w:rsidRPr="001662A8">
        <w:rPr>
          <w:rStyle w:val="FootnoteReference"/>
        </w:rPr>
        <w:footnoteRef/>
      </w:r>
      <w:r w:rsidRPr="007B0D2B">
        <w:rPr>
          <w:lang w:val="en-US"/>
        </w:rPr>
        <w:t xml:space="preserve"> </w:t>
      </w:r>
      <w:proofErr w:type="gramStart"/>
      <w:r w:rsidRPr="007B0D2B">
        <w:rPr>
          <w:lang w:val="en-US"/>
        </w:rPr>
        <w:t>(1838) 4 M. &amp; W. 171.</w:t>
      </w:r>
      <w:proofErr w:type="gramEnd"/>
    </w:p>
  </w:footnote>
  <w:footnote w:id="17">
    <w:p w:rsidR="00805BAA" w:rsidRPr="007B0D2B" w:rsidRDefault="00805BAA" w:rsidP="00395373">
      <w:pPr>
        <w:pStyle w:val="FootnoteText"/>
        <w:rPr>
          <w:lang w:val="en-US"/>
        </w:rPr>
      </w:pPr>
      <w:r w:rsidRPr="001662A8">
        <w:rPr>
          <w:rStyle w:val="FootnoteReference"/>
        </w:rPr>
        <w:footnoteRef/>
      </w:r>
      <w:r w:rsidRPr="007B0D2B">
        <w:rPr>
          <w:lang w:val="en-US"/>
        </w:rPr>
        <w:t xml:space="preserve"> </w:t>
      </w:r>
      <w:proofErr w:type="gramStart"/>
      <w:r w:rsidRPr="007B0D2B">
        <w:rPr>
          <w:lang w:val="en-US"/>
        </w:rPr>
        <w:t>[1942] A.C. 541.</w:t>
      </w:r>
      <w:proofErr w:type="gramEnd"/>
    </w:p>
  </w:footnote>
  <w:footnote w:id="18">
    <w:p w:rsidR="00805BAA" w:rsidRPr="007B0D2B" w:rsidRDefault="00805BAA" w:rsidP="00395373">
      <w:pPr>
        <w:pStyle w:val="FootnoteText"/>
        <w:rPr>
          <w:lang w:val="en-US"/>
        </w:rPr>
      </w:pPr>
      <w:r w:rsidRPr="001662A8">
        <w:rPr>
          <w:rStyle w:val="FootnoteReference"/>
        </w:rPr>
        <w:footnoteRef/>
      </w:r>
      <w:r w:rsidRPr="007B0D2B">
        <w:rPr>
          <w:lang w:val="en-US"/>
        </w:rPr>
        <w:t xml:space="preserve"> </w:t>
      </w:r>
      <w:proofErr w:type="gramStart"/>
      <w:r w:rsidRPr="007B0D2B">
        <w:rPr>
          <w:lang w:val="en-US"/>
        </w:rPr>
        <w:t>[1923] A.C. 744.</w:t>
      </w:r>
      <w:proofErr w:type="gramEnd"/>
    </w:p>
  </w:footnote>
  <w:footnote w:id="19">
    <w:p w:rsidR="00805BAA" w:rsidRPr="009903D3" w:rsidRDefault="00805BAA" w:rsidP="00395373">
      <w:pPr>
        <w:pStyle w:val="FootnoteText"/>
        <w:rPr>
          <w:lang w:val="fr-CA"/>
        </w:rPr>
      </w:pPr>
      <w:r w:rsidRPr="009903D3">
        <w:rPr>
          <w:rStyle w:val="FootnoteReference"/>
        </w:rPr>
        <w:footnoteRef/>
      </w:r>
      <w:r w:rsidRPr="009903D3">
        <w:rPr>
          <w:lang w:val="fr-CA"/>
        </w:rPr>
        <w:t xml:space="preserve">  [1925] AJC. 371.</w:t>
      </w:r>
    </w:p>
  </w:footnote>
  <w:footnote w:id="20">
    <w:p w:rsidR="00805BAA" w:rsidRPr="009903D3" w:rsidRDefault="00805BAA" w:rsidP="00395373">
      <w:pPr>
        <w:pStyle w:val="FootnoteText"/>
        <w:rPr>
          <w:lang w:val="en-US"/>
        </w:rPr>
      </w:pPr>
      <w:r w:rsidRPr="009903D3">
        <w:rPr>
          <w:rStyle w:val="FootnoteReference"/>
        </w:rPr>
        <w:footnoteRef/>
      </w:r>
      <w:r w:rsidRPr="009903D3">
        <w:t xml:space="preserve"> </w:t>
      </w:r>
      <w:proofErr w:type="gramStart"/>
      <w:r w:rsidRPr="009903D3">
        <w:rPr>
          <w:lang w:val="en-US"/>
        </w:rPr>
        <w:t>[1947] A.C. 24 at 31.</w:t>
      </w:r>
      <w:proofErr w:type="gramEnd"/>
    </w:p>
  </w:footnote>
  <w:footnote w:id="21">
    <w:p w:rsidR="00805BAA" w:rsidRPr="009903D3" w:rsidRDefault="00805BAA" w:rsidP="00395373">
      <w:pPr>
        <w:pStyle w:val="FootnoteText"/>
        <w:rPr>
          <w:lang w:val="en-US"/>
        </w:rPr>
      </w:pPr>
      <w:r w:rsidRPr="009903D3">
        <w:rPr>
          <w:rStyle w:val="FootnoteReference"/>
        </w:rPr>
        <w:footnoteRef/>
      </w:r>
      <w:r w:rsidRPr="009903D3">
        <w:t xml:space="preserve"> </w:t>
      </w:r>
      <w:proofErr w:type="gramStart"/>
      <w:r w:rsidRPr="009903D3">
        <w:rPr>
          <w:lang w:val="en-US"/>
        </w:rPr>
        <w:t>[1925] A.C. 371.</w:t>
      </w:r>
      <w:proofErr w:type="gramEnd"/>
    </w:p>
  </w:footnote>
  <w:footnote w:id="22">
    <w:p w:rsidR="00805BAA" w:rsidRPr="009903D3" w:rsidRDefault="00805BAA" w:rsidP="00395373">
      <w:pPr>
        <w:pStyle w:val="FootnoteText"/>
        <w:rPr>
          <w:lang w:val="en-US"/>
        </w:rPr>
      </w:pPr>
      <w:r w:rsidRPr="00D51409">
        <w:rPr>
          <w:rStyle w:val="FootnoteReference"/>
        </w:rPr>
        <w:footnoteRef/>
      </w:r>
      <w:r w:rsidRPr="00D51409">
        <w:t xml:space="preserve"> </w:t>
      </w:r>
      <w:r w:rsidRPr="00D51409">
        <w:rPr>
          <w:lang w:val="en-US"/>
        </w:rPr>
        <w:t xml:space="preserve">(1890) 15 App. </w:t>
      </w:r>
      <w:proofErr w:type="spellStart"/>
      <w:proofErr w:type="gramStart"/>
      <w:r w:rsidRPr="00D51409">
        <w:rPr>
          <w:lang w:val="en-US"/>
        </w:rPr>
        <w:t>Cas</w:t>
      </w:r>
      <w:proofErr w:type="spellEnd"/>
      <w:proofErr w:type="gramEnd"/>
      <w:r w:rsidRPr="00D51409">
        <w:rPr>
          <w:lang w:val="en-US"/>
        </w:rPr>
        <w:t>. 267.</w:t>
      </w:r>
    </w:p>
  </w:footnote>
  <w:footnote w:id="23">
    <w:p w:rsidR="00805BAA" w:rsidRPr="009903D3" w:rsidRDefault="00805BAA" w:rsidP="00395373">
      <w:pPr>
        <w:pStyle w:val="FootnoteText"/>
        <w:rPr>
          <w:lang w:val="en-US"/>
        </w:rPr>
      </w:pPr>
      <w:r w:rsidRPr="009903D3">
        <w:rPr>
          <w:rStyle w:val="FootnoteReference"/>
        </w:rPr>
        <w:footnoteRef/>
      </w:r>
      <w:r w:rsidRPr="009903D3">
        <w:t xml:space="preserve"> </w:t>
      </w:r>
      <w:r w:rsidRPr="009903D3">
        <w:rPr>
          <w:lang w:val="en-US"/>
        </w:rPr>
        <w:t xml:space="preserve"> </w:t>
      </w:r>
      <w:proofErr w:type="gramStart"/>
      <w:r w:rsidRPr="009903D3">
        <w:rPr>
          <w:lang w:val="en-US"/>
        </w:rPr>
        <w:t>[1935] I.R. 21.</w:t>
      </w:r>
      <w:proofErr w:type="gramEnd"/>
    </w:p>
  </w:footnote>
  <w:footnote w:id="24">
    <w:p w:rsidR="00805BAA" w:rsidRPr="009903D3" w:rsidRDefault="00805BAA" w:rsidP="00395373">
      <w:pPr>
        <w:pStyle w:val="FootnoteText"/>
        <w:rPr>
          <w:lang w:val="en-US"/>
        </w:rPr>
      </w:pPr>
      <w:r w:rsidRPr="009903D3">
        <w:rPr>
          <w:rStyle w:val="FootnoteReference"/>
        </w:rPr>
        <w:footnoteRef/>
      </w:r>
      <w:r w:rsidRPr="009903D3">
        <w:t xml:space="preserve"> </w:t>
      </w:r>
      <w:proofErr w:type="gramStart"/>
      <w:r w:rsidRPr="009903D3">
        <w:rPr>
          <w:lang w:val="en-US"/>
        </w:rPr>
        <w:t>(1857) 2 H. &amp; N. 339.</w:t>
      </w:r>
      <w:proofErr w:type="gramEnd"/>
    </w:p>
  </w:footnote>
  <w:footnote w:id="25">
    <w:p w:rsidR="00805BAA" w:rsidRPr="009903D3" w:rsidRDefault="00805BAA" w:rsidP="00395373">
      <w:pPr>
        <w:pStyle w:val="FootnoteText"/>
        <w:rPr>
          <w:lang w:val="en-US"/>
        </w:rPr>
      </w:pPr>
      <w:r w:rsidRPr="009903D3">
        <w:rPr>
          <w:rStyle w:val="FootnoteReference"/>
        </w:rPr>
        <w:footnoteRef/>
      </w:r>
      <w:r w:rsidRPr="009903D3">
        <w:t xml:space="preserve"> </w:t>
      </w:r>
      <w:proofErr w:type="gramStart"/>
      <w:r w:rsidRPr="009903D3">
        <w:rPr>
          <w:lang w:val="en-US"/>
        </w:rPr>
        <w:t xml:space="preserve">[1930] A.C. </w:t>
      </w:r>
      <w:r w:rsidRPr="009903D3">
        <w:rPr>
          <w:b/>
          <w:lang w:val="en-US"/>
        </w:rPr>
        <w:t>161.</w:t>
      </w:r>
      <w:proofErr w:type="gramEnd"/>
    </w:p>
  </w:footnote>
  <w:footnote w:id="26">
    <w:p w:rsidR="00805BAA" w:rsidRPr="009903D3" w:rsidRDefault="00805BAA" w:rsidP="00395373">
      <w:pPr>
        <w:pStyle w:val="FootnoteText"/>
        <w:rPr>
          <w:lang w:val="en-US"/>
        </w:rPr>
      </w:pPr>
      <w:r w:rsidRPr="009903D3">
        <w:rPr>
          <w:rStyle w:val="FootnoteReference"/>
        </w:rPr>
        <w:footnoteRef/>
      </w:r>
      <w:r w:rsidRPr="009903D3">
        <w:t xml:space="preserve"> </w:t>
      </w:r>
      <w:proofErr w:type="gramStart"/>
      <w:r w:rsidRPr="009903D3">
        <w:rPr>
          <w:lang w:val="en-US"/>
        </w:rPr>
        <w:t>2 H. &amp; N. 339.</w:t>
      </w:r>
      <w:proofErr w:type="gramEnd"/>
    </w:p>
  </w:footnote>
  <w:footnote w:id="27">
    <w:p w:rsidR="00805BAA" w:rsidRPr="009903D3" w:rsidRDefault="00805BAA" w:rsidP="00395373">
      <w:pPr>
        <w:pStyle w:val="FootnoteText"/>
        <w:rPr>
          <w:lang w:val="en-US"/>
        </w:rPr>
      </w:pPr>
      <w:r w:rsidRPr="009903D3">
        <w:rPr>
          <w:rStyle w:val="FootnoteReference"/>
        </w:rPr>
        <w:footnoteRef/>
      </w:r>
      <w:r w:rsidRPr="009903D3">
        <w:t xml:space="preserve"> </w:t>
      </w:r>
      <w:proofErr w:type="gramStart"/>
      <w:r w:rsidRPr="009903D3">
        <w:rPr>
          <w:lang w:val="en-US"/>
        </w:rPr>
        <w:t>[1927] 1 Ch. 313.</w:t>
      </w:r>
      <w:proofErr w:type="gramEnd"/>
    </w:p>
  </w:footnote>
  <w:footnote w:id="28">
    <w:p w:rsidR="00805BAA" w:rsidRPr="009903D3" w:rsidRDefault="00805BAA" w:rsidP="00395373">
      <w:pPr>
        <w:pStyle w:val="FootnoteText"/>
        <w:rPr>
          <w:lang w:val="fr-CA"/>
        </w:rPr>
      </w:pPr>
      <w:r w:rsidRPr="009903D3">
        <w:rPr>
          <w:rStyle w:val="FootnoteReference"/>
        </w:rPr>
        <w:footnoteRef/>
      </w:r>
      <w:r w:rsidRPr="009903D3">
        <w:t xml:space="preserve"> </w:t>
      </w:r>
      <w:proofErr w:type="gramStart"/>
      <w:r w:rsidRPr="009903D3">
        <w:rPr>
          <w:lang w:val="en-US"/>
        </w:rPr>
        <w:t>[1896] 1.Q.B.211.</w:t>
      </w:r>
      <w:proofErr w:type="gramEnd"/>
    </w:p>
  </w:footnote>
  <w:footnote w:id="29">
    <w:p w:rsidR="00805BAA" w:rsidRPr="00621140" w:rsidRDefault="00805BAA" w:rsidP="00395373">
      <w:pPr>
        <w:pStyle w:val="FootnoteText"/>
        <w:rPr>
          <w:lang w:val="fr-CA"/>
        </w:rPr>
      </w:pPr>
      <w:r>
        <w:rPr>
          <w:rStyle w:val="FootnoteReference"/>
        </w:rPr>
        <w:footnoteRef/>
      </w:r>
      <w:r>
        <w:t xml:space="preserve"> </w:t>
      </w:r>
      <w:proofErr w:type="gramStart"/>
      <w:r>
        <w:rPr>
          <w:lang w:val="en-US"/>
        </w:rPr>
        <w:t>[1910] A.C. 27.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9E05CC"/>
    <w:lvl w:ilvl="0">
      <w:start w:val="1"/>
      <w:numFmt w:val="decimal"/>
      <w:lvlText w:val="%1."/>
      <w:lvlJc w:val="left"/>
      <w:pPr>
        <w:tabs>
          <w:tab w:val="num" w:pos="720"/>
        </w:tabs>
        <w:ind w:left="720" w:hanging="360"/>
      </w:pPr>
    </w:lvl>
  </w:abstractNum>
  <w:abstractNum w:abstractNumId="1">
    <w:nsid w:val="0B683F1D"/>
    <w:multiLevelType w:val="multilevel"/>
    <w:tmpl w:val="DE0868C4"/>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56FEA"/>
    <w:multiLevelType w:val="multilevel"/>
    <w:tmpl w:val="6D085612"/>
    <w:lvl w:ilvl="0">
      <w:start w:val="1"/>
      <w:numFmt w:val="decimal"/>
      <w:lvlText w:val="(%1)"/>
      <w:lvlJc w:val="left"/>
      <w:pPr>
        <w:tabs>
          <w:tab w:val="left" w:pos="288"/>
        </w:tabs>
        <w:ind w:left="720"/>
      </w:pPr>
      <w:rPr>
        <w:rFonts w:ascii="Times New Roman" w:eastAsia="Times New Roman" w:hAnsi="Times New Roman"/>
        <w:strike w:val="0"/>
        <w:color w:val="000000"/>
        <w:spacing w:val="2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6F79A3"/>
    <w:multiLevelType w:val="multilevel"/>
    <w:tmpl w:val="7A021F6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5">
    <w:nsid w:val="78DC57C1"/>
    <w:multiLevelType w:val="multilevel"/>
    <w:tmpl w:val="C01C7664"/>
    <w:lvl w:ilvl="0">
      <w:start w:val="1"/>
      <w:numFmt w:val="decimal"/>
      <w:lvlText w:val="(%1)"/>
      <w:lvlJc w:val="left"/>
      <w:pPr>
        <w:tabs>
          <w:tab w:val="left" w:pos="360"/>
        </w:tabs>
        <w:ind w:left="720"/>
      </w:pPr>
      <w:rPr>
        <w:rFonts w:ascii="Bookman Old Style" w:eastAsia="Bookman Old Style" w:hAnsi="Bookman Old Style"/>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96DB2"/>
    <w:rsid w:val="0014260B"/>
    <w:rsid w:val="001662A8"/>
    <w:rsid w:val="002F57A9"/>
    <w:rsid w:val="00380A64"/>
    <w:rsid w:val="00395373"/>
    <w:rsid w:val="004436C8"/>
    <w:rsid w:val="00506E9A"/>
    <w:rsid w:val="00621140"/>
    <w:rsid w:val="00685B10"/>
    <w:rsid w:val="006B4A3B"/>
    <w:rsid w:val="006F2284"/>
    <w:rsid w:val="007B0D2B"/>
    <w:rsid w:val="007B461C"/>
    <w:rsid w:val="00805BAA"/>
    <w:rsid w:val="00974FBA"/>
    <w:rsid w:val="009903D3"/>
    <w:rsid w:val="00B96DB2"/>
    <w:rsid w:val="00C14087"/>
    <w:rsid w:val="00CF05AD"/>
    <w:rsid w:val="00D21369"/>
    <w:rsid w:val="00D51409"/>
    <w:rsid w:val="00D766B8"/>
    <w:rsid w:val="00DC215D"/>
    <w:rsid w:val="00E8733B"/>
    <w:rsid w:val="00EE4F0F"/>
    <w:rsid w:val="00F84B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D2B"/>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D766B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D766B8"/>
    <w:rPr>
      <w:rFonts w:cs="Arial"/>
      <w:b/>
      <w:szCs w:val="24"/>
    </w:rPr>
  </w:style>
  <w:style w:type="paragraph" w:customStyle="1" w:styleId="CitationLine">
    <w:name w:val="CitationLine"/>
    <w:basedOn w:val="Court"/>
    <w:rsid w:val="00D766B8"/>
  </w:style>
  <w:style w:type="paragraph" w:customStyle="1" w:styleId="DateISO">
    <w:name w:val="DateISO"/>
    <w:basedOn w:val="Court"/>
    <w:rsid w:val="00D766B8"/>
  </w:style>
  <w:style w:type="paragraph" w:styleId="Footer">
    <w:name w:val="footer"/>
    <w:basedOn w:val="Normal"/>
    <w:link w:val="FooterChar"/>
    <w:uiPriority w:val="99"/>
    <w:unhideWhenUsed/>
    <w:rsid w:val="00D766B8"/>
    <w:pPr>
      <w:tabs>
        <w:tab w:val="center" w:pos="4680"/>
        <w:tab w:val="right" w:pos="9360"/>
      </w:tabs>
    </w:pPr>
    <w:rPr>
      <w:rFonts w:ascii="Times New Roman" w:hAnsi="Times New Roman"/>
    </w:rPr>
  </w:style>
  <w:style w:type="character" w:customStyle="1" w:styleId="FooterChar">
    <w:name w:val="Footer Char"/>
    <w:link w:val="Footer"/>
    <w:uiPriority w:val="99"/>
    <w:rsid w:val="00D766B8"/>
    <w:rPr>
      <w:rFonts w:eastAsia="MS Mincho"/>
      <w:sz w:val="24"/>
      <w:szCs w:val="28"/>
      <w:lang w:val="en-CA" w:eastAsia="ja-JP"/>
    </w:rPr>
  </w:style>
  <w:style w:type="character" w:styleId="FootnoteReference">
    <w:name w:val="footnote reference"/>
    <w:semiHidden/>
    <w:rsid w:val="00D766B8"/>
    <w:rPr>
      <w:vertAlign w:val="superscript"/>
    </w:rPr>
  </w:style>
  <w:style w:type="paragraph" w:styleId="FootnoteText">
    <w:name w:val="footnote text"/>
    <w:basedOn w:val="Normal"/>
    <w:link w:val="FootnoteTextChar"/>
    <w:autoRedefine/>
    <w:rsid w:val="00395373"/>
    <w:rPr>
      <w:rFonts w:cs="Arial"/>
      <w:sz w:val="20"/>
      <w:szCs w:val="20"/>
    </w:rPr>
  </w:style>
  <w:style w:type="character" w:customStyle="1" w:styleId="FootnoteTextChar">
    <w:name w:val="Footnote Text Char"/>
    <w:link w:val="FootnoteText"/>
    <w:rsid w:val="00395373"/>
    <w:rPr>
      <w:rFonts w:ascii="Arial" w:eastAsia="MS Mincho" w:hAnsi="Arial" w:cs="Arial"/>
      <w:sz w:val="20"/>
      <w:szCs w:val="20"/>
      <w:lang w:val="en-CA" w:eastAsia="ja-JP"/>
    </w:rPr>
  </w:style>
  <w:style w:type="paragraph" w:styleId="Header">
    <w:name w:val="header"/>
    <w:basedOn w:val="Normal"/>
    <w:link w:val="HeaderChar"/>
    <w:uiPriority w:val="99"/>
    <w:unhideWhenUsed/>
    <w:rsid w:val="00D766B8"/>
    <w:pPr>
      <w:tabs>
        <w:tab w:val="center" w:pos="4680"/>
        <w:tab w:val="right" w:pos="9360"/>
      </w:tabs>
    </w:pPr>
    <w:rPr>
      <w:rFonts w:ascii="Times New Roman" w:hAnsi="Times New Roman"/>
    </w:rPr>
  </w:style>
  <w:style w:type="character" w:customStyle="1" w:styleId="HeaderChar">
    <w:name w:val="Header Char"/>
    <w:link w:val="Header"/>
    <w:uiPriority w:val="99"/>
    <w:rsid w:val="00D766B8"/>
    <w:rPr>
      <w:rFonts w:eastAsia="MS Mincho"/>
      <w:sz w:val="24"/>
      <w:szCs w:val="28"/>
      <w:lang w:val="en-CA" w:eastAsia="ja-JP"/>
    </w:rPr>
  </w:style>
  <w:style w:type="character" w:customStyle="1" w:styleId="Heading1Char">
    <w:name w:val="Heading 1 Char"/>
    <w:basedOn w:val="DefaultParagraphFont"/>
    <w:link w:val="Heading1"/>
    <w:rsid w:val="00D766B8"/>
    <w:rPr>
      <w:rFonts w:ascii="Arial" w:eastAsia="MS Mincho" w:hAnsi="Arial" w:cs="Arial"/>
      <w:b/>
      <w:bCs/>
      <w:noProof/>
      <w:kern w:val="32"/>
      <w:sz w:val="28"/>
      <w:szCs w:val="32"/>
      <w:lang w:val="en-CA" w:eastAsia="ja-JP"/>
    </w:rPr>
  </w:style>
  <w:style w:type="paragraph" w:customStyle="1" w:styleId="History">
    <w:name w:val="History"/>
    <w:basedOn w:val="Normal"/>
    <w:rsid w:val="00D766B8"/>
    <w:pPr>
      <w:spacing w:before="100" w:beforeAutospacing="1" w:after="100" w:afterAutospacing="1"/>
      <w:ind w:firstLine="567"/>
    </w:pPr>
  </w:style>
  <w:style w:type="paragraph" w:customStyle="1" w:styleId="Indent1">
    <w:name w:val="Indent 1"/>
    <w:basedOn w:val="Normal"/>
    <w:next w:val="Normal"/>
    <w:rsid w:val="00D766B8"/>
    <w:pPr>
      <w:spacing w:before="100" w:beforeAutospacing="1"/>
      <w:ind w:left="567"/>
      <w:jc w:val="both"/>
    </w:pPr>
  </w:style>
  <w:style w:type="paragraph" w:customStyle="1" w:styleId="Indent2">
    <w:name w:val="Indent 2"/>
    <w:basedOn w:val="Indent1"/>
    <w:rsid w:val="00D766B8"/>
    <w:pPr>
      <w:ind w:left="1134"/>
    </w:pPr>
  </w:style>
  <w:style w:type="paragraph" w:customStyle="1" w:styleId="Indent3">
    <w:name w:val="Indent 3"/>
    <w:basedOn w:val="Indent1"/>
    <w:rsid w:val="00D766B8"/>
    <w:pPr>
      <w:ind w:left="1701"/>
    </w:pPr>
  </w:style>
  <w:style w:type="paragraph" w:customStyle="1" w:styleId="Indent4">
    <w:name w:val="Indent 4"/>
    <w:basedOn w:val="Indent1"/>
    <w:rsid w:val="00D766B8"/>
    <w:pPr>
      <w:ind w:left="2268"/>
    </w:pPr>
  </w:style>
  <w:style w:type="paragraph" w:customStyle="1" w:styleId="Reasons">
    <w:name w:val="Reasons"/>
    <w:basedOn w:val="Normal"/>
    <w:link w:val="ReasonsCar"/>
    <w:rsid w:val="00621140"/>
    <w:pPr>
      <w:spacing w:before="100" w:beforeAutospacing="1" w:after="100" w:afterAutospacing="1"/>
    </w:pPr>
  </w:style>
  <w:style w:type="character" w:customStyle="1" w:styleId="ReasonsCar">
    <w:name w:val="Reasons Car"/>
    <w:link w:val="Reasons"/>
    <w:rsid w:val="00621140"/>
    <w:rPr>
      <w:rFonts w:ascii="Arial" w:eastAsia="MS Mincho" w:hAnsi="Arial"/>
      <w:sz w:val="24"/>
      <w:szCs w:val="28"/>
      <w:lang w:val="en-CA" w:eastAsia="ja-JP"/>
    </w:rPr>
  </w:style>
  <w:style w:type="paragraph" w:customStyle="1" w:styleId="Indent10">
    <w:name w:val="Indent1"/>
    <w:basedOn w:val="Reasons"/>
    <w:rsid w:val="00D766B8"/>
    <w:pPr>
      <w:ind w:left="567"/>
    </w:pPr>
  </w:style>
  <w:style w:type="paragraph" w:customStyle="1" w:styleId="Indent20">
    <w:name w:val="Indent2"/>
    <w:basedOn w:val="Indent10"/>
    <w:rsid w:val="00D766B8"/>
    <w:pPr>
      <w:ind w:left="1134"/>
    </w:pPr>
  </w:style>
  <w:style w:type="paragraph" w:customStyle="1" w:styleId="Indent30">
    <w:name w:val="Indent3"/>
    <w:basedOn w:val="Indent10"/>
    <w:rsid w:val="00D766B8"/>
    <w:pPr>
      <w:ind w:left="1701"/>
    </w:pPr>
  </w:style>
  <w:style w:type="paragraph" w:customStyle="1" w:styleId="Indent40">
    <w:name w:val="Indent4"/>
    <w:basedOn w:val="Indent10"/>
    <w:rsid w:val="00D766B8"/>
    <w:pPr>
      <w:ind w:left="2268"/>
    </w:pPr>
  </w:style>
  <w:style w:type="paragraph" w:customStyle="1" w:styleId="Keywords">
    <w:name w:val="Keywords"/>
    <w:basedOn w:val="Normal"/>
    <w:rsid w:val="00D766B8"/>
    <w:pPr>
      <w:spacing w:before="100" w:beforeAutospacing="1" w:after="100" w:afterAutospacing="1"/>
    </w:pPr>
    <w:rPr>
      <w:rFonts w:cs="Arial"/>
      <w:i/>
      <w:szCs w:val="24"/>
    </w:rPr>
  </w:style>
  <w:style w:type="paragraph" w:customStyle="1" w:styleId="Metadata">
    <w:name w:val="Metadata"/>
    <w:basedOn w:val="Normal"/>
    <w:rsid w:val="00D766B8"/>
    <w:pPr>
      <w:spacing w:before="100" w:beforeAutospacing="1" w:after="100" w:afterAutospacing="1"/>
    </w:pPr>
    <w:rPr>
      <w:rFonts w:cs="Arial"/>
      <w:szCs w:val="24"/>
    </w:rPr>
  </w:style>
  <w:style w:type="paragraph" w:customStyle="1" w:styleId="Page">
    <w:name w:val="Page"/>
    <w:basedOn w:val="Normal"/>
    <w:link w:val="PageChar"/>
    <w:rsid w:val="00D766B8"/>
    <w:pPr>
      <w:spacing w:before="100" w:beforeAutospacing="1" w:after="100" w:afterAutospacing="1"/>
    </w:pPr>
    <w:rPr>
      <w:i/>
    </w:rPr>
  </w:style>
  <w:style w:type="character" w:customStyle="1" w:styleId="PageChar">
    <w:name w:val="Page Char"/>
    <w:link w:val="Page"/>
    <w:rsid w:val="00D766B8"/>
    <w:rPr>
      <w:rFonts w:ascii="Arial" w:eastAsia="MS Mincho" w:hAnsi="Arial"/>
      <w:i/>
      <w:sz w:val="24"/>
      <w:szCs w:val="28"/>
      <w:lang w:val="en-CA" w:eastAsia="ja-JP"/>
    </w:rPr>
  </w:style>
  <w:style w:type="paragraph" w:customStyle="1" w:styleId="ParagNum">
    <w:name w:val="ParagNum"/>
    <w:basedOn w:val="Normal"/>
    <w:rsid w:val="00D766B8"/>
    <w:pPr>
      <w:numPr>
        <w:numId w:val="5"/>
      </w:numPr>
      <w:tabs>
        <w:tab w:val="left" w:pos="288"/>
        <w:tab w:val="left" w:pos="720"/>
      </w:tabs>
      <w:spacing w:before="240"/>
      <w:jc w:val="both"/>
    </w:pPr>
    <w:rPr>
      <w:szCs w:val="24"/>
      <w:lang w:eastAsia="fr-FR"/>
    </w:rPr>
  </w:style>
  <w:style w:type="paragraph" w:customStyle="1" w:styleId="Sollicitors">
    <w:name w:val="Sollicitors"/>
    <w:basedOn w:val="Normal"/>
    <w:rsid w:val="00D766B8"/>
    <w:pPr>
      <w:spacing w:before="100" w:beforeAutospacing="1" w:after="100" w:afterAutospacing="1"/>
    </w:pPr>
    <w:rPr>
      <w:i/>
    </w:rPr>
  </w:style>
  <w:style w:type="paragraph" w:customStyle="1" w:styleId="Summary">
    <w:name w:val="Summary"/>
    <w:basedOn w:val="Normal"/>
    <w:autoRedefine/>
    <w:rsid w:val="00621140"/>
    <w:pPr>
      <w:spacing w:before="100" w:beforeAutospacing="1" w:after="100" w:afterAutospacing="1"/>
      <w:ind w:left="562" w:hanging="562"/>
    </w:pPr>
    <w:rPr>
      <w:rFonts w:eastAsia="Bookman Old Style" w:cs="Arial"/>
      <w:szCs w:val="24"/>
      <w:lang w:val="en-US"/>
    </w:rPr>
  </w:style>
  <w:style w:type="paragraph" w:customStyle="1" w:styleId="T1">
    <w:name w:val="T1"/>
    <w:basedOn w:val="Normal"/>
    <w:rsid w:val="00D766B8"/>
    <w:pPr>
      <w:spacing w:before="240" w:after="100" w:afterAutospacing="1"/>
    </w:pPr>
    <w:rPr>
      <w:b/>
    </w:rPr>
  </w:style>
  <w:style w:type="paragraph" w:customStyle="1" w:styleId="T2">
    <w:name w:val="T2"/>
    <w:basedOn w:val="Normal"/>
    <w:rsid w:val="00D766B8"/>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D2B"/>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D766B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D766B8"/>
    <w:rPr>
      <w:rFonts w:cs="Arial"/>
      <w:b/>
      <w:szCs w:val="24"/>
    </w:rPr>
  </w:style>
  <w:style w:type="paragraph" w:customStyle="1" w:styleId="CitationLine">
    <w:name w:val="CitationLine"/>
    <w:basedOn w:val="Court"/>
    <w:rsid w:val="00D766B8"/>
  </w:style>
  <w:style w:type="paragraph" w:customStyle="1" w:styleId="DateISO">
    <w:name w:val="DateISO"/>
    <w:basedOn w:val="Court"/>
    <w:rsid w:val="00D766B8"/>
  </w:style>
  <w:style w:type="paragraph" w:styleId="Footer">
    <w:name w:val="footer"/>
    <w:basedOn w:val="Normal"/>
    <w:link w:val="FooterChar"/>
    <w:uiPriority w:val="99"/>
    <w:unhideWhenUsed/>
    <w:rsid w:val="00D766B8"/>
    <w:pPr>
      <w:tabs>
        <w:tab w:val="center" w:pos="4680"/>
        <w:tab w:val="right" w:pos="9360"/>
      </w:tabs>
    </w:pPr>
    <w:rPr>
      <w:rFonts w:ascii="Times New Roman" w:hAnsi="Times New Roman"/>
    </w:rPr>
  </w:style>
  <w:style w:type="character" w:customStyle="1" w:styleId="FooterChar">
    <w:name w:val="Footer Char"/>
    <w:link w:val="Footer"/>
    <w:uiPriority w:val="99"/>
    <w:rsid w:val="00D766B8"/>
    <w:rPr>
      <w:rFonts w:eastAsia="MS Mincho"/>
      <w:sz w:val="24"/>
      <w:szCs w:val="28"/>
      <w:lang w:val="en-CA" w:eastAsia="ja-JP"/>
    </w:rPr>
  </w:style>
  <w:style w:type="character" w:styleId="FootnoteReference">
    <w:name w:val="footnote reference"/>
    <w:semiHidden/>
    <w:rsid w:val="00D766B8"/>
    <w:rPr>
      <w:vertAlign w:val="superscript"/>
    </w:rPr>
  </w:style>
  <w:style w:type="paragraph" w:styleId="FootnoteText">
    <w:name w:val="footnote text"/>
    <w:basedOn w:val="Normal"/>
    <w:link w:val="FootnoteTextChar"/>
    <w:autoRedefine/>
    <w:rsid w:val="00395373"/>
    <w:rPr>
      <w:rFonts w:cs="Arial"/>
      <w:sz w:val="20"/>
      <w:szCs w:val="20"/>
    </w:rPr>
  </w:style>
  <w:style w:type="character" w:customStyle="1" w:styleId="FootnoteTextChar">
    <w:name w:val="Footnote Text Char"/>
    <w:link w:val="FootnoteText"/>
    <w:rsid w:val="00395373"/>
    <w:rPr>
      <w:rFonts w:ascii="Arial" w:eastAsia="MS Mincho" w:hAnsi="Arial" w:cs="Arial"/>
      <w:sz w:val="20"/>
      <w:szCs w:val="20"/>
      <w:lang w:val="en-CA" w:eastAsia="ja-JP"/>
    </w:rPr>
  </w:style>
  <w:style w:type="paragraph" w:styleId="Header">
    <w:name w:val="header"/>
    <w:basedOn w:val="Normal"/>
    <w:link w:val="HeaderChar"/>
    <w:uiPriority w:val="99"/>
    <w:unhideWhenUsed/>
    <w:rsid w:val="00D766B8"/>
    <w:pPr>
      <w:tabs>
        <w:tab w:val="center" w:pos="4680"/>
        <w:tab w:val="right" w:pos="9360"/>
      </w:tabs>
    </w:pPr>
    <w:rPr>
      <w:rFonts w:ascii="Times New Roman" w:hAnsi="Times New Roman"/>
    </w:rPr>
  </w:style>
  <w:style w:type="character" w:customStyle="1" w:styleId="HeaderChar">
    <w:name w:val="Header Char"/>
    <w:link w:val="Header"/>
    <w:uiPriority w:val="99"/>
    <w:rsid w:val="00D766B8"/>
    <w:rPr>
      <w:rFonts w:eastAsia="MS Mincho"/>
      <w:sz w:val="24"/>
      <w:szCs w:val="28"/>
      <w:lang w:val="en-CA" w:eastAsia="ja-JP"/>
    </w:rPr>
  </w:style>
  <w:style w:type="character" w:customStyle="1" w:styleId="Heading1Char">
    <w:name w:val="Heading 1 Char"/>
    <w:basedOn w:val="DefaultParagraphFont"/>
    <w:link w:val="Heading1"/>
    <w:rsid w:val="00D766B8"/>
    <w:rPr>
      <w:rFonts w:ascii="Arial" w:eastAsia="MS Mincho" w:hAnsi="Arial" w:cs="Arial"/>
      <w:b/>
      <w:bCs/>
      <w:noProof/>
      <w:kern w:val="32"/>
      <w:sz w:val="28"/>
      <w:szCs w:val="32"/>
      <w:lang w:val="en-CA" w:eastAsia="ja-JP"/>
    </w:rPr>
  </w:style>
  <w:style w:type="paragraph" w:customStyle="1" w:styleId="History">
    <w:name w:val="History"/>
    <w:basedOn w:val="Normal"/>
    <w:rsid w:val="00D766B8"/>
    <w:pPr>
      <w:spacing w:before="100" w:beforeAutospacing="1" w:after="100" w:afterAutospacing="1"/>
      <w:ind w:firstLine="567"/>
    </w:pPr>
  </w:style>
  <w:style w:type="paragraph" w:customStyle="1" w:styleId="Indent1">
    <w:name w:val="Indent 1"/>
    <w:basedOn w:val="Normal"/>
    <w:next w:val="Normal"/>
    <w:rsid w:val="00D766B8"/>
    <w:pPr>
      <w:spacing w:before="100" w:beforeAutospacing="1"/>
      <w:ind w:left="567"/>
      <w:jc w:val="both"/>
    </w:pPr>
  </w:style>
  <w:style w:type="paragraph" w:customStyle="1" w:styleId="Indent2">
    <w:name w:val="Indent 2"/>
    <w:basedOn w:val="Indent1"/>
    <w:rsid w:val="00D766B8"/>
    <w:pPr>
      <w:ind w:left="1134"/>
    </w:pPr>
  </w:style>
  <w:style w:type="paragraph" w:customStyle="1" w:styleId="Indent3">
    <w:name w:val="Indent 3"/>
    <w:basedOn w:val="Indent1"/>
    <w:rsid w:val="00D766B8"/>
    <w:pPr>
      <w:ind w:left="1701"/>
    </w:pPr>
  </w:style>
  <w:style w:type="paragraph" w:customStyle="1" w:styleId="Indent4">
    <w:name w:val="Indent 4"/>
    <w:basedOn w:val="Indent1"/>
    <w:rsid w:val="00D766B8"/>
    <w:pPr>
      <w:ind w:left="2268"/>
    </w:pPr>
  </w:style>
  <w:style w:type="paragraph" w:customStyle="1" w:styleId="Reasons">
    <w:name w:val="Reasons"/>
    <w:basedOn w:val="Normal"/>
    <w:link w:val="ReasonsCar"/>
    <w:rsid w:val="00621140"/>
    <w:pPr>
      <w:spacing w:before="100" w:beforeAutospacing="1" w:after="100" w:afterAutospacing="1"/>
    </w:pPr>
  </w:style>
  <w:style w:type="character" w:customStyle="1" w:styleId="ReasonsCar">
    <w:name w:val="Reasons Car"/>
    <w:link w:val="Reasons"/>
    <w:rsid w:val="00621140"/>
    <w:rPr>
      <w:rFonts w:ascii="Arial" w:eastAsia="MS Mincho" w:hAnsi="Arial"/>
      <w:sz w:val="24"/>
      <w:szCs w:val="28"/>
      <w:lang w:val="en-CA" w:eastAsia="ja-JP"/>
    </w:rPr>
  </w:style>
  <w:style w:type="paragraph" w:customStyle="1" w:styleId="Indent10">
    <w:name w:val="Indent1"/>
    <w:basedOn w:val="Reasons"/>
    <w:rsid w:val="00D766B8"/>
    <w:pPr>
      <w:ind w:left="567"/>
    </w:pPr>
  </w:style>
  <w:style w:type="paragraph" w:customStyle="1" w:styleId="Indent20">
    <w:name w:val="Indent2"/>
    <w:basedOn w:val="Indent10"/>
    <w:rsid w:val="00D766B8"/>
    <w:pPr>
      <w:ind w:left="1134"/>
    </w:pPr>
  </w:style>
  <w:style w:type="paragraph" w:customStyle="1" w:styleId="Indent30">
    <w:name w:val="Indent3"/>
    <w:basedOn w:val="Indent10"/>
    <w:rsid w:val="00D766B8"/>
    <w:pPr>
      <w:ind w:left="1701"/>
    </w:pPr>
  </w:style>
  <w:style w:type="paragraph" w:customStyle="1" w:styleId="Indent40">
    <w:name w:val="Indent4"/>
    <w:basedOn w:val="Indent10"/>
    <w:rsid w:val="00D766B8"/>
    <w:pPr>
      <w:ind w:left="2268"/>
    </w:pPr>
  </w:style>
  <w:style w:type="paragraph" w:customStyle="1" w:styleId="Keywords">
    <w:name w:val="Keywords"/>
    <w:basedOn w:val="Normal"/>
    <w:rsid w:val="00D766B8"/>
    <w:pPr>
      <w:spacing w:before="100" w:beforeAutospacing="1" w:after="100" w:afterAutospacing="1"/>
    </w:pPr>
    <w:rPr>
      <w:rFonts w:cs="Arial"/>
      <w:i/>
      <w:szCs w:val="24"/>
    </w:rPr>
  </w:style>
  <w:style w:type="paragraph" w:customStyle="1" w:styleId="Metadata">
    <w:name w:val="Metadata"/>
    <w:basedOn w:val="Normal"/>
    <w:rsid w:val="00D766B8"/>
    <w:pPr>
      <w:spacing w:before="100" w:beforeAutospacing="1" w:after="100" w:afterAutospacing="1"/>
    </w:pPr>
    <w:rPr>
      <w:rFonts w:cs="Arial"/>
      <w:szCs w:val="24"/>
    </w:rPr>
  </w:style>
  <w:style w:type="paragraph" w:customStyle="1" w:styleId="Page">
    <w:name w:val="Page"/>
    <w:basedOn w:val="Normal"/>
    <w:link w:val="PageChar"/>
    <w:rsid w:val="00D766B8"/>
    <w:pPr>
      <w:spacing w:before="100" w:beforeAutospacing="1" w:after="100" w:afterAutospacing="1"/>
    </w:pPr>
    <w:rPr>
      <w:i/>
    </w:rPr>
  </w:style>
  <w:style w:type="character" w:customStyle="1" w:styleId="PageChar">
    <w:name w:val="Page Char"/>
    <w:link w:val="Page"/>
    <w:rsid w:val="00D766B8"/>
    <w:rPr>
      <w:rFonts w:ascii="Arial" w:eastAsia="MS Mincho" w:hAnsi="Arial"/>
      <w:i/>
      <w:sz w:val="24"/>
      <w:szCs w:val="28"/>
      <w:lang w:val="en-CA" w:eastAsia="ja-JP"/>
    </w:rPr>
  </w:style>
  <w:style w:type="paragraph" w:customStyle="1" w:styleId="ParagNum">
    <w:name w:val="ParagNum"/>
    <w:basedOn w:val="Normal"/>
    <w:rsid w:val="00D766B8"/>
    <w:pPr>
      <w:numPr>
        <w:numId w:val="5"/>
      </w:numPr>
      <w:tabs>
        <w:tab w:val="left" w:pos="288"/>
        <w:tab w:val="left" w:pos="720"/>
      </w:tabs>
      <w:spacing w:before="240"/>
      <w:jc w:val="both"/>
    </w:pPr>
    <w:rPr>
      <w:szCs w:val="24"/>
      <w:lang w:eastAsia="fr-FR"/>
    </w:rPr>
  </w:style>
  <w:style w:type="paragraph" w:customStyle="1" w:styleId="Sollicitors">
    <w:name w:val="Sollicitors"/>
    <w:basedOn w:val="Normal"/>
    <w:rsid w:val="00D766B8"/>
    <w:pPr>
      <w:spacing w:before="100" w:beforeAutospacing="1" w:after="100" w:afterAutospacing="1"/>
    </w:pPr>
    <w:rPr>
      <w:i/>
    </w:rPr>
  </w:style>
  <w:style w:type="paragraph" w:customStyle="1" w:styleId="Summary">
    <w:name w:val="Summary"/>
    <w:basedOn w:val="Normal"/>
    <w:autoRedefine/>
    <w:rsid w:val="00621140"/>
    <w:pPr>
      <w:spacing w:before="100" w:beforeAutospacing="1" w:after="100" w:afterAutospacing="1"/>
      <w:ind w:left="562" w:hanging="562"/>
    </w:pPr>
    <w:rPr>
      <w:rFonts w:eastAsia="Bookman Old Style" w:cs="Arial"/>
      <w:szCs w:val="24"/>
      <w:lang w:val="en-US"/>
    </w:rPr>
  </w:style>
  <w:style w:type="paragraph" w:customStyle="1" w:styleId="T1">
    <w:name w:val="T1"/>
    <w:basedOn w:val="Normal"/>
    <w:rsid w:val="00D766B8"/>
    <w:pPr>
      <w:spacing w:before="240" w:after="100" w:afterAutospacing="1"/>
    </w:pPr>
    <w:rPr>
      <w:b/>
    </w:rPr>
  </w:style>
  <w:style w:type="paragraph" w:customStyle="1" w:styleId="T2">
    <w:name w:val="T2"/>
    <w:basedOn w:val="Normal"/>
    <w:rsid w:val="00D766B8"/>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20D3-2A97-49E5-B77D-DC9A6D71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6892</Words>
  <Characters>37910</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44713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13</cp:revision>
  <dcterms:created xsi:type="dcterms:W3CDTF">2017-04-10T18:27:00Z</dcterms:created>
  <dcterms:modified xsi:type="dcterms:W3CDTF">2017-04-13T17:54:00Z</dcterms:modified>
</cp:coreProperties>
</file>