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F4" w:rsidRDefault="001E69F4" w:rsidP="001E69F4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5pt" o:ole="">
            <v:imagedata r:id="rId8" o:title=""/>
          </v:shape>
          <o:OLEObject Type="Embed" ProgID="Presentations.Drawing.13" ShapeID="_x0000_i1025" DrawAspect="Content" ObjectID="_1580110694" r:id="rId9"/>
        </w:object>
      </w:r>
      <w:r>
        <w:t xml:space="preserve"> </w:t>
      </w:r>
      <w:r>
        <w:ptab w:relativeTo="margin" w:alignment="right" w:leader="none"/>
      </w:r>
    </w:p>
    <w:p w:rsidR="001E69F4" w:rsidRDefault="001E69F4" w:rsidP="001E69F4">
      <w:pPr>
        <w:pStyle w:val="Header"/>
      </w:pPr>
    </w:p>
    <w:p w:rsidR="001E69F4" w:rsidRPr="006B210C" w:rsidRDefault="001E69F4" w:rsidP="001E69F4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1E69F4" w:rsidRDefault="001E69F4" w:rsidP="001E69F4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1E69F4" w:rsidRPr="006B210C" w:rsidTr="00821A85">
        <w:trPr>
          <w:cantSplit/>
        </w:trPr>
        <w:tc>
          <w:tcPr>
            <w:tcW w:w="5670" w:type="dxa"/>
          </w:tcPr>
          <w:p w:rsidR="001E69F4" w:rsidRPr="00C30E47" w:rsidRDefault="001E69F4" w:rsidP="00821A85">
            <w:pPr>
              <w:rPr>
                <w:lang w:val="fr-CA"/>
              </w:rPr>
            </w:pPr>
            <w:r w:rsidRPr="00C30E47">
              <w:rPr>
                <w:b/>
                <w:smallCaps/>
                <w:lang w:val="fr-CA"/>
              </w:rPr>
              <w:t>Citation:</w:t>
            </w:r>
            <w:r w:rsidRPr="00C30E47">
              <w:rPr>
                <w:lang w:val="fr-CA"/>
              </w:rPr>
              <w:t xml:space="preserve"> R. </w:t>
            </w:r>
            <w:r w:rsidRPr="00C30E47">
              <w:rPr>
                <w:i/>
                <w:lang w:val="fr-CA"/>
              </w:rPr>
              <w:t>v.</w:t>
            </w:r>
            <w:r w:rsidRPr="00C30E47"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Millington</w:t>
            </w:r>
            <w:proofErr w:type="spellEnd"/>
            <w:r w:rsidRPr="00C30E47">
              <w:rPr>
                <w:lang w:val="fr-CA"/>
              </w:rPr>
              <w:t xml:space="preserve">, </w:t>
            </w:r>
            <w:r>
              <w:rPr>
                <w:lang w:val="fr-CA"/>
              </w:rPr>
              <w:t>2017 SCC 53</w:t>
            </w:r>
            <w:r>
              <w:t>, [2017] 2 S.C.R. 384</w:t>
            </w:r>
            <w:bookmarkStart w:id="0" w:name="_GoBack"/>
            <w:bookmarkEnd w:id="0"/>
          </w:p>
        </w:tc>
        <w:tc>
          <w:tcPr>
            <w:tcW w:w="3960" w:type="dxa"/>
          </w:tcPr>
          <w:p w:rsidR="001E69F4" w:rsidRDefault="001E69F4" w:rsidP="00821A85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October 30, 2017</w:t>
            </w:r>
          </w:p>
          <w:p w:rsidR="001E69F4" w:rsidRPr="006B210C" w:rsidRDefault="001E69F4" w:rsidP="00821A85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October 30, 2017</w:t>
            </w:r>
          </w:p>
          <w:p w:rsidR="001E69F4" w:rsidRPr="006B210C" w:rsidRDefault="001E69F4" w:rsidP="00821A85">
            <w:r w:rsidRPr="005D4B83">
              <w:rPr>
                <w:b/>
                <w:smallCaps/>
              </w:rPr>
              <w:t>Docket:</w:t>
            </w:r>
            <w:r>
              <w:t xml:space="preserve"> 37235</w:t>
            </w:r>
          </w:p>
        </w:tc>
      </w:tr>
    </w:tbl>
    <w:p w:rsidR="001E69F4" w:rsidRPr="006B210C" w:rsidRDefault="001E69F4" w:rsidP="001E69F4"/>
    <w:p w:rsidR="001E69F4" w:rsidRDefault="001E69F4" w:rsidP="001E69F4">
      <w:pPr>
        <w:pStyle w:val="SCCLsocPrefix"/>
      </w:pPr>
      <w:r>
        <w:t>Between:</w:t>
      </w:r>
    </w:p>
    <w:p w:rsidR="001E69F4" w:rsidRPr="00B36B38" w:rsidRDefault="001E69F4" w:rsidP="001E69F4">
      <w:pPr>
        <w:jc w:val="center"/>
        <w:rPr>
          <w:b/>
        </w:rPr>
      </w:pPr>
      <w:proofErr w:type="spellStart"/>
      <w:r w:rsidRPr="00B36B38">
        <w:rPr>
          <w:b/>
        </w:rPr>
        <w:t>Kwesi</w:t>
      </w:r>
      <w:proofErr w:type="spellEnd"/>
      <w:r w:rsidRPr="00B36B38">
        <w:rPr>
          <w:b/>
        </w:rPr>
        <w:t xml:space="preserve"> Millington</w:t>
      </w:r>
    </w:p>
    <w:p w:rsidR="001E69F4" w:rsidRDefault="001E69F4" w:rsidP="001E69F4">
      <w:pPr>
        <w:jc w:val="center"/>
      </w:pPr>
      <w:r>
        <w:t>Appellant</w:t>
      </w:r>
    </w:p>
    <w:p w:rsidR="001E69F4" w:rsidRPr="005D4B83" w:rsidRDefault="001E69F4" w:rsidP="001E69F4">
      <w:pPr>
        <w:jc w:val="center"/>
      </w:pPr>
    </w:p>
    <w:p w:rsidR="001E69F4" w:rsidRPr="001E69F4" w:rsidRDefault="001E69F4" w:rsidP="001E69F4">
      <w:pPr>
        <w:pStyle w:val="SCCLsocVersus"/>
        <w:spacing w:after="0"/>
        <w:jc w:val="center"/>
        <w:rPr>
          <w:i w:val="0"/>
        </w:rPr>
      </w:pPr>
      <w:proofErr w:type="gramStart"/>
      <w:r w:rsidRPr="001E69F4">
        <w:rPr>
          <w:i w:val="0"/>
        </w:rPr>
        <w:t>and</w:t>
      </w:r>
      <w:proofErr w:type="gramEnd"/>
    </w:p>
    <w:p w:rsidR="001E69F4" w:rsidRPr="005D4B83" w:rsidRDefault="001E69F4" w:rsidP="001E69F4">
      <w:pPr>
        <w:jc w:val="center"/>
      </w:pPr>
    </w:p>
    <w:p w:rsidR="001E69F4" w:rsidRDefault="001E69F4" w:rsidP="001E69F4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1E69F4" w:rsidRDefault="001E69F4" w:rsidP="001E69F4">
      <w:pPr>
        <w:jc w:val="center"/>
      </w:pPr>
      <w:r>
        <w:t>Respondent</w:t>
      </w:r>
    </w:p>
    <w:p w:rsidR="001E69F4" w:rsidRPr="007470F5" w:rsidRDefault="001E69F4" w:rsidP="001E69F4"/>
    <w:p w:rsidR="001E69F4" w:rsidRPr="006B210C" w:rsidRDefault="001E69F4" w:rsidP="001E69F4"/>
    <w:p w:rsidR="001E69F4" w:rsidRPr="006B210C" w:rsidRDefault="001E69F4" w:rsidP="001E69F4"/>
    <w:p w:rsidR="001E69F4" w:rsidRPr="006B210C" w:rsidRDefault="001E69F4" w:rsidP="001E69F4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 xml:space="preserve"> and Rowe JJ.</w:t>
      </w:r>
    </w:p>
    <w:p w:rsidR="001E69F4" w:rsidRPr="006B210C" w:rsidRDefault="001E69F4" w:rsidP="001E69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1E69F4" w:rsidRPr="006B210C" w:rsidTr="00821A85">
        <w:trPr>
          <w:cantSplit/>
        </w:trPr>
        <w:tc>
          <w:tcPr>
            <w:tcW w:w="3618" w:type="dxa"/>
          </w:tcPr>
          <w:p w:rsidR="001E69F4" w:rsidRDefault="001E69F4" w:rsidP="00821A85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1E69F4" w:rsidRPr="006B210C" w:rsidRDefault="001E69F4" w:rsidP="00821A85">
            <w:r>
              <w:t>(para. 1)</w:t>
            </w:r>
          </w:p>
        </w:tc>
        <w:tc>
          <w:tcPr>
            <w:tcW w:w="5958" w:type="dxa"/>
          </w:tcPr>
          <w:p w:rsidR="001E69F4" w:rsidRPr="006B210C" w:rsidRDefault="001E69F4" w:rsidP="00821A85">
            <w:proofErr w:type="spellStart"/>
            <w:r>
              <w:t>Abella</w:t>
            </w:r>
            <w:proofErr w:type="spellEnd"/>
            <w:r>
              <w:t xml:space="preserve"> J. (</w:t>
            </w:r>
            <w:proofErr w:type="spellStart"/>
            <w:r>
              <w:t>Moldaver</w:t>
            </w:r>
            <w:proofErr w:type="spellEnd"/>
            <w:r>
              <w:t xml:space="preserve">, </w:t>
            </w:r>
            <w:proofErr w:type="spellStart"/>
            <w:r>
              <w:t>Karakatsanis</w:t>
            </w:r>
            <w:proofErr w:type="spellEnd"/>
            <w:r>
              <w:t xml:space="preserve">, Wagner, </w:t>
            </w:r>
            <w:proofErr w:type="spellStart"/>
            <w:r>
              <w:t>Gascon</w:t>
            </w:r>
            <w:proofErr w:type="spellEnd"/>
            <w:r>
              <w:t xml:space="preserve">, </w:t>
            </w:r>
            <w:proofErr w:type="spellStart"/>
            <w:r>
              <w:t>Côté</w:t>
            </w:r>
            <w:proofErr w:type="spellEnd"/>
            <w:r>
              <w:t xml:space="preserve"> and Rowe JJ. concurring)</w:t>
            </w:r>
          </w:p>
        </w:tc>
      </w:tr>
    </w:tbl>
    <w:p w:rsidR="001E69F4" w:rsidRDefault="001E69F4" w:rsidP="001E69F4"/>
    <w:p w:rsidR="001E69F4" w:rsidRPr="006B210C" w:rsidRDefault="001E69F4" w:rsidP="001E69F4"/>
    <w:p w:rsidR="001E69F4" w:rsidRPr="006B210C" w:rsidRDefault="001E69F4" w:rsidP="001E69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A8C8A" wp14:editId="265E5045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7D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1E69F4" w:rsidRDefault="001E69F4" w:rsidP="001E69F4"/>
    <w:p w:rsidR="001E69F4" w:rsidRDefault="001E69F4" w:rsidP="002C1F0D">
      <w:pPr>
        <w:widowControl w:val="0"/>
        <w:spacing w:line="480" w:lineRule="auto"/>
        <w:jc w:val="both"/>
      </w:pPr>
    </w:p>
    <w:p w:rsidR="008322BD" w:rsidRPr="007651F5" w:rsidRDefault="007651F5" w:rsidP="002C1F0D">
      <w:pPr>
        <w:widowControl w:val="0"/>
        <w:spacing w:line="480" w:lineRule="auto"/>
        <w:jc w:val="both"/>
      </w:pPr>
      <w:r>
        <w:t>R</w:t>
      </w:r>
      <w:r w:rsidR="00794A3D" w:rsidRPr="007651F5">
        <w:t xml:space="preserve">. </w:t>
      </w:r>
      <w:r w:rsidR="00794A3D" w:rsidRPr="007651F5">
        <w:rPr>
          <w:i/>
        </w:rPr>
        <w:t>v.</w:t>
      </w:r>
      <w:r w:rsidR="00794A3D" w:rsidRPr="007651F5">
        <w:t xml:space="preserve"> </w:t>
      </w:r>
      <w:r>
        <w:t>M</w:t>
      </w:r>
      <w:r w:rsidR="00794A3D" w:rsidRPr="007651F5">
        <w:t>illington</w:t>
      </w:r>
      <w:r>
        <w:t xml:space="preserve">, 2017 </w:t>
      </w:r>
      <w:r w:rsidRPr="00C02092">
        <w:t>SCC </w:t>
      </w:r>
      <w:r>
        <w:t>53, [2017] 2 S.C.R. 384</w:t>
      </w:r>
    </w:p>
    <w:p w:rsidR="00766D14" w:rsidRDefault="00766D14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A149DF" w:rsidRPr="001426A9" w:rsidRDefault="00A149DF" w:rsidP="002C1F0D">
      <w:pPr>
        <w:widowControl w:val="0"/>
        <w:jc w:val="both"/>
      </w:pPr>
    </w:p>
    <w:p w:rsidR="00874AD9" w:rsidRDefault="00EE16C5" w:rsidP="002C1F0D">
      <w:pPr>
        <w:pStyle w:val="SCCLsocLastPartyInRole"/>
        <w:widowControl w:val="0"/>
      </w:pPr>
      <w:r>
        <w:t>Kwesi Millington</w:t>
      </w:r>
      <w:r>
        <w:rPr>
          <w:rStyle w:val="SCCLsocPartyRole"/>
        </w:rPr>
        <w:tab/>
        <w:t>Appellant</w:t>
      </w:r>
    </w:p>
    <w:p w:rsidR="00874AD9" w:rsidRDefault="00EE16C5" w:rsidP="002C1F0D">
      <w:pPr>
        <w:pStyle w:val="SCCLsocVersus"/>
        <w:widowControl w:val="0"/>
      </w:pPr>
      <w:r>
        <w:t>v.</w:t>
      </w:r>
    </w:p>
    <w:p w:rsidR="00874AD9" w:rsidRDefault="00EE16C5" w:rsidP="002C1F0D">
      <w:pPr>
        <w:pStyle w:val="SCCLsocLastPartyInRole"/>
        <w:widowControl w:val="0"/>
      </w:pPr>
      <w:r>
        <w:lastRenderedPageBreak/>
        <w:t xml:space="preserve">Her Majesty </w:t>
      </w:r>
      <w:r w:rsidR="000C0B81">
        <w:t>T</w:t>
      </w:r>
      <w:r>
        <w:t>he Queen</w:t>
      </w:r>
      <w:r>
        <w:rPr>
          <w:rStyle w:val="SCCLsocPartyRole"/>
        </w:rPr>
        <w:tab/>
        <w:t>Respondent</w:t>
      </w:r>
    </w:p>
    <w:p w:rsidR="00766D14" w:rsidRDefault="00766D14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A149DF" w:rsidRPr="001426A9" w:rsidRDefault="00A149DF" w:rsidP="002C1F0D">
      <w:pPr>
        <w:widowControl w:val="0"/>
        <w:jc w:val="both"/>
      </w:pPr>
    </w:p>
    <w:p w:rsidR="00426659" w:rsidRPr="00426659" w:rsidRDefault="00426659" w:rsidP="002C1F0D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 w:rsidR="00C53EC6">
        <w:rPr>
          <w:b/>
        </w:rPr>
        <w:t xml:space="preserve">R. </w:t>
      </w:r>
      <w:r w:rsidR="00C53EC6" w:rsidRPr="00C53EC6">
        <w:rPr>
          <w:b/>
          <w:i/>
        </w:rPr>
        <w:t>v.</w:t>
      </w:r>
      <w:r w:rsidR="00C53EC6">
        <w:rPr>
          <w:b/>
        </w:rPr>
        <w:t xml:space="preserve"> Millington</w:t>
      </w:r>
    </w:p>
    <w:p w:rsidR="00426659" w:rsidRDefault="00426659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426659" w:rsidRPr="00C02092" w:rsidRDefault="00AE4535" w:rsidP="002C1F0D">
      <w:pPr>
        <w:pStyle w:val="SCCSystemYear"/>
        <w:widowControl w:val="0"/>
        <w:jc w:val="both"/>
      </w:pPr>
      <w:r>
        <w:t>2017</w:t>
      </w:r>
      <w:r w:rsidR="003D0399">
        <w:t xml:space="preserve"> </w:t>
      </w:r>
      <w:r w:rsidR="00426659" w:rsidRPr="00C02092">
        <w:t>SCC </w:t>
      </w:r>
      <w:r w:rsidR="00C53EC6">
        <w:t>53</w:t>
      </w:r>
    </w:p>
    <w:p w:rsidR="00426659" w:rsidRDefault="00426659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8322BD" w:rsidRDefault="009B57B3" w:rsidP="002C1F0D">
      <w:pPr>
        <w:widowControl w:val="0"/>
        <w:jc w:val="both"/>
      </w:pPr>
      <w:r w:rsidRPr="001426A9">
        <w:t xml:space="preserve">File No.:  </w:t>
      </w:r>
      <w:r>
        <w:t>37235</w:t>
      </w:r>
      <w:r w:rsidRPr="001426A9">
        <w:t>.</w:t>
      </w:r>
    </w:p>
    <w:p w:rsidR="00E97830" w:rsidRDefault="00E97830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8322BD" w:rsidRDefault="00AE4535" w:rsidP="002C1F0D">
      <w:pPr>
        <w:widowControl w:val="0"/>
        <w:jc w:val="both"/>
      </w:pPr>
      <w:r>
        <w:t>2017:  October 30</w:t>
      </w:r>
      <w:r w:rsidR="00C53EC6">
        <w:t>.</w:t>
      </w:r>
    </w:p>
    <w:p w:rsidR="00E97830" w:rsidRDefault="00E97830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A149DF" w:rsidRDefault="00A149DF" w:rsidP="002C1F0D">
      <w:pPr>
        <w:widowControl w:val="0"/>
        <w:jc w:val="both"/>
      </w:pPr>
    </w:p>
    <w:p w:rsidR="008322BD" w:rsidRDefault="009B57B3" w:rsidP="002C1F0D">
      <w:pPr>
        <w:widowControl w:val="0"/>
        <w:jc w:val="both"/>
      </w:pPr>
      <w:r w:rsidRPr="001426A9">
        <w:t xml:space="preserve">Present:  </w:t>
      </w:r>
      <w:r>
        <w:t>Abella, Moldaver, Karakatsanis, Wagner, Gascon, Côté and Rowe JJ.</w:t>
      </w:r>
    </w:p>
    <w:p w:rsidR="00E97830" w:rsidRDefault="00E97830" w:rsidP="002C1F0D">
      <w:pPr>
        <w:widowControl w:val="0"/>
        <w:jc w:val="both"/>
      </w:pPr>
    </w:p>
    <w:p w:rsidR="006A1551" w:rsidRDefault="006A1551" w:rsidP="002C1F0D">
      <w:pPr>
        <w:widowControl w:val="0"/>
        <w:jc w:val="both"/>
      </w:pPr>
    </w:p>
    <w:p w:rsidR="006A1551" w:rsidRDefault="006A1551" w:rsidP="002C1F0D">
      <w:pPr>
        <w:widowControl w:val="0"/>
        <w:jc w:val="both"/>
      </w:pPr>
    </w:p>
    <w:p w:rsidR="00C53EC6" w:rsidRPr="001C779F" w:rsidRDefault="00C53EC6" w:rsidP="002C1F0D">
      <w:pPr>
        <w:pStyle w:val="SCCLowerCourtNameLowercase"/>
        <w:widowControl w:val="0"/>
      </w:pPr>
      <w:r>
        <w:t xml:space="preserve">on appeal from the court of appeal for british columbia </w:t>
      </w:r>
    </w:p>
    <w:p w:rsidR="008322BD" w:rsidRDefault="008322BD" w:rsidP="002C1F0D">
      <w:pPr>
        <w:pStyle w:val="SCCNormalDoubleSpacing"/>
        <w:widowControl w:val="0"/>
      </w:pPr>
    </w:p>
    <w:p w:rsidR="00685ABC" w:rsidRPr="002F6B0A" w:rsidRDefault="00685ABC" w:rsidP="002C1F0D">
      <w:pPr>
        <w:pStyle w:val="SCCNormalDoubleSpacing"/>
        <w:widowControl w:val="0"/>
        <w:rPr>
          <w:i/>
        </w:rPr>
      </w:pPr>
      <w:r>
        <w:rPr>
          <w:i/>
        </w:rPr>
        <w:tab/>
        <w:t xml:space="preserve">Criminal law </w:t>
      </w:r>
      <w:r w:rsidR="00F8477E">
        <w:rPr>
          <w:i/>
        </w:rPr>
        <w:t>—</w:t>
      </w:r>
      <w:r>
        <w:rPr>
          <w:i/>
        </w:rPr>
        <w:t xml:space="preserve"> Appeals </w:t>
      </w:r>
      <w:r w:rsidR="00F8477E">
        <w:rPr>
          <w:i/>
        </w:rPr>
        <w:t>—</w:t>
      </w:r>
      <w:r>
        <w:rPr>
          <w:i/>
        </w:rPr>
        <w:t xml:space="preserve"> Unreasonable verdict </w:t>
      </w:r>
      <w:r w:rsidR="00F8477E">
        <w:rPr>
          <w:i/>
        </w:rPr>
        <w:t>—</w:t>
      </w:r>
      <w:r>
        <w:rPr>
          <w:i/>
        </w:rPr>
        <w:t xml:space="preserve"> Misapprehension of evidence </w:t>
      </w:r>
      <w:r w:rsidR="00F8477E">
        <w:rPr>
          <w:i/>
        </w:rPr>
        <w:t>—</w:t>
      </w:r>
      <w:r>
        <w:rPr>
          <w:i/>
        </w:rPr>
        <w:t xml:space="preserve"> </w:t>
      </w:r>
      <w:r w:rsidR="008A5E3B">
        <w:rPr>
          <w:i/>
        </w:rPr>
        <w:t xml:space="preserve">Issue estoppel </w:t>
      </w:r>
      <w:r w:rsidR="00F8477E">
        <w:rPr>
          <w:i/>
        </w:rPr>
        <w:t>—</w:t>
      </w:r>
      <w:r w:rsidR="008A5E3B">
        <w:rPr>
          <w:i/>
        </w:rPr>
        <w:t xml:space="preserve"> Abuse of process </w:t>
      </w:r>
      <w:r w:rsidR="00F8477E">
        <w:rPr>
          <w:i/>
        </w:rPr>
        <w:t>—</w:t>
      </w:r>
      <w:r w:rsidR="00234681">
        <w:rPr>
          <w:i/>
        </w:rPr>
        <w:t xml:space="preserve"> Accused and three other RCMP officers charged with </w:t>
      </w:r>
      <w:r>
        <w:rPr>
          <w:i/>
        </w:rPr>
        <w:t>perjury</w:t>
      </w:r>
      <w:r w:rsidR="00234681">
        <w:rPr>
          <w:i/>
        </w:rPr>
        <w:t xml:space="preserve"> after providing inaccurate testimony at inquest into death of visitor tasered by accused at airport</w:t>
      </w:r>
      <w:r>
        <w:rPr>
          <w:i/>
        </w:rPr>
        <w:t xml:space="preserve"> </w:t>
      </w:r>
      <w:r w:rsidR="00F8477E">
        <w:rPr>
          <w:i/>
        </w:rPr>
        <w:t>—</w:t>
      </w:r>
      <w:r>
        <w:rPr>
          <w:i/>
        </w:rPr>
        <w:t xml:space="preserve"> </w:t>
      </w:r>
      <w:r w:rsidR="00234681">
        <w:rPr>
          <w:i/>
        </w:rPr>
        <w:t xml:space="preserve">Separate trials held </w:t>
      </w:r>
      <w:r w:rsidR="00F8477E">
        <w:rPr>
          <w:i/>
        </w:rPr>
        <w:t>—</w:t>
      </w:r>
      <w:r w:rsidR="00234681">
        <w:rPr>
          <w:i/>
        </w:rPr>
        <w:t xml:space="preserve"> Accused and another officer convicted but two officers acquitted </w:t>
      </w:r>
      <w:r w:rsidR="00F8477E">
        <w:rPr>
          <w:i/>
        </w:rPr>
        <w:t>—</w:t>
      </w:r>
      <w:r w:rsidR="00234681">
        <w:rPr>
          <w:i/>
        </w:rPr>
        <w:t xml:space="preserve"> </w:t>
      </w:r>
      <w:r>
        <w:rPr>
          <w:i/>
        </w:rPr>
        <w:t xml:space="preserve">Court of Appeal holding that trial </w:t>
      </w:r>
      <w:r w:rsidR="0011140A">
        <w:rPr>
          <w:i/>
        </w:rPr>
        <w:t>judge committed no reviewable errors in findings of fact</w:t>
      </w:r>
      <w:r w:rsidR="008A5E3B">
        <w:rPr>
          <w:i/>
        </w:rPr>
        <w:t>,</w:t>
      </w:r>
      <w:r>
        <w:rPr>
          <w:i/>
        </w:rPr>
        <w:t xml:space="preserve"> did not misapprehend evidence</w:t>
      </w:r>
      <w:r w:rsidR="008A5E3B">
        <w:rPr>
          <w:i/>
        </w:rPr>
        <w:t xml:space="preserve"> and did not err in allowing Crown to pursue issue of collusion at trial of accused </w:t>
      </w:r>
      <w:r w:rsidR="00F8477E">
        <w:rPr>
          <w:i/>
        </w:rPr>
        <w:t>—</w:t>
      </w:r>
      <w:r>
        <w:rPr>
          <w:i/>
        </w:rPr>
        <w:t xml:space="preserve"> Conviction upheld.</w:t>
      </w:r>
    </w:p>
    <w:p w:rsidR="00A149DF" w:rsidRDefault="00A149DF" w:rsidP="002C1F0D">
      <w:pPr>
        <w:pStyle w:val="SCCNormalDoubleSpacing"/>
        <w:widowControl w:val="0"/>
      </w:pPr>
    </w:p>
    <w:p w:rsidR="00F168BD" w:rsidRDefault="009B57B3" w:rsidP="002C1F0D">
      <w:pPr>
        <w:pStyle w:val="SCCNormalDoubleSpacing"/>
        <w:widowControl w:val="0"/>
      </w:pPr>
      <w:r w:rsidRPr="001426A9">
        <w:tab/>
      </w:r>
      <w:r w:rsidR="00F168BD" w:rsidRPr="001426A9">
        <w:t xml:space="preserve">APPEAL from a judgment of the </w:t>
      </w:r>
      <w:r w:rsidR="00F168BD">
        <w:t>British Columbia Court of Appeal (Lowry, Harris and Dickson JJ.A.)</w:t>
      </w:r>
      <w:r w:rsidR="0033161A">
        <w:t xml:space="preserve">, 2016 BCCA 293, [2016] B.C.J. No. 1491 (QL), 2016 CarswellBC 1942 (WL Can.), </w:t>
      </w:r>
      <w:r w:rsidR="0033161A" w:rsidRPr="00DD3354">
        <w:t xml:space="preserve">affirming the conviction </w:t>
      </w:r>
      <w:r w:rsidR="00DD3354">
        <w:t>entered by Ehrcke J., 2015 BCSC 515, [2015] B.C.J. No. 627</w:t>
      </w:r>
      <w:r w:rsidR="00F8477E">
        <w:t xml:space="preserve"> (QL)</w:t>
      </w:r>
      <w:r w:rsidR="00DD3354">
        <w:t>, 2015 CarswellBC 867</w:t>
      </w:r>
      <w:r w:rsidR="00F8477E">
        <w:t xml:space="preserve"> (WL Can.)</w:t>
      </w:r>
      <w:r w:rsidR="0033161A" w:rsidRPr="00DD3354">
        <w:t>.</w:t>
      </w:r>
      <w:r w:rsidR="0033161A">
        <w:t xml:space="preserve"> Appeal</w:t>
      </w:r>
      <w:r w:rsidR="00001EA2">
        <w:t xml:space="preserve"> </w:t>
      </w:r>
      <w:r w:rsidR="005C2173">
        <w:t>dismissed, Côté J. dissenting.</w:t>
      </w:r>
    </w:p>
    <w:p w:rsidR="00656313" w:rsidRDefault="00656313" w:rsidP="002C1F0D">
      <w:pPr>
        <w:pStyle w:val="SCCNormalDoubleSpacing"/>
        <w:widowControl w:val="0"/>
      </w:pPr>
    </w:p>
    <w:p w:rsidR="00874AD9" w:rsidRDefault="00EE16C5" w:rsidP="002C1F0D">
      <w:pPr>
        <w:pStyle w:val="SCCNormalDoubleSpacing"/>
        <w:widowControl w:val="0"/>
      </w:pPr>
      <w:r>
        <w:rPr>
          <w:rStyle w:val="SCCCounselNameChar"/>
        </w:rPr>
        <w:tab/>
        <w:t>Glen Orris</w:t>
      </w:r>
      <w:r w:rsidRPr="00F8477E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PartyRoleChar"/>
        </w:rPr>
        <w:t>, for the appellant.</w:t>
      </w:r>
    </w:p>
    <w:p w:rsidR="00874AD9" w:rsidRDefault="00874AD9" w:rsidP="002C1F0D">
      <w:pPr>
        <w:pStyle w:val="SCCNormalDoubleSpacing"/>
        <w:widowControl w:val="0"/>
      </w:pPr>
    </w:p>
    <w:p w:rsidR="00874AD9" w:rsidRDefault="00EE16C5" w:rsidP="002C1F0D">
      <w:pPr>
        <w:pStyle w:val="SCCNormalDoubleSpacing"/>
        <w:widowControl w:val="0"/>
      </w:pPr>
      <w:r>
        <w:rPr>
          <w:rStyle w:val="SCCCounselNameChar"/>
        </w:rPr>
        <w:tab/>
        <w:t>Richard C.</w:t>
      </w:r>
      <w:r w:rsidR="00001EA2">
        <w:rPr>
          <w:rStyle w:val="SCCCounselNameChar"/>
        </w:rPr>
        <w:t xml:space="preserve"> </w:t>
      </w:r>
      <w:r>
        <w:rPr>
          <w:rStyle w:val="SCCCounselNameChar"/>
        </w:rPr>
        <w:t>C. Peck</w:t>
      </w:r>
      <w:r w:rsidRPr="00F8477E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>Eric V. Gottardi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Tony C. Paisana</w:t>
      </w:r>
      <w:r>
        <w:rPr>
          <w:rStyle w:val="SCCCounselPartyRoleChar"/>
        </w:rPr>
        <w:t>, for the respondent.</w:t>
      </w:r>
    </w:p>
    <w:p w:rsidR="00874AD9" w:rsidRDefault="00874AD9" w:rsidP="002C1F0D">
      <w:pPr>
        <w:pStyle w:val="SCCNormalDoubleSpacing"/>
        <w:widowControl w:val="0"/>
      </w:pPr>
    </w:p>
    <w:p w:rsidR="002B2A40" w:rsidRDefault="002B2A40" w:rsidP="002C1F0D">
      <w:pPr>
        <w:pStyle w:val="SCCNormalDoubleSpacing"/>
        <w:widowControl w:val="0"/>
      </w:pPr>
      <w:r>
        <w:tab/>
        <w:t>The judgment of the Court was delivered orally by</w:t>
      </w:r>
    </w:p>
    <w:p w:rsidR="002B2A40" w:rsidRDefault="002B2A40" w:rsidP="002C1F0D">
      <w:pPr>
        <w:pStyle w:val="ParaNoNdepar-AltN"/>
        <w:widowControl w:val="0"/>
        <w:numPr>
          <w:ilvl w:val="0"/>
          <w:numId w:val="1"/>
        </w:numPr>
        <w:tabs>
          <w:tab w:val="num" w:pos="1152"/>
        </w:tabs>
        <w:ind w:left="0" w:firstLine="0"/>
      </w:pPr>
      <w:r w:rsidRPr="007D2568">
        <w:rPr>
          <w:rFonts w:cs="Times New Roman"/>
          <w:smallCaps/>
        </w:rPr>
        <w:t>Abella J.</w:t>
      </w:r>
      <w:r w:rsidRPr="007D2568">
        <w:rPr>
          <w:rFonts w:cs="Times New Roman"/>
        </w:rPr>
        <w:t xml:space="preserve"> — A majority would dismiss the appeal substantially for the reasons of the Court of Appeal. Justice Côté, dissenting, would have ordered a new trial on the basis that the finding of collusion was unreasonable and tainted the other findings of the trial judge.</w:t>
      </w:r>
    </w:p>
    <w:p w:rsidR="009B57B3" w:rsidRPr="00ED3830" w:rsidRDefault="009B57B3" w:rsidP="002C1F0D">
      <w:pPr>
        <w:pStyle w:val="SCCNormalDoubleSpacing"/>
        <w:widowControl w:val="0"/>
        <w:rPr>
          <w:i/>
        </w:rPr>
      </w:pPr>
      <w:r w:rsidRPr="001426A9">
        <w:tab/>
      </w:r>
      <w:r w:rsidR="00ED3830" w:rsidRPr="00ED3830">
        <w:rPr>
          <w:i/>
        </w:rPr>
        <w:t>Judgment accordingly.</w:t>
      </w:r>
    </w:p>
    <w:p w:rsidR="00A149DF" w:rsidRPr="001426A9" w:rsidRDefault="00A149DF" w:rsidP="002C1F0D">
      <w:pPr>
        <w:pStyle w:val="SCCNormalDoubleSpacing"/>
        <w:widowControl w:val="0"/>
      </w:pPr>
    </w:p>
    <w:p w:rsidR="00874AD9" w:rsidRDefault="00EE16C5" w:rsidP="002C1F0D">
      <w:pPr>
        <w:pStyle w:val="SCCLawFirm"/>
        <w:widowControl w:val="0"/>
      </w:pPr>
      <w:r>
        <w:tab/>
        <w:t xml:space="preserve">Solicitor for the appellant:  Glen </w:t>
      </w:r>
      <w:proofErr w:type="spellStart"/>
      <w:r>
        <w:t>Orris</w:t>
      </w:r>
      <w:proofErr w:type="spellEnd"/>
      <w:r w:rsidR="00DD3354">
        <w:t>, Q.C. Law Corp.</w:t>
      </w:r>
      <w:r>
        <w:t>, Vancouver.</w:t>
      </w:r>
    </w:p>
    <w:p w:rsidR="00874AD9" w:rsidRDefault="00874AD9" w:rsidP="002C1F0D">
      <w:pPr>
        <w:pStyle w:val="SCCLawFirm"/>
        <w:widowControl w:val="0"/>
      </w:pPr>
    </w:p>
    <w:p w:rsidR="00874AD9" w:rsidRDefault="00EE16C5" w:rsidP="002C1F0D">
      <w:pPr>
        <w:pStyle w:val="SCCLawFirm"/>
        <w:widowControl w:val="0"/>
      </w:pPr>
      <w:r>
        <w:tab/>
        <w:t>Solicitor</w:t>
      </w:r>
      <w:r w:rsidR="008174C3">
        <w:t>s</w:t>
      </w:r>
      <w:r>
        <w:t xml:space="preserve"> for the respondent:  Peck and Company, Vancouver.</w:t>
      </w:r>
    </w:p>
    <w:sectPr w:rsidR="00874AD9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09E9"/>
    <w:multiLevelType w:val="hybridMultilevel"/>
    <w:tmpl w:val="D654DF4E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1EA2"/>
    <w:rsid w:val="00025198"/>
    <w:rsid w:val="000578A3"/>
    <w:rsid w:val="000648CC"/>
    <w:rsid w:val="000C0B81"/>
    <w:rsid w:val="000C59B8"/>
    <w:rsid w:val="000C6AF0"/>
    <w:rsid w:val="00104F33"/>
    <w:rsid w:val="0011140A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1E69F4"/>
    <w:rsid w:val="00220FC2"/>
    <w:rsid w:val="002222F4"/>
    <w:rsid w:val="00224FC0"/>
    <w:rsid w:val="00225EA4"/>
    <w:rsid w:val="00226EAF"/>
    <w:rsid w:val="00231F3A"/>
    <w:rsid w:val="00234199"/>
    <w:rsid w:val="00234681"/>
    <w:rsid w:val="002406EE"/>
    <w:rsid w:val="00243EC8"/>
    <w:rsid w:val="00270D93"/>
    <w:rsid w:val="002745CC"/>
    <w:rsid w:val="002B2A40"/>
    <w:rsid w:val="002B7924"/>
    <w:rsid w:val="002C1F0D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161A"/>
    <w:rsid w:val="003323B0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36FF"/>
    <w:rsid w:val="005125A8"/>
    <w:rsid w:val="00521AE8"/>
    <w:rsid w:val="00527180"/>
    <w:rsid w:val="0054201E"/>
    <w:rsid w:val="00555291"/>
    <w:rsid w:val="00566AD1"/>
    <w:rsid w:val="00582763"/>
    <w:rsid w:val="00583EDE"/>
    <w:rsid w:val="005A6079"/>
    <w:rsid w:val="005C2173"/>
    <w:rsid w:val="005E4698"/>
    <w:rsid w:val="00610539"/>
    <w:rsid w:val="00613969"/>
    <w:rsid w:val="00625C35"/>
    <w:rsid w:val="00656313"/>
    <w:rsid w:val="006565F4"/>
    <w:rsid w:val="00684EEA"/>
    <w:rsid w:val="00685ABC"/>
    <w:rsid w:val="0069689B"/>
    <w:rsid w:val="006A1551"/>
    <w:rsid w:val="006B5FF5"/>
    <w:rsid w:val="006F30AF"/>
    <w:rsid w:val="00701759"/>
    <w:rsid w:val="00705C15"/>
    <w:rsid w:val="0071600E"/>
    <w:rsid w:val="007208D1"/>
    <w:rsid w:val="00747288"/>
    <w:rsid w:val="00747DD3"/>
    <w:rsid w:val="007549C8"/>
    <w:rsid w:val="00754A0B"/>
    <w:rsid w:val="007651F5"/>
    <w:rsid w:val="00766D14"/>
    <w:rsid w:val="00767A0F"/>
    <w:rsid w:val="00794A3D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174C3"/>
    <w:rsid w:val="00820EE5"/>
    <w:rsid w:val="008260E2"/>
    <w:rsid w:val="008322BD"/>
    <w:rsid w:val="00833E0A"/>
    <w:rsid w:val="00834F73"/>
    <w:rsid w:val="00852055"/>
    <w:rsid w:val="00864CF8"/>
    <w:rsid w:val="00872819"/>
    <w:rsid w:val="00874914"/>
    <w:rsid w:val="00874AD9"/>
    <w:rsid w:val="00891422"/>
    <w:rsid w:val="00892E1A"/>
    <w:rsid w:val="008A3F29"/>
    <w:rsid w:val="008A5E3B"/>
    <w:rsid w:val="008B660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813A0"/>
    <w:rsid w:val="0099104B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A53C8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EC6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D3354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B70A1"/>
    <w:rsid w:val="00ED3830"/>
    <w:rsid w:val="00EE16C5"/>
    <w:rsid w:val="00EE643C"/>
    <w:rsid w:val="00EF0683"/>
    <w:rsid w:val="00EF69D2"/>
    <w:rsid w:val="00EF766E"/>
    <w:rsid w:val="00F0070C"/>
    <w:rsid w:val="00F00EB7"/>
    <w:rsid w:val="00F06D32"/>
    <w:rsid w:val="00F168BD"/>
    <w:rsid w:val="00F36AB6"/>
    <w:rsid w:val="00F37A09"/>
    <w:rsid w:val="00F409CE"/>
    <w:rsid w:val="00F4379D"/>
    <w:rsid w:val="00F50D2D"/>
    <w:rsid w:val="00F56C8B"/>
    <w:rsid w:val="00F66810"/>
    <w:rsid w:val="00F846D9"/>
    <w:rsid w:val="00F8477E"/>
    <w:rsid w:val="00F84DF4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customStyle="1" w:styleId="ParaNoNdepar-AltN">
    <w:name w:val="Para. No. / Nº de par. - Alt N"/>
    <w:qFormat/>
    <w:rsid w:val="002B2A40"/>
    <w:pPr>
      <w:tabs>
        <w:tab w:val="num" w:pos="1242"/>
      </w:tabs>
      <w:spacing w:before="480" w:after="480" w:line="480" w:lineRule="auto"/>
      <w:ind w:left="90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E69F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1E69F4"/>
    <w:rPr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1E69F4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1E69F4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558D-41DE-4ED4-9C0A-16B89482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2017-11-01T18:03:00Z</dcterms:created>
  <dcterms:modified xsi:type="dcterms:W3CDTF">2018-02-14T15:51:00Z</dcterms:modified>
</cp:coreProperties>
</file>