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9" w:rsidRDefault="00EC2E79" w:rsidP="004A1A21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65pt" o:ole="">
            <v:imagedata r:id="rId8" o:title=""/>
          </v:shape>
          <o:OLEObject Type="Embed" ProgID="Presentations.Drawing.13" ShapeID="_x0000_i1025" DrawAspect="Content" ObjectID="_1615030521" r:id="rId9"/>
        </w:object>
      </w:r>
      <w:bookmarkEnd w:id="0"/>
      <w:r>
        <w:t xml:space="preserve"> </w:t>
      </w:r>
      <w:r>
        <w:ptab w:relativeTo="margin" w:alignment="right" w:leader="none"/>
      </w:r>
    </w:p>
    <w:p w:rsidR="00EC2E79" w:rsidRDefault="00EC2E79" w:rsidP="00EC2E79">
      <w:pPr>
        <w:pStyle w:val="Header"/>
      </w:pPr>
    </w:p>
    <w:p w:rsidR="00EC2E79" w:rsidRPr="006B210C" w:rsidRDefault="00EC2E79" w:rsidP="00EC2E7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EC2E79" w:rsidRDefault="00EC2E79" w:rsidP="00EC2E79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EC2E79" w:rsidRPr="006B210C" w:rsidTr="00985AD3">
        <w:trPr>
          <w:cantSplit/>
        </w:trPr>
        <w:tc>
          <w:tcPr>
            <w:tcW w:w="5670" w:type="dxa"/>
          </w:tcPr>
          <w:p w:rsidR="00EC2E79" w:rsidRPr="006B1FAF" w:rsidRDefault="00EC2E79" w:rsidP="00294A57">
            <w:r w:rsidRPr="006B1FAF">
              <w:rPr>
                <w:b/>
                <w:smallCaps/>
              </w:rPr>
              <w:t>Citation:</w:t>
            </w:r>
            <w:r w:rsidRPr="006B1FAF">
              <w:t xml:space="preserve"> R. </w:t>
            </w:r>
            <w:r w:rsidRPr="006B1FAF">
              <w:rPr>
                <w:i/>
              </w:rPr>
              <w:t>v.</w:t>
            </w:r>
            <w:r w:rsidRPr="006B1FAF">
              <w:t xml:space="preserve"> A.</w:t>
            </w:r>
            <w:r>
              <w:t>R.J.D.</w:t>
            </w:r>
            <w:r w:rsidRPr="006B1FAF">
              <w:t xml:space="preserve">, 2018 SCC </w:t>
            </w:r>
            <w:r w:rsidR="00294A57">
              <w:t>6</w:t>
            </w:r>
            <w:r w:rsidRPr="006B1FAF">
              <w:t xml:space="preserve">, [2018] 1 S.C.R. </w:t>
            </w:r>
            <w:r>
              <w:t>218</w:t>
            </w:r>
          </w:p>
        </w:tc>
        <w:tc>
          <w:tcPr>
            <w:tcW w:w="3960" w:type="dxa"/>
          </w:tcPr>
          <w:p w:rsidR="00EC2E79" w:rsidRDefault="00EC2E79" w:rsidP="00985AD3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9, 2018</w:t>
            </w:r>
          </w:p>
          <w:p w:rsidR="00EC2E79" w:rsidRPr="006B210C" w:rsidRDefault="00EC2E79" w:rsidP="00985AD3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February 9, 2018</w:t>
            </w:r>
          </w:p>
          <w:p w:rsidR="00EC2E79" w:rsidRPr="006B210C" w:rsidRDefault="00EC2E79" w:rsidP="00985AD3">
            <w:r w:rsidRPr="005D4B83">
              <w:rPr>
                <w:b/>
                <w:smallCaps/>
              </w:rPr>
              <w:t>Docket:</w:t>
            </w:r>
            <w:r>
              <w:t xml:space="preserve"> 37715</w:t>
            </w:r>
          </w:p>
        </w:tc>
      </w:tr>
    </w:tbl>
    <w:p w:rsidR="00EC2E79" w:rsidRPr="006B210C" w:rsidRDefault="00EC2E79" w:rsidP="00EC2E79"/>
    <w:p w:rsidR="00EC2E79" w:rsidRDefault="00EC2E79" w:rsidP="00EC2E79">
      <w:pPr>
        <w:pStyle w:val="SCCLsocPrefix"/>
      </w:pPr>
      <w:r>
        <w:t>Between:</w:t>
      </w:r>
    </w:p>
    <w:p w:rsidR="00EC2E79" w:rsidRPr="00A53D62" w:rsidRDefault="00EC2E79" w:rsidP="00EC2E79">
      <w:pPr>
        <w:jc w:val="center"/>
        <w:rPr>
          <w:b/>
        </w:rPr>
      </w:pPr>
      <w:r>
        <w:rPr>
          <w:b/>
        </w:rPr>
        <w:t>A.R.J.D.</w:t>
      </w:r>
    </w:p>
    <w:p w:rsidR="00EC2E79" w:rsidRDefault="00EC2E79" w:rsidP="00EC2E79">
      <w:pPr>
        <w:jc w:val="center"/>
      </w:pPr>
      <w:r>
        <w:t>Appellant</w:t>
      </w:r>
    </w:p>
    <w:p w:rsidR="00EC2E79" w:rsidRPr="005D4B83" w:rsidRDefault="00EC2E79" w:rsidP="00EC2E79">
      <w:pPr>
        <w:jc w:val="center"/>
      </w:pPr>
    </w:p>
    <w:p w:rsidR="00EC2E79" w:rsidRPr="00EC2E79" w:rsidRDefault="00EC2E79" w:rsidP="00EC2E79">
      <w:pPr>
        <w:pStyle w:val="SCCLsocVersus"/>
        <w:spacing w:after="0"/>
        <w:jc w:val="center"/>
        <w:rPr>
          <w:i w:val="0"/>
        </w:rPr>
      </w:pPr>
      <w:proofErr w:type="gramStart"/>
      <w:r w:rsidRPr="00EC2E79">
        <w:rPr>
          <w:i w:val="0"/>
        </w:rPr>
        <w:t>and</w:t>
      </w:r>
      <w:proofErr w:type="gramEnd"/>
    </w:p>
    <w:p w:rsidR="00EC2E79" w:rsidRPr="005D4B83" w:rsidRDefault="00EC2E79" w:rsidP="00EC2E79">
      <w:pPr>
        <w:jc w:val="center"/>
      </w:pPr>
    </w:p>
    <w:p w:rsidR="00EC2E79" w:rsidRDefault="00EC2E79" w:rsidP="00EC2E79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EC2E79" w:rsidRDefault="00EC2E79" w:rsidP="00EC2E79">
      <w:pPr>
        <w:jc w:val="center"/>
      </w:pPr>
      <w:r>
        <w:t>Respondent</w:t>
      </w:r>
    </w:p>
    <w:p w:rsidR="00EC2E79" w:rsidRDefault="00EC2E79" w:rsidP="00EC2E79">
      <w:pPr>
        <w:jc w:val="center"/>
      </w:pPr>
    </w:p>
    <w:p w:rsidR="00EC2E79" w:rsidRDefault="00EC2E79" w:rsidP="00EC2E79"/>
    <w:p w:rsidR="00EC2E79" w:rsidRPr="007470F5" w:rsidRDefault="00EC2E79" w:rsidP="00EC2E79"/>
    <w:p w:rsidR="00EC2E79" w:rsidRPr="006B210C" w:rsidRDefault="00EC2E79" w:rsidP="00EC2E79">
      <w:pPr>
        <w:jc w:val="center"/>
      </w:pPr>
    </w:p>
    <w:p w:rsidR="00EC2E79" w:rsidRPr="006B210C" w:rsidRDefault="00EC2E79" w:rsidP="00EC2E79"/>
    <w:p w:rsidR="00EC2E79" w:rsidRPr="006B210C" w:rsidRDefault="00EC2E79" w:rsidP="00EC2E79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>Wagner C.J. and Abella, Moldaver, Karakatsanis, Gascon, Côté and Brown JJ.</w:t>
      </w:r>
    </w:p>
    <w:p w:rsidR="00EC2E79" w:rsidRPr="006B210C" w:rsidRDefault="00EC2E79" w:rsidP="00EC2E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EC2E79" w:rsidRPr="006B210C" w:rsidTr="00985AD3">
        <w:trPr>
          <w:cantSplit/>
        </w:trPr>
        <w:tc>
          <w:tcPr>
            <w:tcW w:w="3618" w:type="dxa"/>
          </w:tcPr>
          <w:p w:rsidR="00EC2E79" w:rsidRDefault="00EC2E79" w:rsidP="00985AD3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EC2E79" w:rsidRPr="006B210C" w:rsidRDefault="00EC2E79" w:rsidP="00985AD3">
            <w:r>
              <w:t>(paras. 1 to 3)</w:t>
            </w:r>
          </w:p>
        </w:tc>
        <w:tc>
          <w:tcPr>
            <w:tcW w:w="5958" w:type="dxa"/>
          </w:tcPr>
          <w:p w:rsidR="00EC2E79" w:rsidRPr="006B210C" w:rsidRDefault="00EC2E79" w:rsidP="00985AD3">
            <w:r>
              <w:t>Wagner C.J. (Abella, Moldaver, Karakatsanis, Gascon, Côté and Brown JJ. concurring)</w:t>
            </w:r>
          </w:p>
        </w:tc>
      </w:tr>
    </w:tbl>
    <w:p w:rsidR="00EC2E79" w:rsidRDefault="00EC2E79" w:rsidP="00EC2E79"/>
    <w:p w:rsidR="00EC2E79" w:rsidRPr="006B210C" w:rsidRDefault="00EC2E79" w:rsidP="00EC2E79"/>
    <w:p w:rsidR="00EC2E79" w:rsidRPr="006B210C" w:rsidRDefault="00EC2E79" w:rsidP="00EC2E7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FCF4" wp14:editId="12C2DE6E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042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EC2E79" w:rsidRDefault="00EC2E79" w:rsidP="00EC2E79"/>
    <w:p w:rsidR="00EC2E79" w:rsidRDefault="00EC2E79" w:rsidP="00EC2E79"/>
    <w:p w:rsidR="00EC2E79" w:rsidRDefault="00EC2E79" w:rsidP="0035169A">
      <w:pPr>
        <w:spacing w:line="480" w:lineRule="auto"/>
        <w:jc w:val="both"/>
        <w:rPr>
          <w:lang w:val="fr-CA"/>
        </w:rPr>
      </w:pPr>
    </w:p>
    <w:p w:rsidR="008322BD" w:rsidRPr="00236DDB" w:rsidRDefault="00236DDB" w:rsidP="0035169A">
      <w:pPr>
        <w:spacing w:line="480" w:lineRule="auto"/>
        <w:jc w:val="both"/>
        <w:rPr>
          <w:lang w:val="fr-CA"/>
        </w:rPr>
      </w:pPr>
      <w:r>
        <w:rPr>
          <w:lang w:val="fr-CA"/>
        </w:rPr>
        <w:t>R</w:t>
      </w:r>
      <w:r w:rsidR="00B475FD" w:rsidRPr="00236DDB">
        <w:rPr>
          <w:lang w:val="fr-CA"/>
        </w:rPr>
        <w:t>.</w:t>
      </w:r>
      <w:r w:rsidR="00480C90" w:rsidRPr="00236DDB">
        <w:rPr>
          <w:lang w:val="fr-CA"/>
        </w:rPr>
        <w:t xml:space="preserve"> </w:t>
      </w:r>
      <w:r w:rsidR="009B57B3" w:rsidRPr="00236DDB">
        <w:rPr>
          <w:i/>
          <w:lang w:val="fr-CA"/>
        </w:rPr>
        <w:t>v.</w:t>
      </w:r>
      <w:r w:rsidR="00B000D8" w:rsidRPr="00236DDB">
        <w:rPr>
          <w:lang w:val="fr-CA"/>
        </w:rPr>
        <w:t xml:space="preserve"> </w:t>
      </w:r>
      <w:r>
        <w:rPr>
          <w:lang w:val="fr-CA"/>
        </w:rPr>
        <w:t>A</w:t>
      </w:r>
      <w:r w:rsidR="00AD5E11" w:rsidRPr="00236DDB">
        <w:rPr>
          <w:lang w:val="fr-CA"/>
        </w:rPr>
        <w:t>.</w:t>
      </w:r>
      <w:r>
        <w:rPr>
          <w:lang w:val="fr-CA"/>
        </w:rPr>
        <w:t>R</w:t>
      </w:r>
      <w:r w:rsidR="00AD5E11" w:rsidRPr="00236DDB">
        <w:rPr>
          <w:lang w:val="fr-CA"/>
        </w:rPr>
        <w:t>.</w:t>
      </w:r>
      <w:r>
        <w:rPr>
          <w:lang w:val="fr-CA"/>
        </w:rPr>
        <w:t>J</w:t>
      </w:r>
      <w:r w:rsidR="00B475FD" w:rsidRPr="00236DDB">
        <w:rPr>
          <w:lang w:val="fr-CA"/>
        </w:rPr>
        <w:t>.</w:t>
      </w:r>
      <w:r>
        <w:rPr>
          <w:lang w:val="fr-CA"/>
        </w:rPr>
        <w:t>D</w:t>
      </w:r>
      <w:r w:rsidR="00B475FD" w:rsidRPr="00236DDB">
        <w:rPr>
          <w:lang w:val="fr-CA"/>
        </w:rPr>
        <w:t>.</w:t>
      </w:r>
      <w:r>
        <w:rPr>
          <w:lang w:val="fr-CA"/>
        </w:rPr>
        <w:t xml:space="preserve">, </w:t>
      </w:r>
      <w:r w:rsidRPr="00EC2E79">
        <w:rPr>
          <w:lang w:val="fr-CA"/>
        </w:rPr>
        <w:t>2018 SCC 6, [2018] 1 S.C.R. 218</w:t>
      </w:r>
    </w:p>
    <w:p w:rsidR="00766D14" w:rsidRPr="005C602E" w:rsidRDefault="00766D14" w:rsidP="00FC4EFB">
      <w:pPr>
        <w:jc w:val="both"/>
        <w:rPr>
          <w:lang w:val="fr-CA"/>
        </w:rPr>
      </w:pPr>
    </w:p>
    <w:p w:rsidR="00A149DF" w:rsidRPr="005C602E" w:rsidRDefault="00A149DF" w:rsidP="00FC4EFB">
      <w:pPr>
        <w:jc w:val="both"/>
        <w:rPr>
          <w:lang w:val="fr-CA"/>
        </w:rPr>
      </w:pPr>
    </w:p>
    <w:p w:rsidR="00A149DF" w:rsidRPr="005C602E" w:rsidRDefault="00A149DF" w:rsidP="00FC4EFB">
      <w:pPr>
        <w:jc w:val="both"/>
        <w:rPr>
          <w:lang w:val="fr-CA"/>
        </w:rPr>
      </w:pPr>
    </w:p>
    <w:p w:rsidR="00DD1713" w:rsidRPr="005C602E" w:rsidRDefault="00AD5E11">
      <w:pPr>
        <w:pStyle w:val="SCCLsocLastPartyInRole"/>
        <w:rPr>
          <w:lang w:val="fr-CA"/>
        </w:rPr>
      </w:pPr>
      <w:r>
        <w:rPr>
          <w:lang w:val="fr-CA"/>
        </w:rPr>
        <w:t>A.R.</w:t>
      </w:r>
      <w:r w:rsidR="009A3C13" w:rsidRPr="005C602E">
        <w:rPr>
          <w:lang w:val="fr-CA"/>
        </w:rPr>
        <w:t>J.D.</w:t>
      </w:r>
      <w:r w:rsidR="009A3C13" w:rsidRPr="005C602E">
        <w:rPr>
          <w:rStyle w:val="SCCLsocPartyRole"/>
          <w:lang w:val="fr-CA"/>
        </w:rPr>
        <w:tab/>
        <w:t>Appellant</w:t>
      </w:r>
    </w:p>
    <w:p w:rsidR="00DD1713" w:rsidRPr="00294A57" w:rsidRDefault="009A3C13">
      <w:pPr>
        <w:pStyle w:val="SCCLsocVersus"/>
        <w:rPr>
          <w:lang w:val="fr-CA"/>
        </w:rPr>
      </w:pPr>
      <w:r w:rsidRPr="00294A57">
        <w:rPr>
          <w:lang w:val="fr-CA"/>
        </w:rPr>
        <w:lastRenderedPageBreak/>
        <w:t>v.</w:t>
      </w:r>
    </w:p>
    <w:p w:rsidR="00DD1713" w:rsidRDefault="00B475FD">
      <w:pPr>
        <w:pStyle w:val="SCCLsocLastPartyInRole"/>
      </w:pPr>
      <w:r>
        <w:t>Her Majesty T</w:t>
      </w:r>
      <w:r w:rsidR="009A3C13">
        <w:t>he Queen</w:t>
      </w:r>
      <w:r w:rsidR="009A3C13"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B475FD">
        <w:rPr>
          <w:b/>
        </w:rPr>
        <w:t xml:space="preserve">R.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AD5E11">
        <w:rPr>
          <w:b/>
        </w:rPr>
        <w:t>A.R.</w:t>
      </w:r>
      <w:r w:rsidR="00B475FD">
        <w:rPr>
          <w:rStyle w:val="SCCRespondentForIndexChar"/>
        </w:rPr>
        <w:t>J.D.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2018</w:t>
      </w:r>
      <w:r w:rsidR="003D0399">
        <w:t xml:space="preserve"> </w:t>
      </w:r>
      <w:r w:rsidR="00426659" w:rsidRPr="00C02092">
        <w:t>SCC </w:t>
      </w:r>
      <w:r w:rsidR="00B475FD">
        <w:t>6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D5E11" w:rsidP="00FC4EFB">
      <w:pPr>
        <w:jc w:val="both"/>
      </w:pPr>
      <w:r>
        <w:t xml:space="preserve">File No.: </w:t>
      </w:r>
      <w:r w:rsidR="009B57B3">
        <w:t>37715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D5E11" w:rsidP="00FC4EFB">
      <w:pPr>
        <w:jc w:val="both"/>
      </w:pPr>
      <w:r>
        <w:t xml:space="preserve">2018: </w:t>
      </w:r>
      <w:r w:rsidR="00AE4535">
        <w:t>February 9</w:t>
      </w:r>
      <w:r w:rsidR="00FA7D77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D5E11" w:rsidP="00AD5E11">
      <w:r>
        <w:t xml:space="preserve">Present: </w:t>
      </w:r>
      <w:r w:rsidR="009B57B3">
        <w:t>Wagner C.J. and Abella, Moldaver, Karakatsanis, Gascon, Côté and Brown JJ.</w:t>
      </w:r>
    </w:p>
    <w:p w:rsidR="00E97830" w:rsidRDefault="00E97830" w:rsidP="00FC4EFB">
      <w:pPr>
        <w:jc w:val="both"/>
      </w:pPr>
    </w:p>
    <w:p w:rsidR="00F357B8" w:rsidRDefault="00F357B8" w:rsidP="00FC4EFB">
      <w:pPr>
        <w:pStyle w:val="SCCLowerCourtNameLowercase"/>
        <w:rPr>
          <w:smallCaps w:val="0"/>
        </w:rPr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</w:t>
      </w:r>
      <w:r w:rsidR="005C602E">
        <w:t>for</w:t>
      </w:r>
      <w:r w:rsidR="009B57B3">
        <w:t xml:space="preserve"> alberta </w:t>
      </w:r>
    </w:p>
    <w:p w:rsidR="003A4C70" w:rsidRPr="001426A9" w:rsidRDefault="003A4C70" w:rsidP="00FC4EFB">
      <w:pPr>
        <w:pStyle w:val="SCCNormalDoubleSpacing"/>
      </w:pPr>
    </w:p>
    <w:p w:rsidR="008322BD" w:rsidRPr="00261DB0" w:rsidRDefault="00261DB0" w:rsidP="00FC4EFB">
      <w:pPr>
        <w:pStyle w:val="SCCNormalDoubleSpacing"/>
        <w:rPr>
          <w:i/>
        </w:rPr>
      </w:pPr>
      <w:r>
        <w:tab/>
      </w:r>
      <w:r>
        <w:rPr>
          <w:i/>
        </w:rPr>
        <w:t xml:space="preserve">Criminal law </w:t>
      </w:r>
      <w:r w:rsidR="006544EB">
        <w:rPr>
          <w:i/>
        </w:rPr>
        <w:t>—</w:t>
      </w:r>
      <w:r>
        <w:rPr>
          <w:i/>
        </w:rPr>
        <w:t xml:space="preserve"> Sexual assault </w:t>
      </w:r>
      <w:r w:rsidR="006544EB">
        <w:rPr>
          <w:i/>
        </w:rPr>
        <w:t>—</w:t>
      </w:r>
      <w:r>
        <w:rPr>
          <w:i/>
        </w:rPr>
        <w:t xml:space="preserve"> Evidence </w:t>
      </w:r>
      <w:r w:rsidR="006544EB">
        <w:rPr>
          <w:i/>
        </w:rPr>
        <w:t>—</w:t>
      </w:r>
      <w:r w:rsidR="00641B12">
        <w:rPr>
          <w:i/>
        </w:rPr>
        <w:t xml:space="preserve"> </w:t>
      </w:r>
      <w:r>
        <w:rPr>
          <w:i/>
        </w:rPr>
        <w:t xml:space="preserve">Behaviour of </w:t>
      </w:r>
      <w:r w:rsidR="005B5F76">
        <w:rPr>
          <w:i/>
        </w:rPr>
        <w:t>victim</w:t>
      </w:r>
      <w:r w:rsidR="006544EB">
        <w:rPr>
          <w:i/>
        </w:rPr>
        <w:t xml:space="preserve"> —</w:t>
      </w:r>
      <w:r>
        <w:rPr>
          <w:i/>
        </w:rPr>
        <w:t>Accused acquitted at tr</w:t>
      </w:r>
      <w:r w:rsidR="00641B12">
        <w:rPr>
          <w:i/>
        </w:rPr>
        <w:t>ial of sexually assaulting step</w:t>
      </w:r>
      <w:r>
        <w:rPr>
          <w:i/>
        </w:rPr>
        <w:t>daughter</w:t>
      </w:r>
      <w:r w:rsidR="00192F79">
        <w:rPr>
          <w:i/>
        </w:rPr>
        <w:t xml:space="preserve"> over several years</w:t>
      </w:r>
      <w:r w:rsidR="006544EB">
        <w:rPr>
          <w:i/>
        </w:rPr>
        <w:t xml:space="preserve"> —</w:t>
      </w:r>
      <w:r>
        <w:rPr>
          <w:i/>
        </w:rPr>
        <w:t xml:space="preserve"> Trial judge f</w:t>
      </w:r>
      <w:r w:rsidR="00192F79">
        <w:rPr>
          <w:i/>
        </w:rPr>
        <w:t>inding that lack of evidence of complainant avoiding ac</w:t>
      </w:r>
      <w:r w:rsidR="006544EB">
        <w:rPr>
          <w:i/>
        </w:rPr>
        <w:t>cused raising reasonable doubt —</w:t>
      </w:r>
      <w:r w:rsidR="00192F79">
        <w:rPr>
          <w:i/>
        </w:rPr>
        <w:t xml:space="preserve"> Court of Appeal holding that trial judge erred by relying on </w:t>
      </w:r>
      <w:r w:rsidR="006B74F7">
        <w:rPr>
          <w:i/>
        </w:rPr>
        <w:t xml:space="preserve">impermissible stereotype about behaviour of sexual assault victim </w:t>
      </w:r>
      <w:r w:rsidR="006544EB">
        <w:rPr>
          <w:i/>
        </w:rPr>
        <w:t>—</w:t>
      </w:r>
      <w:r w:rsidR="006B74F7">
        <w:rPr>
          <w:i/>
        </w:rPr>
        <w:t xml:space="preserve"> Setting aside of acquittals and order </w:t>
      </w:r>
      <w:r w:rsidR="003D371A">
        <w:rPr>
          <w:i/>
        </w:rPr>
        <w:t xml:space="preserve">for new trial </w:t>
      </w:r>
      <w:r w:rsidR="006B74F7">
        <w:rPr>
          <w:i/>
        </w:rPr>
        <w:t xml:space="preserve">upheld. </w:t>
      </w:r>
    </w:p>
    <w:p w:rsidR="00A149DF" w:rsidRDefault="00A149DF" w:rsidP="00FC4EFB">
      <w:pPr>
        <w:pStyle w:val="SCCNormalDoubleSpacing"/>
      </w:pPr>
    </w:p>
    <w:p w:rsidR="00656313" w:rsidRDefault="005C602E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>
        <w:t xml:space="preserve">Alberta </w:t>
      </w:r>
      <w:r w:rsidR="009B57B3">
        <w:t>Court of Appeal (</w:t>
      </w:r>
      <w:r w:rsidR="00B35C32">
        <w:t>Paperny, Slatter and Schutz</w:t>
      </w:r>
      <w:r w:rsidR="00EF4A15">
        <w:t xml:space="preserve"> JJ.</w:t>
      </w:r>
      <w:r w:rsidR="00AD5E11">
        <w:t>A.</w:t>
      </w:r>
      <w:r w:rsidR="009B57B3">
        <w:t>)</w:t>
      </w:r>
      <w:r w:rsidR="00B35C32">
        <w:t>, 2017 ABCA 237, 55 Alta. L.R. (</w:t>
      </w:r>
      <w:r w:rsidR="00B35C32" w:rsidRPr="00B35C32">
        <w:t>6th)</w:t>
      </w:r>
      <w:r w:rsidR="00AD5E11">
        <w:t xml:space="preserve"> 213</w:t>
      </w:r>
      <w:r w:rsidR="00B35C32" w:rsidRPr="00B35C32">
        <w:t>,</w:t>
      </w:r>
      <w:r w:rsidR="00B35C32">
        <w:rPr>
          <w:vertAlign w:val="superscript"/>
        </w:rPr>
        <w:t xml:space="preserve"> </w:t>
      </w:r>
      <w:r w:rsidR="00322F02">
        <w:t xml:space="preserve">[2017] 11 W.W.R. 508, </w:t>
      </w:r>
      <w:r w:rsidR="00B35C32">
        <w:t xml:space="preserve">353 C.C.C. (3d) 1, </w:t>
      </w:r>
      <w:r w:rsidR="001F7B23">
        <w:t>40 C.R. (7th</w:t>
      </w:r>
      <w:r w:rsidR="00B377D9">
        <w:t xml:space="preserve">) 306, </w:t>
      </w:r>
      <w:r w:rsidR="00322F02">
        <w:t xml:space="preserve">[2017] A.J. No. 746 (QL), </w:t>
      </w:r>
      <w:r w:rsidR="00E24D36">
        <w:t xml:space="preserve">2017 CarswellAlta 1272 (WL Can.), </w:t>
      </w:r>
      <w:r w:rsidR="00044BE7" w:rsidRPr="00F357B8">
        <w:t xml:space="preserve">setting aside the acquittals of </w:t>
      </w:r>
      <w:r w:rsidR="00F357B8">
        <w:t>the accused</w:t>
      </w:r>
      <w:r w:rsidR="00E64A20" w:rsidRPr="00F357B8">
        <w:t xml:space="preserve"> </w:t>
      </w:r>
      <w:r w:rsidR="00044BE7" w:rsidRPr="00F357B8">
        <w:t>and ordering a new trial.</w:t>
      </w:r>
      <w:r w:rsidR="00AD5E11">
        <w:t xml:space="preserve"> </w:t>
      </w:r>
      <w:r w:rsidR="00874873">
        <w:t xml:space="preserve">Appeal </w:t>
      </w:r>
      <w:r w:rsidR="009125F0">
        <w:t>dismissed.</w:t>
      </w:r>
    </w:p>
    <w:p w:rsidR="00656313" w:rsidRDefault="00656313" w:rsidP="00FC4EFB">
      <w:pPr>
        <w:pStyle w:val="SCCNormalDoubleSpacing"/>
      </w:pPr>
    </w:p>
    <w:p w:rsidR="00DD1713" w:rsidRDefault="009A3C13">
      <w:pPr>
        <w:pStyle w:val="SCCNormalDoubleSpacing"/>
      </w:pPr>
      <w:r>
        <w:rPr>
          <w:rStyle w:val="SCCCounselNameChar"/>
        </w:rPr>
        <w:tab/>
        <w:t>Kent J. Teskey</w:t>
      </w:r>
      <w:r w:rsidRPr="00B1222C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 w:rsidR="00B1222C" w:rsidRPr="00B1222C">
        <w:rPr>
          <w:rStyle w:val="SCCCounselNameChar"/>
          <w:i w:val="0"/>
        </w:rPr>
        <w:t>,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Lindsay Tate</w:t>
      </w:r>
      <w:r>
        <w:rPr>
          <w:rStyle w:val="SCCCounselPartyRoleChar"/>
        </w:rPr>
        <w:t>, for the appellant.</w:t>
      </w:r>
    </w:p>
    <w:p w:rsidR="00DD1713" w:rsidRDefault="00DD1713">
      <w:pPr>
        <w:pStyle w:val="SCCNormalDoubleSpacing"/>
      </w:pPr>
    </w:p>
    <w:p w:rsidR="00DD1713" w:rsidRDefault="009A3C13">
      <w:pPr>
        <w:pStyle w:val="SCCNormalDoubleSpacing"/>
      </w:pPr>
      <w:r>
        <w:rPr>
          <w:rStyle w:val="SCCCounselNameChar"/>
        </w:rPr>
        <w:tab/>
        <w:t>David A. Labrenz</w:t>
      </w:r>
      <w:r w:rsidRPr="00AD5E11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>, for the respondent.</w:t>
      </w:r>
    </w:p>
    <w:p w:rsidR="00DD1713" w:rsidRDefault="00DD1713">
      <w:pPr>
        <w:pStyle w:val="SCCNormalDoubleSpacing"/>
      </w:pPr>
    </w:p>
    <w:p w:rsidR="00B21D2A" w:rsidRDefault="00B21D2A">
      <w:pPr>
        <w:pStyle w:val="SCCNormalDoubleSpacing"/>
      </w:pPr>
      <w:r>
        <w:tab/>
        <w:t xml:space="preserve">The judgment </w:t>
      </w:r>
      <w:r w:rsidR="005145BC">
        <w:t>of the Court was delivered orally by</w:t>
      </w:r>
    </w:p>
    <w:p w:rsidR="00B21D2A" w:rsidRPr="00A36CFA" w:rsidRDefault="00B21D2A" w:rsidP="00BC0F24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</w:pPr>
      <w:r w:rsidRPr="00AC416C">
        <w:rPr>
          <w:smallCaps/>
        </w:rPr>
        <w:t>The Chief Justice</w:t>
      </w:r>
      <w:r w:rsidRPr="00A36CFA">
        <w:t xml:space="preserve"> — </w:t>
      </w:r>
      <w:r w:rsidRPr="00BC0F24">
        <w:t>The</w:t>
      </w:r>
      <w:r w:rsidRPr="00A36CFA">
        <w:t xml:space="preserve"> appellant was acquitted at trial of three sexual offences alleged to have been committed against his stepdaughter when she was between the </w:t>
      </w:r>
      <w:r w:rsidRPr="00BC0F24">
        <w:rPr>
          <w:rFonts w:cs="Times New Roman"/>
        </w:rPr>
        <w:t>ages</w:t>
      </w:r>
      <w:r w:rsidRPr="00A36CFA">
        <w:t xml:space="preserve"> of 11 and 16. A majority of the Court of Appeal of Alberta allowed the Crown’s appeal. The appellant now appeals to this Court as of right.</w:t>
      </w:r>
    </w:p>
    <w:p w:rsidR="00B21D2A" w:rsidRPr="00A36CFA" w:rsidRDefault="00B21D2A" w:rsidP="00BC0F24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</w:pPr>
      <w:r>
        <w:t xml:space="preserve">We would </w:t>
      </w:r>
      <w:r w:rsidRPr="00BC0F24">
        <w:rPr>
          <w:rFonts w:cs="Times New Roman"/>
        </w:rPr>
        <w:t>dismiss</w:t>
      </w:r>
      <w:r w:rsidRPr="00587659">
        <w:t>,</w:t>
      </w:r>
      <w:r>
        <w:t xml:space="preserve"> substantially for</w:t>
      </w:r>
      <w:r w:rsidRPr="00A36CFA">
        <w:t xml:space="preserve"> the reasons of the majority of the Court of Appeal. In </w:t>
      </w:r>
      <w:r w:rsidRPr="00587659">
        <w:t>considering</w:t>
      </w:r>
      <w:r w:rsidRPr="00A36CFA">
        <w:t xml:space="preserve"> the lack of evidence of the complainant’s avoidance of the appellant, the trial judge committed the very error he had earlier in his reasons instructed himself against: he judged the complainant’s credibility based solely on the correspondence between her behaviour and the expected behaviour of the stereotypical victim of sexual assault. This constituted an error of law.</w:t>
      </w:r>
      <w:r>
        <w:t xml:space="preserve"> We do not read the majority </w:t>
      </w:r>
      <w:r>
        <w:lastRenderedPageBreak/>
        <w:t>reasons, including paras. 39 and 41 highlighted by the defen</w:t>
      </w:r>
      <w:r w:rsidRPr="00587659">
        <w:t>c</w:t>
      </w:r>
      <w:r>
        <w:t>e, as suggesting otherwise.</w:t>
      </w:r>
    </w:p>
    <w:p w:rsidR="00B21D2A" w:rsidRDefault="00B21D2A" w:rsidP="00BC0F24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</w:pPr>
      <w:r>
        <w:t>T</w:t>
      </w:r>
      <w:r w:rsidRPr="00A36CFA">
        <w:t xml:space="preserve">he </w:t>
      </w:r>
      <w:r w:rsidRPr="00BC0F24">
        <w:rPr>
          <w:rFonts w:cs="Times New Roman"/>
        </w:rPr>
        <w:t>appeal</w:t>
      </w:r>
      <w:r w:rsidRPr="00A36CFA">
        <w:t xml:space="preserve"> is dismissed. </w:t>
      </w:r>
    </w:p>
    <w:p w:rsidR="009B57B3" w:rsidRPr="00E24D36" w:rsidRDefault="009B57B3" w:rsidP="00FC4EFB">
      <w:pPr>
        <w:pStyle w:val="SCCNormalDoubleSpacing"/>
        <w:rPr>
          <w:i/>
        </w:rPr>
      </w:pPr>
      <w:r w:rsidRPr="001426A9">
        <w:tab/>
      </w:r>
      <w:r w:rsidR="00E24D36" w:rsidRPr="00E24D36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DD1713" w:rsidRDefault="009A3C13">
      <w:pPr>
        <w:pStyle w:val="SCCLawFirm"/>
      </w:pPr>
      <w:r>
        <w:tab/>
        <w:t>Solicitor</w:t>
      </w:r>
      <w:r w:rsidR="00AB5C41">
        <w:t>s</w:t>
      </w:r>
      <w:r>
        <w:t xml:space="preserve"> for the appellant:  Pringle, Chivers, Sparks, Teskey, Edmonton.</w:t>
      </w:r>
    </w:p>
    <w:p w:rsidR="00B21D2A" w:rsidRDefault="00B21D2A" w:rsidP="00B21D2A">
      <w:pPr>
        <w:pStyle w:val="SCCNormalDoubleSpacing"/>
      </w:pPr>
    </w:p>
    <w:p w:rsidR="00B21D2A" w:rsidRPr="00B21D2A" w:rsidRDefault="00B21D2A" w:rsidP="00B21D2A">
      <w:pPr>
        <w:pStyle w:val="SCCNormalDoubleSpacing"/>
        <w:rPr>
          <w:i/>
        </w:rPr>
      </w:pPr>
      <w:r>
        <w:tab/>
      </w:r>
      <w:r w:rsidRPr="00B21D2A">
        <w:rPr>
          <w:i/>
        </w:rPr>
        <w:t xml:space="preserve">Solicitor for the respondent: </w:t>
      </w:r>
      <w:r w:rsidRPr="00587659">
        <w:rPr>
          <w:i/>
        </w:rPr>
        <w:t>Alberta Crown Prosecution Service</w:t>
      </w:r>
      <w:r w:rsidR="00587659" w:rsidRPr="00587659">
        <w:rPr>
          <w:i/>
        </w:rPr>
        <w:t>,</w:t>
      </w:r>
      <w:r w:rsidRPr="00587659">
        <w:rPr>
          <w:i/>
        </w:rPr>
        <w:t xml:space="preserve"> Appeals Education &amp; Prosecution Policy Branch</w:t>
      </w:r>
      <w:r w:rsidRPr="00B21D2A">
        <w:rPr>
          <w:i/>
        </w:rPr>
        <w:t>, Edmonton.</w:t>
      </w:r>
    </w:p>
    <w:sectPr w:rsidR="00B21D2A" w:rsidRPr="00B21D2A" w:rsidSect="000648CC">
      <w:head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15493"/>
    <w:multiLevelType w:val="hybridMultilevel"/>
    <w:tmpl w:val="A7087588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44BE7"/>
    <w:rsid w:val="000578A3"/>
    <w:rsid w:val="000648CC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2F79"/>
    <w:rsid w:val="00195D83"/>
    <w:rsid w:val="001A00C1"/>
    <w:rsid w:val="001B33E0"/>
    <w:rsid w:val="001B4573"/>
    <w:rsid w:val="001C779F"/>
    <w:rsid w:val="001D2AC1"/>
    <w:rsid w:val="001D4E88"/>
    <w:rsid w:val="001F7B23"/>
    <w:rsid w:val="00220FC2"/>
    <w:rsid w:val="002222F4"/>
    <w:rsid w:val="00224FC0"/>
    <w:rsid w:val="00225EA4"/>
    <w:rsid w:val="00226EAF"/>
    <w:rsid w:val="00231F3A"/>
    <w:rsid w:val="00234199"/>
    <w:rsid w:val="00236DDB"/>
    <w:rsid w:val="002406EE"/>
    <w:rsid w:val="00243EC8"/>
    <w:rsid w:val="00261DB0"/>
    <w:rsid w:val="00270D93"/>
    <w:rsid w:val="002745CC"/>
    <w:rsid w:val="00294A57"/>
    <w:rsid w:val="002B7924"/>
    <w:rsid w:val="002D28C3"/>
    <w:rsid w:val="002D39A4"/>
    <w:rsid w:val="002E6705"/>
    <w:rsid w:val="00301D08"/>
    <w:rsid w:val="0030329A"/>
    <w:rsid w:val="00307D6D"/>
    <w:rsid w:val="0031086F"/>
    <w:rsid w:val="0031414C"/>
    <w:rsid w:val="00314E01"/>
    <w:rsid w:val="0032089D"/>
    <w:rsid w:val="00322F02"/>
    <w:rsid w:val="003310DE"/>
    <w:rsid w:val="003323B0"/>
    <w:rsid w:val="0035169A"/>
    <w:rsid w:val="0035259D"/>
    <w:rsid w:val="00364B18"/>
    <w:rsid w:val="003A125D"/>
    <w:rsid w:val="003A4C70"/>
    <w:rsid w:val="003A5E77"/>
    <w:rsid w:val="003B215F"/>
    <w:rsid w:val="003C799C"/>
    <w:rsid w:val="003D0399"/>
    <w:rsid w:val="003D371A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1A21"/>
    <w:rsid w:val="004A600C"/>
    <w:rsid w:val="004A6118"/>
    <w:rsid w:val="004C478D"/>
    <w:rsid w:val="004E2C26"/>
    <w:rsid w:val="004F36FF"/>
    <w:rsid w:val="005125A8"/>
    <w:rsid w:val="005145BC"/>
    <w:rsid w:val="00521AE8"/>
    <w:rsid w:val="00527180"/>
    <w:rsid w:val="0054201E"/>
    <w:rsid w:val="00555291"/>
    <w:rsid w:val="00566AD1"/>
    <w:rsid w:val="00583EDE"/>
    <w:rsid w:val="00587659"/>
    <w:rsid w:val="005A6079"/>
    <w:rsid w:val="005B5F76"/>
    <w:rsid w:val="005C602E"/>
    <w:rsid w:val="005E4698"/>
    <w:rsid w:val="00610539"/>
    <w:rsid w:val="00613969"/>
    <w:rsid w:val="00625C35"/>
    <w:rsid w:val="00641B12"/>
    <w:rsid w:val="006544EB"/>
    <w:rsid w:val="00656313"/>
    <w:rsid w:val="006565F4"/>
    <w:rsid w:val="00684EEA"/>
    <w:rsid w:val="0069689B"/>
    <w:rsid w:val="006A1551"/>
    <w:rsid w:val="006B5FF5"/>
    <w:rsid w:val="006B74F7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873"/>
    <w:rsid w:val="00874914"/>
    <w:rsid w:val="00891422"/>
    <w:rsid w:val="00892E1A"/>
    <w:rsid w:val="008A3F29"/>
    <w:rsid w:val="008B660A"/>
    <w:rsid w:val="008C01DA"/>
    <w:rsid w:val="008F78E9"/>
    <w:rsid w:val="00911989"/>
    <w:rsid w:val="009125F0"/>
    <w:rsid w:val="009179F9"/>
    <w:rsid w:val="00933E5E"/>
    <w:rsid w:val="00935218"/>
    <w:rsid w:val="009403F3"/>
    <w:rsid w:val="009555B7"/>
    <w:rsid w:val="009567AA"/>
    <w:rsid w:val="00967374"/>
    <w:rsid w:val="009A343A"/>
    <w:rsid w:val="009A3C13"/>
    <w:rsid w:val="009A5C36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5C41"/>
    <w:rsid w:val="00AB670D"/>
    <w:rsid w:val="00AD5E11"/>
    <w:rsid w:val="00AE4535"/>
    <w:rsid w:val="00AF03C5"/>
    <w:rsid w:val="00B000D8"/>
    <w:rsid w:val="00B00F75"/>
    <w:rsid w:val="00B1222C"/>
    <w:rsid w:val="00B145B6"/>
    <w:rsid w:val="00B21D2A"/>
    <w:rsid w:val="00B279EB"/>
    <w:rsid w:val="00B35C32"/>
    <w:rsid w:val="00B3624B"/>
    <w:rsid w:val="00B377D9"/>
    <w:rsid w:val="00B475FD"/>
    <w:rsid w:val="00B50C81"/>
    <w:rsid w:val="00B557F8"/>
    <w:rsid w:val="00B815FC"/>
    <w:rsid w:val="00B93FBC"/>
    <w:rsid w:val="00BA7DA0"/>
    <w:rsid w:val="00BB2EE4"/>
    <w:rsid w:val="00BC0F2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943A6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D1713"/>
    <w:rsid w:val="00DE319C"/>
    <w:rsid w:val="00DF0CA8"/>
    <w:rsid w:val="00DF2B48"/>
    <w:rsid w:val="00DF49A7"/>
    <w:rsid w:val="00E07EE2"/>
    <w:rsid w:val="00E07FD1"/>
    <w:rsid w:val="00E1159C"/>
    <w:rsid w:val="00E176D8"/>
    <w:rsid w:val="00E24573"/>
    <w:rsid w:val="00E24D36"/>
    <w:rsid w:val="00E25E1E"/>
    <w:rsid w:val="00E27EE7"/>
    <w:rsid w:val="00E35404"/>
    <w:rsid w:val="00E45109"/>
    <w:rsid w:val="00E47B7A"/>
    <w:rsid w:val="00E56A44"/>
    <w:rsid w:val="00E60269"/>
    <w:rsid w:val="00E64A20"/>
    <w:rsid w:val="00E77932"/>
    <w:rsid w:val="00E97830"/>
    <w:rsid w:val="00EA597E"/>
    <w:rsid w:val="00EC2E79"/>
    <w:rsid w:val="00EE643C"/>
    <w:rsid w:val="00EF0683"/>
    <w:rsid w:val="00EF4A15"/>
    <w:rsid w:val="00EF69D2"/>
    <w:rsid w:val="00EF766E"/>
    <w:rsid w:val="00F0070C"/>
    <w:rsid w:val="00F00EB7"/>
    <w:rsid w:val="00F357B8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A7D77"/>
    <w:rsid w:val="00FB37D2"/>
    <w:rsid w:val="00FB680A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B21D2A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EC2E7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EC2E79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EC2E79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EC2E79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E48D-93A5-43D6-A70E-CEFDF951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2018-02-09T19:47:00Z</dcterms:created>
  <dcterms:modified xsi:type="dcterms:W3CDTF">2019-03-25T18:48:00Z</dcterms:modified>
</cp:coreProperties>
</file>