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509" w:rsidRDefault="00DA3509" w:rsidP="001F74D2">
      <w:pPr>
        <w:pStyle w:val="Header"/>
        <w:jc w:val="center"/>
      </w:pPr>
      <w:r>
        <w:ptab w:relativeTo="margin" w:alignment="center" w:leader="none"/>
      </w:r>
      <w:r w:rsidRPr="00F72014">
        <w:t xml:space="preserve"> </w:t>
      </w:r>
      <w:bookmarkStart w:id="0" w:name="_GoBack"/>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4.5pt" o:ole="">
            <v:imagedata r:id="rId8" o:title=""/>
          </v:shape>
          <o:OLEObject Type="Embed" ProgID="Presentations.Drawing.13" ShapeID="_x0000_i1025" DrawAspect="Content" ObjectID="_1615030648" r:id="rId9"/>
        </w:object>
      </w:r>
      <w:bookmarkEnd w:id="0"/>
      <w:r>
        <w:t xml:space="preserve"> </w:t>
      </w:r>
      <w:r>
        <w:ptab w:relativeTo="margin" w:alignment="right" w:leader="none"/>
      </w:r>
    </w:p>
    <w:p w:rsidR="00DA3509" w:rsidRDefault="00DA3509" w:rsidP="00DA3509">
      <w:pPr>
        <w:pStyle w:val="Header"/>
      </w:pPr>
    </w:p>
    <w:p w:rsidR="00DA3509" w:rsidRPr="006B210C" w:rsidRDefault="00DA3509" w:rsidP="00DA3509">
      <w:pPr>
        <w:jc w:val="center"/>
        <w:rPr>
          <w:b/>
        </w:rPr>
      </w:pPr>
      <w:r w:rsidRPr="006B210C">
        <w:rPr>
          <w:b/>
        </w:rPr>
        <w:t>SUPREME COURT OF CANADA</w:t>
      </w:r>
    </w:p>
    <w:p w:rsidR="00DA3509" w:rsidRDefault="00DA3509" w:rsidP="00DA3509"/>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670"/>
        <w:gridCol w:w="3960"/>
      </w:tblGrid>
      <w:tr w:rsidR="00DA3509" w:rsidRPr="006B210C" w:rsidTr="000E6C1A">
        <w:trPr>
          <w:cantSplit/>
        </w:trPr>
        <w:tc>
          <w:tcPr>
            <w:tcW w:w="5670" w:type="dxa"/>
          </w:tcPr>
          <w:p w:rsidR="00DA3509" w:rsidRPr="006B1FAF" w:rsidRDefault="00DA3509" w:rsidP="000E6C1A">
            <w:r w:rsidRPr="006B1FAF">
              <w:rPr>
                <w:b/>
                <w:smallCaps/>
              </w:rPr>
              <w:t>Citation:</w:t>
            </w:r>
            <w:r w:rsidRPr="006B1FAF">
              <w:t xml:space="preserve"> R. </w:t>
            </w:r>
            <w:r w:rsidRPr="006B1FAF">
              <w:rPr>
                <w:i/>
              </w:rPr>
              <w:t>v.</w:t>
            </w:r>
            <w:r w:rsidRPr="006B1FAF">
              <w:t xml:space="preserve"> </w:t>
            </w:r>
            <w:r>
              <w:t>G.T.D., 2018 SCC 7</w:t>
            </w:r>
            <w:r w:rsidRPr="006B1FAF">
              <w:t xml:space="preserve">, [2018] 1 S.C.R. </w:t>
            </w:r>
            <w:r>
              <w:t>220</w:t>
            </w:r>
          </w:p>
        </w:tc>
        <w:tc>
          <w:tcPr>
            <w:tcW w:w="3960" w:type="dxa"/>
          </w:tcPr>
          <w:p w:rsidR="00DA3509" w:rsidRDefault="00DA3509" w:rsidP="000E6C1A">
            <w:r>
              <w:rPr>
                <w:b/>
                <w:smallCaps/>
              </w:rPr>
              <w:t>Appeal heard:</w:t>
            </w:r>
            <w:r w:rsidRPr="006B210C">
              <w:t xml:space="preserve"> </w:t>
            </w:r>
            <w:r>
              <w:t>February 14, 2018</w:t>
            </w:r>
          </w:p>
          <w:p w:rsidR="00DA3509" w:rsidRPr="006B210C" w:rsidRDefault="00DA3509" w:rsidP="000E6C1A">
            <w:r>
              <w:rPr>
                <w:b/>
                <w:smallCaps/>
              </w:rPr>
              <w:t>Judgment rendered</w:t>
            </w:r>
            <w:r w:rsidRPr="003E41F2">
              <w:rPr>
                <w:b/>
                <w:smallCaps/>
              </w:rPr>
              <w:t>:</w:t>
            </w:r>
            <w:r>
              <w:t xml:space="preserve"> February 14, 2018</w:t>
            </w:r>
          </w:p>
          <w:p w:rsidR="00DA3509" w:rsidRPr="006B210C" w:rsidRDefault="00DA3509" w:rsidP="000E6C1A">
            <w:r w:rsidRPr="005D4B83">
              <w:rPr>
                <w:b/>
                <w:smallCaps/>
              </w:rPr>
              <w:t>Docket:</w:t>
            </w:r>
            <w:r>
              <w:t xml:space="preserve"> 37756</w:t>
            </w:r>
          </w:p>
        </w:tc>
      </w:tr>
    </w:tbl>
    <w:p w:rsidR="00DA3509" w:rsidRPr="006B210C" w:rsidRDefault="00DA3509" w:rsidP="00DA3509"/>
    <w:p w:rsidR="00DA3509" w:rsidRDefault="00DA3509" w:rsidP="00DA3509">
      <w:pPr>
        <w:pStyle w:val="SCCLsocPrefix"/>
      </w:pPr>
      <w:r>
        <w:t>Between:</w:t>
      </w:r>
    </w:p>
    <w:p w:rsidR="00DA3509" w:rsidRPr="00A53D62" w:rsidRDefault="00DA3509" w:rsidP="00DA3509">
      <w:pPr>
        <w:jc w:val="center"/>
        <w:rPr>
          <w:b/>
        </w:rPr>
      </w:pPr>
      <w:r>
        <w:rPr>
          <w:b/>
        </w:rPr>
        <w:t>G.T.D.</w:t>
      </w:r>
    </w:p>
    <w:p w:rsidR="00DA3509" w:rsidRDefault="00DA3509" w:rsidP="00DA3509">
      <w:pPr>
        <w:jc w:val="center"/>
      </w:pPr>
      <w:r>
        <w:t>Appellant</w:t>
      </w:r>
    </w:p>
    <w:p w:rsidR="00DA3509" w:rsidRPr="005D4B83" w:rsidRDefault="00DA3509" w:rsidP="00DA3509">
      <w:pPr>
        <w:jc w:val="center"/>
      </w:pPr>
    </w:p>
    <w:p w:rsidR="00DA3509" w:rsidRPr="00DA3509" w:rsidRDefault="00DA3509" w:rsidP="00DA3509">
      <w:pPr>
        <w:pStyle w:val="SCCLsocVersus"/>
        <w:spacing w:after="0"/>
        <w:jc w:val="center"/>
        <w:rPr>
          <w:i w:val="0"/>
        </w:rPr>
      </w:pPr>
      <w:proofErr w:type="gramStart"/>
      <w:r w:rsidRPr="00DA3509">
        <w:rPr>
          <w:i w:val="0"/>
        </w:rPr>
        <w:t>and</w:t>
      </w:r>
      <w:proofErr w:type="gramEnd"/>
    </w:p>
    <w:p w:rsidR="00DA3509" w:rsidRPr="005D4B83" w:rsidRDefault="00DA3509" w:rsidP="00DA3509">
      <w:pPr>
        <w:jc w:val="center"/>
      </w:pPr>
    </w:p>
    <w:p w:rsidR="00DA3509" w:rsidRDefault="00DA3509" w:rsidP="00DA3509">
      <w:pPr>
        <w:pStyle w:val="SCCLsocParty"/>
        <w:jc w:val="center"/>
      </w:pPr>
      <w:r>
        <w:t xml:space="preserve">Her Majesty </w:t>
      </w:r>
      <w:proofErr w:type="gramStart"/>
      <w:r>
        <w:t>The</w:t>
      </w:r>
      <w:proofErr w:type="gramEnd"/>
      <w:r>
        <w:t xml:space="preserve"> Queen</w:t>
      </w:r>
    </w:p>
    <w:p w:rsidR="00DA3509" w:rsidRDefault="00DA3509" w:rsidP="00DA3509">
      <w:pPr>
        <w:jc w:val="center"/>
      </w:pPr>
      <w:r>
        <w:t>Respondent</w:t>
      </w:r>
    </w:p>
    <w:p w:rsidR="00DA3509" w:rsidRDefault="00DA3509" w:rsidP="00DA3509">
      <w:pPr>
        <w:jc w:val="center"/>
      </w:pPr>
    </w:p>
    <w:p w:rsidR="00DA3509" w:rsidRDefault="00DA3509" w:rsidP="00DA3509">
      <w:pPr>
        <w:jc w:val="center"/>
      </w:pPr>
    </w:p>
    <w:p w:rsidR="00DA3509" w:rsidRPr="00A53D62" w:rsidRDefault="00DA3509" w:rsidP="00DA3509"/>
    <w:p w:rsidR="00DA3509" w:rsidRPr="007470F5" w:rsidRDefault="00DA3509" w:rsidP="00DA3509"/>
    <w:p w:rsidR="00DA3509" w:rsidRPr="006B210C" w:rsidRDefault="00DA3509" w:rsidP="00DA3509"/>
    <w:p w:rsidR="00DA3509" w:rsidRPr="006B210C" w:rsidRDefault="00DA3509" w:rsidP="00DA3509"/>
    <w:p w:rsidR="00DA3509" w:rsidRPr="006B210C" w:rsidRDefault="00DA3509" w:rsidP="00DA3509">
      <w:r w:rsidRPr="006B210C">
        <w:rPr>
          <w:b/>
          <w:smallCaps/>
        </w:rPr>
        <w:t>Coram</w:t>
      </w:r>
      <w:r>
        <w:rPr>
          <w:b/>
          <w:smallCaps/>
        </w:rPr>
        <w:t xml:space="preserve">: </w:t>
      </w:r>
      <w:r>
        <w:t>Wagner C.J. and Abella, Côté, Brown and Martin JJ.</w:t>
      </w:r>
    </w:p>
    <w:p w:rsidR="00DA3509" w:rsidRPr="006B210C" w:rsidRDefault="00DA3509" w:rsidP="00DA35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DA3509" w:rsidRPr="000872C9" w:rsidTr="000E6C1A">
        <w:trPr>
          <w:cantSplit/>
        </w:trPr>
        <w:tc>
          <w:tcPr>
            <w:tcW w:w="3618" w:type="dxa"/>
          </w:tcPr>
          <w:p w:rsidR="00DA3509" w:rsidRDefault="00DA3509" w:rsidP="000E6C1A">
            <w:pPr>
              <w:rPr>
                <w:b/>
                <w:smallCaps/>
              </w:rPr>
            </w:pPr>
            <w:r w:rsidRPr="006B210C">
              <w:rPr>
                <w:b/>
                <w:smallCaps/>
              </w:rPr>
              <w:t xml:space="preserve">Reasons for </w:t>
            </w:r>
            <w:r>
              <w:rPr>
                <w:b/>
                <w:smallCaps/>
              </w:rPr>
              <w:t>Judgment:</w:t>
            </w:r>
          </w:p>
          <w:p w:rsidR="00DA3509" w:rsidRPr="006B210C" w:rsidRDefault="00DA3509" w:rsidP="000E6C1A">
            <w:r>
              <w:t>(paras. 1 to 6)</w:t>
            </w:r>
          </w:p>
        </w:tc>
        <w:tc>
          <w:tcPr>
            <w:tcW w:w="5958" w:type="dxa"/>
          </w:tcPr>
          <w:p w:rsidR="00DA3509" w:rsidRPr="00484289" w:rsidRDefault="00DA3509" w:rsidP="000E6C1A">
            <w:r w:rsidRPr="00484289">
              <w:t>Brown J. (</w:t>
            </w:r>
            <w:r>
              <w:t>Wagner C.J. and Abella, Côté, and Martin</w:t>
            </w:r>
            <w:r w:rsidRPr="00484289">
              <w:t> JJ. concurring)</w:t>
            </w:r>
          </w:p>
        </w:tc>
      </w:tr>
    </w:tbl>
    <w:p w:rsidR="00DA3509" w:rsidRPr="00484289" w:rsidRDefault="00DA3509" w:rsidP="00DA3509">
      <w:pPr>
        <w:rPr>
          <w:lang w:val="en-US"/>
        </w:rPr>
      </w:pPr>
    </w:p>
    <w:p w:rsidR="00DA3509" w:rsidRPr="00484289" w:rsidRDefault="00DA3509" w:rsidP="00DA3509">
      <w:pPr>
        <w:rPr>
          <w:lang w:val="en-US"/>
        </w:rPr>
      </w:pPr>
    </w:p>
    <w:p w:rsidR="00DA3509" w:rsidRPr="00484289" w:rsidRDefault="00DA3509" w:rsidP="00DA3509">
      <w:pPr>
        <w:rPr>
          <w:lang w:val="en-US"/>
        </w:rPr>
      </w:pPr>
      <w:r>
        <w:rPr>
          <w:noProof/>
          <w:lang w:val="en-US" w:eastAsia="en-US"/>
        </w:rPr>
        <mc:AlternateContent>
          <mc:Choice Requires="wps">
            <w:drawing>
              <wp:anchor distT="0" distB="0" distL="114300" distR="114300" simplePos="0" relativeHeight="251659264" behindDoc="0" locked="0" layoutInCell="1" allowOverlap="1" wp14:anchorId="1E05A282" wp14:editId="5938045B">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DE89A"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DA3509" w:rsidRPr="00484289" w:rsidRDefault="00DA3509" w:rsidP="00DA3509">
      <w:pPr>
        <w:rPr>
          <w:lang w:val="en-US"/>
        </w:rPr>
      </w:pPr>
    </w:p>
    <w:p w:rsidR="00DA3509" w:rsidRPr="00DA3509" w:rsidRDefault="00DA3509" w:rsidP="009D56FA">
      <w:pPr>
        <w:widowControl w:val="0"/>
        <w:spacing w:line="480" w:lineRule="auto"/>
        <w:jc w:val="both"/>
      </w:pPr>
    </w:p>
    <w:p w:rsidR="008322BD" w:rsidRPr="00DA3509" w:rsidRDefault="00F72A69" w:rsidP="009D56FA">
      <w:pPr>
        <w:widowControl w:val="0"/>
        <w:spacing w:line="480" w:lineRule="auto"/>
        <w:jc w:val="both"/>
      </w:pPr>
      <w:r w:rsidRPr="00DA3509">
        <w:t>R</w:t>
      </w:r>
      <w:r w:rsidR="00B475FD" w:rsidRPr="00DA3509">
        <w:t>.</w:t>
      </w:r>
      <w:r w:rsidR="00480C90" w:rsidRPr="00DA3509">
        <w:t xml:space="preserve"> </w:t>
      </w:r>
      <w:r w:rsidR="009B57B3" w:rsidRPr="00DA3509">
        <w:rPr>
          <w:i/>
        </w:rPr>
        <w:t>v.</w:t>
      </w:r>
      <w:r w:rsidR="00B000D8" w:rsidRPr="00DA3509">
        <w:t xml:space="preserve"> </w:t>
      </w:r>
      <w:r w:rsidRPr="00DA3509">
        <w:t>G</w:t>
      </w:r>
      <w:r w:rsidR="000C2207" w:rsidRPr="00DA3509">
        <w:t>.</w:t>
      </w:r>
      <w:r w:rsidRPr="00DA3509">
        <w:t>T</w:t>
      </w:r>
      <w:r w:rsidR="000C2207" w:rsidRPr="00DA3509">
        <w:t>.</w:t>
      </w:r>
      <w:r w:rsidRPr="00DA3509">
        <w:t>D</w:t>
      </w:r>
      <w:r w:rsidR="00B475FD" w:rsidRPr="00DA3509">
        <w:t>.</w:t>
      </w:r>
      <w:r w:rsidRPr="00DA3509">
        <w:t>, 2018 SCC 7, [2018] 1 S.C.R. 220</w:t>
      </w:r>
    </w:p>
    <w:p w:rsidR="00766D14" w:rsidRPr="00DA3509" w:rsidRDefault="00766D14" w:rsidP="009D56FA">
      <w:pPr>
        <w:widowControl w:val="0"/>
        <w:jc w:val="both"/>
      </w:pPr>
    </w:p>
    <w:p w:rsidR="00A149DF" w:rsidRPr="00DA3509" w:rsidRDefault="00A149DF" w:rsidP="009D56FA">
      <w:pPr>
        <w:widowControl w:val="0"/>
        <w:jc w:val="both"/>
      </w:pPr>
    </w:p>
    <w:p w:rsidR="00A149DF" w:rsidRPr="00DA3509" w:rsidRDefault="00A149DF" w:rsidP="009D56FA">
      <w:pPr>
        <w:widowControl w:val="0"/>
        <w:jc w:val="both"/>
      </w:pPr>
    </w:p>
    <w:p w:rsidR="00DD1713" w:rsidRPr="005C602E" w:rsidRDefault="000C2207" w:rsidP="009D56FA">
      <w:pPr>
        <w:pStyle w:val="SCCLsocLastPartyInRole"/>
        <w:widowControl w:val="0"/>
        <w:rPr>
          <w:lang w:val="fr-CA"/>
        </w:rPr>
      </w:pPr>
      <w:r>
        <w:rPr>
          <w:lang w:val="fr-CA"/>
        </w:rPr>
        <w:t>G.T.D</w:t>
      </w:r>
      <w:r w:rsidR="009A3C13" w:rsidRPr="005C602E">
        <w:rPr>
          <w:lang w:val="fr-CA"/>
        </w:rPr>
        <w:t>.</w:t>
      </w:r>
      <w:r w:rsidR="009A3C13" w:rsidRPr="005C602E">
        <w:rPr>
          <w:rStyle w:val="SCCLsocPartyRole"/>
          <w:lang w:val="fr-CA"/>
        </w:rPr>
        <w:tab/>
        <w:t>Appellant</w:t>
      </w:r>
    </w:p>
    <w:p w:rsidR="00DD1713" w:rsidRPr="00DA3509" w:rsidRDefault="009A3C13" w:rsidP="009D56FA">
      <w:pPr>
        <w:pStyle w:val="SCCLsocVersus"/>
        <w:widowControl w:val="0"/>
        <w:rPr>
          <w:lang w:val="fr-CA"/>
        </w:rPr>
      </w:pPr>
      <w:r w:rsidRPr="00DA3509">
        <w:rPr>
          <w:lang w:val="fr-CA"/>
        </w:rPr>
        <w:t>v.</w:t>
      </w:r>
    </w:p>
    <w:p w:rsidR="00DD1713" w:rsidRDefault="00B475FD" w:rsidP="009D56FA">
      <w:pPr>
        <w:pStyle w:val="SCCLsocLastPartyInRole"/>
        <w:widowControl w:val="0"/>
      </w:pPr>
      <w:r>
        <w:lastRenderedPageBreak/>
        <w:t xml:space="preserve">Her Majesty </w:t>
      </w:r>
      <w:proofErr w:type="gramStart"/>
      <w:r>
        <w:t>T</w:t>
      </w:r>
      <w:r w:rsidR="009A3C13">
        <w:t>he</w:t>
      </w:r>
      <w:proofErr w:type="gramEnd"/>
      <w:r w:rsidR="009A3C13">
        <w:t xml:space="preserve"> Queen</w:t>
      </w:r>
      <w:r w:rsidR="009A3C13">
        <w:rPr>
          <w:rStyle w:val="SCCLsocPartyRole"/>
        </w:rPr>
        <w:tab/>
        <w:t>Respondent</w:t>
      </w:r>
    </w:p>
    <w:p w:rsidR="00766D14" w:rsidRDefault="00766D14" w:rsidP="009D56FA">
      <w:pPr>
        <w:widowControl w:val="0"/>
        <w:jc w:val="both"/>
      </w:pPr>
    </w:p>
    <w:p w:rsidR="00A149DF" w:rsidRDefault="00A149DF" w:rsidP="009D56FA">
      <w:pPr>
        <w:widowControl w:val="0"/>
        <w:jc w:val="both"/>
      </w:pPr>
    </w:p>
    <w:p w:rsidR="00A149DF" w:rsidRPr="001426A9" w:rsidRDefault="00A149DF" w:rsidP="009D56FA">
      <w:pPr>
        <w:widowControl w:val="0"/>
        <w:jc w:val="both"/>
      </w:pPr>
    </w:p>
    <w:p w:rsidR="00426659" w:rsidRPr="00426659" w:rsidRDefault="00426659" w:rsidP="009D56FA">
      <w:pPr>
        <w:widowControl w:val="0"/>
        <w:jc w:val="both"/>
        <w:rPr>
          <w:b/>
        </w:rPr>
      </w:pPr>
      <w:r w:rsidRPr="00426659">
        <w:rPr>
          <w:b/>
        </w:rPr>
        <w:t>Indexed as:</w:t>
      </w:r>
      <w:r>
        <w:rPr>
          <w:b/>
        </w:rPr>
        <w:t xml:space="preserve"> </w:t>
      </w:r>
      <w:r w:rsidR="00B475FD">
        <w:rPr>
          <w:b/>
        </w:rPr>
        <w:t xml:space="preserve">R. </w:t>
      </w:r>
      <w:r w:rsidRPr="00426659">
        <w:rPr>
          <w:b/>
          <w:i/>
        </w:rPr>
        <w:t>v.</w:t>
      </w:r>
      <w:r w:rsidRPr="00426659">
        <w:rPr>
          <w:b/>
        </w:rPr>
        <w:t xml:space="preserve"> </w:t>
      </w:r>
      <w:r w:rsidR="000C2207">
        <w:rPr>
          <w:b/>
        </w:rPr>
        <w:t>G.T.D</w:t>
      </w:r>
      <w:r w:rsidR="00B475FD">
        <w:rPr>
          <w:rStyle w:val="SCCRespondentForIndexChar"/>
        </w:rPr>
        <w:t>.</w:t>
      </w:r>
    </w:p>
    <w:p w:rsidR="00426659" w:rsidRDefault="00426659" w:rsidP="009D56FA">
      <w:pPr>
        <w:widowControl w:val="0"/>
        <w:jc w:val="both"/>
      </w:pPr>
    </w:p>
    <w:p w:rsidR="00A149DF" w:rsidRDefault="00A149DF" w:rsidP="009D56FA">
      <w:pPr>
        <w:widowControl w:val="0"/>
        <w:jc w:val="both"/>
      </w:pPr>
    </w:p>
    <w:p w:rsidR="00A149DF" w:rsidRDefault="00A149DF" w:rsidP="009D56FA">
      <w:pPr>
        <w:widowControl w:val="0"/>
        <w:jc w:val="both"/>
      </w:pPr>
    </w:p>
    <w:p w:rsidR="00426659" w:rsidRPr="00C02092" w:rsidRDefault="00AE4535" w:rsidP="009D56FA">
      <w:pPr>
        <w:pStyle w:val="SCCSystemYear"/>
        <w:widowControl w:val="0"/>
        <w:jc w:val="both"/>
      </w:pPr>
      <w:r>
        <w:t>2018</w:t>
      </w:r>
      <w:r w:rsidR="003D0399">
        <w:t xml:space="preserve"> </w:t>
      </w:r>
      <w:r w:rsidR="00426659" w:rsidRPr="00C02092">
        <w:t>SCC </w:t>
      </w:r>
      <w:r w:rsidR="000C2207">
        <w:t>7</w:t>
      </w:r>
    </w:p>
    <w:p w:rsidR="00426659" w:rsidRDefault="00426659" w:rsidP="009D56FA">
      <w:pPr>
        <w:widowControl w:val="0"/>
        <w:jc w:val="both"/>
      </w:pPr>
    </w:p>
    <w:p w:rsidR="00A149DF" w:rsidRDefault="00A149DF" w:rsidP="009D56FA">
      <w:pPr>
        <w:widowControl w:val="0"/>
        <w:jc w:val="both"/>
      </w:pPr>
    </w:p>
    <w:p w:rsidR="00A149DF" w:rsidRDefault="00A149DF" w:rsidP="009D56FA">
      <w:pPr>
        <w:widowControl w:val="0"/>
        <w:jc w:val="both"/>
      </w:pPr>
    </w:p>
    <w:p w:rsidR="008322BD" w:rsidRDefault="00AD5E11" w:rsidP="009D56FA">
      <w:pPr>
        <w:widowControl w:val="0"/>
        <w:jc w:val="both"/>
      </w:pPr>
      <w:r>
        <w:t xml:space="preserve">File No.: </w:t>
      </w:r>
      <w:r w:rsidR="000C2207">
        <w:t>37756</w:t>
      </w:r>
      <w:r w:rsidR="009B57B3" w:rsidRPr="001426A9">
        <w:t>.</w:t>
      </w:r>
    </w:p>
    <w:p w:rsidR="00E97830" w:rsidRDefault="00E97830" w:rsidP="009D56FA">
      <w:pPr>
        <w:widowControl w:val="0"/>
        <w:jc w:val="both"/>
      </w:pPr>
    </w:p>
    <w:p w:rsidR="00A149DF" w:rsidRDefault="00A149DF" w:rsidP="009D56FA">
      <w:pPr>
        <w:widowControl w:val="0"/>
        <w:jc w:val="both"/>
      </w:pPr>
    </w:p>
    <w:p w:rsidR="00A149DF" w:rsidRDefault="00A149DF" w:rsidP="009D56FA">
      <w:pPr>
        <w:widowControl w:val="0"/>
        <w:jc w:val="both"/>
      </w:pPr>
    </w:p>
    <w:p w:rsidR="008322BD" w:rsidRDefault="00AD5E11" w:rsidP="009D56FA">
      <w:pPr>
        <w:widowControl w:val="0"/>
        <w:jc w:val="both"/>
      </w:pPr>
      <w:r>
        <w:t xml:space="preserve">2018: </w:t>
      </w:r>
      <w:r w:rsidR="000C2207">
        <w:t>February 14</w:t>
      </w:r>
      <w:r w:rsidR="00FA7D77">
        <w:t>.</w:t>
      </w:r>
      <w:r w:rsidR="00E3261B">
        <w:rPr>
          <w:rStyle w:val="FootnoteReference"/>
        </w:rPr>
        <w:footnoteReference w:id="1"/>
      </w:r>
    </w:p>
    <w:p w:rsidR="00E97830" w:rsidRDefault="00E97830" w:rsidP="009D56FA">
      <w:pPr>
        <w:widowControl w:val="0"/>
        <w:jc w:val="both"/>
      </w:pPr>
    </w:p>
    <w:p w:rsidR="00A149DF" w:rsidRDefault="00A149DF" w:rsidP="009D56FA">
      <w:pPr>
        <w:widowControl w:val="0"/>
        <w:jc w:val="both"/>
      </w:pPr>
    </w:p>
    <w:p w:rsidR="00A149DF" w:rsidRDefault="00A149DF" w:rsidP="009D56FA">
      <w:pPr>
        <w:widowControl w:val="0"/>
        <w:jc w:val="both"/>
      </w:pPr>
    </w:p>
    <w:p w:rsidR="008322BD" w:rsidRDefault="00AD5E11" w:rsidP="009D56FA">
      <w:pPr>
        <w:widowControl w:val="0"/>
      </w:pPr>
      <w:r>
        <w:t xml:space="preserve">Present: </w:t>
      </w:r>
      <w:r w:rsidR="000C2207">
        <w:t xml:space="preserve">Wagner C.J. and </w:t>
      </w:r>
      <w:r w:rsidR="009B57B3">
        <w:t xml:space="preserve">Abella, </w:t>
      </w:r>
      <w:r w:rsidR="000C2207">
        <w:t xml:space="preserve">Côté, </w:t>
      </w:r>
      <w:r w:rsidR="009B57B3">
        <w:t>Brown</w:t>
      </w:r>
      <w:r w:rsidR="000C2207">
        <w:t xml:space="preserve"> and Martin</w:t>
      </w:r>
      <w:r w:rsidR="009B57B3">
        <w:t> JJ.</w:t>
      </w:r>
    </w:p>
    <w:p w:rsidR="00E97830" w:rsidRDefault="00E97830" w:rsidP="009D56FA">
      <w:pPr>
        <w:widowControl w:val="0"/>
        <w:jc w:val="both"/>
      </w:pPr>
    </w:p>
    <w:p w:rsidR="00F357B8" w:rsidRDefault="00F357B8" w:rsidP="009D56FA">
      <w:pPr>
        <w:pStyle w:val="SCCLowerCourtNameLowercase"/>
        <w:widowControl w:val="0"/>
        <w:rPr>
          <w:smallCaps w:val="0"/>
        </w:rPr>
      </w:pPr>
    </w:p>
    <w:p w:rsidR="008322BD" w:rsidRPr="001C779F" w:rsidRDefault="00656313" w:rsidP="009D56FA">
      <w:pPr>
        <w:pStyle w:val="SCCLowerCourtNameLowercase"/>
        <w:widowControl w:val="0"/>
      </w:pPr>
      <w:r>
        <w:t>o</w:t>
      </w:r>
      <w:r w:rsidR="00170592">
        <w:t>n</w:t>
      </w:r>
      <w:r w:rsidR="00224FC0">
        <w:t xml:space="preserve"> </w:t>
      </w:r>
      <w:r>
        <w:t>a</w:t>
      </w:r>
      <w:r w:rsidR="00170592">
        <w:t>ppeal</w:t>
      </w:r>
      <w:r w:rsidR="00224FC0">
        <w:t xml:space="preserve"> </w:t>
      </w:r>
      <w:r w:rsidR="00170592">
        <w:t>from</w:t>
      </w:r>
      <w:r w:rsidR="009567AA">
        <w:t xml:space="preserve"> the</w:t>
      </w:r>
      <w:r w:rsidR="00224FC0">
        <w:t xml:space="preserve"> </w:t>
      </w:r>
      <w:r w:rsidR="009B57B3">
        <w:t xml:space="preserve">court of appeal </w:t>
      </w:r>
      <w:r w:rsidR="005C602E">
        <w:t>for</w:t>
      </w:r>
      <w:r w:rsidR="009B57B3">
        <w:t xml:space="preserve"> alberta </w:t>
      </w:r>
    </w:p>
    <w:p w:rsidR="003A4C70" w:rsidRPr="001426A9" w:rsidRDefault="003A4C70" w:rsidP="009D56FA">
      <w:pPr>
        <w:pStyle w:val="SCCNormalDoubleSpacing"/>
        <w:widowControl w:val="0"/>
      </w:pPr>
    </w:p>
    <w:p w:rsidR="008322BD" w:rsidRDefault="00261DB0" w:rsidP="009D56FA">
      <w:pPr>
        <w:pStyle w:val="SCCNormalDoubleSpacing"/>
        <w:widowControl w:val="0"/>
        <w:rPr>
          <w:i/>
        </w:rPr>
      </w:pPr>
      <w:r>
        <w:tab/>
      </w:r>
      <w:r w:rsidR="00B038BC">
        <w:rPr>
          <w:i/>
        </w:rPr>
        <w:t xml:space="preserve">Constitutional law </w:t>
      </w:r>
      <w:r w:rsidR="000A1DD5">
        <w:rPr>
          <w:i/>
        </w:rPr>
        <w:t>— Charter of Rights —</w:t>
      </w:r>
      <w:r w:rsidR="00B038BC">
        <w:rPr>
          <w:i/>
        </w:rPr>
        <w:t xml:space="preserve"> Right to counsel </w:t>
      </w:r>
      <w:r w:rsidR="000A1DD5">
        <w:rPr>
          <w:i/>
        </w:rPr>
        <w:t>—</w:t>
      </w:r>
      <w:r w:rsidR="00B038BC">
        <w:rPr>
          <w:i/>
        </w:rPr>
        <w:t xml:space="preserve"> Remedy </w:t>
      </w:r>
      <w:r w:rsidR="000A1DD5">
        <w:rPr>
          <w:i/>
        </w:rPr>
        <w:t>—</w:t>
      </w:r>
      <w:r w:rsidR="00B038BC">
        <w:rPr>
          <w:i/>
        </w:rPr>
        <w:t xml:space="preserve"> Exclusion of evidence </w:t>
      </w:r>
      <w:r w:rsidR="000A1DD5">
        <w:rPr>
          <w:i/>
        </w:rPr>
        <w:t>—</w:t>
      </w:r>
      <w:r w:rsidR="00B038BC">
        <w:rPr>
          <w:i/>
        </w:rPr>
        <w:t xml:space="preserve"> Police officer </w:t>
      </w:r>
      <w:r w:rsidR="00963796">
        <w:rPr>
          <w:i/>
        </w:rPr>
        <w:t>delivering</w:t>
      </w:r>
      <w:r w:rsidR="00B038BC">
        <w:rPr>
          <w:i/>
        </w:rPr>
        <w:t xml:space="preserve"> standard caution </w:t>
      </w:r>
      <w:r w:rsidR="00B038BC" w:rsidRPr="00B038BC">
        <w:rPr>
          <w:i/>
        </w:rPr>
        <w:t xml:space="preserve">after </w:t>
      </w:r>
      <w:r w:rsidR="00562DD6">
        <w:rPr>
          <w:i/>
        </w:rPr>
        <w:t>accused</w:t>
      </w:r>
      <w:r w:rsidR="00B038BC">
        <w:rPr>
          <w:i/>
        </w:rPr>
        <w:t xml:space="preserve"> invoked his right to</w:t>
      </w:r>
      <w:r w:rsidR="000A1DD5">
        <w:rPr>
          <w:i/>
        </w:rPr>
        <w:t xml:space="preserve"> counsel —</w:t>
      </w:r>
      <w:r w:rsidR="00B038BC" w:rsidRPr="00B038BC">
        <w:rPr>
          <w:i/>
        </w:rPr>
        <w:t xml:space="preserve"> </w:t>
      </w:r>
      <w:r w:rsidR="00562DD6">
        <w:rPr>
          <w:i/>
        </w:rPr>
        <w:t>Wording of caution eliciting incrim</w:t>
      </w:r>
      <w:r w:rsidR="000A1DD5">
        <w:rPr>
          <w:i/>
        </w:rPr>
        <w:t>inatory statement from accused —</w:t>
      </w:r>
      <w:r w:rsidR="00562DD6">
        <w:rPr>
          <w:i/>
        </w:rPr>
        <w:t xml:space="preserve"> </w:t>
      </w:r>
      <w:r w:rsidR="00B038BC" w:rsidRPr="00B038BC">
        <w:rPr>
          <w:i/>
        </w:rPr>
        <w:t xml:space="preserve">Trial judge refusing to exclude evidence resulting from statement </w:t>
      </w:r>
      <w:r w:rsidR="00562DD6">
        <w:rPr>
          <w:i/>
        </w:rPr>
        <w:t xml:space="preserve">and convicting accused of sexual assault </w:t>
      </w:r>
      <w:r w:rsidR="000A1DD5">
        <w:rPr>
          <w:i/>
        </w:rPr>
        <w:t>—</w:t>
      </w:r>
      <w:r w:rsidR="00B038BC" w:rsidRPr="00B038BC">
        <w:rPr>
          <w:i/>
        </w:rPr>
        <w:t xml:space="preserve"> Court of Appeal holding that accused’s </w:t>
      </w:r>
      <w:r w:rsidR="008A326E">
        <w:rPr>
          <w:i/>
        </w:rPr>
        <w:t xml:space="preserve">Charter </w:t>
      </w:r>
      <w:r w:rsidR="00B038BC" w:rsidRPr="00B038BC">
        <w:rPr>
          <w:i/>
        </w:rPr>
        <w:t xml:space="preserve">right to counsel </w:t>
      </w:r>
      <w:r w:rsidR="00B038BC">
        <w:rPr>
          <w:i/>
        </w:rPr>
        <w:t xml:space="preserve">was </w:t>
      </w:r>
      <w:r w:rsidR="00B038BC" w:rsidRPr="00B038BC">
        <w:rPr>
          <w:i/>
        </w:rPr>
        <w:t xml:space="preserve">breached but </w:t>
      </w:r>
      <w:r w:rsidR="00963796">
        <w:rPr>
          <w:i/>
        </w:rPr>
        <w:t>that</w:t>
      </w:r>
      <w:r w:rsidR="00B038BC" w:rsidRPr="00B038BC">
        <w:rPr>
          <w:i/>
        </w:rPr>
        <w:t xml:space="preserve"> evidence</w:t>
      </w:r>
      <w:r w:rsidR="00963796">
        <w:rPr>
          <w:i/>
        </w:rPr>
        <w:t xml:space="preserve"> should not be excluded</w:t>
      </w:r>
      <w:r w:rsidR="000A1DD5">
        <w:rPr>
          <w:i/>
        </w:rPr>
        <w:t xml:space="preserve"> —</w:t>
      </w:r>
      <w:r w:rsidR="00B038BC">
        <w:rPr>
          <w:i/>
        </w:rPr>
        <w:t xml:space="preserve"> </w:t>
      </w:r>
      <w:r w:rsidR="00A01490">
        <w:rPr>
          <w:i/>
        </w:rPr>
        <w:t xml:space="preserve">Standard </w:t>
      </w:r>
      <w:r w:rsidR="00A01490">
        <w:rPr>
          <w:i/>
        </w:rPr>
        <w:lastRenderedPageBreak/>
        <w:t xml:space="preserve">caution violating police’s duty to hold off </w:t>
      </w:r>
      <w:r w:rsidR="00963796">
        <w:rPr>
          <w:i/>
        </w:rPr>
        <w:t xml:space="preserve">and breaching right to counsel </w:t>
      </w:r>
      <w:r w:rsidR="000A1DD5">
        <w:rPr>
          <w:i/>
        </w:rPr>
        <w:t>—</w:t>
      </w:r>
      <w:r w:rsidR="00A01490">
        <w:rPr>
          <w:i/>
        </w:rPr>
        <w:t xml:space="preserve"> </w:t>
      </w:r>
      <w:r w:rsidR="00195AC3">
        <w:rPr>
          <w:i/>
        </w:rPr>
        <w:t>Breach warranting exclusion of evidence</w:t>
      </w:r>
      <w:r w:rsidR="000A1DD5">
        <w:rPr>
          <w:i/>
        </w:rPr>
        <w:t xml:space="preserve"> — New trial ordered —</w:t>
      </w:r>
      <w:r w:rsidR="008A326E">
        <w:rPr>
          <w:i/>
        </w:rPr>
        <w:t xml:space="preserve"> Canadian Charter of Rights and Freedoms, ss. 10(b), 24(2)</w:t>
      </w:r>
      <w:r w:rsidR="00B038BC" w:rsidRPr="00B038BC">
        <w:rPr>
          <w:i/>
        </w:rPr>
        <w:t>.</w:t>
      </w:r>
    </w:p>
    <w:p w:rsidR="00E51FDF" w:rsidRPr="00261DB0" w:rsidRDefault="00E51FDF" w:rsidP="009D56FA">
      <w:pPr>
        <w:pStyle w:val="SCCNormalDoubleSpacing"/>
        <w:widowControl w:val="0"/>
        <w:rPr>
          <w:i/>
        </w:rPr>
      </w:pPr>
    </w:p>
    <w:p w:rsidR="00E51FDF" w:rsidRPr="00085B29" w:rsidRDefault="00E51FDF" w:rsidP="009D56FA">
      <w:pPr>
        <w:pStyle w:val="SCCNormalDoubleSpacing"/>
        <w:widowControl w:val="0"/>
        <w:spacing w:after="720" w:line="240" w:lineRule="auto"/>
      </w:pPr>
      <w:r w:rsidRPr="00085B29">
        <w:rPr>
          <w:b/>
        </w:rPr>
        <w:t>Cases Cited</w:t>
      </w:r>
    </w:p>
    <w:p w:rsidR="00A149DF" w:rsidRDefault="00E51FDF" w:rsidP="009D56FA">
      <w:pPr>
        <w:pStyle w:val="SCCNormalDoubleSpacing"/>
        <w:widowControl w:val="0"/>
      </w:pPr>
      <w:r>
        <w:tab/>
      </w:r>
      <w:r w:rsidRPr="00E51FDF">
        <w:rPr>
          <w:b/>
        </w:rPr>
        <w:t xml:space="preserve">Referred to: </w:t>
      </w:r>
      <w:r w:rsidRPr="00A15576">
        <w:rPr>
          <w:rFonts w:eastAsia="Calibri"/>
          <w:i/>
          <w:szCs w:val="24"/>
        </w:rPr>
        <w:t>R. v. Grant</w:t>
      </w:r>
      <w:r w:rsidRPr="00A15576">
        <w:rPr>
          <w:rFonts w:eastAsia="Calibri"/>
          <w:szCs w:val="24"/>
        </w:rPr>
        <w:t>, 2009 SCC 32, [2009] 2 S.C.R. 353</w:t>
      </w:r>
      <w:r>
        <w:rPr>
          <w:rFonts w:eastAsia="Calibri"/>
          <w:szCs w:val="24"/>
        </w:rPr>
        <w:t xml:space="preserve">; </w:t>
      </w:r>
      <w:r w:rsidRPr="006220C8">
        <w:rPr>
          <w:i/>
        </w:rPr>
        <w:t>R. v. Prosper</w:t>
      </w:r>
      <w:r w:rsidRPr="00D204F4">
        <w:t>, [1994] 3 S.C.R. 236</w:t>
      </w:r>
      <w:r>
        <w:t xml:space="preserve">; </w:t>
      </w:r>
      <w:r w:rsidRPr="00A15576">
        <w:rPr>
          <w:rFonts w:eastAsia="Calibri"/>
          <w:i/>
          <w:szCs w:val="24"/>
        </w:rPr>
        <w:t>R. v. Fearon</w:t>
      </w:r>
      <w:r w:rsidRPr="00A15576">
        <w:rPr>
          <w:rFonts w:eastAsia="Calibri"/>
          <w:szCs w:val="24"/>
        </w:rPr>
        <w:t>, 2014 SCC 77, [2014] 3 S.C.R. 621</w:t>
      </w:r>
      <w:r>
        <w:rPr>
          <w:rFonts w:eastAsia="Calibri"/>
          <w:szCs w:val="24"/>
        </w:rPr>
        <w:t>.</w:t>
      </w:r>
    </w:p>
    <w:p w:rsidR="00E51FDF" w:rsidRDefault="00E51FDF" w:rsidP="009D56FA">
      <w:pPr>
        <w:pStyle w:val="SCCNormalDoubleSpacing"/>
        <w:widowControl w:val="0"/>
      </w:pPr>
    </w:p>
    <w:p w:rsidR="00351A9A" w:rsidRPr="00085B29" w:rsidRDefault="00351A9A" w:rsidP="009D56FA">
      <w:pPr>
        <w:pStyle w:val="SCCNormalDoubleSpacing"/>
        <w:widowControl w:val="0"/>
        <w:spacing w:after="720" w:line="240" w:lineRule="auto"/>
      </w:pPr>
      <w:r w:rsidRPr="00085B29">
        <w:rPr>
          <w:b/>
        </w:rPr>
        <w:t>Statutes and Regulations Cited</w:t>
      </w:r>
    </w:p>
    <w:p w:rsidR="00351A9A" w:rsidRDefault="00351A9A" w:rsidP="009D56FA">
      <w:pPr>
        <w:pStyle w:val="SCCNormalDoubleSpacing"/>
        <w:widowControl w:val="0"/>
        <w:spacing w:after="240" w:line="240" w:lineRule="auto"/>
        <w:ind w:left="547" w:hanging="547"/>
        <w:rPr>
          <w:rFonts w:eastAsia="Calibri"/>
          <w:szCs w:val="24"/>
        </w:rPr>
      </w:pPr>
      <w:r w:rsidRPr="00A15576">
        <w:rPr>
          <w:rFonts w:eastAsia="Calibri"/>
          <w:i/>
          <w:szCs w:val="24"/>
        </w:rPr>
        <w:t>Canadian Charter of Rights and Freedoms</w:t>
      </w:r>
      <w:r>
        <w:rPr>
          <w:rFonts w:eastAsia="Calibri"/>
          <w:szCs w:val="24"/>
        </w:rPr>
        <w:t>, s</w:t>
      </w:r>
      <w:r w:rsidRPr="00A15576">
        <w:rPr>
          <w:rFonts w:eastAsia="Calibri"/>
          <w:szCs w:val="24"/>
        </w:rPr>
        <w:t>s. 10(</w:t>
      </w:r>
      <w:r w:rsidRPr="00A15576">
        <w:rPr>
          <w:rFonts w:eastAsia="Calibri"/>
          <w:i/>
          <w:szCs w:val="24"/>
        </w:rPr>
        <w:t>b</w:t>
      </w:r>
      <w:r w:rsidRPr="00A15576">
        <w:rPr>
          <w:rFonts w:eastAsia="Calibri"/>
          <w:szCs w:val="24"/>
        </w:rPr>
        <w:t>)</w:t>
      </w:r>
      <w:r>
        <w:rPr>
          <w:rFonts w:eastAsia="Calibri"/>
          <w:szCs w:val="24"/>
        </w:rPr>
        <w:t xml:space="preserve">, 24(2). </w:t>
      </w:r>
    </w:p>
    <w:p w:rsidR="00351A9A" w:rsidRDefault="00351A9A" w:rsidP="009D56FA">
      <w:pPr>
        <w:pStyle w:val="SCCNormalDoubleSpacing"/>
        <w:widowControl w:val="0"/>
      </w:pPr>
    </w:p>
    <w:p w:rsidR="00656313" w:rsidRDefault="005C602E" w:rsidP="009D56FA">
      <w:pPr>
        <w:pStyle w:val="SCCNormalDoubleSpacing"/>
        <w:widowControl w:val="0"/>
      </w:pPr>
      <w:r>
        <w:tab/>
      </w:r>
      <w:r w:rsidR="009B57B3" w:rsidRPr="001426A9">
        <w:t xml:space="preserve">APPEAL from a judgment of the </w:t>
      </w:r>
      <w:r>
        <w:t xml:space="preserve">Alberta </w:t>
      </w:r>
      <w:r w:rsidR="009B57B3">
        <w:t>Court of Appeal (</w:t>
      </w:r>
      <w:r w:rsidR="00BD521E">
        <w:t>Slatter,</w:t>
      </w:r>
      <w:r w:rsidR="00BD521E" w:rsidRPr="00BD521E">
        <w:t xml:space="preserve"> </w:t>
      </w:r>
      <w:r w:rsidR="00BD521E" w:rsidRPr="008E05C0">
        <w:t>Veldhuis and Schutz</w:t>
      </w:r>
      <w:r w:rsidR="00EF4A15">
        <w:t xml:space="preserve"> JJ.</w:t>
      </w:r>
      <w:r w:rsidR="00AD5E11">
        <w:t>A.</w:t>
      </w:r>
      <w:r w:rsidR="009B57B3">
        <w:t>)</w:t>
      </w:r>
      <w:r w:rsidR="00977F8F">
        <w:t>, 2017 ABCA 274</w:t>
      </w:r>
      <w:r w:rsidR="00B35C32">
        <w:t xml:space="preserve">, </w:t>
      </w:r>
      <w:r w:rsidR="00977F8F" w:rsidRPr="008E05C0">
        <w:t>40 C.R. (7th) 25</w:t>
      </w:r>
      <w:r w:rsidR="00977F8F" w:rsidRPr="00977F8F">
        <w:t xml:space="preserve">, 57 Alta. L.R. (6th) 213, </w:t>
      </w:r>
      <w:r w:rsidR="00322F02">
        <w:t xml:space="preserve">[2017] A.J. No. </w:t>
      </w:r>
      <w:r w:rsidR="00977F8F">
        <w:t>879</w:t>
      </w:r>
      <w:r w:rsidR="00322F02">
        <w:t xml:space="preserve"> (QL), </w:t>
      </w:r>
      <w:r w:rsidR="00E24D36">
        <w:t xml:space="preserve">2017 CarswellAlta </w:t>
      </w:r>
      <w:r w:rsidR="00977F8F">
        <w:t>1549</w:t>
      </w:r>
      <w:r w:rsidR="00E24D36">
        <w:t xml:space="preserve"> (WL Can.), </w:t>
      </w:r>
      <w:r w:rsidR="00165912" w:rsidRPr="00B038BC">
        <w:t>affirming</w:t>
      </w:r>
      <w:r w:rsidR="00044BE7" w:rsidRPr="00B038BC">
        <w:t xml:space="preserve"> the </w:t>
      </w:r>
      <w:r w:rsidR="00165912" w:rsidRPr="00B038BC">
        <w:t>conviction</w:t>
      </w:r>
      <w:r w:rsidR="00044BE7" w:rsidRPr="00B038BC">
        <w:t xml:space="preserve"> of </w:t>
      </w:r>
      <w:r w:rsidR="00F357B8" w:rsidRPr="00B038BC">
        <w:t>the accused</w:t>
      </w:r>
      <w:r w:rsidR="00E64A20" w:rsidRPr="00B038BC">
        <w:t xml:space="preserve"> </w:t>
      </w:r>
      <w:r w:rsidR="00165912" w:rsidRPr="00B038BC">
        <w:t>for sexual assault</w:t>
      </w:r>
      <w:r w:rsidR="00044BE7" w:rsidRPr="00F357B8">
        <w:t>.</w:t>
      </w:r>
      <w:r w:rsidR="00AD5E11">
        <w:t xml:space="preserve"> </w:t>
      </w:r>
      <w:r w:rsidR="00874873">
        <w:t xml:space="preserve">Appeal </w:t>
      </w:r>
      <w:r w:rsidR="00BD521E" w:rsidRPr="00B038BC">
        <w:t>allowed, Wagner C.J. dissenting</w:t>
      </w:r>
      <w:r w:rsidR="009125F0">
        <w:t>.</w:t>
      </w:r>
    </w:p>
    <w:p w:rsidR="00656313" w:rsidRDefault="00656313" w:rsidP="009D56FA">
      <w:pPr>
        <w:pStyle w:val="SCCNormalDoubleSpacing"/>
        <w:widowControl w:val="0"/>
      </w:pPr>
    </w:p>
    <w:p w:rsidR="00DD1713" w:rsidRDefault="009A3C13" w:rsidP="009D56FA">
      <w:pPr>
        <w:pStyle w:val="SCCNormalDoubleSpacing"/>
        <w:widowControl w:val="0"/>
      </w:pPr>
      <w:r>
        <w:rPr>
          <w:rStyle w:val="SCCCounselNameChar"/>
        </w:rPr>
        <w:tab/>
      </w:r>
      <w:r w:rsidR="00D204F4">
        <w:rPr>
          <w:rStyle w:val="SCCCounselNameChar"/>
        </w:rPr>
        <w:t>Ian Runkle</w:t>
      </w:r>
      <w:r>
        <w:rPr>
          <w:rStyle w:val="SCCCounselPartyRoleChar"/>
        </w:rPr>
        <w:t>, for the appellant.</w:t>
      </w:r>
    </w:p>
    <w:p w:rsidR="00DD1713" w:rsidRDefault="00DD1713" w:rsidP="009D56FA">
      <w:pPr>
        <w:pStyle w:val="SCCNormalDoubleSpacing"/>
        <w:widowControl w:val="0"/>
      </w:pPr>
    </w:p>
    <w:p w:rsidR="00DD1713" w:rsidRDefault="009A3C13" w:rsidP="009D56FA">
      <w:pPr>
        <w:pStyle w:val="SCCNormalDoubleSpacing"/>
        <w:widowControl w:val="0"/>
      </w:pPr>
      <w:r>
        <w:rPr>
          <w:rStyle w:val="SCCCounselNameChar"/>
        </w:rPr>
        <w:tab/>
      </w:r>
      <w:r w:rsidR="00D204F4">
        <w:rPr>
          <w:rStyle w:val="SCCCounselNameChar"/>
        </w:rPr>
        <w:t>Jason R. Russell</w:t>
      </w:r>
      <w:r>
        <w:rPr>
          <w:rStyle w:val="SCCCounselPartyRoleChar"/>
        </w:rPr>
        <w:t>, for the respondent.</w:t>
      </w:r>
    </w:p>
    <w:p w:rsidR="00DD1713" w:rsidRDefault="00DD1713" w:rsidP="009D56FA">
      <w:pPr>
        <w:pStyle w:val="SCCNormalDoubleSpacing"/>
        <w:widowControl w:val="0"/>
      </w:pPr>
    </w:p>
    <w:p w:rsidR="00B21D2A" w:rsidRDefault="00B21D2A" w:rsidP="009D56FA">
      <w:pPr>
        <w:pStyle w:val="SCCNormalDoubleSpacing"/>
        <w:widowControl w:val="0"/>
      </w:pPr>
      <w:r>
        <w:tab/>
        <w:t xml:space="preserve">The judgment </w:t>
      </w:r>
      <w:r w:rsidR="005145BC">
        <w:t>of the Court was delivered orally by</w:t>
      </w:r>
    </w:p>
    <w:p w:rsidR="00B21D2A" w:rsidRPr="00D204F4" w:rsidRDefault="00D204F4" w:rsidP="009D56FA">
      <w:pPr>
        <w:pStyle w:val="ParaNoNdepar-AltN"/>
        <w:widowControl w:val="0"/>
        <w:numPr>
          <w:ilvl w:val="0"/>
          <w:numId w:val="1"/>
        </w:numPr>
        <w:tabs>
          <w:tab w:val="num" w:pos="1152"/>
        </w:tabs>
        <w:ind w:left="0" w:firstLine="0"/>
      </w:pPr>
      <w:r>
        <w:rPr>
          <w:smallCaps/>
        </w:rPr>
        <w:lastRenderedPageBreak/>
        <w:t>Brown</w:t>
      </w:r>
      <w:r w:rsidR="009527C3">
        <w:rPr>
          <w:smallCaps/>
        </w:rPr>
        <w:t xml:space="preserve"> J.</w:t>
      </w:r>
      <w:r w:rsidR="00B21D2A" w:rsidRPr="00A36CFA">
        <w:t xml:space="preserve"> — </w:t>
      </w:r>
      <w:r w:rsidRPr="00A15576">
        <w:rPr>
          <w:rFonts w:eastAsia="Calibri" w:cs="Times New Roman"/>
          <w:szCs w:val="24"/>
          <w:lang w:eastAsia="en-CA"/>
        </w:rPr>
        <w:t>G.T.D.</w:t>
      </w:r>
      <w:r w:rsidRPr="00850E03">
        <w:rPr>
          <w:rFonts w:eastAsia="Calibri" w:cs="Times New Roman"/>
          <w:szCs w:val="24"/>
          <w:lang w:eastAsia="en-CA"/>
        </w:rPr>
        <w:t xml:space="preserve"> was convicted for the sexual assault of a previous intimate partner and appeals as of right on the strength of a dissent at the Court of Appeal </w:t>
      </w:r>
      <w:r>
        <w:rPr>
          <w:rFonts w:eastAsia="Calibri" w:cs="Times New Roman"/>
          <w:szCs w:val="24"/>
          <w:lang w:eastAsia="en-CA"/>
        </w:rPr>
        <w:t xml:space="preserve">of Alberta. </w:t>
      </w:r>
      <w:r w:rsidRPr="00850E03">
        <w:rPr>
          <w:rFonts w:eastAsia="Calibri" w:cs="Times New Roman"/>
          <w:szCs w:val="24"/>
          <w:lang w:eastAsia="en-CA"/>
        </w:rPr>
        <w:t>The dissenting judge would have ordered a new trial on the ground that the delivery of the Edmonton Police Servi</w:t>
      </w:r>
      <w:r w:rsidRPr="00A15576">
        <w:rPr>
          <w:rFonts w:eastAsia="Calibri" w:cs="Times New Roman"/>
          <w:szCs w:val="24"/>
          <w:lang w:eastAsia="en-CA"/>
        </w:rPr>
        <w:t>ce’s standard caution breached G.T.D.’s right to counsel under s. 10(</w:t>
      </w:r>
      <w:r w:rsidRPr="00A15576">
        <w:rPr>
          <w:rFonts w:eastAsia="Calibri" w:cs="Times New Roman"/>
          <w:i/>
          <w:szCs w:val="24"/>
          <w:lang w:eastAsia="en-CA"/>
        </w:rPr>
        <w:t>b</w:t>
      </w:r>
      <w:r w:rsidRPr="00A15576">
        <w:rPr>
          <w:rFonts w:eastAsia="Calibri" w:cs="Times New Roman"/>
          <w:szCs w:val="24"/>
          <w:lang w:eastAsia="en-CA"/>
        </w:rPr>
        <w:t xml:space="preserve">) of the </w:t>
      </w:r>
      <w:r w:rsidRPr="00A15576">
        <w:rPr>
          <w:rFonts w:eastAsia="Calibri" w:cs="Times New Roman"/>
          <w:i/>
          <w:szCs w:val="24"/>
          <w:lang w:eastAsia="en-CA"/>
        </w:rPr>
        <w:t>Canadian Charter of Rights and Freedoms</w:t>
      </w:r>
      <w:r w:rsidRPr="00A15576">
        <w:rPr>
          <w:rFonts w:eastAsia="Calibri" w:cs="Times New Roman"/>
          <w:szCs w:val="24"/>
          <w:lang w:eastAsia="en-CA"/>
        </w:rPr>
        <w:t xml:space="preserve"> and that the inculpatory statement G.T.D. offered in response should be excluded under s. 24(2) of the </w:t>
      </w:r>
      <w:r w:rsidRPr="00A15576">
        <w:rPr>
          <w:rFonts w:eastAsia="Calibri" w:cs="Times New Roman"/>
          <w:i/>
          <w:szCs w:val="24"/>
          <w:lang w:eastAsia="en-CA"/>
        </w:rPr>
        <w:t>Charter</w:t>
      </w:r>
      <w:r w:rsidRPr="00A15576">
        <w:rPr>
          <w:rFonts w:eastAsia="Calibri" w:cs="Times New Roman"/>
          <w:szCs w:val="24"/>
          <w:lang w:eastAsia="en-CA"/>
        </w:rPr>
        <w:t xml:space="preserve"> according to the test set out in </w:t>
      </w:r>
      <w:r w:rsidRPr="00A15576">
        <w:rPr>
          <w:rFonts w:eastAsia="Calibri" w:cs="Times New Roman"/>
          <w:i/>
          <w:szCs w:val="24"/>
          <w:lang w:eastAsia="en-CA"/>
        </w:rPr>
        <w:t>R. v. Grant</w:t>
      </w:r>
      <w:r w:rsidRPr="00A15576">
        <w:rPr>
          <w:rFonts w:eastAsia="Calibri" w:cs="Times New Roman"/>
          <w:szCs w:val="24"/>
          <w:lang w:eastAsia="en-CA"/>
        </w:rPr>
        <w:t>, 2009 SCC 32, [2009] 2 S.C.R. 353. The majority at the Court of Appeal agreed that G.T.D.’s right to counsel had been breached, but dismissed the appeal on the basis that the statement should not be excluded</w:t>
      </w:r>
      <w:r w:rsidRPr="00D204F4">
        <w:rPr>
          <w:rFonts w:eastAsia="Calibri" w:cs="Times New Roman"/>
          <w:szCs w:val="24"/>
          <w:lang w:eastAsia="en-CA"/>
        </w:rPr>
        <w:t>.</w:t>
      </w:r>
    </w:p>
    <w:p w:rsidR="00D204F4" w:rsidRPr="00D204F4" w:rsidRDefault="00D204F4" w:rsidP="009D56FA">
      <w:pPr>
        <w:pStyle w:val="ParaNoNdepar-AltN"/>
        <w:widowControl w:val="0"/>
        <w:numPr>
          <w:ilvl w:val="0"/>
          <w:numId w:val="1"/>
        </w:numPr>
        <w:tabs>
          <w:tab w:val="num" w:pos="1152"/>
        </w:tabs>
        <w:ind w:left="0" w:firstLine="0"/>
        <w:rPr>
          <w:i/>
        </w:rPr>
      </w:pPr>
      <w:r w:rsidRPr="00D204F4">
        <w:t>The right to counsel under s. 10(</w:t>
      </w:r>
      <w:r w:rsidRPr="006220C8">
        <w:rPr>
          <w:i/>
        </w:rPr>
        <w:t>b</w:t>
      </w:r>
      <w:r w:rsidRPr="00D204F4">
        <w:t xml:space="preserve">) of the </w:t>
      </w:r>
      <w:r w:rsidRPr="006220C8">
        <w:rPr>
          <w:i/>
        </w:rPr>
        <w:t>Charter</w:t>
      </w:r>
      <w:r w:rsidRPr="00D204F4">
        <w:t xml:space="preserve"> obliges police to “‘hold off’ from attempting to elicit incriminatory evidence from the detainee until he or she has had a reasonable opportunity to reach counsel” (</w:t>
      </w:r>
      <w:r w:rsidRPr="006220C8">
        <w:rPr>
          <w:i/>
        </w:rPr>
        <w:t>R. v. Prosper</w:t>
      </w:r>
      <w:r w:rsidRPr="00D204F4">
        <w:t>, [1994] 3 S.C.R. 236, at p. 269). The first issue in this appeal is whether the question “Do you wish to say anything?”, asked at the conclusion of the standard caution used by the Edmonton Police Service after G.T.D. had already invoked his right to counsel, violated this duty to “hold off”. We are all of the view that it did, because it elicited a statement from G.T.D.</w:t>
      </w:r>
    </w:p>
    <w:p w:rsidR="00D204F4" w:rsidRPr="00D204F4" w:rsidRDefault="00D204F4" w:rsidP="009D56FA">
      <w:pPr>
        <w:pStyle w:val="ParaNoNdepar-AltN"/>
        <w:widowControl w:val="0"/>
        <w:numPr>
          <w:ilvl w:val="0"/>
          <w:numId w:val="1"/>
        </w:numPr>
        <w:tabs>
          <w:tab w:val="num" w:pos="1152"/>
        </w:tabs>
        <w:ind w:left="0" w:firstLine="0"/>
        <w:rPr>
          <w:i/>
        </w:rPr>
      </w:pPr>
      <w:r w:rsidRPr="00850E03">
        <w:rPr>
          <w:rFonts w:eastAsia="Calibri" w:cs="Times New Roman"/>
          <w:szCs w:val="24"/>
          <w:lang w:eastAsia="en-CA"/>
        </w:rPr>
        <w:t>The next i</w:t>
      </w:r>
      <w:r w:rsidRPr="00A15576">
        <w:rPr>
          <w:rFonts w:eastAsia="Calibri" w:cs="Times New Roman"/>
          <w:szCs w:val="24"/>
          <w:lang w:eastAsia="en-CA"/>
        </w:rPr>
        <w:t xml:space="preserve">ssue is whether this breach warrants the exclusion of G.T.D.’s statement under s. 24(2) of the </w:t>
      </w:r>
      <w:r w:rsidRPr="00A15576">
        <w:rPr>
          <w:rFonts w:eastAsia="Calibri" w:cs="Times New Roman"/>
          <w:i/>
          <w:szCs w:val="24"/>
          <w:lang w:eastAsia="en-CA"/>
        </w:rPr>
        <w:t>Charter</w:t>
      </w:r>
      <w:r w:rsidRPr="00A15576">
        <w:rPr>
          <w:rFonts w:eastAsia="Calibri" w:cs="Times New Roman"/>
          <w:szCs w:val="24"/>
          <w:lang w:eastAsia="en-CA"/>
        </w:rPr>
        <w:t>. A majority of the Court is of the view that it does, and relies substantially on the reasons of Justice Veldhuis at the Court of Appeal. As she noted at para. 83</w:t>
      </w:r>
      <w:r w:rsidRPr="00850E03">
        <w:rPr>
          <w:rFonts w:eastAsia="Calibri" w:cs="Times New Roman"/>
          <w:szCs w:val="24"/>
          <w:lang w:eastAsia="en-CA"/>
        </w:rPr>
        <w:t xml:space="preserve"> of her reasons, the Crown had ample opportunity to call further </w:t>
      </w:r>
      <w:r w:rsidRPr="00850E03">
        <w:rPr>
          <w:rFonts w:eastAsia="Calibri" w:cs="Times New Roman"/>
          <w:szCs w:val="24"/>
          <w:lang w:eastAsia="en-CA"/>
        </w:rPr>
        <w:lastRenderedPageBreak/>
        <w:t xml:space="preserve">evidence about </w:t>
      </w:r>
      <w:r w:rsidRPr="00A15576">
        <w:rPr>
          <w:rFonts w:eastAsia="Calibri" w:cs="Times New Roman"/>
          <w:szCs w:val="24"/>
          <w:lang w:eastAsia="en-CA"/>
        </w:rPr>
        <w:t>Edmonton Police Service training or polic</w:t>
      </w:r>
      <w:r>
        <w:rPr>
          <w:rFonts w:eastAsia="Calibri" w:cs="Times New Roman"/>
          <w:szCs w:val="24"/>
          <w:lang w:eastAsia="en-CA"/>
        </w:rPr>
        <w:t xml:space="preserve">y, but chose not to do so. </w:t>
      </w:r>
      <w:r w:rsidRPr="00850E03">
        <w:rPr>
          <w:rFonts w:eastAsia="Calibri" w:cs="Times New Roman"/>
          <w:szCs w:val="24"/>
          <w:lang w:eastAsia="en-CA"/>
        </w:rPr>
        <w:t>The majority would therefore allow the appeal and order a new trial</w:t>
      </w:r>
      <w:r>
        <w:rPr>
          <w:rFonts w:eastAsia="Calibri" w:cs="Times New Roman"/>
          <w:szCs w:val="24"/>
          <w:lang w:eastAsia="en-CA"/>
        </w:rPr>
        <w:t>.</w:t>
      </w:r>
    </w:p>
    <w:p w:rsidR="00D204F4" w:rsidRPr="00D204F4" w:rsidRDefault="00D204F4" w:rsidP="009D56FA">
      <w:pPr>
        <w:pStyle w:val="ParaNoNdepar-AltN"/>
        <w:widowControl w:val="0"/>
        <w:numPr>
          <w:ilvl w:val="0"/>
          <w:numId w:val="1"/>
        </w:numPr>
        <w:tabs>
          <w:tab w:val="num" w:pos="1152"/>
        </w:tabs>
        <w:ind w:left="0" w:firstLine="0"/>
        <w:rPr>
          <w:i/>
        </w:rPr>
      </w:pPr>
      <w:r w:rsidRPr="00850E03">
        <w:rPr>
          <w:rFonts w:eastAsia="Calibri" w:cs="Times New Roman"/>
          <w:szCs w:val="24"/>
          <w:lang w:eastAsia="en-CA"/>
        </w:rPr>
        <w:t>The Chief Justice would dismiss the appeal on the basis that the breach does not warrant the exclusio</w:t>
      </w:r>
      <w:r w:rsidRPr="00A15576">
        <w:rPr>
          <w:rFonts w:eastAsia="Calibri" w:cs="Times New Roman"/>
          <w:szCs w:val="24"/>
          <w:lang w:eastAsia="en-CA"/>
        </w:rPr>
        <w:t>n of G.T.D.’s statement. The appellant argued that the use of the question “Do you wish to say anything?” as part of th</w:t>
      </w:r>
      <w:r w:rsidRPr="00850E03">
        <w:rPr>
          <w:rFonts w:eastAsia="Calibri" w:cs="Times New Roman"/>
          <w:szCs w:val="24"/>
          <w:lang w:eastAsia="en-CA"/>
        </w:rPr>
        <w:t xml:space="preserve">e standard caution results in a systemic pattern of </w:t>
      </w:r>
      <w:r w:rsidRPr="00850E03">
        <w:rPr>
          <w:rFonts w:eastAsia="Calibri" w:cs="Times New Roman"/>
          <w:i/>
          <w:szCs w:val="24"/>
          <w:lang w:eastAsia="en-CA"/>
        </w:rPr>
        <w:t>Charter</w:t>
      </w:r>
      <w:r>
        <w:rPr>
          <w:rFonts w:eastAsia="Calibri" w:cs="Times New Roman"/>
          <w:szCs w:val="24"/>
          <w:lang w:eastAsia="en-CA"/>
        </w:rPr>
        <w:t xml:space="preserve"> breaches. </w:t>
      </w:r>
      <w:r w:rsidRPr="00850E03">
        <w:rPr>
          <w:rFonts w:eastAsia="Calibri" w:cs="Times New Roman"/>
          <w:szCs w:val="24"/>
          <w:lang w:eastAsia="en-CA"/>
        </w:rPr>
        <w:t>While such a pattern may aggravate the seriousness of the</w:t>
      </w:r>
      <w:r w:rsidRPr="00850E03">
        <w:rPr>
          <w:rFonts w:eastAsia="Calibri" w:cs="Times New Roman"/>
          <w:i/>
          <w:szCs w:val="24"/>
          <w:lang w:eastAsia="en-CA"/>
        </w:rPr>
        <w:t xml:space="preserve"> Charter</w:t>
      </w:r>
      <w:r w:rsidRPr="00850E03">
        <w:rPr>
          <w:rFonts w:eastAsia="Calibri" w:cs="Times New Roman"/>
          <w:szCs w:val="24"/>
          <w:lang w:eastAsia="en-CA"/>
        </w:rPr>
        <w:t>-infringing state conduct, here, the pattern did not, in the Chief Justice’s view, involve the abuse of well-settled rules or negligence in determin</w:t>
      </w:r>
      <w:r>
        <w:rPr>
          <w:rFonts w:eastAsia="Calibri" w:cs="Times New Roman"/>
          <w:szCs w:val="24"/>
          <w:lang w:eastAsia="en-CA"/>
        </w:rPr>
        <w:t xml:space="preserve">ing what those rules mandated. </w:t>
      </w:r>
      <w:r w:rsidRPr="00850E03">
        <w:rPr>
          <w:rFonts w:eastAsia="Calibri" w:cs="Times New Roman"/>
          <w:szCs w:val="24"/>
          <w:lang w:eastAsia="en-CA"/>
        </w:rPr>
        <w:t xml:space="preserve">The duty to </w:t>
      </w:r>
      <w:r w:rsidRPr="00A15576">
        <w:rPr>
          <w:rFonts w:eastAsia="Calibri" w:cs="Times New Roman"/>
          <w:szCs w:val="24"/>
          <w:lang w:eastAsia="en-CA"/>
        </w:rPr>
        <w:t>“hold off” itself is well-settled</w:t>
      </w:r>
      <w:r>
        <w:rPr>
          <w:rFonts w:eastAsia="Calibri" w:cs="Times New Roman"/>
          <w:szCs w:val="24"/>
          <w:lang w:eastAsia="en-CA"/>
        </w:rPr>
        <w:t>.</w:t>
      </w:r>
    </w:p>
    <w:p w:rsidR="00D204F4" w:rsidRPr="00D204F4" w:rsidRDefault="00D204F4" w:rsidP="009D56FA">
      <w:pPr>
        <w:pStyle w:val="ParaNoNdepar-AltN"/>
        <w:widowControl w:val="0"/>
        <w:numPr>
          <w:ilvl w:val="0"/>
          <w:numId w:val="1"/>
        </w:numPr>
        <w:tabs>
          <w:tab w:val="num" w:pos="1152"/>
        </w:tabs>
        <w:ind w:left="0" w:firstLine="0"/>
        <w:rPr>
          <w:i/>
        </w:rPr>
      </w:pPr>
      <w:r w:rsidRPr="00850E03">
        <w:rPr>
          <w:rFonts w:eastAsia="Calibri" w:cs="Times New Roman"/>
          <w:szCs w:val="24"/>
          <w:lang w:eastAsia="en-CA"/>
        </w:rPr>
        <w:t>In the circumstances, whether this form of caution falls within its scope was, in the Chief Justice’s view, not so certain as to deprive the police error, systemic as it may have been, of the badges o</w:t>
      </w:r>
      <w:r>
        <w:rPr>
          <w:rFonts w:eastAsia="Calibri" w:cs="Times New Roman"/>
          <w:szCs w:val="24"/>
          <w:lang w:eastAsia="en-CA"/>
        </w:rPr>
        <w:t>f reasonableness or g</w:t>
      </w:r>
      <w:r w:rsidRPr="00A15576">
        <w:rPr>
          <w:rFonts w:eastAsia="Calibri" w:cs="Times New Roman"/>
          <w:szCs w:val="24"/>
          <w:lang w:eastAsia="en-CA"/>
        </w:rPr>
        <w:t xml:space="preserve">ood faith. Nor, in his view, is this a case where the police have improperly chosen “the least onerous path [through a </w:t>
      </w:r>
      <w:r w:rsidRPr="00A15576">
        <w:rPr>
          <w:rFonts w:eastAsia="Calibri" w:cs="Times New Roman"/>
          <w:i/>
          <w:szCs w:val="24"/>
          <w:lang w:eastAsia="en-CA"/>
        </w:rPr>
        <w:t>Charter</w:t>
      </w:r>
      <w:r w:rsidRPr="00A15576">
        <w:rPr>
          <w:rFonts w:eastAsia="Calibri" w:cs="Times New Roman"/>
          <w:szCs w:val="24"/>
          <w:lang w:eastAsia="en-CA"/>
        </w:rPr>
        <w:t>] gray area” (</w:t>
      </w:r>
      <w:r w:rsidRPr="00A15576">
        <w:rPr>
          <w:rFonts w:eastAsia="Calibri" w:cs="Times New Roman"/>
          <w:i/>
          <w:szCs w:val="24"/>
          <w:lang w:eastAsia="en-CA"/>
        </w:rPr>
        <w:t>R. v. Fearon</w:t>
      </w:r>
      <w:r w:rsidRPr="00A15576">
        <w:rPr>
          <w:rFonts w:eastAsia="Calibri" w:cs="Times New Roman"/>
          <w:szCs w:val="24"/>
          <w:lang w:eastAsia="en-CA"/>
        </w:rPr>
        <w:t>, 2014 SCC 77, [2014] 3 S.C.R. 621, at para. 94)</w:t>
      </w:r>
      <w:r>
        <w:rPr>
          <w:rFonts w:eastAsia="Calibri" w:cs="Times New Roman"/>
          <w:szCs w:val="24"/>
          <w:lang w:eastAsia="en-CA"/>
        </w:rPr>
        <w:t>.</w:t>
      </w:r>
    </w:p>
    <w:p w:rsidR="00D204F4" w:rsidRPr="00D204F4" w:rsidRDefault="00D204F4" w:rsidP="009D56FA">
      <w:pPr>
        <w:pStyle w:val="ParaNoNdepar-AltN"/>
        <w:widowControl w:val="0"/>
        <w:numPr>
          <w:ilvl w:val="0"/>
          <w:numId w:val="1"/>
        </w:numPr>
        <w:tabs>
          <w:tab w:val="num" w:pos="1152"/>
        </w:tabs>
        <w:ind w:left="0" w:firstLine="0"/>
        <w:rPr>
          <w:i/>
        </w:rPr>
      </w:pPr>
      <w:r w:rsidRPr="00850E03">
        <w:rPr>
          <w:rFonts w:eastAsia="Calibri" w:cs="Times New Roman"/>
          <w:szCs w:val="24"/>
          <w:lang w:eastAsia="en-CA"/>
        </w:rPr>
        <w:t>The Chief Justice conc</w:t>
      </w:r>
      <w:r w:rsidRPr="00A15576">
        <w:rPr>
          <w:rFonts w:eastAsia="Calibri" w:cs="Times New Roman"/>
          <w:szCs w:val="24"/>
          <w:lang w:eastAsia="en-CA"/>
        </w:rPr>
        <w:t>ludes that the fact that the question was accompanied by clear information about G.T.D.’s choice to speak to the police attenuated the impact of the state conduct on the</w:t>
      </w:r>
      <w:r w:rsidRPr="00850E03">
        <w:rPr>
          <w:rFonts w:eastAsia="Calibri" w:cs="Times New Roman"/>
          <w:szCs w:val="24"/>
          <w:lang w:eastAsia="en-CA"/>
        </w:rPr>
        <w:t xml:space="preserve"> </w:t>
      </w:r>
      <w:r w:rsidRPr="00850E03">
        <w:rPr>
          <w:rFonts w:eastAsia="Calibri" w:cs="Times New Roman"/>
          <w:i/>
          <w:szCs w:val="24"/>
          <w:lang w:eastAsia="en-CA"/>
        </w:rPr>
        <w:t>Charter</w:t>
      </w:r>
      <w:r w:rsidRPr="00850E03">
        <w:rPr>
          <w:rFonts w:eastAsia="Calibri" w:cs="Times New Roman"/>
          <w:szCs w:val="24"/>
          <w:lang w:eastAsia="en-CA"/>
        </w:rPr>
        <w:t>-protected interests of the accused to the point where, balanced with the seriousness of the breach and society’s interest in adjudication on the merits, admission of the statement would not bring the administration of justice into disrepute</w:t>
      </w:r>
      <w:r>
        <w:rPr>
          <w:rFonts w:eastAsia="Calibri" w:cs="Times New Roman"/>
          <w:szCs w:val="24"/>
          <w:lang w:eastAsia="en-CA"/>
        </w:rPr>
        <w:t>.</w:t>
      </w:r>
    </w:p>
    <w:p w:rsidR="009B57B3" w:rsidRPr="00E24D36" w:rsidRDefault="009B57B3" w:rsidP="009D56FA">
      <w:pPr>
        <w:pStyle w:val="SCCLawFirm"/>
        <w:widowControl w:val="0"/>
      </w:pPr>
      <w:r w:rsidRPr="001426A9">
        <w:lastRenderedPageBreak/>
        <w:tab/>
      </w:r>
      <w:r w:rsidR="00E24D36" w:rsidRPr="00E24D36">
        <w:t>Judgment accordingly.</w:t>
      </w:r>
    </w:p>
    <w:p w:rsidR="00A149DF" w:rsidRPr="001426A9" w:rsidRDefault="00A149DF" w:rsidP="009D56FA">
      <w:pPr>
        <w:pStyle w:val="SCCNormalDoubleSpacing"/>
        <w:widowControl w:val="0"/>
      </w:pPr>
    </w:p>
    <w:p w:rsidR="00DD1713" w:rsidRDefault="009A3C13" w:rsidP="009D56FA">
      <w:pPr>
        <w:pStyle w:val="SCCLawFirm"/>
        <w:widowControl w:val="0"/>
      </w:pPr>
      <w:r>
        <w:tab/>
        <w:t>Solicitor</w:t>
      </w:r>
      <w:r w:rsidR="00AB5C41">
        <w:t>s</w:t>
      </w:r>
      <w:r w:rsidR="000324DB">
        <w:t xml:space="preserve"> for the appellant: </w:t>
      </w:r>
      <w:r w:rsidR="00A83E5C">
        <w:t>Runkle Law</w:t>
      </w:r>
      <w:r>
        <w:t xml:space="preserve">, </w:t>
      </w:r>
      <w:r w:rsidR="00A83E5C">
        <w:t>Edmonton</w:t>
      </w:r>
      <w:r>
        <w:t>.</w:t>
      </w:r>
    </w:p>
    <w:p w:rsidR="00B21D2A" w:rsidRDefault="00B21D2A" w:rsidP="009D56FA">
      <w:pPr>
        <w:pStyle w:val="SCCNormalDoubleSpacing"/>
        <w:widowControl w:val="0"/>
      </w:pPr>
    </w:p>
    <w:p w:rsidR="00B21D2A" w:rsidRPr="00B21D2A" w:rsidRDefault="00B21D2A" w:rsidP="009D56FA">
      <w:pPr>
        <w:pStyle w:val="SCCNormalDoubleSpacing"/>
        <w:widowControl w:val="0"/>
        <w:rPr>
          <w:i/>
        </w:rPr>
      </w:pPr>
      <w:r>
        <w:tab/>
      </w:r>
      <w:r w:rsidRPr="00B21D2A">
        <w:rPr>
          <w:i/>
        </w:rPr>
        <w:t xml:space="preserve">Solicitor for the respondent: </w:t>
      </w:r>
      <w:r w:rsidR="00A83E5C">
        <w:rPr>
          <w:i/>
        </w:rPr>
        <w:t xml:space="preserve">Alberta </w:t>
      </w:r>
      <w:r w:rsidR="000324DB" w:rsidRPr="000324DB">
        <w:rPr>
          <w:i/>
        </w:rPr>
        <w:t>Justice and Solicitor General</w:t>
      </w:r>
      <w:r w:rsidR="000324DB">
        <w:rPr>
          <w:i/>
        </w:rPr>
        <w:t>,</w:t>
      </w:r>
      <w:r w:rsidR="000324DB" w:rsidRPr="000324DB">
        <w:rPr>
          <w:i/>
        </w:rPr>
        <w:t xml:space="preserve"> Appeals, Education &amp; Prosecution Policy Branch, </w:t>
      </w:r>
      <w:r w:rsidR="00A83E5C">
        <w:rPr>
          <w:i/>
        </w:rPr>
        <w:t>Edmonton</w:t>
      </w:r>
      <w:r w:rsidRPr="00B21D2A">
        <w:rPr>
          <w:i/>
        </w:rPr>
        <w:t>.</w:t>
      </w:r>
    </w:p>
    <w:sectPr w:rsidR="00B21D2A" w:rsidRPr="00B21D2A" w:rsidSect="000648CC">
      <w:headerReference w:type="default" r:id="rId10"/>
      <w:footnotePr>
        <w:numFmt w:val="chicago"/>
      </w:footnotePr>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35" w:rsidRDefault="00AE4535">
      <w:r>
        <w:separator/>
      </w:r>
    </w:p>
  </w:endnote>
  <w:endnote w:type="continuationSeparator" w:id="0">
    <w:p w:rsidR="00AE4535" w:rsidRDefault="00AE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35" w:rsidRDefault="00AE4535">
      <w:r>
        <w:separator/>
      </w:r>
    </w:p>
  </w:footnote>
  <w:footnote w:type="continuationSeparator" w:id="0">
    <w:p w:rsidR="00AE4535" w:rsidRDefault="00AE4535">
      <w:r>
        <w:continuationSeparator/>
      </w:r>
    </w:p>
  </w:footnote>
  <w:footnote w:id="1">
    <w:p w:rsidR="00E3261B" w:rsidRPr="00E3261B" w:rsidRDefault="00E3261B" w:rsidP="000A1DD5">
      <w:pPr>
        <w:pStyle w:val="FootnoteText"/>
        <w:tabs>
          <w:tab w:val="left" w:pos="180"/>
        </w:tabs>
        <w:ind w:left="180" w:hanging="180"/>
        <w:jc w:val="both"/>
        <w:rPr>
          <w:lang w:val="en-US"/>
        </w:rPr>
      </w:pPr>
      <w:r>
        <w:rPr>
          <w:rStyle w:val="FootnoteReference"/>
        </w:rPr>
        <w:footnoteRef/>
      </w:r>
      <w:r>
        <w:t xml:space="preserve"> </w:t>
      </w:r>
      <w:r w:rsidR="000A1DD5">
        <w:tab/>
      </w:r>
      <w:r>
        <w:t xml:space="preserve">A formal judgment was issued on February 19, 2018 and revised on </w:t>
      </w:r>
      <w:r w:rsidR="001A4B42">
        <w:t>April 6</w:t>
      </w:r>
      <w:r>
        <w:t>, 2018, to amend the French version of paras. 2, 4 and 5. The amendments are included in this judgment.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52" w:rsidRPr="00450352" w:rsidRDefault="00450352" w:rsidP="00450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15493"/>
    <w:multiLevelType w:val="hybridMultilevel"/>
    <w:tmpl w:val="3FA64330"/>
    <w:lvl w:ilvl="0" w:tplc="DE3C5E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89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25198"/>
    <w:rsid w:val="000324DB"/>
    <w:rsid w:val="00044BE7"/>
    <w:rsid w:val="000578A3"/>
    <w:rsid w:val="000648CC"/>
    <w:rsid w:val="000A1DD5"/>
    <w:rsid w:val="000B5ECD"/>
    <w:rsid w:val="000C2207"/>
    <w:rsid w:val="000C59B8"/>
    <w:rsid w:val="000C6AF0"/>
    <w:rsid w:val="00104F33"/>
    <w:rsid w:val="00111DE2"/>
    <w:rsid w:val="00116B38"/>
    <w:rsid w:val="00135406"/>
    <w:rsid w:val="00135972"/>
    <w:rsid w:val="001426A9"/>
    <w:rsid w:val="00154D7C"/>
    <w:rsid w:val="001570B0"/>
    <w:rsid w:val="0015752C"/>
    <w:rsid w:val="00157737"/>
    <w:rsid w:val="00165277"/>
    <w:rsid w:val="00165912"/>
    <w:rsid w:val="00170592"/>
    <w:rsid w:val="00186351"/>
    <w:rsid w:val="00192F79"/>
    <w:rsid w:val="00195AC3"/>
    <w:rsid w:val="00195D83"/>
    <w:rsid w:val="001A00C1"/>
    <w:rsid w:val="001A4B42"/>
    <w:rsid w:val="001B33E0"/>
    <w:rsid w:val="001B4573"/>
    <w:rsid w:val="001C0B4E"/>
    <w:rsid w:val="001C779F"/>
    <w:rsid w:val="001D2AC1"/>
    <w:rsid w:val="001D4E88"/>
    <w:rsid w:val="001F74D2"/>
    <w:rsid w:val="001F7B23"/>
    <w:rsid w:val="00220FC2"/>
    <w:rsid w:val="002222F4"/>
    <w:rsid w:val="00224FC0"/>
    <w:rsid w:val="00225EA4"/>
    <w:rsid w:val="00226BC9"/>
    <w:rsid w:val="00226EAF"/>
    <w:rsid w:val="00231F3A"/>
    <w:rsid w:val="00234199"/>
    <w:rsid w:val="002406EE"/>
    <w:rsid w:val="00243EC8"/>
    <w:rsid w:val="00261DB0"/>
    <w:rsid w:val="00270D93"/>
    <w:rsid w:val="002745CC"/>
    <w:rsid w:val="002B7924"/>
    <w:rsid w:val="002D28C3"/>
    <w:rsid w:val="002D39A4"/>
    <w:rsid w:val="002E6705"/>
    <w:rsid w:val="00301D08"/>
    <w:rsid w:val="0030329A"/>
    <w:rsid w:val="00307D6D"/>
    <w:rsid w:val="0031086F"/>
    <w:rsid w:val="0031414C"/>
    <w:rsid w:val="00314E01"/>
    <w:rsid w:val="0032089D"/>
    <w:rsid w:val="00322F02"/>
    <w:rsid w:val="003310DE"/>
    <w:rsid w:val="003323B0"/>
    <w:rsid w:val="0035169A"/>
    <w:rsid w:val="00351A9A"/>
    <w:rsid w:val="0035259D"/>
    <w:rsid w:val="00364B18"/>
    <w:rsid w:val="00391418"/>
    <w:rsid w:val="003A125D"/>
    <w:rsid w:val="003A4C70"/>
    <w:rsid w:val="003A5E77"/>
    <w:rsid w:val="003B215F"/>
    <w:rsid w:val="003C799C"/>
    <w:rsid w:val="003D0399"/>
    <w:rsid w:val="003D371A"/>
    <w:rsid w:val="003E1C71"/>
    <w:rsid w:val="003F327B"/>
    <w:rsid w:val="00406166"/>
    <w:rsid w:val="0040704B"/>
    <w:rsid w:val="00410A55"/>
    <w:rsid w:val="00411300"/>
    <w:rsid w:val="00415417"/>
    <w:rsid w:val="00426659"/>
    <w:rsid w:val="00450352"/>
    <w:rsid w:val="00454BDB"/>
    <w:rsid w:val="00464800"/>
    <w:rsid w:val="00465132"/>
    <w:rsid w:val="00480C90"/>
    <w:rsid w:val="0048396F"/>
    <w:rsid w:val="00493C18"/>
    <w:rsid w:val="004A600C"/>
    <w:rsid w:val="004A6118"/>
    <w:rsid w:val="004C478D"/>
    <w:rsid w:val="004E2C26"/>
    <w:rsid w:val="004F36FF"/>
    <w:rsid w:val="005125A8"/>
    <w:rsid w:val="005145BC"/>
    <w:rsid w:val="00521AE8"/>
    <w:rsid w:val="00527180"/>
    <w:rsid w:val="0054201E"/>
    <w:rsid w:val="00555291"/>
    <w:rsid w:val="00562DD6"/>
    <w:rsid w:val="00566AD1"/>
    <w:rsid w:val="00583EDE"/>
    <w:rsid w:val="00587659"/>
    <w:rsid w:val="005A6079"/>
    <w:rsid w:val="005C602E"/>
    <w:rsid w:val="005E4698"/>
    <w:rsid w:val="00610539"/>
    <w:rsid w:val="00613969"/>
    <w:rsid w:val="006220C8"/>
    <w:rsid w:val="00625C35"/>
    <w:rsid w:val="00641B12"/>
    <w:rsid w:val="00656313"/>
    <w:rsid w:val="006565F4"/>
    <w:rsid w:val="00684EEA"/>
    <w:rsid w:val="0069689B"/>
    <w:rsid w:val="006A1551"/>
    <w:rsid w:val="006B5FF5"/>
    <w:rsid w:val="006B74F7"/>
    <w:rsid w:val="006F224E"/>
    <w:rsid w:val="006F30AF"/>
    <w:rsid w:val="00701759"/>
    <w:rsid w:val="00705C15"/>
    <w:rsid w:val="0071600E"/>
    <w:rsid w:val="007208D1"/>
    <w:rsid w:val="00747288"/>
    <w:rsid w:val="00747DD3"/>
    <w:rsid w:val="007549C8"/>
    <w:rsid w:val="00754A0B"/>
    <w:rsid w:val="00766D14"/>
    <w:rsid w:val="00767A0F"/>
    <w:rsid w:val="00770F53"/>
    <w:rsid w:val="007A05F6"/>
    <w:rsid w:val="007B6F4A"/>
    <w:rsid w:val="007E1C47"/>
    <w:rsid w:val="007E337A"/>
    <w:rsid w:val="007E5C70"/>
    <w:rsid w:val="007F2FF5"/>
    <w:rsid w:val="007F3F08"/>
    <w:rsid w:val="00804CC6"/>
    <w:rsid w:val="00817190"/>
    <w:rsid w:val="00820EE5"/>
    <w:rsid w:val="008260E2"/>
    <w:rsid w:val="008322BD"/>
    <w:rsid w:val="00833E0A"/>
    <w:rsid w:val="00834F73"/>
    <w:rsid w:val="00864CF8"/>
    <w:rsid w:val="00872819"/>
    <w:rsid w:val="00874873"/>
    <w:rsid w:val="00874914"/>
    <w:rsid w:val="00891422"/>
    <w:rsid w:val="00892E1A"/>
    <w:rsid w:val="008A326E"/>
    <w:rsid w:val="008A3F29"/>
    <w:rsid w:val="008B660A"/>
    <w:rsid w:val="008C01DA"/>
    <w:rsid w:val="008E05C0"/>
    <w:rsid w:val="008F78E9"/>
    <w:rsid w:val="00911989"/>
    <w:rsid w:val="009125F0"/>
    <w:rsid w:val="009179F9"/>
    <w:rsid w:val="00933E5E"/>
    <w:rsid w:val="00935218"/>
    <w:rsid w:val="009403F3"/>
    <w:rsid w:val="009527C3"/>
    <w:rsid w:val="009555B7"/>
    <w:rsid w:val="009567AA"/>
    <w:rsid w:val="00963796"/>
    <w:rsid w:val="00967374"/>
    <w:rsid w:val="00977F8F"/>
    <w:rsid w:val="009A343A"/>
    <w:rsid w:val="009A3C13"/>
    <w:rsid w:val="009A5C36"/>
    <w:rsid w:val="009B2F23"/>
    <w:rsid w:val="009B57B3"/>
    <w:rsid w:val="009C5B92"/>
    <w:rsid w:val="009D2920"/>
    <w:rsid w:val="009D56FA"/>
    <w:rsid w:val="009D5AEB"/>
    <w:rsid w:val="009F0E33"/>
    <w:rsid w:val="00A01490"/>
    <w:rsid w:val="00A030CE"/>
    <w:rsid w:val="00A149DF"/>
    <w:rsid w:val="00A1755C"/>
    <w:rsid w:val="00A21B90"/>
    <w:rsid w:val="00A41805"/>
    <w:rsid w:val="00A42DCD"/>
    <w:rsid w:val="00A52AFB"/>
    <w:rsid w:val="00A548CB"/>
    <w:rsid w:val="00A5521C"/>
    <w:rsid w:val="00A643E7"/>
    <w:rsid w:val="00A73C38"/>
    <w:rsid w:val="00A83E5C"/>
    <w:rsid w:val="00AB5C41"/>
    <w:rsid w:val="00AB670D"/>
    <w:rsid w:val="00AD5E11"/>
    <w:rsid w:val="00AE4535"/>
    <w:rsid w:val="00AF03C5"/>
    <w:rsid w:val="00B000D8"/>
    <w:rsid w:val="00B00F75"/>
    <w:rsid w:val="00B038BC"/>
    <w:rsid w:val="00B1222C"/>
    <w:rsid w:val="00B145B6"/>
    <w:rsid w:val="00B21D2A"/>
    <w:rsid w:val="00B279EB"/>
    <w:rsid w:val="00B35C32"/>
    <w:rsid w:val="00B377D9"/>
    <w:rsid w:val="00B475FD"/>
    <w:rsid w:val="00B50C81"/>
    <w:rsid w:val="00B557F8"/>
    <w:rsid w:val="00B815FC"/>
    <w:rsid w:val="00B93FBC"/>
    <w:rsid w:val="00BA7DA0"/>
    <w:rsid w:val="00BB2EE4"/>
    <w:rsid w:val="00BC0F24"/>
    <w:rsid w:val="00BC2108"/>
    <w:rsid w:val="00BD0E9E"/>
    <w:rsid w:val="00BD1BEC"/>
    <w:rsid w:val="00BD32FF"/>
    <w:rsid w:val="00BD521E"/>
    <w:rsid w:val="00C02092"/>
    <w:rsid w:val="00C24D91"/>
    <w:rsid w:val="00C53F14"/>
    <w:rsid w:val="00C600CF"/>
    <w:rsid w:val="00C6084F"/>
    <w:rsid w:val="00C62A66"/>
    <w:rsid w:val="00C71458"/>
    <w:rsid w:val="00C77613"/>
    <w:rsid w:val="00C828E7"/>
    <w:rsid w:val="00C86719"/>
    <w:rsid w:val="00C921DD"/>
    <w:rsid w:val="00C943A6"/>
    <w:rsid w:val="00CA6391"/>
    <w:rsid w:val="00CC34BD"/>
    <w:rsid w:val="00CC3B3A"/>
    <w:rsid w:val="00CE161A"/>
    <w:rsid w:val="00CE3171"/>
    <w:rsid w:val="00CF1601"/>
    <w:rsid w:val="00D0172F"/>
    <w:rsid w:val="00D068A7"/>
    <w:rsid w:val="00D17476"/>
    <w:rsid w:val="00D204F4"/>
    <w:rsid w:val="00D32086"/>
    <w:rsid w:val="00D37A3F"/>
    <w:rsid w:val="00D4431D"/>
    <w:rsid w:val="00D4667A"/>
    <w:rsid w:val="00D63A1C"/>
    <w:rsid w:val="00D7516F"/>
    <w:rsid w:val="00D8579F"/>
    <w:rsid w:val="00D95F8E"/>
    <w:rsid w:val="00DA0590"/>
    <w:rsid w:val="00DA3509"/>
    <w:rsid w:val="00DB7BEA"/>
    <w:rsid w:val="00DC1739"/>
    <w:rsid w:val="00DC1788"/>
    <w:rsid w:val="00DD1713"/>
    <w:rsid w:val="00DE319C"/>
    <w:rsid w:val="00DF0CA8"/>
    <w:rsid w:val="00DF2B48"/>
    <w:rsid w:val="00DF48E9"/>
    <w:rsid w:val="00DF49A7"/>
    <w:rsid w:val="00E07EE2"/>
    <w:rsid w:val="00E07FD1"/>
    <w:rsid w:val="00E1159C"/>
    <w:rsid w:val="00E176D8"/>
    <w:rsid w:val="00E24573"/>
    <w:rsid w:val="00E24D36"/>
    <w:rsid w:val="00E25E1E"/>
    <w:rsid w:val="00E27EE7"/>
    <w:rsid w:val="00E3261B"/>
    <w:rsid w:val="00E35404"/>
    <w:rsid w:val="00E45109"/>
    <w:rsid w:val="00E47B7A"/>
    <w:rsid w:val="00E51FDF"/>
    <w:rsid w:val="00E56A44"/>
    <w:rsid w:val="00E60269"/>
    <w:rsid w:val="00E64A20"/>
    <w:rsid w:val="00E77932"/>
    <w:rsid w:val="00E97830"/>
    <w:rsid w:val="00EA597E"/>
    <w:rsid w:val="00EE643C"/>
    <w:rsid w:val="00EF0683"/>
    <w:rsid w:val="00EF4A15"/>
    <w:rsid w:val="00EF69D2"/>
    <w:rsid w:val="00EF766E"/>
    <w:rsid w:val="00F0070C"/>
    <w:rsid w:val="00F00EB7"/>
    <w:rsid w:val="00F357B8"/>
    <w:rsid w:val="00F36AB6"/>
    <w:rsid w:val="00F37A09"/>
    <w:rsid w:val="00F409CE"/>
    <w:rsid w:val="00F4379D"/>
    <w:rsid w:val="00F50D2D"/>
    <w:rsid w:val="00F56C8B"/>
    <w:rsid w:val="00F66810"/>
    <w:rsid w:val="00F72A69"/>
    <w:rsid w:val="00F846D9"/>
    <w:rsid w:val="00F84DF4"/>
    <w:rsid w:val="00F85C97"/>
    <w:rsid w:val="00FA7D77"/>
    <w:rsid w:val="00FB37D2"/>
    <w:rsid w:val="00FC4EFB"/>
    <w:rsid w:val="00FD068D"/>
    <w:rsid w:val="00FD4F28"/>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paragraph" w:customStyle="1" w:styleId="ParaNoNdepar-AltN">
    <w:name w:val="Para. No. / Nº de par. - Alt N"/>
    <w:qFormat/>
    <w:rsid w:val="00B21D2A"/>
    <w:pPr>
      <w:spacing w:before="480" w:after="480" w:line="480" w:lineRule="auto"/>
      <w:jc w:val="both"/>
    </w:pPr>
    <w:rPr>
      <w:rFonts w:eastAsiaTheme="minorEastAsia" w:cstheme="minorBidi"/>
      <w:sz w:val="24"/>
      <w:szCs w:val="22"/>
      <w:lang w:eastAsia="en-US"/>
    </w:rPr>
  </w:style>
  <w:style w:type="paragraph" w:styleId="FootnoteText">
    <w:name w:val="footnote text"/>
    <w:basedOn w:val="Normal"/>
    <w:link w:val="FootnoteTextChar"/>
    <w:uiPriority w:val="99"/>
    <w:semiHidden/>
    <w:unhideWhenUsed/>
    <w:rsid w:val="00E3261B"/>
    <w:rPr>
      <w:sz w:val="20"/>
    </w:rPr>
  </w:style>
  <w:style w:type="character" w:customStyle="1" w:styleId="FootnoteTextChar">
    <w:name w:val="Footnote Text Char"/>
    <w:basedOn w:val="DefaultParagraphFont"/>
    <w:link w:val="FootnoteText"/>
    <w:uiPriority w:val="99"/>
    <w:semiHidden/>
    <w:rsid w:val="00E3261B"/>
  </w:style>
  <w:style w:type="character" w:styleId="FootnoteReference">
    <w:name w:val="footnote reference"/>
    <w:basedOn w:val="DefaultParagraphFont"/>
    <w:uiPriority w:val="99"/>
    <w:semiHidden/>
    <w:unhideWhenUsed/>
    <w:rsid w:val="00E3261B"/>
    <w:rPr>
      <w:vertAlign w:val="superscript"/>
    </w:rPr>
  </w:style>
  <w:style w:type="table" w:styleId="TableGrid">
    <w:name w:val="Table Grid"/>
    <w:basedOn w:val="TableNormal"/>
    <w:uiPriority w:val="59"/>
    <w:rsid w:val="00DA3509"/>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DA3509"/>
    <w:rPr>
      <w:rFonts w:ascii="Times New Roman" w:hAnsi="Times New Roman"/>
      <w:sz w:val="24"/>
      <w:szCs w:val="24"/>
      <w:lang w:val="en-CA"/>
    </w:rPr>
  </w:style>
  <w:style w:type="paragraph" w:customStyle="1" w:styleId="SCCLsocPrefix">
    <w:name w:val="SCC.Lsoc.Prefix"/>
    <w:basedOn w:val="Normal"/>
    <w:next w:val="Normal"/>
    <w:link w:val="SCCLsocPrefixChar"/>
    <w:rsid w:val="00DA3509"/>
    <w:rPr>
      <w:rFonts w:eastAsiaTheme="minorHAnsi" w:cstheme="minorBidi"/>
      <w:b/>
      <w:smallCaps/>
      <w:szCs w:val="24"/>
      <w:lang w:eastAsia="en-US"/>
    </w:rPr>
  </w:style>
  <w:style w:type="character" w:customStyle="1" w:styleId="SCCLsocPrefixChar">
    <w:name w:val="SCC.Lsoc.Prefix Char"/>
    <w:basedOn w:val="DefaultParagraphFont"/>
    <w:link w:val="SCCLsocPrefix"/>
    <w:rsid w:val="00DA3509"/>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6B3D-2475-4B05-AF7A-69A2E274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928</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2018-02-26T18:30:00Z</dcterms:created>
  <dcterms:modified xsi:type="dcterms:W3CDTF">2019-03-25T18:50:00Z</dcterms:modified>
</cp:coreProperties>
</file>