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7B3" w:rsidRPr="004C6A4C" w:rsidRDefault="009B57B3" w:rsidP="00111DE2">
      <w:pPr>
        <w:pStyle w:val="SCCBanSummary"/>
      </w:pPr>
    </w:p>
    <w:p w:rsidR="00F61134" w:rsidRDefault="00F61134" w:rsidP="00F61134">
      <w:pPr>
        <w:pStyle w:val="Header"/>
      </w:pPr>
      <w:r>
        <w:ptab w:relativeTo="margin" w:alignment="center" w:leader="none"/>
      </w:r>
      <w:r w:rsidRPr="00F72014">
        <w:t xml:space="preserve"> </w:t>
      </w:r>
      <w:r>
        <w:object w:dxaOrig="136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64.8pt" o:ole="">
            <v:imagedata r:id="rId6" o:title=""/>
          </v:shape>
          <o:OLEObject Type="Embed" ProgID="Presentations.Drawing.13" ShapeID="_x0000_i1025" DrawAspect="Content" ObjectID="_1625573173" r:id="rId7"/>
        </w:object>
      </w:r>
      <w:r>
        <w:t xml:space="preserve"> </w:t>
      </w:r>
      <w:r>
        <w:ptab w:relativeTo="margin" w:alignment="right" w:leader="none"/>
      </w:r>
    </w:p>
    <w:p w:rsidR="00F61134" w:rsidRDefault="00F61134" w:rsidP="00F61134">
      <w:pPr>
        <w:pStyle w:val="Header"/>
      </w:pPr>
    </w:p>
    <w:p w:rsidR="00F61134" w:rsidRPr="006B210C" w:rsidRDefault="00F61134" w:rsidP="00F61134">
      <w:pPr>
        <w:jc w:val="center"/>
        <w:rPr>
          <w:b/>
        </w:rPr>
      </w:pPr>
      <w:r w:rsidRPr="006B210C">
        <w:rPr>
          <w:b/>
        </w:rPr>
        <w:t>SUPREME COURT OF CANADA</w:t>
      </w:r>
    </w:p>
    <w:p w:rsidR="00F61134" w:rsidRDefault="00F61134" w:rsidP="00F61134"/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5670"/>
        <w:gridCol w:w="3960"/>
      </w:tblGrid>
      <w:tr w:rsidR="00F61134" w:rsidRPr="006B210C" w:rsidTr="00603449">
        <w:trPr>
          <w:cantSplit/>
        </w:trPr>
        <w:tc>
          <w:tcPr>
            <w:tcW w:w="5670" w:type="dxa"/>
          </w:tcPr>
          <w:p w:rsidR="00F61134" w:rsidRPr="009A3AD5" w:rsidRDefault="00F61134" w:rsidP="00603449">
            <w:pPr>
              <w:rPr>
                <w:lang w:val="fr-CA"/>
              </w:rPr>
            </w:pPr>
            <w:r w:rsidRPr="009A3AD5">
              <w:rPr>
                <w:b/>
                <w:smallCaps/>
                <w:lang w:val="fr-CA"/>
              </w:rPr>
              <w:t>Citation:</w:t>
            </w:r>
            <w:r w:rsidRPr="009A3AD5">
              <w:rPr>
                <w:lang w:val="fr-CA"/>
              </w:rPr>
              <w:t xml:space="preserve"> R. </w:t>
            </w:r>
            <w:r w:rsidRPr="009A3AD5">
              <w:rPr>
                <w:i/>
                <w:lang w:val="fr-CA"/>
              </w:rPr>
              <w:t>v.</w:t>
            </w:r>
            <w:r w:rsidRPr="009A3AD5">
              <w:rPr>
                <w:lang w:val="fr-CA"/>
              </w:rPr>
              <w:t xml:space="preserve"> Gagnon, 2018 SCC </w:t>
            </w:r>
            <w:r>
              <w:rPr>
                <w:lang w:val="fr-CA"/>
              </w:rPr>
              <w:t>41</w:t>
            </w:r>
            <w:r w:rsidRPr="009A3AD5">
              <w:rPr>
                <w:lang w:val="fr-CA"/>
              </w:rPr>
              <w:t xml:space="preserve">, [2018] </w:t>
            </w:r>
            <w:r>
              <w:rPr>
                <w:lang w:val="fr-CA"/>
              </w:rPr>
              <w:t>3</w:t>
            </w:r>
            <w:r w:rsidRPr="009A3AD5">
              <w:rPr>
                <w:lang w:val="fr-CA"/>
              </w:rPr>
              <w:t xml:space="preserve"> S.C.R. </w:t>
            </w:r>
            <w:r>
              <w:rPr>
                <w:lang w:val="fr-CA"/>
              </w:rPr>
              <w:t>3</w:t>
            </w:r>
          </w:p>
        </w:tc>
        <w:tc>
          <w:tcPr>
            <w:tcW w:w="3960" w:type="dxa"/>
          </w:tcPr>
          <w:p w:rsidR="00F61134" w:rsidRDefault="00F61134" w:rsidP="00603449">
            <w:r>
              <w:rPr>
                <w:b/>
                <w:smallCaps/>
              </w:rPr>
              <w:t>Appeal heard:</w:t>
            </w:r>
            <w:r>
              <w:t xml:space="preserve"> October 16, 2018</w:t>
            </w:r>
          </w:p>
          <w:p w:rsidR="00F61134" w:rsidRPr="006B210C" w:rsidRDefault="00F61134" w:rsidP="00603449">
            <w:r>
              <w:rPr>
                <w:b/>
                <w:smallCaps/>
              </w:rPr>
              <w:t>Judgment rendered</w:t>
            </w:r>
            <w:r w:rsidRPr="003E41F2">
              <w:rPr>
                <w:b/>
                <w:smallCaps/>
              </w:rPr>
              <w:t>:</w:t>
            </w:r>
            <w:r>
              <w:t xml:space="preserve"> October 16, 2018</w:t>
            </w:r>
          </w:p>
          <w:p w:rsidR="00F61134" w:rsidRPr="006B210C" w:rsidRDefault="00F61134" w:rsidP="00603449">
            <w:r w:rsidRPr="005D4B83">
              <w:rPr>
                <w:b/>
                <w:smallCaps/>
              </w:rPr>
              <w:t>Docket:</w:t>
            </w:r>
            <w:r>
              <w:t xml:space="preserve"> 37972</w:t>
            </w:r>
          </w:p>
        </w:tc>
      </w:tr>
    </w:tbl>
    <w:p w:rsidR="00F61134" w:rsidRPr="006B210C" w:rsidRDefault="00F61134" w:rsidP="00F61134"/>
    <w:p w:rsidR="00F61134" w:rsidRDefault="00F61134" w:rsidP="00F61134">
      <w:pPr>
        <w:pStyle w:val="SCCLsocPrefix"/>
      </w:pPr>
      <w:r>
        <w:t>Between:</w:t>
      </w:r>
    </w:p>
    <w:p w:rsidR="00F61134" w:rsidRPr="00F8689B" w:rsidRDefault="00F61134" w:rsidP="00F61134">
      <w:pPr>
        <w:jc w:val="center"/>
        <w:rPr>
          <w:b/>
          <w:lang w:val="fr-CA"/>
        </w:rPr>
      </w:pPr>
      <w:r w:rsidRPr="00F8689B">
        <w:rPr>
          <w:b/>
          <w:lang w:val="fr-CA"/>
        </w:rPr>
        <w:t xml:space="preserve">Warrant </w:t>
      </w:r>
      <w:proofErr w:type="spellStart"/>
      <w:r w:rsidRPr="00F8689B">
        <w:rPr>
          <w:b/>
          <w:lang w:val="fr-CA"/>
        </w:rPr>
        <w:t>Officer</w:t>
      </w:r>
      <w:proofErr w:type="spellEnd"/>
      <w:r w:rsidRPr="00F8689B">
        <w:rPr>
          <w:b/>
          <w:lang w:val="fr-CA"/>
        </w:rPr>
        <w:t xml:space="preserve"> J.G.A. Gagnon</w:t>
      </w:r>
    </w:p>
    <w:p w:rsidR="00F61134" w:rsidRDefault="00F61134" w:rsidP="00F61134">
      <w:pPr>
        <w:jc w:val="center"/>
      </w:pPr>
      <w:bookmarkStart w:id="0" w:name="_GoBack"/>
      <w:bookmarkEnd w:id="0"/>
      <w:r>
        <w:t>Appellant</w:t>
      </w:r>
    </w:p>
    <w:p w:rsidR="00F61134" w:rsidRPr="005D4B83" w:rsidRDefault="00F61134" w:rsidP="00F61134">
      <w:pPr>
        <w:jc w:val="center"/>
      </w:pPr>
    </w:p>
    <w:p w:rsidR="00F61134" w:rsidRPr="00F61134" w:rsidRDefault="00F61134" w:rsidP="00F61134">
      <w:pPr>
        <w:pStyle w:val="SCCLsocVersus"/>
        <w:spacing w:after="0"/>
        <w:jc w:val="center"/>
        <w:rPr>
          <w:i w:val="0"/>
        </w:rPr>
      </w:pPr>
      <w:proofErr w:type="gramStart"/>
      <w:r w:rsidRPr="00F61134">
        <w:rPr>
          <w:i w:val="0"/>
        </w:rPr>
        <w:t>and</w:t>
      </w:r>
      <w:proofErr w:type="gramEnd"/>
    </w:p>
    <w:p w:rsidR="00F61134" w:rsidRPr="005D4B83" w:rsidRDefault="00F61134" w:rsidP="00F61134">
      <w:pPr>
        <w:jc w:val="center"/>
      </w:pPr>
    </w:p>
    <w:p w:rsidR="00F61134" w:rsidRDefault="00F61134" w:rsidP="00F61134">
      <w:pPr>
        <w:pStyle w:val="SCCLsocParty"/>
        <w:jc w:val="center"/>
      </w:pPr>
      <w:r>
        <w:t xml:space="preserve">Her Majesty </w:t>
      </w:r>
      <w:proofErr w:type="gramStart"/>
      <w:r>
        <w:t>The</w:t>
      </w:r>
      <w:proofErr w:type="gramEnd"/>
      <w:r>
        <w:t xml:space="preserve"> Queen</w:t>
      </w:r>
    </w:p>
    <w:p w:rsidR="00F61134" w:rsidRDefault="00F61134" w:rsidP="00F61134">
      <w:pPr>
        <w:jc w:val="center"/>
      </w:pPr>
      <w:r>
        <w:t>Respondent</w:t>
      </w:r>
    </w:p>
    <w:p w:rsidR="00F61134" w:rsidRDefault="00F61134" w:rsidP="00F61134">
      <w:pPr>
        <w:jc w:val="center"/>
      </w:pPr>
    </w:p>
    <w:p w:rsidR="00F61134" w:rsidRDefault="00F61134" w:rsidP="00F61134">
      <w:pPr>
        <w:jc w:val="center"/>
      </w:pPr>
      <w:r>
        <w:t xml:space="preserve">- </w:t>
      </w:r>
      <w:proofErr w:type="gramStart"/>
      <w:r>
        <w:t>and</w:t>
      </w:r>
      <w:proofErr w:type="gramEnd"/>
      <w:r>
        <w:t xml:space="preserve"> -</w:t>
      </w:r>
    </w:p>
    <w:p w:rsidR="00F61134" w:rsidRDefault="00F61134" w:rsidP="00F61134">
      <w:pPr>
        <w:jc w:val="center"/>
      </w:pPr>
    </w:p>
    <w:p w:rsidR="00F61134" w:rsidRPr="00A61F7F" w:rsidRDefault="00F61134" w:rsidP="00F61134">
      <w:pPr>
        <w:jc w:val="center"/>
        <w:rPr>
          <w:b/>
        </w:rPr>
      </w:pPr>
      <w:r w:rsidRPr="00A61F7F">
        <w:rPr>
          <w:b/>
        </w:rPr>
        <w:t>Women’s Legal Education and Action Fund Inc.</w:t>
      </w:r>
    </w:p>
    <w:p w:rsidR="00F61134" w:rsidRPr="007470F5" w:rsidRDefault="00F61134" w:rsidP="00F61134">
      <w:pPr>
        <w:jc w:val="center"/>
      </w:pPr>
      <w:r>
        <w:t>Intervener</w:t>
      </w:r>
    </w:p>
    <w:p w:rsidR="00F61134" w:rsidRDefault="00F61134" w:rsidP="00F61134">
      <w:pPr>
        <w:jc w:val="center"/>
      </w:pPr>
    </w:p>
    <w:p w:rsidR="00F61134" w:rsidRDefault="00F61134" w:rsidP="00F61134"/>
    <w:p w:rsidR="00F61134" w:rsidRDefault="00F61134" w:rsidP="00F61134"/>
    <w:p w:rsidR="00F61134" w:rsidRPr="006B210C" w:rsidRDefault="00F61134" w:rsidP="00F61134">
      <w:pPr>
        <w:jc w:val="center"/>
      </w:pPr>
      <w:r w:rsidRPr="006B210C">
        <w:rPr>
          <w:b/>
          <w:smallCaps/>
        </w:rPr>
        <w:t>Official English Translation</w:t>
      </w:r>
    </w:p>
    <w:p w:rsidR="00F61134" w:rsidRPr="006B210C" w:rsidRDefault="00F61134" w:rsidP="00F61134">
      <w:pPr>
        <w:jc w:val="center"/>
      </w:pPr>
    </w:p>
    <w:p w:rsidR="00F61134" w:rsidRDefault="00F61134" w:rsidP="00F61134">
      <w:pPr>
        <w:rPr>
          <w:b/>
          <w:smallCaps/>
        </w:rPr>
      </w:pPr>
    </w:p>
    <w:p w:rsidR="00F61134" w:rsidRPr="006B210C" w:rsidRDefault="00F61134" w:rsidP="00F61134">
      <w:r w:rsidRPr="006B210C">
        <w:rPr>
          <w:b/>
          <w:smallCaps/>
        </w:rPr>
        <w:t>Coram</w:t>
      </w:r>
      <w:r>
        <w:rPr>
          <w:b/>
          <w:smallCaps/>
        </w:rPr>
        <w:t xml:space="preserve">: </w:t>
      </w:r>
      <w:r w:rsidRPr="004C6A4C">
        <w:t xml:space="preserve">Wagner C.J. and </w:t>
      </w:r>
      <w:proofErr w:type="spellStart"/>
      <w:r w:rsidRPr="004C6A4C">
        <w:t>Abella</w:t>
      </w:r>
      <w:proofErr w:type="spellEnd"/>
      <w:r w:rsidRPr="004C6A4C">
        <w:t xml:space="preserve">, </w:t>
      </w:r>
      <w:proofErr w:type="spellStart"/>
      <w:r w:rsidRPr="004C6A4C">
        <w:t>Moldaver</w:t>
      </w:r>
      <w:proofErr w:type="spellEnd"/>
      <w:r w:rsidRPr="004C6A4C">
        <w:t xml:space="preserve">, </w:t>
      </w:r>
      <w:proofErr w:type="spellStart"/>
      <w:r w:rsidRPr="004C6A4C">
        <w:t>Karakatsanis</w:t>
      </w:r>
      <w:proofErr w:type="spellEnd"/>
      <w:r w:rsidRPr="004C6A4C">
        <w:t xml:space="preserve">, </w:t>
      </w:r>
      <w:proofErr w:type="spellStart"/>
      <w:r w:rsidRPr="004C6A4C">
        <w:t>Gascon</w:t>
      </w:r>
      <w:proofErr w:type="spellEnd"/>
      <w:r w:rsidRPr="004C6A4C">
        <w:t xml:space="preserve">, </w:t>
      </w:r>
      <w:proofErr w:type="spellStart"/>
      <w:r w:rsidRPr="004C6A4C">
        <w:t>Côté</w:t>
      </w:r>
      <w:proofErr w:type="spellEnd"/>
      <w:r w:rsidRPr="004C6A4C">
        <w:t>, Brown, Rowe and Martin JJ.</w:t>
      </w:r>
    </w:p>
    <w:p w:rsidR="00F61134" w:rsidRPr="006B210C" w:rsidRDefault="00F61134" w:rsidP="00F6113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3618"/>
        <w:gridCol w:w="5958"/>
      </w:tblGrid>
      <w:tr w:rsidR="00F61134" w:rsidRPr="00E50EDE" w:rsidTr="00603449">
        <w:trPr>
          <w:cantSplit/>
        </w:trPr>
        <w:tc>
          <w:tcPr>
            <w:tcW w:w="3618" w:type="dxa"/>
          </w:tcPr>
          <w:p w:rsidR="00F61134" w:rsidRDefault="00F61134" w:rsidP="00603449">
            <w:pPr>
              <w:rPr>
                <w:b/>
                <w:smallCaps/>
              </w:rPr>
            </w:pPr>
            <w:r w:rsidRPr="006B210C">
              <w:rPr>
                <w:b/>
                <w:smallCaps/>
              </w:rPr>
              <w:t xml:space="preserve">Reasons for </w:t>
            </w:r>
            <w:r>
              <w:rPr>
                <w:b/>
                <w:smallCaps/>
              </w:rPr>
              <w:t>Judgment:</w:t>
            </w:r>
          </w:p>
          <w:p w:rsidR="00F61134" w:rsidRPr="006B210C" w:rsidRDefault="00F61134" w:rsidP="00603449">
            <w:r>
              <w:t>(paras. 1 to 4)</w:t>
            </w:r>
          </w:p>
        </w:tc>
        <w:tc>
          <w:tcPr>
            <w:tcW w:w="5958" w:type="dxa"/>
          </w:tcPr>
          <w:p w:rsidR="00F61134" w:rsidRPr="00E50EDE" w:rsidRDefault="00F61134" w:rsidP="00603449">
            <w:r w:rsidRPr="00E50EDE">
              <w:rPr>
                <w:lang w:val="fr-CA"/>
              </w:rPr>
              <w:t xml:space="preserve">Wagner C.J. (Abella, </w:t>
            </w:r>
            <w:proofErr w:type="spellStart"/>
            <w:r w:rsidRPr="004C6A4C">
              <w:t>Moldaver</w:t>
            </w:r>
            <w:proofErr w:type="spellEnd"/>
            <w:r w:rsidRPr="004C6A4C">
              <w:t xml:space="preserve">, </w:t>
            </w:r>
            <w:proofErr w:type="spellStart"/>
            <w:r w:rsidRPr="004C6A4C">
              <w:t>Karakatsanis</w:t>
            </w:r>
            <w:proofErr w:type="spellEnd"/>
            <w:r w:rsidRPr="004C6A4C">
              <w:t xml:space="preserve">, </w:t>
            </w:r>
            <w:proofErr w:type="spellStart"/>
            <w:r w:rsidRPr="004C6A4C">
              <w:t>Gascon</w:t>
            </w:r>
            <w:proofErr w:type="spellEnd"/>
            <w:r w:rsidRPr="004C6A4C">
              <w:t xml:space="preserve">, </w:t>
            </w:r>
            <w:proofErr w:type="spellStart"/>
            <w:r w:rsidRPr="004C6A4C">
              <w:t>Côté</w:t>
            </w:r>
            <w:proofErr w:type="spellEnd"/>
            <w:r w:rsidRPr="004C6A4C">
              <w:t>, Brown, Rowe and Martin JJ.</w:t>
            </w:r>
            <w:r>
              <w:t xml:space="preserve"> </w:t>
            </w:r>
            <w:proofErr w:type="spellStart"/>
            <w:r w:rsidRPr="00E50EDE">
              <w:rPr>
                <w:lang w:val="fr-CA"/>
              </w:rPr>
              <w:t>concurring</w:t>
            </w:r>
            <w:proofErr w:type="spellEnd"/>
            <w:r w:rsidRPr="00E50EDE">
              <w:rPr>
                <w:lang w:val="fr-CA"/>
              </w:rPr>
              <w:t>)</w:t>
            </w:r>
          </w:p>
        </w:tc>
      </w:tr>
    </w:tbl>
    <w:p w:rsidR="00F61134" w:rsidRPr="00E50EDE" w:rsidRDefault="00F61134" w:rsidP="00F61134">
      <w:pPr>
        <w:rPr>
          <w:lang w:val="fr-CA"/>
        </w:rPr>
      </w:pPr>
    </w:p>
    <w:p w:rsidR="00F61134" w:rsidRPr="00E50EDE" w:rsidRDefault="00F61134" w:rsidP="00F61134">
      <w:pPr>
        <w:rPr>
          <w:lang w:val="fr-CA"/>
        </w:rPr>
      </w:pPr>
    </w:p>
    <w:p w:rsidR="00F61134" w:rsidRPr="00E50EDE" w:rsidRDefault="00F61134" w:rsidP="00F61134">
      <w:pPr>
        <w:rPr>
          <w:lang w:val="fr-CA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0A18D" wp14:editId="40B25751">
                <wp:simplePos x="0" y="0"/>
                <wp:positionH relativeFrom="column">
                  <wp:posOffset>1609725</wp:posOffset>
                </wp:positionH>
                <wp:positionV relativeFrom="paragraph">
                  <wp:posOffset>184150</wp:posOffset>
                </wp:positionV>
                <wp:extent cx="2505075" cy="0"/>
                <wp:effectExtent l="9525" t="13335" r="952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5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0130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26.75pt;margin-top:14.5pt;width:19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"/>
            </w:pict>
          </mc:Fallback>
        </mc:AlternateContent>
      </w:r>
    </w:p>
    <w:p w:rsidR="00F61134" w:rsidRPr="00E50EDE" w:rsidRDefault="00F61134" w:rsidP="00F61134">
      <w:pPr>
        <w:rPr>
          <w:lang w:val="fr-CA"/>
        </w:rPr>
      </w:pPr>
    </w:p>
    <w:p w:rsidR="00F61134" w:rsidRPr="00E50EDE" w:rsidRDefault="00F61134" w:rsidP="00F61134">
      <w:pPr>
        <w:rPr>
          <w:lang w:val="fr-CA"/>
        </w:rPr>
      </w:pPr>
    </w:p>
    <w:p w:rsidR="00F61134" w:rsidRPr="00E50EDE" w:rsidRDefault="00F61134" w:rsidP="00F61134">
      <w:pPr>
        <w:rPr>
          <w:lang w:val="fr-CA"/>
        </w:rPr>
      </w:pPr>
    </w:p>
    <w:p w:rsidR="00F61134" w:rsidRPr="00E50EDE" w:rsidRDefault="00F61134" w:rsidP="00F61134">
      <w:pPr>
        <w:rPr>
          <w:lang w:val="fr-CA"/>
        </w:rPr>
      </w:pPr>
    </w:p>
    <w:p w:rsidR="008322BD" w:rsidRPr="00EF0113" w:rsidRDefault="00EF0113" w:rsidP="0035169A">
      <w:pPr>
        <w:spacing w:line="480" w:lineRule="auto"/>
        <w:jc w:val="both"/>
        <w:rPr>
          <w:smallCaps/>
          <w:lang w:val="fr-CA"/>
        </w:rPr>
      </w:pPr>
      <w:r w:rsidRPr="00EF0113">
        <w:rPr>
          <w:rStyle w:val="SCCRespondentForRunningHeadChar"/>
          <w:smallCaps w:val="0"/>
          <w:lang w:val="fr-CA"/>
        </w:rPr>
        <w:t>R</w:t>
      </w:r>
      <w:r w:rsidR="00BA43FE" w:rsidRPr="00EF0113">
        <w:rPr>
          <w:rStyle w:val="SCCRespondentForRunningHeadChar"/>
          <w:smallCaps w:val="0"/>
          <w:lang w:val="fr-CA"/>
        </w:rPr>
        <w:t>.</w:t>
      </w:r>
      <w:r w:rsidR="00BA43FE" w:rsidRPr="00EF0113">
        <w:rPr>
          <w:i/>
          <w:smallCaps/>
          <w:lang w:val="fr-CA"/>
        </w:rPr>
        <w:t xml:space="preserve"> </w:t>
      </w:r>
      <w:r w:rsidR="00BA43FE" w:rsidRPr="00EF0113">
        <w:rPr>
          <w:i/>
          <w:lang w:val="fr-CA"/>
        </w:rPr>
        <w:t>v.</w:t>
      </w:r>
      <w:r w:rsidR="00BA43FE" w:rsidRPr="00EF0113">
        <w:rPr>
          <w:smallCaps/>
          <w:lang w:val="fr-CA"/>
        </w:rPr>
        <w:t xml:space="preserve"> </w:t>
      </w:r>
      <w:r w:rsidRPr="00EF0113">
        <w:rPr>
          <w:rStyle w:val="SCCAppellantForRunningHeadChar"/>
          <w:smallCaps w:val="0"/>
          <w:lang w:val="fr-CA"/>
        </w:rPr>
        <w:t>G</w:t>
      </w:r>
      <w:r w:rsidR="008F78E9" w:rsidRPr="00EF0113">
        <w:rPr>
          <w:rStyle w:val="SCCAppellantForRunningHeadChar"/>
          <w:smallCaps w:val="0"/>
          <w:lang w:val="fr-CA"/>
        </w:rPr>
        <w:t>agnon</w:t>
      </w:r>
      <w:r w:rsidRPr="00EF0113">
        <w:rPr>
          <w:rStyle w:val="SCCAppellantForRunningHeadChar"/>
          <w:smallCaps w:val="0"/>
          <w:lang w:val="fr-CA"/>
        </w:rPr>
        <w:t xml:space="preserve">, </w:t>
      </w:r>
      <w:r w:rsidRPr="00EF0113">
        <w:rPr>
          <w:lang w:val="fr-CA"/>
        </w:rPr>
        <w:t>2018 SCC 41, [2018] 3 S.C.</w:t>
      </w:r>
      <w:r>
        <w:rPr>
          <w:lang w:val="fr-CA"/>
        </w:rPr>
        <w:t>R. 3</w:t>
      </w:r>
      <w:r w:rsidR="00480C90" w:rsidRPr="00EF0113">
        <w:rPr>
          <w:smallCaps/>
          <w:lang w:val="fr-CA"/>
        </w:rPr>
        <w:t xml:space="preserve"> </w:t>
      </w:r>
    </w:p>
    <w:p w:rsidR="00766D14" w:rsidRPr="00EF0113" w:rsidRDefault="00766D14" w:rsidP="00FC4EFB">
      <w:pPr>
        <w:jc w:val="both"/>
        <w:rPr>
          <w:lang w:val="fr-CA"/>
        </w:rPr>
      </w:pPr>
    </w:p>
    <w:p w:rsidR="00A149DF" w:rsidRPr="00EF0113" w:rsidRDefault="00A149DF" w:rsidP="00FC4EFB">
      <w:pPr>
        <w:jc w:val="both"/>
        <w:rPr>
          <w:lang w:val="fr-CA"/>
        </w:rPr>
      </w:pPr>
    </w:p>
    <w:p w:rsidR="00A149DF" w:rsidRPr="00EF0113" w:rsidRDefault="00A149DF" w:rsidP="00FC4EFB">
      <w:pPr>
        <w:jc w:val="both"/>
        <w:rPr>
          <w:lang w:val="fr-CA"/>
        </w:rPr>
      </w:pPr>
    </w:p>
    <w:p w:rsidR="00A83DB3" w:rsidRPr="00F61134" w:rsidRDefault="00BA43FE">
      <w:pPr>
        <w:pStyle w:val="SCCLsocLastPartyInRole"/>
        <w:rPr>
          <w:lang w:val="fr-CA"/>
        </w:rPr>
      </w:pPr>
      <w:r w:rsidRPr="00F61134">
        <w:rPr>
          <w:lang w:val="fr-CA"/>
        </w:rPr>
        <w:t xml:space="preserve">Warrant </w:t>
      </w:r>
      <w:proofErr w:type="spellStart"/>
      <w:r w:rsidRPr="00F61134">
        <w:rPr>
          <w:lang w:val="fr-CA"/>
        </w:rPr>
        <w:t>Officer</w:t>
      </w:r>
      <w:proofErr w:type="spellEnd"/>
      <w:r w:rsidRPr="00F61134">
        <w:rPr>
          <w:lang w:val="fr-CA"/>
        </w:rPr>
        <w:t xml:space="preserve"> J.G.A. Gagnon</w:t>
      </w:r>
      <w:r w:rsidRPr="00F61134">
        <w:rPr>
          <w:rStyle w:val="SCCLsocPartyRole"/>
          <w:lang w:val="fr-CA"/>
        </w:rPr>
        <w:tab/>
      </w:r>
      <w:proofErr w:type="spellStart"/>
      <w:r w:rsidRPr="00F61134">
        <w:rPr>
          <w:rStyle w:val="SCCLsocPartyRole"/>
          <w:lang w:val="fr-CA"/>
        </w:rPr>
        <w:t>Appellant</w:t>
      </w:r>
      <w:proofErr w:type="spellEnd"/>
    </w:p>
    <w:p w:rsidR="00A83DB3" w:rsidRPr="004C6A4C" w:rsidRDefault="00BA43FE">
      <w:pPr>
        <w:pStyle w:val="SCCLsocVersus"/>
      </w:pPr>
      <w:proofErr w:type="gramStart"/>
      <w:r w:rsidRPr="004C6A4C">
        <w:t>v</w:t>
      </w:r>
      <w:proofErr w:type="gramEnd"/>
      <w:r w:rsidRPr="004C6A4C">
        <w:t>.</w:t>
      </w:r>
    </w:p>
    <w:p w:rsidR="00A83DB3" w:rsidRPr="004C6A4C" w:rsidRDefault="006510CB">
      <w:pPr>
        <w:pStyle w:val="SCCLsocLastPartyInRole"/>
      </w:pPr>
      <w:r w:rsidRPr="004C6A4C">
        <w:t xml:space="preserve">Her Majesty </w:t>
      </w:r>
      <w:proofErr w:type="gramStart"/>
      <w:r w:rsidRPr="004C6A4C">
        <w:t>T</w:t>
      </w:r>
      <w:r w:rsidR="00BA43FE" w:rsidRPr="004C6A4C">
        <w:t>he</w:t>
      </w:r>
      <w:proofErr w:type="gramEnd"/>
      <w:r w:rsidR="00BA43FE" w:rsidRPr="004C6A4C">
        <w:t xml:space="preserve"> Queen</w:t>
      </w:r>
      <w:r w:rsidR="00BA43FE" w:rsidRPr="004C6A4C">
        <w:rPr>
          <w:rStyle w:val="SCCLsocPartyRole"/>
        </w:rPr>
        <w:tab/>
        <w:t>Respondent</w:t>
      </w:r>
    </w:p>
    <w:p w:rsidR="00A83DB3" w:rsidRPr="004C6A4C" w:rsidRDefault="00BA43FE">
      <w:pPr>
        <w:pStyle w:val="SCCLsocOtherPartySeparator"/>
      </w:pPr>
      <w:proofErr w:type="gramStart"/>
      <w:r w:rsidRPr="004C6A4C">
        <w:t>and</w:t>
      </w:r>
      <w:proofErr w:type="gramEnd"/>
    </w:p>
    <w:p w:rsidR="00A83DB3" w:rsidRPr="004C6A4C" w:rsidRDefault="00BA43FE">
      <w:pPr>
        <w:pStyle w:val="SCCLsocLastPartyInRole"/>
      </w:pPr>
      <w:r w:rsidRPr="004C6A4C">
        <w:t>Women</w:t>
      </w:r>
      <w:r w:rsidR="00C6626C" w:rsidRPr="004C6A4C">
        <w:t>’</w:t>
      </w:r>
      <w:r w:rsidRPr="004C6A4C">
        <w:t>s Legal Education and Action Fund</w:t>
      </w:r>
      <w:r w:rsidR="007C620C" w:rsidRPr="004C6A4C">
        <w:t xml:space="preserve"> Inc.</w:t>
      </w:r>
      <w:r w:rsidRPr="004C6A4C">
        <w:rPr>
          <w:rStyle w:val="SCCLsocPartyRole"/>
        </w:rPr>
        <w:tab/>
        <w:t>Intervener</w:t>
      </w:r>
    </w:p>
    <w:p w:rsidR="00766D14" w:rsidRPr="004C6A4C" w:rsidRDefault="00766D14" w:rsidP="00FC4EFB">
      <w:pPr>
        <w:jc w:val="both"/>
      </w:pPr>
    </w:p>
    <w:p w:rsidR="00A149DF" w:rsidRPr="004C6A4C" w:rsidRDefault="00A149DF" w:rsidP="00FC4EFB">
      <w:pPr>
        <w:jc w:val="both"/>
      </w:pPr>
    </w:p>
    <w:p w:rsidR="00A149DF" w:rsidRPr="004C6A4C" w:rsidRDefault="00A149DF" w:rsidP="00FC4EFB">
      <w:pPr>
        <w:jc w:val="both"/>
      </w:pPr>
    </w:p>
    <w:p w:rsidR="00426659" w:rsidRPr="004C6A4C" w:rsidRDefault="00426659" w:rsidP="00FC4EFB">
      <w:pPr>
        <w:jc w:val="both"/>
        <w:rPr>
          <w:b/>
        </w:rPr>
      </w:pPr>
      <w:r w:rsidRPr="004C6A4C">
        <w:rPr>
          <w:b/>
        </w:rPr>
        <w:t xml:space="preserve">Indexed as: </w:t>
      </w:r>
      <w:r w:rsidR="00BA43FE" w:rsidRPr="004C6A4C">
        <w:rPr>
          <w:rStyle w:val="SCCRespondentForIndexChar"/>
        </w:rPr>
        <w:t>R.</w:t>
      </w:r>
      <w:r w:rsidR="00BA43FE" w:rsidRPr="004C6A4C">
        <w:rPr>
          <w:b/>
          <w:i/>
        </w:rPr>
        <w:t xml:space="preserve"> v.</w:t>
      </w:r>
      <w:r w:rsidR="00BA43FE" w:rsidRPr="004C6A4C">
        <w:rPr>
          <w:b/>
        </w:rPr>
        <w:t xml:space="preserve"> </w:t>
      </w:r>
      <w:r w:rsidRPr="004C6A4C">
        <w:rPr>
          <w:rStyle w:val="SCCAppellantForIndexChar"/>
        </w:rPr>
        <w:t>Gagnon</w:t>
      </w:r>
      <w:r w:rsidRPr="004C6A4C">
        <w:rPr>
          <w:b/>
        </w:rPr>
        <w:t xml:space="preserve"> </w:t>
      </w:r>
    </w:p>
    <w:p w:rsidR="00426659" w:rsidRPr="004C6A4C" w:rsidRDefault="00426659" w:rsidP="00FC4EFB">
      <w:pPr>
        <w:jc w:val="both"/>
      </w:pPr>
    </w:p>
    <w:p w:rsidR="00A149DF" w:rsidRPr="004C6A4C" w:rsidRDefault="00A149DF" w:rsidP="00FC4EFB">
      <w:pPr>
        <w:jc w:val="both"/>
      </w:pPr>
    </w:p>
    <w:p w:rsidR="00A149DF" w:rsidRPr="004C6A4C" w:rsidRDefault="00A149DF" w:rsidP="00FC4EFB">
      <w:pPr>
        <w:jc w:val="both"/>
      </w:pPr>
    </w:p>
    <w:p w:rsidR="00426659" w:rsidRPr="004C6A4C" w:rsidRDefault="00AE4535" w:rsidP="00FC4EFB">
      <w:pPr>
        <w:pStyle w:val="SCCSystemYear"/>
        <w:jc w:val="both"/>
      </w:pPr>
      <w:r w:rsidRPr="004C6A4C">
        <w:t>2018</w:t>
      </w:r>
      <w:r w:rsidR="003D0399" w:rsidRPr="004C6A4C">
        <w:t xml:space="preserve"> </w:t>
      </w:r>
      <w:r w:rsidR="002331F4" w:rsidRPr="004C6A4C">
        <w:t>SCC 41</w:t>
      </w:r>
    </w:p>
    <w:p w:rsidR="00426659" w:rsidRPr="004C6A4C" w:rsidRDefault="00426659" w:rsidP="00FC4EFB">
      <w:pPr>
        <w:jc w:val="both"/>
      </w:pPr>
    </w:p>
    <w:p w:rsidR="00A149DF" w:rsidRPr="004C6A4C" w:rsidRDefault="00A149DF" w:rsidP="00FC4EFB">
      <w:pPr>
        <w:jc w:val="both"/>
      </w:pPr>
    </w:p>
    <w:p w:rsidR="00A149DF" w:rsidRPr="004C6A4C" w:rsidRDefault="00A149DF" w:rsidP="00FC4EFB">
      <w:pPr>
        <w:jc w:val="both"/>
      </w:pPr>
    </w:p>
    <w:p w:rsidR="008322BD" w:rsidRPr="004C6A4C" w:rsidRDefault="009B57B3" w:rsidP="00FC4EFB">
      <w:pPr>
        <w:jc w:val="both"/>
      </w:pPr>
      <w:r w:rsidRPr="004C6A4C">
        <w:t>File No.:  37972.</w:t>
      </w:r>
    </w:p>
    <w:p w:rsidR="00E97830" w:rsidRPr="004C6A4C" w:rsidRDefault="00E97830" w:rsidP="00FC4EFB">
      <w:pPr>
        <w:jc w:val="both"/>
      </w:pPr>
    </w:p>
    <w:p w:rsidR="00A149DF" w:rsidRPr="004C6A4C" w:rsidRDefault="00A149DF" w:rsidP="00FC4EFB">
      <w:pPr>
        <w:jc w:val="both"/>
      </w:pPr>
    </w:p>
    <w:p w:rsidR="00A149DF" w:rsidRPr="004C6A4C" w:rsidRDefault="00A149DF" w:rsidP="00FC4EFB">
      <w:pPr>
        <w:jc w:val="both"/>
      </w:pPr>
    </w:p>
    <w:p w:rsidR="008322BD" w:rsidRPr="004C6A4C" w:rsidRDefault="00AE4535" w:rsidP="00FC4EFB">
      <w:pPr>
        <w:jc w:val="both"/>
      </w:pPr>
      <w:r w:rsidRPr="004C6A4C">
        <w:t>2018:  October 16</w:t>
      </w:r>
      <w:r w:rsidR="008C05E8" w:rsidRPr="004C6A4C">
        <w:t>.</w:t>
      </w:r>
    </w:p>
    <w:p w:rsidR="00E97830" w:rsidRPr="004C6A4C" w:rsidRDefault="00E97830" w:rsidP="00FC4EFB">
      <w:pPr>
        <w:jc w:val="both"/>
      </w:pPr>
    </w:p>
    <w:p w:rsidR="00A149DF" w:rsidRPr="004C6A4C" w:rsidRDefault="00A149DF" w:rsidP="00FC4EFB">
      <w:pPr>
        <w:jc w:val="both"/>
      </w:pPr>
    </w:p>
    <w:p w:rsidR="00A149DF" w:rsidRPr="004C6A4C" w:rsidRDefault="00A149DF" w:rsidP="00FC4EFB">
      <w:pPr>
        <w:jc w:val="both"/>
      </w:pPr>
    </w:p>
    <w:p w:rsidR="008322BD" w:rsidRPr="004C6A4C" w:rsidRDefault="009B57B3" w:rsidP="00FC4EFB">
      <w:pPr>
        <w:jc w:val="both"/>
      </w:pPr>
      <w:r w:rsidRPr="004C6A4C">
        <w:t xml:space="preserve">Present:  Wagner C.J. and </w:t>
      </w:r>
      <w:proofErr w:type="spellStart"/>
      <w:r w:rsidRPr="004C6A4C">
        <w:t>Abella</w:t>
      </w:r>
      <w:proofErr w:type="spellEnd"/>
      <w:r w:rsidRPr="004C6A4C">
        <w:t xml:space="preserve">, </w:t>
      </w:r>
      <w:proofErr w:type="spellStart"/>
      <w:r w:rsidRPr="004C6A4C">
        <w:t>Moldaver</w:t>
      </w:r>
      <w:proofErr w:type="spellEnd"/>
      <w:r w:rsidRPr="004C6A4C">
        <w:t xml:space="preserve">, </w:t>
      </w:r>
      <w:proofErr w:type="spellStart"/>
      <w:r w:rsidRPr="004C6A4C">
        <w:t>Karakatsanis</w:t>
      </w:r>
      <w:proofErr w:type="spellEnd"/>
      <w:r w:rsidRPr="004C6A4C">
        <w:t xml:space="preserve">, </w:t>
      </w:r>
      <w:proofErr w:type="spellStart"/>
      <w:r w:rsidRPr="004C6A4C">
        <w:t>Gascon</w:t>
      </w:r>
      <w:proofErr w:type="spellEnd"/>
      <w:r w:rsidRPr="004C6A4C">
        <w:t xml:space="preserve">, </w:t>
      </w:r>
      <w:proofErr w:type="spellStart"/>
      <w:r w:rsidRPr="004C6A4C">
        <w:t>Côté</w:t>
      </w:r>
      <w:proofErr w:type="spellEnd"/>
      <w:r w:rsidRPr="004C6A4C">
        <w:t>, Brown, Rowe and Martin JJ.</w:t>
      </w:r>
    </w:p>
    <w:p w:rsidR="00E97830" w:rsidRPr="004C6A4C" w:rsidRDefault="00E97830" w:rsidP="00FC4EFB">
      <w:pPr>
        <w:jc w:val="both"/>
      </w:pPr>
    </w:p>
    <w:p w:rsidR="006A1551" w:rsidRPr="004C6A4C" w:rsidRDefault="006A1551" w:rsidP="00FC4EFB">
      <w:pPr>
        <w:jc w:val="both"/>
      </w:pPr>
    </w:p>
    <w:p w:rsidR="006A1551" w:rsidRPr="004C6A4C" w:rsidRDefault="006A1551" w:rsidP="00FC4EFB">
      <w:pPr>
        <w:jc w:val="both"/>
      </w:pPr>
    </w:p>
    <w:p w:rsidR="00BA7DA0" w:rsidRPr="004C6A4C" w:rsidRDefault="00BA7DA0" w:rsidP="00BA7DA0">
      <w:pPr>
        <w:jc w:val="both"/>
      </w:pPr>
    </w:p>
    <w:p w:rsidR="00A83DB3" w:rsidRPr="004C6A4C" w:rsidRDefault="00A83DB3"/>
    <w:p w:rsidR="008322BD" w:rsidRPr="004C6A4C" w:rsidRDefault="00656313" w:rsidP="005C34AF">
      <w:pPr>
        <w:pStyle w:val="SCCLowerCourtNameLowercase"/>
        <w:spacing w:line="240" w:lineRule="auto"/>
      </w:pPr>
      <w:r w:rsidRPr="004C6A4C">
        <w:lastRenderedPageBreak/>
        <w:t>o</w:t>
      </w:r>
      <w:r w:rsidR="00170592" w:rsidRPr="004C6A4C">
        <w:t>n</w:t>
      </w:r>
      <w:r w:rsidR="00224FC0" w:rsidRPr="004C6A4C">
        <w:t xml:space="preserve"> </w:t>
      </w:r>
      <w:r w:rsidRPr="004C6A4C">
        <w:t>a</w:t>
      </w:r>
      <w:r w:rsidR="00170592" w:rsidRPr="004C6A4C">
        <w:t>ppeal</w:t>
      </w:r>
      <w:r w:rsidR="00224FC0" w:rsidRPr="004C6A4C">
        <w:t xml:space="preserve"> </w:t>
      </w:r>
      <w:r w:rsidR="00170592" w:rsidRPr="004C6A4C">
        <w:t>from</w:t>
      </w:r>
      <w:r w:rsidR="009567AA" w:rsidRPr="004C6A4C">
        <w:t xml:space="preserve"> the</w:t>
      </w:r>
      <w:r w:rsidR="00224FC0" w:rsidRPr="004C6A4C">
        <w:t xml:space="preserve"> </w:t>
      </w:r>
      <w:r w:rsidR="009B57B3" w:rsidRPr="004C6A4C">
        <w:t xml:space="preserve">court martial appeal court of </w:t>
      </w:r>
      <w:proofErr w:type="spellStart"/>
      <w:r w:rsidR="009B57B3" w:rsidRPr="004C6A4C">
        <w:t>canada</w:t>
      </w:r>
      <w:proofErr w:type="spellEnd"/>
    </w:p>
    <w:p w:rsidR="003A4C70" w:rsidRPr="004C6A4C" w:rsidRDefault="003A4C70" w:rsidP="00FC4EFB">
      <w:pPr>
        <w:pStyle w:val="SCCNormalDoubleSpacing"/>
      </w:pPr>
    </w:p>
    <w:p w:rsidR="008322BD" w:rsidRPr="004C6A4C" w:rsidRDefault="009B57B3" w:rsidP="00FC4EFB">
      <w:pPr>
        <w:pStyle w:val="SCCNormalDoubleSpacing"/>
      </w:pPr>
      <w:r w:rsidRPr="004C6A4C">
        <w:tab/>
      </w:r>
      <w:r w:rsidR="002160EF">
        <w:rPr>
          <w:i/>
        </w:rPr>
        <w:t>Criminal law — Sexual assault —</w:t>
      </w:r>
      <w:r w:rsidR="005C34AF" w:rsidRPr="004C6A4C">
        <w:rPr>
          <w:i/>
        </w:rPr>
        <w:t xml:space="preserve"> Defences </w:t>
      </w:r>
      <w:r w:rsidR="00557D94">
        <w:rPr>
          <w:i/>
        </w:rPr>
        <w:t>—</w:t>
      </w:r>
      <w:r w:rsidR="005C34AF" w:rsidRPr="004C6A4C">
        <w:rPr>
          <w:i/>
        </w:rPr>
        <w:t xml:space="preserve"> Honest </w:t>
      </w:r>
      <w:r w:rsidR="002160EF">
        <w:rPr>
          <w:i/>
        </w:rPr>
        <w:t>but mistaken belief in consent —</w:t>
      </w:r>
      <w:r w:rsidR="005C34AF" w:rsidRPr="004C6A4C">
        <w:rPr>
          <w:i/>
        </w:rPr>
        <w:t xml:space="preserve"> Chief Military Judge </w:t>
      </w:r>
      <w:r w:rsidR="004C6A4C" w:rsidRPr="004C6A4C">
        <w:rPr>
          <w:i/>
        </w:rPr>
        <w:t>putting</w:t>
      </w:r>
      <w:r w:rsidR="005C34AF" w:rsidRPr="004C6A4C">
        <w:rPr>
          <w:i/>
        </w:rPr>
        <w:t xml:space="preserve"> defence of honest but mistaken belief in </w:t>
      </w:r>
      <w:r w:rsidR="002160EF">
        <w:rPr>
          <w:i/>
        </w:rPr>
        <w:t>consent to court martial panel —</w:t>
      </w:r>
      <w:r w:rsidR="005C34AF" w:rsidRPr="004C6A4C">
        <w:rPr>
          <w:i/>
        </w:rPr>
        <w:t xml:space="preserve"> Accus</w:t>
      </w:r>
      <w:r w:rsidR="002160EF">
        <w:rPr>
          <w:i/>
        </w:rPr>
        <w:t>ed acquitted of sexual assault —</w:t>
      </w:r>
      <w:r w:rsidR="005C34AF" w:rsidRPr="004C6A4C">
        <w:rPr>
          <w:i/>
        </w:rPr>
        <w:t xml:space="preserve"> Appeal Court finding that defence could not be put to panel </w:t>
      </w:r>
      <w:r w:rsidR="00F21C75" w:rsidRPr="004C6A4C">
        <w:rPr>
          <w:i/>
        </w:rPr>
        <w:t xml:space="preserve">before </w:t>
      </w:r>
      <w:r w:rsidR="0098040F">
        <w:rPr>
          <w:i/>
        </w:rPr>
        <w:t>limitations</w:t>
      </w:r>
      <w:r w:rsidR="005C34AF" w:rsidRPr="004C6A4C">
        <w:rPr>
          <w:i/>
        </w:rPr>
        <w:t xml:space="preserve"> set out in Criminal Code</w:t>
      </w:r>
      <w:r w:rsidR="00F21C75" w:rsidRPr="004C6A4C">
        <w:rPr>
          <w:i/>
        </w:rPr>
        <w:t xml:space="preserve"> were considered </w:t>
      </w:r>
      <w:r w:rsidR="002160EF">
        <w:rPr>
          <w:i/>
        </w:rPr>
        <w:t>—</w:t>
      </w:r>
      <w:r w:rsidR="005C34AF" w:rsidRPr="004C6A4C">
        <w:rPr>
          <w:i/>
        </w:rPr>
        <w:t xml:space="preserve"> </w:t>
      </w:r>
      <w:r w:rsidR="00027E4B" w:rsidRPr="004C6A4C">
        <w:rPr>
          <w:i/>
        </w:rPr>
        <w:t>Setting aside of a</w:t>
      </w:r>
      <w:r w:rsidR="005C34AF" w:rsidRPr="004C6A4C">
        <w:rPr>
          <w:i/>
        </w:rPr>
        <w:t xml:space="preserve">cquittal and order for new trial </w:t>
      </w:r>
      <w:r w:rsidR="00027E4B" w:rsidRPr="004C6A4C">
        <w:rPr>
          <w:i/>
        </w:rPr>
        <w:t>affirmed</w:t>
      </w:r>
      <w:r w:rsidR="002160EF">
        <w:rPr>
          <w:i/>
        </w:rPr>
        <w:t xml:space="preserve"> —</w:t>
      </w:r>
      <w:r w:rsidR="005C34AF" w:rsidRPr="004C6A4C">
        <w:rPr>
          <w:i/>
        </w:rPr>
        <w:t xml:space="preserve"> Criminal Code, R.S.C. 1985, c. C</w:t>
      </w:r>
      <w:r w:rsidR="005C34AF" w:rsidRPr="004C6A4C">
        <w:rPr>
          <w:i/>
        </w:rPr>
        <w:noBreakHyphen/>
        <w:t>46, s. 273.2(b).</w:t>
      </w:r>
    </w:p>
    <w:p w:rsidR="00A149DF" w:rsidRPr="004C6A4C" w:rsidRDefault="00A149DF" w:rsidP="00FC4EFB">
      <w:pPr>
        <w:pStyle w:val="SCCNormalDoubleSpacing"/>
      </w:pPr>
    </w:p>
    <w:p w:rsidR="007E1C47" w:rsidRPr="004C6A4C" w:rsidRDefault="002E6705" w:rsidP="002160EF">
      <w:pPr>
        <w:pStyle w:val="SCCNormalDoubleSpacing"/>
        <w:spacing w:after="720" w:line="240" w:lineRule="auto"/>
        <w:rPr>
          <w:b/>
        </w:rPr>
      </w:pPr>
      <w:r w:rsidRPr="004C6A4C">
        <w:rPr>
          <w:b/>
        </w:rPr>
        <w:t>Cases Cited</w:t>
      </w:r>
    </w:p>
    <w:p w:rsidR="00A149DF" w:rsidRPr="004C6A4C" w:rsidRDefault="002E6705" w:rsidP="00915D2E">
      <w:pPr>
        <w:pStyle w:val="SCCNormalDoubleSpacing"/>
        <w:keepNext/>
        <w:keepLines/>
      </w:pPr>
      <w:r w:rsidRPr="004C6A4C">
        <w:tab/>
      </w:r>
      <w:r w:rsidRPr="004C6A4C">
        <w:rPr>
          <w:b/>
        </w:rPr>
        <w:t>Referred to:</w:t>
      </w:r>
      <w:r w:rsidR="00BD0E9E" w:rsidRPr="004C6A4C">
        <w:t xml:space="preserve"> </w:t>
      </w:r>
      <w:r w:rsidR="00A00AD5" w:rsidRPr="004C6A4C">
        <w:rPr>
          <w:i/>
        </w:rPr>
        <w:t>R. v. George</w:t>
      </w:r>
      <w:r w:rsidR="00A00AD5" w:rsidRPr="004C6A4C">
        <w:t>, 2017 SCC 38, [2017] 1 S.C.R. 1021.</w:t>
      </w:r>
    </w:p>
    <w:p w:rsidR="00915D2E" w:rsidRPr="004C6A4C" w:rsidRDefault="00915D2E" w:rsidP="002160EF">
      <w:pPr>
        <w:pStyle w:val="SCCNormalDoubleSpacing"/>
        <w:spacing w:after="480"/>
        <w:rPr>
          <w:b/>
        </w:rPr>
      </w:pPr>
    </w:p>
    <w:p w:rsidR="00A41805" w:rsidRPr="004C6A4C" w:rsidRDefault="002E6705" w:rsidP="002160EF">
      <w:pPr>
        <w:pStyle w:val="SCCNormalDoubleSpacing"/>
        <w:spacing w:after="720" w:line="240" w:lineRule="auto"/>
      </w:pPr>
      <w:r w:rsidRPr="004C6A4C">
        <w:rPr>
          <w:b/>
        </w:rPr>
        <w:t>Statutes and Regulations Cite</w:t>
      </w:r>
      <w:r w:rsidR="00A41805" w:rsidRPr="004C6A4C">
        <w:rPr>
          <w:b/>
        </w:rPr>
        <w:t>d</w:t>
      </w:r>
    </w:p>
    <w:p w:rsidR="00A149DF" w:rsidRPr="00F35607" w:rsidRDefault="00A00AD5" w:rsidP="00FC4EFB">
      <w:pPr>
        <w:pStyle w:val="SCCNormalDoubleSpacing"/>
        <w:spacing w:line="240" w:lineRule="auto"/>
        <w:ind w:left="540" w:hanging="540"/>
        <w:rPr>
          <w:lang w:val="en-US"/>
        </w:rPr>
      </w:pPr>
      <w:r w:rsidRPr="00F35607">
        <w:rPr>
          <w:i/>
          <w:lang w:val="en-US"/>
        </w:rPr>
        <w:t>Criminal Code</w:t>
      </w:r>
      <w:r w:rsidRPr="00F35607">
        <w:rPr>
          <w:lang w:val="en-US"/>
        </w:rPr>
        <w:t>, R.S.C. 1985, c. C-46, s. 273.2.</w:t>
      </w:r>
    </w:p>
    <w:p w:rsidR="00935218" w:rsidRPr="00F35607" w:rsidRDefault="00935218" w:rsidP="00FC4EFB">
      <w:pPr>
        <w:pStyle w:val="SCCNormalDoubleSpacing"/>
        <w:spacing w:line="240" w:lineRule="auto"/>
        <w:ind w:left="540" w:hanging="540"/>
        <w:rPr>
          <w:lang w:val="en-US"/>
        </w:rPr>
      </w:pPr>
    </w:p>
    <w:p w:rsidR="00A149DF" w:rsidRPr="00F35607" w:rsidRDefault="00A149DF" w:rsidP="00A00AD5">
      <w:pPr>
        <w:pStyle w:val="SCCNormalDoubleSpacing"/>
        <w:spacing w:line="240" w:lineRule="auto"/>
        <w:rPr>
          <w:lang w:val="en-US"/>
        </w:rPr>
      </w:pPr>
    </w:p>
    <w:p w:rsidR="00A149DF" w:rsidRPr="00F35607" w:rsidRDefault="00A149DF" w:rsidP="00FC4EFB">
      <w:pPr>
        <w:pStyle w:val="SCCNormalDoubleSpacing"/>
        <w:spacing w:line="240" w:lineRule="auto"/>
        <w:ind w:left="540" w:hanging="540"/>
        <w:rPr>
          <w:lang w:val="en-US"/>
        </w:rPr>
      </w:pPr>
    </w:p>
    <w:p w:rsidR="009C7914" w:rsidRPr="004C6A4C" w:rsidRDefault="009B57B3" w:rsidP="009C7914">
      <w:pPr>
        <w:pStyle w:val="SCCNormalDoubleSpacing"/>
      </w:pPr>
      <w:r w:rsidRPr="00F35607">
        <w:rPr>
          <w:lang w:val="en-US"/>
        </w:rPr>
        <w:tab/>
      </w:r>
      <w:r w:rsidRPr="004C6A4C">
        <w:t>APPEAL from a judgment of the Court Martial Appeal Court of Canada</w:t>
      </w:r>
      <w:r w:rsidR="00271DB3" w:rsidRPr="004C6A4C">
        <w:t xml:space="preserve"> (Bell C.J. and Bennett and </w:t>
      </w:r>
      <w:proofErr w:type="spellStart"/>
      <w:r w:rsidR="00271DB3" w:rsidRPr="004C6A4C">
        <w:t>Trudel</w:t>
      </w:r>
      <w:proofErr w:type="spellEnd"/>
      <w:r w:rsidR="00271DB3" w:rsidRPr="004C6A4C">
        <w:t xml:space="preserve"> JJ.A.)</w:t>
      </w:r>
      <w:r w:rsidR="009C7914" w:rsidRPr="004C6A4C">
        <w:t>, 2018 CMAC 1, [</w:t>
      </w:r>
      <w:r w:rsidR="009C7914" w:rsidRPr="004C6A4C">
        <w:rPr>
          <w:iCs/>
        </w:rPr>
        <w:t>2018</w:t>
      </w:r>
      <w:r w:rsidR="009C7914" w:rsidRPr="004C6A4C">
        <w:t>] C.M.A.J. No. 1 (QL)</w:t>
      </w:r>
      <w:r w:rsidR="00630A81" w:rsidRPr="004C6A4C">
        <w:t xml:space="preserve">, 2018 </w:t>
      </w:r>
      <w:proofErr w:type="spellStart"/>
      <w:r w:rsidR="00630A81" w:rsidRPr="004C6A4C">
        <w:t>Carswell</w:t>
      </w:r>
      <w:r w:rsidR="00024573" w:rsidRPr="004C6A4C">
        <w:t>Nat</w:t>
      </w:r>
      <w:proofErr w:type="spellEnd"/>
      <w:r w:rsidR="00024573" w:rsidRPr="004C6A4C">
        <w:t xml:space="preserve"> 234</w:t>
      </w:r>
      <w:r w:rsidR="00630A81" w:rsidRPr="004C6A4C">
        <w:t xml:space="preserve"> (WL</w:t>
      </w:r>
      <w:r w:rsidR="00024573" w:rsidRPr="004C6A4C">
        <w:t xml:space="preserve"> Can</w:t>
      </w:r>
      <w:r w:rsidR="00660A16" w:rsidRPr="004C6A4C">
        <w:t>.</w:t>
      </w:r>
      <w:r w:rsidR="00630A81" w:rsidRPr="004C6A4C">
        <w:t>)</w:t>
      </w:r>
      <w:r w:rsidR="00660A16" w:rsidRPr="004C6A4C">
        <w:t>,</w:t>
      </w:r>
      <w:r w:rsidR="00401CA9" w:rsidRPr="004C6A4C">
        <w:t xml:space="preserve"> setting aside the acquittal of the accused and ordering a new trial.</w:t>
      </w:r>
      <w:r w:rsidR="009144FB" w:rsidRPr="004C6A4C">
        <w:t xml:space="preserve"> </w:t>
      </w:r>
      <w:r w:rsidR="00915D2E" w:rsidRPr="004C6A4C">
        <w:t>Appeal dismissed.</w:t>
      </w:r>
    </w:p>
    <w:p w:rsidR="00656313" w:rsidRPr="004C6A4C" w:rsidRDefault="00656313" w:rsidP="00FC4EFB">
      <w:pPr>
        <w:pStyle w:val="SCCNormalDoubleSpacing"/>
      </w:pPr>
    </w:p>
    <w:p w:rsidR="00A83DB3" w:rsidRPr="004C6A4C" w:rsidRDefault="00BA43FE">
      <w:pPr>
        <w:pStyle w:val="SCCNormalDoubleSpacing"/>
      </w:pPr>
      <w:r w:rsidRPr="004C6A4C">
        <w:rPr>
          <w:rStyle w:val="SCCCounselNameChar"/>
        </w:rPr>
        <w:tab/>
        <w:t xml:space="preserve">Mark </w:t>
      </w:r>
      <w:proofErr w:type="spellStart"/>
      <w:r w:rsidRPr="004C6A4C">
        <w:rPr>
          <w:rStyle w:val="SCCCounselNameChar"/>
        </w:rPr>
        <w:t>Létourneau</w:t>
      </w:r>
      <w:proofErr w:type="spellEnd"/>
      <w:r w:rsidR="00B71BD4" w:rsidRPr="004C6A4C">
        <w:rPr>
          <w:rStyle w:val="SCCCounselSeparatorChar"/>
        </w:rPr>
        <w:t xml:space="preserve">, </w:t>
      </w:r>
      <w:r w:rsidRPr="004C6A4C">
        <w:rPr>
          <w:rStyle w:val="SCCCounselNameChar"/>
        </w:rPr>
        <w:t xml:space="preserve">Jean-Bruno </w:t>
      </w:r>
      <w:proofErr w:type="spellStart"/>
      <w:r w:rsidRPr="004C6A4C">
        <w:rPr>
          <w:rStyle w:val="SCCCounselNameChar"/>
        </w:rPr>
        <w:t>Cloutier</w:t>
      </w:r>
      <w:proofErr w:type="spellEnd"/>
      <w:r w:rsidR="00B71BD4" w:rsidRPr="004C6A4C">
        <w:rPr>
          <w:rStyle w:val="SCCCounselNameChar"/>
        </w:rPr>
        <w:t xml:space="preserve"> </w:t>
      </w:r>
      <w:r w:rsidR="00B71BD4" w:rsidRPr="004C6A4C">
        <w:rPr>
          <w:rStyle w:val="SCCCounselNameChar"/>
          <w:i w:val="0"/>
        </w:rPr>
        <w:t>and</w:t>
      </w:r>
      <w:r w:rsidR="00B71BD4" w:rsidRPr="004C6A4C">
        <w:rPr>
          <w:rStyle w:val="SCCCounselNameChar"/>
        </w:rPr>
        <w:t xml:space="preserve"> Francesca Ferguson</w:t>
      </w:r>
      <w:r w:rsidRPr="004C6A4C">
        <w:rPr>
          <w:rStyle w:val="SCCCounselPartyRoleChar"/>
        </w:rPr>
        <w:t>, for the appellant.</w:t>
      </w:r>
    </w:p>
    <w:p w:rsidR="00A83DB3" w:rsidRPr="004C6A4C" w:rsidRDefault="00A83DB3">
      <w:pPr>
        <w:pStyle w:val="SCCNormalDoubleSpacing"/>
      </w:pPr>
    </w:p>
    <w:p w:rsidR="00A83DB3" w:rsidRPr="004C6A4C" w:rsidRDefault="00BA43FE">
      <w:pPr>
        <w:pStyle w:val="SCCNormalDoubleSpacing"/>
      </w:pPr>
      <w:r w:rsidRPr="004C6A4C">
        <w:rPr>
          <w:rStyle w:val="SCCCounselNameChar"/>
        </w:rPr>
        <w:tab/>
        <w:t>Dominic G.</w:t>
      </w:r>
      <w:r w:rsidR="00F05B24">
        <w:rPr>
          <w:rStyle w:val="SCCCounselNameChar"/>
        </w:rPr>
        <w:t xml:space="preserve"> </w:t>
      </w:r>
      <w:r w:rsidRPr="004C6A4C">
        <w:rPr>
          <w:rStyle w:val="SCCCounselNameChar"/>
        </w:rPr>
        <w:t>J. Martin</w:t>
      </w:r>
      <w:r w:rsidRPr="004C6A4C">
        <w:rPr>
          <w:rStyle w:val="SCCCounselSeparatorChar"/>
        </w:rPr>
        <w:t xml:space="preserve">, </w:t>
      </w:r>
      <w:r w:rsidRPr="004C6A4C">
        <w:rPr>
          <w:rStyle w:val="SCCCounselNameChar"/>
        </w:rPr>
        <w:t>Bruce W. MacGregor</w:t>
      </w:r>
      <w:r w:rsidRPr="004C6A4C">
        <w:rPr>
          <w:rStyle w:val="SCCCounselSeparatorChar"/>
        </w:rPr>
        <w:t xml:space="preserve"> and </w:t>
      </w:r>
      <w:r w:rsidRPr="004C6A4C">
        <w:rPr>
          <w:rStyle w:val="SCCCounselNameChar"/>
        </w:rPr>
        <w:t>Anthony T. Farris</w:t>
      </w:r>
      <w:r w:rsidRPr="004C6A4C">
        <w:rPr>
          <w:rStyle w:val="SCCCounselPartyRoleChar"/>
        </w:rPr>
        <w:t>, for the respondent.</w:t>
      </w:r>
    </w:p>
    <w:p w:rsidR="00A83DB3" w:rsidRPr="004C6A4C" w:rsidRDefault="00A83DB3">
      <w:pPr>
        <w:pStyle w:val="SCCNormalDoubleSpacing"/>
      </w:pPr>
    </w:p>
    <w:p w:rsidR="00F37334" w:rsidRDefault="00BA43FE" w:rsidP="00915D2E">
      <w:pPr>
        <w:pStyle w:val="SCCNormalDoubleSpacing"/>
        <w:rPr>
          <w:rStyle w:val="SCCCounselPartyRoleChar"/>
        </w:rPr>
      </w:pPr>
      <w:r w:rsidRPr="004C6A4C">
        <w:rPr>
          <w:rStyle w:val="SCCCounselNameChar"/>
        </w:rPr>
        <w:tab/>
        <w:t>Kelly McMillan</w:t>
      </w:r>
      <w:r w:rsidR="00137998" w:rsidRPr="004C6A4C">
        <w:rPr>
          <w:rStyle w:val="SCCCounselPartyRoleChar"/>
        </w:rPr>
        <w:t xml:space="preserve"> and </w:t>
      </w:r>
      <w:r w:rsidR="00137998" w:rsidRPr="004C6A4C">
        <w:rPr>
          <w:rStyle w:val="SCCCounselNameChar"/>
        </w:rPr>
        <w:t>Shaun O’Brien</w:t>
      </w:r>
      <w:r w:rsidR="00137998" w:rsidRPr="004C6A4C">
        <w:rPr>
          <w:rStyle w:val="SCCCounselSeparatorChar"/>
        </w:rPr>
        <w:t>,</w:t>
      </w:r>
      <w:r w:rsidR="006F754A" w:rsidRPr="004C6A4C">
        <w:rPr>
          <w:rStyle w:val="SCCCounselPartyRoleChar"/>
        </w:rPr>
        <w:t xml:space="preserve"> for the intervener.</w:t>
      </w:r>
    </w:p>
    <w:p w:rsidR="002160EF" w:rsidRPr="004C6A4C" w:rsidRDefault="002160EF" w:rsidP="00915D2E">
      <w:pPr>
        <w:pStyle w:val="SCCNormalDoubleSpacing"/>
        <w:rPr>
          <w:rStyle w:val="SCCCounselPartyRoleChar"/>
        </w:rPr>
      </w:pPr>
    </w:p>
    <w:p w:rsidR="00890132" w:rsidRPr="004C6A4C" w:rsidRDefault="00890132" w:rsidP="00890132">
      <w:pPr>
        <w:pStyle w:val="SCCNormalDoubleSpacing"/>
      </w:pPr>
      <w:r w:rsidRPr="004C6A4C">
        <w:tab/>
        <w:t>English version of t</w:t>
      </w:r>
      <w:r w:rsidR="00A41FB6" w:rsidRPr="004C6A4C">
        <w:t>he judgment of the Court</w:t>
      </w:r>
      <w:r w:rsidRPr="004C6A4C">
        <w:t xml:space="preserve"> delivered orally by</w:t>
      </w:r>
    </w:p>
    <w:p w:rsidR="00890132" w:rsidRPr="004C6A4C" w:rsidRDefault="00890132" w:rsidP="00890132">
      <w:pPr>
        <w:pStyle w:val="SCCNormalDoubleSpacing"/>
      </w:pPr>
    </w:p>
    <w:p w:rsidR="00890132" w:rsidRPr="004C6A4C" w:rsidRDefault="00890132" w:rsidP="00890132">
      <w:pPr>
        <w:pStyle w:val="SCCNormalDoubleSpacing"/>
      </w:pPr>
      <w:r w:rsidRPr="004C6A4C">
        <w:rPr>
          <w:smallCaps/>
        </w:rPr>
        <w:t>[</w:t>
      </w:r>
      <w:r w:rsidRPr="004C6A4C">
        <w:rPr>
          <w:iCs/>
          <w:smallCaps/>
        </w:rPr>
        <w:t>1</w:t>
      </w:r>
      <w:r w:rsidR="00640A96">
        <w:rPr>
          <w:smallCaps/>
        </w:rPr>
        <w:t>]</w:t>
      </w:r>
      <w:r w:rsidRPr="004C6A4C">
        <w:rPr>
          <w:smallCaps/>
        </w:rPr>
        <w:tab/>
        <w:t>The Chief Justice</w:t>
      </w:r>
      <w:r w:rsidRPr="004C6A4C">
        <w:t xml:space="preserve"> — </w:t>
      </w:r>
      <w:proofErr w:type="gramStart"/>
      <w:r w:rsidRPr="004C6A4C">
        <w:t>We</w:t>
      </w:r>
      <w:proofErr w:type="gramEnd"/>
      <w:r w:rsidRPr="004C6A4C">
        <w:t xml:space="preserve"> are all of the opinion that the appeal should be dismissed, substantially for the reasons of the majority of the Court Martial Appeal Court of Canada.</w:t>
      </w:r>
    </w:p>
    <w:p w:rsidR="00890132" w:rsidRPr="004C6A4C" w:rsidRDefault="00890132" w:rsidP="00890132">
      <w:pPr>
        <w:pStyle w:val="SCCNormalDoubleSpacing"/>
      </w:pPr>
    </w:p>
    <w:p w:rsidR="00890132" w:rsidRPr="004C6A4C" w:rsidRDefault="00890132" w:rsidP="00890132">
      <w:pPr>
        <w:pStyle w:val="SCCNormalDoubleSpacing"/>
      </w:pPr>
      <w:r w:rsidRPr="004C6A4C">
        <w:t>[</w:t>
      </w:r>
      <w:r w:rsidRPr="004C6A4C">
        <w:rPr>
          <w:iCs/>
        </w:rPr>
        <w:t>2</w:t>
      </w:r>
      <w:r w:rsidR="00640A96">
        <w:t>]</w:t>
      </w:r>
      <w:r w:rsidRPr="004C6A4C">
        <w:tab/>
        <w:t>However, with respect, on the record before us, we are of the opinion that there was no evidence from which a trier of fact could find that the appellant had taken reasonable steps to ascertain that the complainant was consenting.</w:t>
      </w:r>
    </w:p>
    <w:p w:rsidR="00890132" w:rsidRPr="004C6A4C" w:rsidRDefault="00890132" w:rsidP="00890132">
      <w:pPr>
        <w:pStyle w:val="SCCNormalDoubleSpacing"/>
      </w:pPr>
    </w:p>
    <w:p w:rsidR="00890132" w:rsidRPr="004C6A4C" w:rsidRDefault="00890132" w:rsidP="00890132">
      <w:pPr>
        <w:pStyle w:val="SCCNormalDoubleSpacing"/>
      </w:pPr>
      <w:r w:rsidRPr="004C6A4C">
        <w:t>[</w:t>
      </w:r>
      <w:r w:rsidRPr="004C6A4C">
        <w:rPr>
          <w:iCs/>
        </w:rPr>
        <w:t>3</w:t>
      </w:r>
      <w:r w:rsidR="00640A96">
        <w:t>]</w:t>
      </w:r>
      <w:r w:rsidRPr="004C6A4C">
        <w:tab/>
        <w:t xml:space="preserve">In so concluding, we are also of the view that the principles enunciated in </w:t>
      </w:r>
      <w:r w:rsidRPr="004C6A4C">
        <w:rPr>
          <w:i/>
        </w:rPr>
        <w:t>R. v. George</w:t>
      </w:r>
      <w:r w:rsidRPr="004C6A4C">
        <w:t xml:space="preserve">, 2017 SCC 38, [2017] 1 S.C.R. 1021, are of no assistance in applying s. 273.2 of the </w:t>
      </w:r>
      <w:r w:rsidRPr="004C6A4C">
        <w:rPr>
          <w:i/>
        </w:rPr>
        <w:t>Criminal Code</w:t>
      </w:r>
      <w:r w:rsidRPr="004C6A4C">
        <w:t>, R.S.C. 1985, c. C-46.</w:t>
      </w:r>
    </w:p>
    <w:p w:rsidR="00890132" w:rsidRPr="004C6A4C" w:rsidRDefault="00890132" w:rsidP="00890132">
      <w:pPr>
        <w:pStyle w:val="SCCNormalDoubleSpacing"/>
      </w:pPr>
    </w:p>
    <w:p w:rsidR="00890132" w:rsidRPr="004C6A4C" w:rsidRDefault="00890132" w:rsidP="00890132">
      <w:pPr>
        <w:pStyle w:val="SCCNormalDoubleSpacing"/>
      </w:pPr>
      <w:r w:rsidRPr="004C6A4C">
        <w:t>[</w:t>
      </w:r>
      <w:r w:rsidRPr="004C6A4C">
        <w:rPr>
          <w:iCs/>
        </w:rPr>
        <w:t>4</w:t>
      </w:r>
      <w:r w:rsidR="00EB4A53">
        <w:t>]</w:t>
      </w:r>
      <w:r w:rsidR="00EB4A53">
        <w:tab/>
      </w:r>
      <w:r w:rsidRPr="004C6A4C">
        <w:t>It follows that the defence of honest but mistaken belief should not have been put to the panel.</w:t>
      </w:r>
    </w:p>
    <w:p w:rsidR="009B57B3" w:rsidRPr="004C6A4C" w:rsidRDefault="009B57B3" w:rsidP="00FC4EFB">
      <w:pPr>
        <w:pStyle w:val="SCCNormalDoubleSpacing"/>
      </w:pPr>
      <w:r w:rsidRPr="004C6A4C">
        <w:tab/>
      </w:r>
      <w:r w:rsidR="00915D2E" w:rsidRPr="004C6A4C">
        <w:rPr>
          <w:i/>
        </w:rPr>
        <w:t>Judgment accordingly.</w:t>
      </w:r>
    </w:p>
    <w:p w:rsidR="00A149DF" w:rsidRPr="004C6A4C" w:rsidRDefault="00A149DF" w:rsidP="00FC4EFB">
      <w:pPr>
        <w:pStyle w:val="SCCNormalDoubleSpacing"/>
      </w:pPr>
    </w:p>
    <w:p w:rsidR="00A83DB3" w:rsidRPr="004C6A4C" w:rsidRDefault="002160EF">
      <w:pPr>
        <w:pStyle w:val="SCCLawFirm"/>
      </w:pPr>
      <w:r>
        <w:lastRenderedPageBreak/>
        <w:tab/>
        <w:t>Solicitor</w:t>
      </w:r>
      <w:r w:rsidR="004E0F55" w:rsidRPr="004C6A4C">
        <w:t xml:space="preserve"> for the appellant: </w:t>
      </w:r>
      <w:r w:rsidR="00F05B24">
        <w:t>Defenc</w:t>
      </w:r>
      <w:r w:rsidR="005518F4" w:rsidRPr="004C6A4C">
        <w:t>e Counsel Services, Gatineau.</w:t>
      </w:r>
    </w:p>
    <w:p w:rsidR="00A83DB3" w:rsidRPr="004C6A4C" w:rsidRDefault="00A83DB3">
      <w:pPr>
        <w:pStyle w:val="SCCLawFirm"/>
      </w:pPr>
    </w:p>
    <w:p w:rsidR="00A83DB3" w:rsidRPr="004C6A4C" w:rsidRDefault="00BA43FE">
      <w:pPr>
        <w:pStyle w:val="SCCLawFirm"/>
      </w:pPr>
      <w:r w:rsidRPr="004C6A4C">
        <w:tab/>
        <w:t>So</w:t>
      </w:r>
      <w:r w:rsidR="002160EF">
        <w:t>licitor</w:t>
      </w:r>
      <w:r w:rsidR="004E0F55" w:rsidRPr="004C6A4C">
        <w:t xml:space="preserve"> for the respondent: Canadian Military Prosecution Service, </w:t>
      </w:r>
      <w:r w:rsidRPr="004C6A4C">
        <w:t>Ottawa.</w:t>
      </w:r>
    </w:p>
    <w:p w:rsidR="00A83DB3" w:rsidRPr="004C6A4C" w:rsidRDefault="00A83DB3">
      <w:pPr>
        <w:pStyle w:val="SCCLawFirm"/>
      </w:pPr>
    </w:p>
    <w:p w:rsidR="009B57B3" w:rsidRPr="004C6A4C" w:rsidRDefault="00BA43FE" w:rsidP="00660A16">
      <w:pPr>
        <w:pStyle w:val="SCCLawFirm"/>
      </w:pPr>
      <w:r w:rsidRPr="004C6A4C">
        <w:tab/>
      </w:r>
      <w:r w:rsidR="002160EF">
        <w:t>Solicitor</w:t>
      </w:r>
      <w:r w:rsidRPr="004C6A4C">
        <w:t xml:space="preserve"> for the intervener:  Women</w:t>
      </w:r>
      <w:r w:rsidR="00C6626C" w:rsidRPr="004C6A4C">
        <w:t>’</w:t>
      </w:r>
      <w:r w:rsidRPr="004C6A4C">
        <w:t>s Legal Education and Action Fund</w:t>
      </w:r>
      <w:r w:rsidR="00027484" w:rsidRPr="004C6A4C">
        <w:t xml:space="preserve"> Inc.</w:t>
      </w:r>
      <w:r w:rsidRPr="004C6A4C">
        <w:t>, Toronto.</w:t>
      </w:r>
      <w:r w:rsidR="00224C10" w:rsidRPr="004C6A4C">
        <w:t xml:space="preserve"> </w:t>
      </w:r>
    </w:p>
    <w:sectPr w:rsidR="009B57B3" w:rsidRPr="004C6A4C" w:rsidSect="000648CC">
      <w:headerReference w:type="default" r:id="rId8"/>
      <w:pgSz w:w="12240" w:h="15840"/>
      <w:pgMar w:top="1267" w:right="2160" w:bottom="720" w:left="1800" w:header="180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535" w:rsidRDefault="00AE4535">
      <w:r>
        <w:separator/>
      </w:r>
    </w:p>
  </w:endnote>
  <w:endnote w:type="continuationSeparator" w:id="0">
    <w:p w:rsidR="00AE4535" w:rsidRDefault="00AE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535" w:rsidRDefault="00AE4535">
      <w:r>
        <w:separator/>
      </w:r>
    </w:p>
  </w:footnote>
  <w:footnote w:type="continuationSeparator" w:id="0">
    <w:p w:rsidR="00AE4535" w:rsidRDefault="00AE4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352" w:rsidRPr="00450352" w:rsidRDefault="00450352" w:rsidP="004503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4C"/>
    <w:rsid w:val="00000ED4"/>
    <w:rsid w:val="00024573"/>
    <w:rsid w:val="00025198"/>
    <w:rsid w:val="00027484"/>
    <w:rsid w:val="00027E4B"/>
    <w:rsid w:val="000578A3"/>
    <w:rsid w:val="0006453C"/>
    <w:rsid w:val="000648CC"/>
    <w:rsid w:val="000C59B8"/>
    <w:rsid w:val="000C6AF0"/>
    <w:rsid w:val="00104F33"/>
    <w:rsid w:val="00111DE2"/>
    <w:rsid w:val="00116B38"/>
    <w:rsid w:val="00135406"/>
    <w:rsid w:val="00135972"/>
    <w:rsid w:val="00137998"/>
    <w:rsid w:val="001426A9"/>
    <w:rsid w:val="00154D7C"/>
    <w:rsid w:val="001570B0"/>
    <w:rsid w:val="0015752C"/>
    <w:rsid w:val="00157737"/>
    <w:rsid w:val="00165277"/>
    <w:rsid w:val="00170592"/>
    <w:rsid w:val="00186351"/>
    <w:rsid w:val="00195D83"/>
    <w:rsid w:val="001A00C1"/>
    <w:rsid w:val="001B33E0"/>
    <w:rsid w:val="001B4573"/>
    <w:rsid w:val="001C779F"/>
    <w:rsid w:val="001D2AC1"/>
    <w:rsid w:val="001D4E88"/>
    <w:rsid w:val="001F2E0D"/>
    <w:rsid w:val="002160EF"/>
    <w:rsid w:val="00220FC2"/>
    <w:rsid w:val="002222F4"/>
    <w:rsid w:val="00224C10"/>
    <w:rsid w:val="00224FC0"/>
    <w:rsid w:val="00225EA4"/>
    <w:rsid w:val="00226EAF"/>
    <w:rsid w:val="00231F3A"/>
    <w:rsid w:val="002331F4"/>
    <w:rsid w:val="00234199"/>
    <w:rsid w:val="002406EE"/>
    <w:rsid w:val="00243EC8"/>
    <w:rsid w:val="00270D93"/>
    <w:rsid w:val="00271DB3"/>
    <w:rsid w:val="002745CC"/>
    <w:rsid w:val="002B7924"/>
    <w:rsid w:val="002D28C3"/>
    <w:rsid w:val="002D39A4"/>
    <w:rsid w:val="002E6705"/>
    <w:rsid w:val="00301D08"/>
    <w:rsid w:val="0030329A"/>
    <w:rsid w:val="0031086F"/>
    <w:rsid w:val="0031414C"/>
    <w:rsid w:val="00314E01"/>
    <w:rsid w:val="0032089D"/>
    <w:rsid w:val="003310DE"/>
    <w:rsid w:val="003323B0"/>
    <w:rsid w:val="0035169A"/>
    <w:rsid w:val="0035259D"/>
    <w:rsid w:val="00354B21"/>
    <w:rsid w:val="00364B18"/>
    <w:rsid w:val="003A125D"/>
    <w:rsid w:val="003A345B"/>
    <w:rsid w:val="003A4C70"/>
    <w:rsid w:val="003B215F"/>
    <w:rsid w:val="003C799C"/>
    <w:rsid w:val="003D0399"/>
    <w:rsid w:val="003E1C71"/>
    <w:rsid w:val="003F327B"/>
    <w:rsid w:val="00401CA9"/>
    <w:rsid w:val="00406166"/>
    <w:rsid w:val="0040704B"/>
    <w:rsid w:val="00410A55"/>
    <w:rsid w:val="00411300"/>
    <w:rsid w:val="00415417"/>
    <w:rsid w:val="00426659"/>
    <w:rsid w:val="00450352"/>
    <w:rsid w:val="00454BDB"/>
    <w:rsid w:val="00464800"/>
    <w:rsid w:val="00465132"/>
    <w:rsid w:val="00480C90"/>
    <w:rsid w:val="0048396F"/>
    <w:rsid w:val="00493C18"/>
    <w:rsid w:val="004A600C"/>
    <w:rsid w:val="004A6118"/>
    <w:rsid w:val="004C478D"/>
    <w:rsid w:val="004C6A4C"/>
    <w:rsid w:val="004E0F55"/>
    <w:rsid w:val="004E2C26"/>
    <w:rsid w:val="004F36FF"/>
    <w:rsid w:val="005125A8"/>
    <w:rsid w:val="00521AE8"/>
    <w:rsid w:val="00523C99"/>
    <w:rsid w:val="00527180"/>
    <w:rsid w:val="0054201E"/>
    <w:rsid w:val="005518F4"/>
    <w:rsid w:val="00555291"/>
    <w:rsid w:val="00557D94"/>
    <w:rsid w:val="00566AD1"/>
    <w:rsid w:val="00583EDE"/>
    <w:rsid w:val="005A6079"/>
    <w:rsid w:val="005C34AF"/>
    <w:rsid w:val="005E4698"/>
    <w:rsid w:val="00610539"/>
    <w:rsid w:val="00613969"/>
    <w:rsid w:val="00625C35"/>
    <w:rsid w:val="00630A81"/>
    <w:rsid w:val="00640A96"/>
    <w:rsid w:val="006510CB"/>
    <w:rsid w:val="00656313"/>
    <w:rsid w:val="006565F4"/>
    <w:rsid w:val="00660A16"/>
    <w:rsid w:val="00684EEA"/>
    <w:rsid w:val="0069689B"/>
    <w:rsid w:val="006A0A89"/>
    <w:rsid w:val="006A1551"/>
    <w:rsid w:val="006B5FF5"/>
    <w:rsid w:val="006D1575"/>
    <w:rsid w:val="006F30AF"/>
    <w:rsid w:val="006F754A"/>
    <w:rsid w:val="00701759"/>
    <w:rsid w:val="00705C15"/>
    <w:rsid w:val="0071600E"/>
    <w:rsid w:val="007208D1"/>
    <w:rsid w:val="00747288"/>
    <w:rsid w:val="00747DD3"/>
    <w:rsid w:val="007549C8"/>
    <w:rsid w:val="00754A0B"/>
    <w:rsid w:val="00766D14"/>
    <w:rsid w:val="00767A0F"/>
    <w:rsid w:val="00784271"/>
    <w:rsid w:val="007A05F6"/>
    <w:rsid w:val="007B6F4A"/>
    <w:rsid w:val="007C620C"/>
    <w:rsid w:val="007E1C47"/>
    <w:rsid w:val="007E337A"/>
    <w:rsid w:val="007E5C70"/>
    <w:rsid w:val="007F2FF5"/>
    <w:rsid w:val="007F3F08"/>
    <w:rsid w:val="00804CC6"/>
    <w:rsid w:val="00817190"/>
    <w:rsid w:val="00820EE5"/>
    <w:rsid w:val="008260E2"/>
    <w:rsid w:val="008322BD"/>
    <w:rsid w:val="00833E0A"/>
    <w:rsid w:val="00834F73"/>
    <w:rsid w:val="00864CF8"/>
    <w:rsid w:val="00872819"/>
    <w:rsid w:val="00874914"/>
    <w:rsid w:val="00890132"/>
    <w:rsid w:val="00891422"/>
    <w:rsid w:val="00892E1A"/>
    <w:rsid w:val="008A3F29"/>
    <w:rsid w:val="008B660A"/>
    <w:rsid w:val="008C01DA"/>
    <w:rsid w:val="008C05E8"/>
    <w:rsid w:val="008F78E9"/>
    <w:rsid w:val="00911989"/>
    <w:rsid w:val="009144FB"/>
    <w:rsid w:val="00915D2E"/>
    <w:rsid w:val="009179F9"/>
    <w:rsid w:val="00933E5E"/>
    <w:rsid w:val="00935218"/>
    <w:rsid w:val="009403F3"/>
    <w:rsid w:val="009555B7"/>
    <w:rsid w:val="009567AA"/>
    <w:rsid w:val="00967374"/>
    <w:rsid w:val="0098040F"/>
    <w:rsid w:val="009A343A"/>
    <w:rsid w:val="009B2F23"/>
    <w:rsid w:val="009B57B3"/>
    <w:rsid w:val="009C5B92"/>
    <w:rsid w:val="009C7914"/>
    <w:rsid w:val="009D2920"/>
    <w:rsid w:val="009D5AEB"/>
    <w:rsid w:val="009F0E33"/>
    <w:rsid w:val="00A00AD5"/>
    <w:rsid w:val="00A030CE"/>
    <w:rsid w:val="00A149DF"/>
    <w:rsid w:val="00A1755C"/>
    <w:rsid w:val="00A21B90"/>
    <w:rsid w:val="00A41805"/>
    <w:rsid w:val="00A41FB6"/>
    <w:rsid w:val="00A42DCD"/>
    <w:rsid w:val="00A51617"/>
    <w:rsid w:val="00A52AFB"/>
    <w:rsid w:val="00A548CB"/>
    <w:rsid w:val="00A5521C"/>
    <w:rsid w:val="00A643E7"/>
    <w:rsid w:val="00A73C38"/>
    <w:rsid w:val="00A83DB3"/>
    <w:rsid w:val="00AB670D"/>
    <w:rsid w:val="00AE4535"/>
    <w:rsid w:val="00AF03C5"/>
    <w:rsid w:val="00B000D8"/>
    <w:rsid w:val="00B00F75"/>
    <w:rsid w:val="00B145B6"/>
    <w:rsid w:val="00B279EB"/>
    <w:rsid w:val="00B50C81"/>
    <w:rsid w:val="00B557F8"/>
    <w:rsid w:val="00B71BD4"/>
    <w:rsid w:val="00B815FC"/>
    <w:rsid w:val="00B93FBC"/>
    <w:rsid w:val="00BA43FE"/>
    <w:rsid w:val="00BA7DA0"/>
    <w:rsid w:val="00BB2EE4"/>
    <w:rsid w:val="00BC2108"/>
    <w:rsid w:val="00BD0E9E"/>
    <w:rsid w:val="00BD1BEC"/>
    <w:rsid w:val="00BD32FF"/>
    <w:rsid w:val="00C02092"/>
    <w:rsid w:val="00C24D91"/>
    <w:rsid w:val="00C52768"/>
    <w:rsid w:val="00C53F14"/>
    <w:rsid w:val="00C600CF"/>
    <w:rsid w:val="00C6084F"/>
    <w:rsid w:val="00C62A66"/>
    <w:rsid w:val="00C6626C"/>
    <w:rsid w:val="00C71458"/>
    <w:rsid w:val="00C77613"/>
    <w:rsid w:val="00C828E7"/>
    <w:rsid w:val="00C86719"/>
    <w:rsid w:val="00C921DD"/>
    <w:rsid w:val="00CA6391"/>
    <w:rsid w:val="00CC34BD"/>
    <w:rsid w:val="00CE161A"/>
    <w:rsid w:val="00CE3171"/>
    <w:rsid w:val="00CF1601"/>
    <w:rsid w:val="00D0172F"/>
    <w:rsid w:val="00D068A7"/>
    <w:rsid w:val="00D070FC"/>
    <w:rsid w:val="00D17476"/>
    <w:rsid w:val="00D32086"/>
    <w:rsid w:val="00D37A3F"/>
    <w:rsid w:val="00D4431D"/>
    <w:rsid w:val="00D4667A"/>
    <w:rsid w:val="00D63A1C"/>
    <w:rsid w:val="00D7516F"/>
    <w:rsid w:val="00D8579F"/>
    <w:rsid w:val="00D95F8E"/>
    <w:rsid w:val="00DA0590"/>
    <w:rsid w:val="00DB7BEA"/>
    <w:rsid w:val="00DC10BC"/>
    <w:rsid w:val="00DC1739"/>
    <w:rsid w:val="00DC1788"/>
    <w:rsid w:val="00DE319C"/>
    <w:rsid w:val="00DF0CA8"/>
    <w:rsid w:val="00DF2B48"/>
    <w:rsid w:val="00DF3FB6"/>
    <w:rsid w:val="00DF49A7"/>
    <w:rsid w:val="00DF6A33"/>
    <w:rsid w:val="00E07EE2"/>
    <w:rsid w:val="00E07FD1"/>
    <w:rsid w:val="00E176D8"/>
    <w:rsid w:val="00E24573"/>
    <w:rsid w:val="00E25E1E"/>
    <w:rsid w:val="00E27EE7"/>
    <w:rsid w:val="00E348F6"/>
    <w:rsid w:val="00E35404"/>
    <w:rsid w:val="00E45109"/>
    <w:rsid w:val="00E47B7A"/>
    <w:rsid w:val="00E50B52"/>
    <w:rsid w:val="00E56A44"/>
    <w:rsid w:val="00E60269"/>
    <w:rsid w:val="00E77932"/>
    <w:rsid w:val="00E97830"/>
    <w:rsid w:val="00E97C73"/>
    <w:rsid w:val="00EB4A53"/>
    <w:rsid w:val="00EE643C"/>
    <w:rsid w:val="00EF0113"/>
    <w:rsid w:val="00EF0683"/>
    <w:rsid w:val="00EF27DA"/>
    <w:rsid w:val="00EF69D2"/>
    <w:rsid w:val="00EF766E"/>
    <w:rsid w:val="00F0070C"/>
    <w:rsid w:val="00F00EB7"/>
    <w:rsid w:val="00F05B24"/>
    <w:rsid w:val="00F21C75"/>
    <w:rsid w:val="00F35607"/>
    <w:rsid w:val="00F36AB6"/>
    <w:rsid w:val="00F37334"/>
    <w:rsid w:val="00F37A09"/>
    <w:rsid w:val="00F409CE"/>
    <w:rsid w:val="00F4379D"/>
    <w:rsid w:val="00F50D2D"/>
    <w:rsid w:val="00F56C8B"/>
    <w:rsid w:val="00F61134"/>
    <w:rsid w:val="00F66810"/>
    <w:rsid w:val="00F846D9"/>
    <w:rsid w:val="00F84DF4"/>
    <w:rsid w:val="00F85C97"/>
    <w:rsid w:val="00FA035E"/>
    <w:rsid w:val="00FB16E6"/>
    <w:rsid w:val="00FB37D2"/>
    <w:rsid w:val="00FC4EFB"/>
    <w:rsid w:val="00FD068D"/>
    <w:rsid w:val="00FD4F28"/>
    <w:rsid w:val="00FE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F8E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125D"/>
    <w:pPr>
      <w:keepNext/>
      <w:keepLines/>
      <w:spacing w:after="720"/>
      <w:ind w:left="720" w:hanging="7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F85C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85C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1"/>
    <w:aliases w:val=" 2, 3, A"/>
    <w:basedOn w:val="Normal"/>
    <w:uiPriority w:val="1"/>
    <w:rsid w:val="00493C18"/>
    <w:pPr>
      <w:widowControl w:val="0"/>
    </w:pPr>
  </w:style>
  <w:style w:type="paragraph" w:customStyle="1" w:styleId="SCCNormalDoubleSpacing">
    <w:name w:val="SCC.Normal.DoubleSpacing"/>
    <w:basedOn w:val="Normal"/>
    <w:link w:val="SCCNormalDoubleSpacingChar"/>
    <w:rsid w:val="00104F33"/>
    <w:pPr>
      <w:tabs>
        <w:tab w:val="left" w:pos="1168"/>
      </w:tabs>
      <w:spacing w:line="480" w:lineRule="auto"/>
      <w:jc w:val="both"/>
    </w:pPr>
  </w:style>
  <w:style w:type="character" w:customStyle="1" w:styleId="SCCNormalDoubleSpacingChar">
    <w:name w:val="SCC.Normal.DoubleSpacing Char"/>
    <w:basedOn w:val="DefaultParagraphFont"/>
    <w:link w:val="SCCNormalDoubleSpacing"/>
    <w:rsid w:val="00104F33"/>
    <w:rPr>
      <w:sz w:val="24"/>
    </w:rPr>
  </w:style>
  <w:style w:type="character" w:styleId="Strong">
    <w:name w:val="Strong"/>
    <w:basedOn w:val="DefaultParagraphFont"/>
    <w:uiPriority w:val="22"/>
    <w:qFormat/>
    <w:rsid w:val="00C53F1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A548C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548CB"/>
    <w:rPr>
      <w:i/>
      <w:iCs/>
      <w:color w:val="000000" w:themeColor="text1"/>
      <w:sz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CE317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1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171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C59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9B8"/>
    <w:rPr>
      <w:sz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0C59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59B8"/>
    <w:rPr>
      <w:sz w:val="24"/>
      <w:lang w:val="en-US"/>
    </w:rPr>
  </w:style>
  <w:style w:type="paragraph" w:customStyle="1" w:styleId="SCCLsocParty">
    <w:name w:val="SCC.Lsoc.Party"/>
    <w:basedOn w:val="Normal"/>
    <w:next w:val="Normal"/>
    <w:link w:val="SCCLsocPartyChar"/>
    <w:rsid w:val="005A6079"/>
    <w:pPr>
      <w:tabs>
        <w:tab w:val="right" w:pos="8222"/>
      </w:tabs>
      <w:jc w:val="both"/>
    </w:pPr>
    <w:rPr>
      <w:b/>
    </w:rPr>
  </w:style>
  <w:style w:type="character" w:customStyle="1" w:styleId="SCCLsocPartyChar">
    <w:name w:val="SCC.Lsoc.Party Char"/>
    <w:basedOn w:val="DefaultParagraphFont"/>
    <w:link w:val="SCCLsocParty"/>
    <w:rsid w:val="005A6079"/>
    <w:rPr>
      <w:b/>
      <w:sz w:val="24"/>
    </w:rPr>
  </w:style>
  <w:style w:type="paragraph" w:customStyle="1" w:styleId="SCCLsocVersus">
    <w:name w:val="SCC.Lsoc.Versus"/>
    <w:basedOn w:val="Normal"/>
    <w:next w:val="Normal"/>
    <w:link w:val="SCCLsocVersusChar"/>
    <w:rsid w:val="001A00C1"/>
    <w:pPr>
      <w:spacing w:after="720"/>
    </w:pPr>
    <w:rPr>
      <w:i/>
    </w:rPr>
  </w:style>
  <w:style w:type="character" w:customStyle="1" w:styleId="SCCLsocVersusChar">
    <w:name w:val="SCC.Lsoc.Versus Char"/>
    <w:basedOn w:val="DefaultParagraphFont"/>
    <w:link w:val="SCCLsocVersus"/>
    <w:rsid w:val="001A00C1"/>
    <w:rPr>
      <w:i/>
      <w:sz w:val="24"/>
    </w:rPr>
  </w:style>
  <w:style w:type="character" w:customStyle="1" w:styleId="SCCLsocPartyRole">
    <w:name w:val="SCC.Lsoc.PartyRole"/>
    <w:basedOn w:val="SCCLsocLastPartyInRoleChar"/>
    <w:uiPriority w:val="1"/>
    <w:rsid w:val="00B279EB"/>
    <w:rPr>
      <w:b/>
      <w:i/>
      <w:sz w:val="24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1A00C1"/>
    <w:pPr>
      <w:spacing w:after="720"/>
    </w:pPr>
  </w:style>
  <w:style w:type="character" w:customStyle="1" w:styleId="SCCLsocSubfileSeparatorChar">
    <w:name w:val="SCC.Lsoc.SubfileSeparator Char"/>
    <w:basedOn w:val="DefaultParagraphFont"/>
    <w:link w:val="SCCLsocSubfileSeparator"/>
    <w:rsid w:val="001A00C1"/>
    <w:rPr>
      <w:sz w:val="24"/>
    </w:rPr>
  </w:style>
  <w:style w:type="paragraph" w:customStyle="1" w:styleId="SCCLsocOtherPartySeparator">
    <w:name w:val="SCC.Lsoc.OtherPartySeparator"/>
    <w:basedOn w:val="Normal"/>
    <w:next w:val="Normal"/>
    <w:link w:val="SCCLsocOtherPartySeparatorChar"/>
    <w:rsid w:val="003323B0"/>
    <w:pPr>
      <w:spacing w:after="720"/>
    </w:pPr>
  </w:style>
  <w:style w:type="character" w:customStyle="1" w:styleId="SCCLsocOtherPartySeparatorChar">
    <w:name w:val="SCC.Lsoc.OtherPartySeparator Char"/>
    <w:basedOn w:val="DefaultParagraphFont"/>
    <w:link w:val="SCCLsocOtherPartySeparator"/>
    <w:rsid w:val="003323B0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A12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CCBanSummary">
    <w:name w:val="SCC.BanSummary"/>
    <w:basedOn w:val="Normal"/>
    <w:next w:val="Normal"/>
    <w:rsid w:val="00111DE2"/>
    <w:pPr>
      <w:jc w:val="right"/>
    </w:pPr>
    <w:rPr>
      <w:b/>
    </w:rPr>
  </w:style>
  <w:style w:type="paragraph" w:customStyle="1" w:styleId="SCCAppellantForRunningHead">
    <w:name w:val="SCC.AppellantForRunningHead"/>
    <w:basedOn w:val="Normal"/>
    <w:next w:val="Normal"/>
    <w:link w:val="SCCAppellantForRunningHeadChar"/>
    <w:rsid w:val="00701759"/>
    <w:rPr>
      <w:smallCaps/>
    </w:rPr>
  </w:style>
  <w:style w:type="character" w:customStyle="1" w:styleId="SCCAppellantForRunningHeadChar">
    <w:name w:val="SCC.AppellantForRunningHead Char"/>
    <w:basedOn w:val="DefaultParagraphFont"/>
    <w:link w:val="SCCAppellantForRunningHead"/>
    <w:rsid w:val="00701759"/>
    <w:rPr>
      <w:smallCaps/>
      <w:sz w:val="24"/>
    </w:rPr>
  </w:style>
  <w:style w:type="paragraph" w:customStyle="1" w:styleId="SCCRespondentForRunningHead">
    <w:name w:val="SCC.RespondentForRunningHead"/>
    <w:basedOn w:val="Normal"/>
    <w:next w:val="Normal"/>
    <w:link w:val="SCCRespondentForRunningHeadChar"/>
    <w:rsid w:val="00701759"/>
    <w:rPr>
      <w:smallCaps/>
    </w:rPr>
  </w:style>
  <w:style w:type="character" w:customStyle="1" w:styleId="SCCRespondentForRunningHeadChar">
    <w:name w:val="SCC.RespondentForRunningHead Char"/>
    <w:basedOn w:val="DefaultParagraphFont"/>
    <w:link w:val="SCCRespondentForRunningHead"/>
    <w:rsid w:val="00701759"/>
    <w:rPr>
      <w:smallCaps/>
      <w:sz w:val="24"/>
    </w:rPr>
  </w:style>
  <w:style w:type="paragraph" w:customStyle="1" w:styleId="SCCAppellantForIndex">
    <w:name w:val="SCC.AppellantForIndex"/>
    <w:basedOn w:val="Normal"/>
    <w:next w:val="Normal"/>
    <w:link w:val="SCCAppellantForIndexChar"/>
    <w:rsid w:val="00C02092"/>
    <w:rPr>
      <w:b/>
    </w:rPr>
  </w:style>
  <w:style w:type="character" w:customStyle="1" w:styleId="SCCAppellantForIndexChar">
    <w:name w:val="SCC.AppellantForIndex Char"/>
    <w:basedOn w:val="DefaultParagraphFont"/>
    <w:link w:val="SCCAppellantForIndex"/>
    <w:rsid w:val="00C02092"/>
    <w:rPr>
      <w:b/>
      <w:sz w:val="24"/>
    </w:rPr>
  </w:style>
  <w:style w:type="paragraph" w:customStyle="1" w:styleId="SCCRespondentForIndex">
    <w:name w:val="SCC.RespondentForIndex"/>
    <w:basedOn w:val="Normal"/>
    <w:next w:val="Normal"/>
    <w:link w:val="SCCRespondentForIndexChar"/>
    <w:rsid w:val="00C02092"/>
    <w:rPr>
      <w:b/>
    </w:rPr>
  </w:style>
  <w:style w:type="character" w:customStyle="1" w:styleId="SCCRespondentForIndexChar">
    <w:name w:val="SCC.RespondentForIndex Char"/>
    <w:basedOn w:val="DefaultParagraphFont"/>
    <w:link w:val="SCCRespondentForIndex"/>
    <w:rsid w:val="00C02092"/>
    <w:rPr>
      <w:b/>
      <w:sz w:val="24"/>
    </w:rPr>
  </w:style>
  <w:style w:type="paragraph" w:customStyle="1" w:styleId="SCCSystemYear">
    <w:name w:val="SCC.SystemYear"/>
    <w:basedOn w:val="Normal"/>
    <w:next w:val="Normal"/>
    <w:link w:val="SCCSystemYearChar"/>
    <w:rsid w:val="00111DE2"/>
    <w:rPr>
      <w:b/>
    </w:rPr>
  </w:style>
  <w:style w:type="character" w:customStyle="1" w:styleId="SCCSystemYearChar">
    <w:name w:val="SCC.SystemYear Char"/>
    <w:basedOn w:val="DefaultParagraphFont"/>
    <w:link w:val="SCCSystemYear"/>
    <w:rsid w:val="00111DE2"/>
    <w:rPr>
      <w:b/>
      <w:sz w:val="24"/>
    </w:rPr>
  </w:style>
  <w:style w:type="paragraph" w:customStyle="1" w:styleId="SCCLowerCourtNameLowercase">
    <w:name w:val="SCC.LowerCourtNameLowercase"/>
    <w:basedOn w:val="SCCNormalDoubleSpacing"/>
    <w:next w:val="SCCNormalDoubleSpacing"/>
    <w:rsid w:val="00111DE2"/>
    <w:rPr>
      <w:smallCaps/>
    </w:rPr>
  </w:style>
  <w:style w:type="paragraph" w:customStyle="1" w:styleId="SCCCounselName">
    <w:name w:val="SCC.CounselName"/>
    <w:basedOn w:val="SCCNormalDoubleSpacing"/>
    <w:next w:val="SCCNormalDoubleSpacing"/>
    <w:link w:val="SCCCounselNameChar"/>
    <w:rsid w:val="003F327B"/>
    <w:rPr>
      <w:i/>
    </w:rPr>
  </w:style>
  <w:style w:type="character" w:customStyle="1" w:styleId="SCCCounselNameChar">
    <w:name w:val="SCC.CounselName Char"/>
    <w:basedOn w:val="SCCNormalDoubleSpacingChar"/>
    <w:link w:val="SCCCounselName"/>
    <w:rsid w:val="003F327B"/>
    <w:rPr>
      <w:i/>
      <w:sz w:val="24"/>
    </w:rPr>
  </w:style>
  <w:style w:type="paragraph" w:customStyle="1" w:styleId="SCCItalic">
    <w:name w:val="SCC.Italic"/>
    <w:basedOn w:val="SCCNormalDoubleSpacing"/>
    <w:next w:val="SCCNormalDoubleSpacing"/>
    <w:rsid w:val="00DF0CA8"/>
    <w:rPr>
      <w:i/>
    </w:rPr>
  </w:style>
  <w:style w:type="paragraph" w:customStyle="1" w:styleId="SCCAppellantForCitation">
    <w:name w:val="SCC.AppellantForCitation"/>
    <w:basedOn w:val="Normal"/>
    <w:next w:val="Normal"/>
    <w:link w:val="SCCAppellantForCitationChar"/>
    <w:rsid w:val="00E45109"/>
    <w:rPr>
      <w:i/>
    </w:rPr>
  </w:style>
  <w:style w:type="character" w:customStyle="1" w:styleId="SCCAppellantForCitationChar">
    <w:name w:val="SCC.AppellantForCitation Char"/>
    <w:basedOn w:val="DefaultParagraphFont"/>
    <w:link w:val="SCCAppellantForCitation"/>
    <w:rsid w:val="00E45109"/>
    <w:rPr>
      <w:i/>
      <w:sz w:val="24"/>
    </w:rPr>
  </w:style>
  <w:style w:type="paragraph" w:customStyle="1" w:styleId="SCCRespondentForCitation">
    <w:name w:val="SCC.RespondentForCitation"/>
    <w:basedOn w:val="Normal"/>
    <w:next w:val="Normal"/>
    <w:link w:val="SCCRespondentForCitationChar"/>
    <w:rsid w:val="00E45109"/>
    <w:rPr>
      <w:i/>
    </w:rPr>
  </w:style>
  <w:style w:type="character" w:customStyle="1" w:styleId="SCCRespondentForCitationChar">
    <w:name w:val="SCC.RespondentForCitation Char"/>
    <w:basedOn w:val="DefaultParagraphFont"/>
    <w:link w:val="SCCRespondentForCitation"/>
    <w:rsid w:val="00E45109"/>
    <w:rPr>
      <w:i/>
      <w:sz w:val="24"/>
    </w:rPr>
  </w:style>
  <w:style w:type="paragraph" w:customStyle="1" w:styleId="SCCCounselSeparator">
    <w:name w:val="SCC.CounselSeparator"/>
    <w:basedOn w:val="SCCNormalDoubleSpacing"/>
    <w:next w:val="SCCNormalDoubleSpacing"/>
    <w:link w:val="SCCCounselSeparatorChar"/>
    <w:rsid w:val="00874914"/>
  </w:style>
  <w:style w:type="character" w:customStyle="1" w:styleId="SCCCounselSeparatorChar">
    <w:name w:val="SCC.CounselSeparator Char"/>
    <w:basedOn w:val="SCCNormalDoubleSpacingChar"/>
    <w:link w:val="SCCCounselSeparator"/>
    <w:rsid w:val="00874914"/>
    <w:rPr>
      <w:sz w:val="24"/>
    </w:rPr>
  </w:style>
  <w:style w:type="paragraph" w:customStyle="1" w:styleId="SCCPartyRole">
    <w:name w:val="SCC.PartyRole"/>
    <w:basedOn w:val="SCCNormalDoubleSpacing"/>
    <w:next w:val="SCCNormalDoubleSpacing"/>
    <w:link w:val="SCCPartyRoleChar"/>
    <w:rsid w:val="00874914"/>
  </w:style>
  <w:style w:type="character" w:customStyle="1" w:styleId="SCCPartyRoleChar">
    <w:name w:val="SCC.PartyRole Char"/>
    <w:basedOn w:val="SCCNormalDoubleSpacingChar"/>
    <w:link w:val="SCCPartyRole"/>
    <w:rsid w:val="00874914"/>
    <w:rPr>
      <w:sz w:val="24"/>
    </w:rPr>
  </w:style>
  <w:style w:type="paragraph" w:customStyle="1" w:styleId="SCCLawFirm">
    <w:name w:val="SCC.LawFirm"/>
    <w:basedOn w:val="SCCNormalDoubleSpacing"/>
    <w:next w:val="SCCNormalDoubleSpacing"/>
    <w:link w:val="SCCLawFirmChar"/>
    <w:rsid w:val="00364B18"/>
    <w:rPr>
      <w:i/>
    </w:rPr>
  </w:style>
  <w:style w:type="character" w:customStyle="1" w:styleId="SCCLawFirmChar">
    <w:name w:val="SCC.LawFirm Char"/>
    <w:basedOn w:val="SCCNormalDoubleSpacingChar"/>
    <w:link w:val="SCCLawFirm"/>
    <w:rsid w:val="00364B18"/>
    <w:rPr>
      <w:i/>
      <w:sz w:val="24"/>
    </w:rPr>
  </w:style>
  <w:style w:type="paragraph" w:customStyle="1" w:styleId="SCCCounselPartyRole">
    <w:name w:val="SCC.CounselPartyRole"/>
    <w:basedOn w:val="SCCNormalDoubleSpacing"/>
    <w:next w:val="SCCNormalDoubleSpacing"/>
    <w:link w:val="SCCCounselPartyRoleChar"/>
    <w:rsid w:val="00D4431D"/>
  </w:style>
  <w:style w:type="character" w:customStyle="1" w:styleId="SCCCounselPartyRoleChar">
    <w:name w:val="SCC.CounselPartyRole Char"/>
    <w:basedOn w:val="SCCNormalDoubleSpacingChar"/>
    <w:link w:val="SCCCounselPartyRole"/>
    <w:rsid w:val="00D4431D"/>
    <w:rPr>
      <w:sz w:val="24"/>
    </w:rPr>
  </w:style>
  <w:style w:type="paragraph" w:customStyle="1" w:styleId="SCCLsocLastPartyInRole">
    <w:name w:val="SCC.Lsoc.LastPartyInRole"/>
    <w:basedOn w:val="Normal"/>
    <w:next w:val="Normal"/>
    <w:link w:val="SCCLsocLastPartyInRoleChar"/>
    <w:qFormat/>
    <w:rsid w:val="00301D08"/>
    <w:pPr>
      <w:tabs>
        <w:tab w:val="right" w:pos="8222"/>
      </w:tabs>
      <w:spacing w:after="720"/>
    </w:pPr>
    <w:rPr>
      <w:b/>
    </w:rPr>
  </w:style>
  <w:style w:type="character" w:customStyle="1" w:styleId="SCCLsocLastPartyInRoleChar">
    <w:name w:val="SCC.Lsoc.LastPartyInRole Char"/>
    <w:basedOn w:val="SCCLsocPartyChar"/>
    <w:link w:val="SCCLsocLastPartyInRole"/>
    <w:rsid w:val="00301D08"/>
    <w:rPr>
      <w:b/>
      <w:sz w:val="24"/>
    </w:rPr>
  </w:style>
  <w:style w:type="table" w:styleId="TableGrid">
    <w:name w:val="Table Grid"/>
    <w:basedOn w:val="TableNormal"/>
    <w:uiPriority w:val="59"/>
    <w:rsid w:val="00F61134"/>
    <w:rPr>
      <w:rFonts w:eastAsiaTheme="minorHAnsi" w:cstheme="minorBidi"/>
      <w:sz w:val="24"/>
      <w:szCs w:val="24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CCLsocPartyRoleChar">
    <w:name w:val="SCC.Lsoc.PartyRole Char"/>
    <w:basedOn w:val="DefaultParagraphFont"/>
    <w:rsid w:val="00F61134"/>
    <w:rPr>
      <w:rFonts w:ascii="Times New Roman" w:hAnsi="Times New Roman"/>
      <w:sz w:val="24"/>
      <w:szCs w:val="24"/>
      <w:lang w:val="en-CA"/>
    </w:rPr>
  </w:style>
  <w:style w:type="paragraph" w:customStyle="1" w:styleId="SCCLsocPrefix">
    <w:name w:val="SCC.Lsoc.Prefix"/>
    <w:basedOn w:val="Normal"/>
    <w:next w:val="Normal"/>
    <w:link w:val="SCCLsocPrefixChar"/>
    <w:rsid w:val="00F61134"/>
    <w:rPr>
      <w:rFonts w:eastAsiaTheme="minorHAnsi" w:cstheme="minorBidi"/>
      <w:b/>
      <w:smallCaps/>
      <w:szCs w:val="24"/>
      <w:lang w:eastAsia="en-US"/>
    </w:rPr>
  </w:style>
  <w:style w:type="character" w:customStyle="1" w:styleId="SCCLsocPrefixChar">
    <w:name w:val="SCC.Lsoc.Prefix Char"/>
    <w:basedOn w:val="DefaultParagraphFont"/>
    <w:link w:val="SCCLsocPrefix"/>
    <w:rsid w:val="00F61134"/>
    <w:rPr>
      <w:rFonts w:eastAsiaTheme="minorHAnsi" w:cstheme="minorBidi"/>
      <w:b/>
      <w:smallCap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503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2018-10-19T18:40:00Z</dcterms:created>
  <dcterms:modified xsi:type="dcterms:W3CDTF">2019-07-25T19:20:00Z</dcterms:modified>
</cp:coreProperties>
</file>