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15" w:rsidRDefault="00445015" w:rsidP="00445015">
      <w:pPr>
        <w:pStyle w:val="Header"/>
      </w:pPr>
      <w:r>
        <w:ptab w:relativeTo="margin" w:alignment="center" w:leader="none"/>
      </w:r>
      <w:r w:rsidRPr="00F72014">
        <w:t xml:space="preserve"> </w:t>
      </w:r>
      <w:r>
        <w:object w:dxaOrig="136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4.5pt" o:ole="">
            <v:imagedata r:id="rId7" o:title=""/>
          </v:shape>
          <o:OLEObject Type="Embed" ProgID="Presentations.Drawing.13" ShapeID="_x0000_i1025" DrawAspect="Content" ObjectID="_1625895134" r:id="rId8"/>
        </w:object>
      </w:r>
      <w:r>
        <w:t xml:space="preserve"> </w:t>
      </w:r>
      <w:r>
        <w:ptab w:relativeTo="margin" w:alignment="right" w:leader="none"/>
      </w:r>
    </w:p>
    <w:p w:rsidR="00445015" w:rsidRDefault="00445015" w:rsidP="00445015">
      <w:pPr>
        <w:pStyle w:val="Header"/>
      </w:pPr>
      <w:bookmarkStart w:id="0" w:name="_GoBack"/>
      <w:bookmarkEnd w:id="0"/>
    </w:p>
    <w:p w:rsidR="00445015" w:rsidRPr="006B210C" w:rsidRDefault="00445015" w:rsidP="00445015">
      <w:pPr>
        <w:jc w:val="center"/>
        <w:rPr>
          <w:b/>
        </w:rPr>
      </w:pPr>
      <w:r w:rsidRPr="006B210C">
        <w:rPr>
          <w:b/>
        </w:rPr>
        <w:t>SUPREME COURT OF CANADA</w:t>
      </w:r>
    </w:p>
    <w:p w:rsidR="00445015" w:rsidRDefault="00445015" w:rsidP="00445015"/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5670"/>
        <w:gridCol w:w="3960"/>
      </w:tblGrid>
      <w:tr w:rsidR="00445015" w:rsidRPr="006B210C" w:rsidTr="00CD0A8A">
        <w:trPr>
          <w:cantSplit/>
        </w:trPr>
        <w:tc>
          <w:tcPr>
            <w:tcW w:w="5670" w:type="dxa"/>
          </w:tcPr>
          <w:p w:rsidR="00445015" w:rsidRPr="006B1FAF" w:rsidRDefault="00445015" w:rsidP="00CD0A8A">
            <w:r w:rsidRPr="006B1FAF">
              <w:rPr>
                <w:b/>
                <w:smallCaps/>
              </w:rPr>
              <w:t>Citation:</w:t>
            </w:r>
            <w:r>
              <w:t xml:space="preserve"> </w:t>
            </w:r>
            <w:r w:rsidRPr="00AC35FF">
              <w:rPr>
                <w:rStyle w:val="SCCAppellantForIndexChar"/>
                <w:b w:val="0"/>
              </w:rPr>
              <w:t>Callidus Capital Corp.</w:t>
            </w:r>
            <w:r w:rsidRPr="002B50D2">
              <w:t xml:space="preserve"> </w:t>
            </w:r>
            <w:r w:rsidRPr="002B50D2">
              <w:rPr>
                <w:i/>
              </w:rPr>
              <w:t>v.</w:t>
            </w:r>
            <w:r w:rsidRPr="002B50D2">
              <w:t xml:space="preserve"> Canada</w:t>
            </w:r>
            <w:r>
              <w:t>, 2018 SCC 47</w:t>
            </w:r>
            <w:r w:rsidRPr="006B1FAF">
              <w:t xml:space="preserve">, [2018] </w:t>
            </w:r>
            <w:r>
              <w:t>3</w:t>
            </w:r>
            <w:r w:rsidRPr="006B1FAF">
              <w:t xml:space="preserve"> S.C.R. </w:t>
            </w:r>
            <w:r>
              <w:t>186</w:t>
            </w:r>
          </w:p>
        </w:tc>
        <w:tc>
          <w:tcPr>
            <w:tcW w:w="3960" w:type="dxa"/>
          </w:tcPr>
          <w:p w:rsidR="00445015" w:rsidRDefault="00445015" w:rsidP="00CD0A8A">
            <w:r>
              <w:rPr>
                <w:b/>
                <w:smallCaps/>
              </w:rPr>
              <w:t>Appeal heard:</w:t>
            </w:r>
            <w:r w:rsidRPr="006B210C">
              <w:t xml:space="preserve"> </w:t>
            </w:r>
            <w:r>
              <w:t>November 8, 2018</w:t>
            </w:r>
          </w:p>
          <w:p w:rsidR="00445015" w:rsidRPr="006B210C" w:rsidRDefault="00445015" w:rsidP="00CD0A8A">
            <w:r>
              <w:rPr>
                <w:b/>
                <w:smallCaps/>
              </w:rPr>
              <w:t>Judgment rendered</w:t>
            </w:r>
            <w:r w:rsidRPr="003E41F2">
              <w:rPr>
                <w:b/>
                <w:smallCaps/>
              </w:rPr>
              <w:t>:</w:t>
            </w:r>
            <w:r>
              <w:t xml:space="preserve"> November 8, 2018</w:t>
            </w:r>
          </w:p>
          <w:p w:rsidR="00445015" w:rsidRPr="006B210C" w:rsidRDefault="00445015" w:rsidP="00CD0A8A">
            <w:r w:rsidRPr="005D4B83">
              <w:rPr>
                <w:b/>
                <w:smallCaps/>
              </w:rPr>
              <w:t>Docket:</w:t>
            </w:r>
            <w:r>
              <w:t xml:space="preserve"> 37768</w:t>
            </w:r>
          </w:p>
        </w:tc>
      </w:tr>
    </w:tbl>
    <w:p w:rsidR="00445015" w:rsidRPr="006B210C" w:rsidRDefault="00445015" w:rsidP="00445015"/>
    <w:p w:rsidR="00445015" w:rsidRDefault="00445015" w:rsidP="00445015">
      <w:pPr>
        <w:pStyle w:val="SCCLsocPrefix"/>
      </w:pPr>
      <w:r>
        <w:t>Between:</w:t>
      </w:r>
    </w:p>
    <w:p w:rsidR="00445015" w:rsidRPr="002B50D2" w:rsidRDefault="00445015" w:rsidP="00445015">
      <w:pPr>
        <w:jc w:val="center"/>
        <w:rPr>
          <w:b/>
        </w:rPr>
      </w:pPr>
      <w:r w:rsidRPr="002B50D2">
        <w:rPr>
          <w:b/>
        </w:rPr>
        <w:t>Callidus Capital Corporation</w:t>
      </w:r>
    </w:p>
    <w:p w:rsidR="00445015" w:rsidRDefault="00445015" w:rsidP="00445015">
      <w:pPr>
        <w:jc w:val="center"/>
      </w:pPr>
      <w:r>
        <w:t>Appellant</w:t>
      </w:r>
    </w:p>
    <w:p w:rsidR="00445015" w:rsidRPr="005D4B83" w:rsidRDefault="00445015" w:rsidP="00445015">
      <w:pPr>
        <w:jc w:val="center"/>
      </w:pPr>
    </w:p>
    <w:p w:rsidR="00445015" w:rsidRPr="00445015" w:rsidRDefault="00445015" w:rsidP="00445015">
      <w:pPr>
        <w:pStyle w:val="SCCLsocVersus"/>
        <w:spacing w:after="0"/>
        <w:jc w:val="center"/>
        <w:rPr>
          <w:i w:val="0"/>
        </w:rPr>
      </w:pPr>
      <w:r w:rsidRPr="00445015">
        <w:rPr>
          <w:i w:val="0"/>
        </w:rPr>
        <w:t>and</w:t>
      </w:r>
    </w:p>
    <w:p w:rsidR="00445015" w:rsidRPr="005D4B83" w:rsidRDefault="00445015" w:rsidP="00445015">
      <w:pPr>
        <w:jc w:val="center"/>
      </w:pPr>
    </w:p>
    <w:p w:rsidR="00445015" w:rsidRDefault="00445015" w:rsidP="00445015">
      <w:pPr>
        <w:pStyle w:val="SCCLsocParty"/>
        <w:jc w:val="center"/>
      </w:pPr>
      <w:r>
        <w:t>Her Majesty The Queen</w:t>
      </w:r>
    </w:p>
    <w:p w:rsidR="00445015" w:rsidRDefault="00445015" w:rsidP="00445015">
      <w:pPr>
        <w:jc w:val="center"/>
      </w:pPr>
      <w:r>
        <w:t>Respondent</w:t>
      </w:r>
    </w:p>
    <w:p w:rsidR="00445015" w:rsidRPr="002B50D2" w:rsidRDefault="00445015" w:rsidP="00445015">
      <w:pPr>
        <w:jc w:val="center"/>
      </w:pPr>
    </w:p>
    <w:p w:rsidR="00445015" w:rsidRDefault="00445015" w:rsidP="00445015">
      <w:pPr>
        <w:jc w:val="center"/>
      </w:pPr>
      <w:r>
        <w:t>- and -</w:t>
      </w:r>
    </w:p>
    <w:p w:rsidR="00445015" w:rsidRPr="00A53D62" w:rsidRDefault="00445015" w:rsidP="00445015">
      <w:pPr>
        <w:jc w:val="center"/>
      </w:pPr>
    </w:p>
    <w:p w:rsidR="00445015" w:rsidRDefault="00445015" w:rsidP="00445015">
      <w:pPr>
        <w:pStyle w:val="SCCLsocParty"/>
        <w:jc w:val="center"/>
      </w:pPr>
      <w:r>
        <w:t>Insolvency Institute of Canada,</w:t>
      </w:r>
    </w:p>
    <w:p w:rsidR="00445015" w:rsidRDefault="00445015" w:rsidP="00445015">
      <w:pPr>
        <w:pStyle w:val="SCCLsocParty"/>
        <w:jc w:val="center"/>
      </w:pPr>
      <w:r>
        <w:t>Canadian Association of Insolvency and</w:t>
      </w:r>
    </w:p>
    <w:p w:rsidR="00445015" w:rsidRDefault="00445015" w:rsidP="00445015">
      <w:pPr>
        <w:pStyle w:val="SCCLsocParty"/>
        <w:jc w:val="center"/>
      </w:pPr>
      <w:r>
        <w:t>Restructuring Professionals and</w:t>
      </w:r>
    </w:p>
    <w:p w:rsidR="00445015" w:rsidRDefault="00445015" w:rsidP="00445015">
      <w:pPr>
        <w:jc w:val="center"/>
        <w:rPr>
          <w:b/>
        </w:rPr>
      </w:pPr>
      <w:r w:rsidRPr="002B50D2">
        <w:rPr>
          <w:b/>
        </w:rPr>
        <w:t>Canadian Bankers’ Association</w:t>
      </w:r>
    </w:p>
    <w:p w:rsidR="00445015" w:rsidRPr="002B50D2" w:rsidRDefault="00445015" w:rsidP="00445015">
      <w:pPr>
        <w:jc w:val="center"/>
      </w:pPr>
      <w:r w:rsidRPr="002B50D2">
        <w:t>Interveners</w:t>
      </w:r>
    </w:p>
    <w:p w:rsidR="00445015" w:rsidRPr="006B210C" w:rsidRDefault="00445015" w:rsidP="00445015"/>
    <w:p w:rsidR="00445015" w:rsidRPr="006B210C" w:rsidRDefault="00445015" w:rsidP="00445015"/>
    <w:p w:rsidR="00445015" w:rsidRPr="006B210C" w:rsidRDefault="00445015" w:rsidP="00445015">
      <w:r w:rsidRPr="006B210C">
        <w:rPr>
          <w:b/>
          <w:smallCaps/>
        </w:rPr>
        <w:t>Coram</w:t>
      </w:r>
      <w:r>
        <w:rPr>
          <w:b/>
          <w:smallCaps/>
        </w:rPr>
        <w:t xml:space="preserve">: </w:t>
      </w:r>
      <w:r>
        <w:t>Wagner C.J. and Abella, Moldaver, Karakatsanis, Gascon, Côté, Brown, Rowe and Martin JJ.</w:t>
      </w:r>
    </w:p>
    <w:p w:rsidR="00445015" w:rsidRPr="006B210C" w:rsidRDefault="00445015" w:rsidP="0044501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618"/>
        <w:gridCol w:w="5958"/>
      </w:tblGrid>
      <w:tr w:rsidR="00445015" w:rsidRPr="000872C9" w:rsidTr="00CD0A8A">
        <w:trPr>
          <w:cantSplit/>
        </w:trPr>
        <w:tc>
          <w:tcPr>
            <w:tcW w:w="3618" w:type="dxa"/>
          </w:tcPr>
          <w:p w:rsidR="00445015" w:rsidRDefault="00445015" w:rsidP="00CD0A8A">
            <w:pPr>
              <w:rPr>
                <w:b/>
                <w:smallCaps/>
              </w:rPr>
            </w:pPr>
            <w:r w:rsidRPr="006B210C">
              <w:rPr>
                <w:b/>
                <w:smallCaps/>
              </w:rPr>
              <w:t xml:space="preserve">Reasons for </w:t>
            </w:r>
            <w:r>
              <w:rPr>
                <w:b/>
                <w:smallCaps/>
              </w:rPr>
              <w:t>Judgment:</w:t>
            </w:r>
          </w:p>
          <w:p w:rsidR="00445015" w:rsidRPr="006B210C" w:rsidRDefault="00445015" w:rsidP="00CD0A8A">
            <w:r>
              <w:t>(paras. 1 to 3)</w:t>
            </w:r>
          </w:p>
        </w:tc>
        <w:tc>
          <w:tcPr>
            <w:tcW w:w="5958" w:type="dxa"/>
          </w:tcPr>
          <w:p w:rsidR="00445015" w:rsidRPr="00484289" w:rsidRDefault="00445015" w:rsidP="00CD0A8A">
            <w:r>
              <w:t>Gascon</w:t>
            </w:r>
            <w:r w:rsidRPr="00484289">
              <w:t xml:space="preserve"> J. (</w:t>
            </w:r>
            <w:r>
              <w:t>Wagner C.J. and Abella, Moldaver, Karakatsanis, Côté, Brown, Rowe and Martin</w:t>
            </w:r>
            <w:r w:rsidRPr="00484289">
              <w:t> JJ. concurring)</w:t>
            </w:r>
          </w:p>
        </w:tc>
      </w:tr>
    </w:tbl>
    <w:p w:rsidR="00445015" w:rsidRPr="00484289" w:rsidRDefault="00445015" w:rsidP="00445015">
      <w:pPr>
        <w:rPr>
          <w:lang w:val="en-US"/>
        </w:rPr>
      </w:pPr>
    </w:p>
    <w:p w:rsidR="00445015" w:rsidRPr="00484289" w:rsidRDefault="00445015" w:rsidP="00445015">
      <w:pPr>
        <w:rPr>
          <w:lang w:val="en-US"/>
        </w:rPr>
      </w:pPr>
    </w:p>
    <w:p w:rsidR="00445015" w:rsidRPr="00445015" w:rsidRDefault="00445015" w:rsidP="00445015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89C3B" wp14:editId="026E3ACF">
                <wp:simplePos x="0" y="0"/>
                <wp:positionH relativeFrom="column">
                  <wp:posOffset>1609725</wp:posOffset>
                </wp:positionH>
                <wp:positionV relativeFrom="paragraph">
                  <wp:posOffset>184150</wp:posOffset>
                </wp:positionV>
                <wp:extent cx="2505075" cy="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885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6.75pt;margin-top:14.5pt;width:19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"/>
            </w:pict>
          </mc:Fallback>
        </mc:AlternateContent>
      </w:r>
    </w:p>
    <w:p w:rsidR="00445015" w:rsidRDefault="00445015" w:rsidP="00445015"/>
    <w:p w:rsidR="00445015" w:rsidRDefault="00445015" w:rsidP="00A8637B">
      <w:pPr>
        <w:spacing w:line="480" w:lineRule="auto"/>
        <w:jc w:val="both"/>
        <w:rPr>
          <w:rStyle w:val="SCCAppellantForIndexChar"/>
          <w:b w:val="0"/>
        </w:rPr>
      </w:pPr>
    </w:p>
    <w:p w:rsidR="00A8637B" w:rsidRPr="003451E5" w:rsidRDefault="003451E5" w:rsidP="00A8637B">
      <w:pPr>
        <w:spacing w:line="480" w:lineRule="auto"/>
        <w:jc w:val="both"/>
      </w:pPr>
      <w:r w:rsidRPr="003451E5">
        <w:rPr>
          <w:rStyle w:val="SCCAppellantForIndexChar"/>
          <w:b w:val="0"/>
        </w:rPr>
        <w:t>Callidus Capital Corp.</w:t>
      </w:r>
      <w:r w:rsidRPr="003451E5">
        <w:t xml:space="preserve"> </w:t>
      </w:r>
      <w:r w:rsidRPr="003451E5">
        <w:rPr>
          <w:i/>
        </w:rPr>
        <w:t>v.</w:t>
      </w:r>
      <w:r w:rsidRPr="003451E5">
        <w:t xml:space="preserve"> Canada</w:t>
      </w:r>
      <w:r>
        <w:t xml:space="preserve">, 2018 </w:t>
      </w:r>
      <w:r w:rsidRPr="00C02092">
        <w:t>SCC </w:t>
      </w:r>
      <w:r>
        <w:t>47, [2018] 2 S.C.R. 186</w:t>
      </w:r>
    </w:p>
    <w:p w:rsidR="00A8637B" w:rsidRDefault="00A8637B" w:rsidP="00A8637B">
      <w:pPr>
        <w:jc w:val="both"/>
      </w:pPr>
    </w:p>
    <w:p w:rsidR="00A8637B" w:rsidRDefault="00A8637B" w:rsidP="00A8637B">
      <w:pPr>
        <w:jc w:val="both"/>
      </w:pPr>
    </w:p>
    <w:p w:rsidR="00A8637B" w:rsidRPr="001426A9" w:rsidRDefault="00A8637B" w:rsidP="00A8637B">
      <w:pPr>
        <w:jc w:val="both"/>
      </w:pPr>
    </w:p>
    <w:p w:rsidR="00A8637B" w:rsidRDefault="00A8637B" w:rsidP="00A8637B">
      <w:pPr>
        <w:pStyle w:val="SCCLsocLastPartyInRole"/>
      </w:pPr>
      <w:r>
        <w:t>Callidus Capital Corporation</w:t>
      </w:r>
      <w:r>
        <w:rPr>
          <w:rStyle w:val="SCCLsocPartyRole"/>
        </w:rPr>
        <w:tab/>
        <w:t>Appellant</w:t>
      </w:r>
    </w:p>
    <w:p w:rsidR="00A8637B" w:rsidRDefault="00A8637B" w:rsidP="00A8637B">
      <w:pPr>
        <w:pStyle w:val="SCCLsocVersus"/>
      </w:pPr>
      <w:r>
        <w:lastRenderedPageBreak/>
        <w:t>v.</w:t>
      </w:r>
    </w:p>
    <w:p w:rsidR="00A8637B" w:rsidRDefault="00A8637B" w:rsidP="00A8637B">
      <w:pPr>
        <w:pStyle w:val="SCCLsocLastPartyInRole"/>
      </w:pPr>
      <w:r>
        <w:t xml:space="preserve">Her Majesty </w:t>
      </w:r>
      <w:r w:rsidR="00166102">
        <w:t>T</w:t>
      </w:r>
      <w:r>
        <w:t>he Queen</w:t>
      </w:r>
      <w:r>
        <w:rPr>
          <w:rStyle w:val="SCCLsocPartyRole"/>
        </w:rPr>
        <w:tab/>
        <w:t>Respondent</w:t>
      </w:r>
    </w:p>
    <w:p w:rsidR="00A8637B" w:rsidRDefault="00A8637B" w:rsidP="00A8637B">
      <w:pPr>
        <w:pStyle w:val="SCCLsocOtherPartySeparator"/>
      </w:pPr>
      <w:r>
        <w:t>and</w:t>
      </w:r>
    </w:p>
    <w:p w:rsidR="00A8637B" w:rsidRDefault="00A8637B" w:rsidP="00A8637B">
      <w:pPr>
        <w:pStyle w:val="SCCLsocParty"/>
      </w:pPr>
      <w:r>
        <w:t>Insolvency Institute of Canada,</w:t>
      </w:r>
    </w:p>
    <w:p w:rsidR="00D276C8" w:rsidRDefault="00D276C8" w:rsidP="00D276C8">
      <w:pPr>
        <w:pStyle w:val="SCCLsocParty"/>
      </w:pPr>
      <w:r>
        <w:t>Canadian Association of Insolvency and</w:t>
      </w:r>
    </w:p>
    <w:p w:rsidR="00D276C8" w:rsidRDefault="00D276C8" w:rsidP="00D276C8">
      <w:pPr>
        <w:pStyle w:val="SCCLsocParty"/>
      </w:pPr>
      <w:r>
        <w:t xml:space="preserve">Restructuring Professionals and </w:t>
      </w:r>
    </w:p>
    <w:p w:rsidR="00A8637B" w:rsidRDefault="00A8637B" w:rsidP="00D276C8">
      <w:pPr>
        <w:pStyle w:val="SCCLsocParty"/>
      </w:pPr>
      <w:r>
        <w:t>Canadian Bankers’ Association</w:t>
      </w:r>
      <w:r>
        <w:rPr>
          <w:rStyle w:val="SCCLsocPartyRole"/>
        </w:rPr>
        <w:tab/>
        <w:t>Interveners</w:t>
      </w:r>
    </w:p>
    <w:p w:rsidR="00A8637B" w:rsidRDefault="00A8637B" w:rsidP="00A8637B">
      <w:pPr>
        <w:jc w:val="both"/>
      </w:pPr>
    </w:p>
    <w:p w:rsidR="00A8637B" w:rsidRDefault="00A8637B" w:rsidP="00A8637B">
      <w:pPr>
        <w:jc w:val="both"/>
      </w:pPr>
    </w:p>
    <w:p w:rsidR="00A8637B" w:rsidRPr="001426A9" w:rsidRDefault="00A8637B" w:rsidP="00A8637B">
      <w:pPr>
        <w:jc w:val="both"/>
      </w:pPr>
    </w:p>
    <w:p w:rsidR="00A8637B" w:rsidRPr="00426659" w:rsidRDefault="00A8637B" w:rsidP="00A8637B">
      <w:pPr>
        <w:jc w:val="both"/>
        <w:rPr>
          <w:b/>
        </w:rPr>
      </w:pPr>
      <w:r w:rsidRPr="00426659">
        <w:rPr>
          <w:b/>
        </w:rPr>
        <w:t>Indexed as:</w:t>
      </w:r>
      <w:r>
        <w:rPr>
          <w:b/>
        </w:rPr>
        <w:t xml:space="preserve"> </w:t>
      </w:r>
      <w:r>
        <w:rPr>
          <w:rStyle w:val="SCCAppellantForIndexChar"/>
        </w:rPr>
        <w:t>Callidus Capital Corp</w:t>
      </w:r>
      <w:r w:rsidR="00A151F3">
        <w:rPr>
          <w:rStyle w:val="SCCAppellantForIndexChar"/>
        </w:rPr>
        <w:t>.</w:t>
      </w:r>
      <w:r w:rsidRPr="00426659">
        <w:rPr>
          <w:b/>
        </w:rPr>
        <w:t xml:space="preserve"> </w:t>
      </w:r>
      <w:r w:rsidR="001721F9" w:rsidRPr="001721F9">
        <w:rPr>
          <w:b/>
          <w:i/>
        </w:rPr>
        <w:t>v.</w:t>
      </w:r>
      <w:r w:rsidR="001721F9">
        <w:rPr>
          <w:b/>
        </w:rPr>
        <w:t xml:space="preserve"> Canada</w:t>
      </w:r>
    </w:p>
    <w:p w:rsidR="00A8637B" w:rsidRDefault="00A8637B" w:rsidP="00A8637B">
      <w:pPr>
        <w:jc w:val="both"/>
      </w:pPr>
    </w:p>
    <w:p w:rsidR="00A8637B" w:rsidRDefault="00A8637B" w:rsidP="00A8637B">
      <w:pPr>
        <w:jc w:val="both"/>
      </w:pPr>
    </w:p>
    <w:p w:rsidR="00A8637B" w:rsidRDefault="00A8637B" w:rsidP="00A8637B">
      <w:pPr>
        <w:jc w:val="both"/>
      </w:pPr>
    </w:p>
    <w:p w:rsidR="00A8637B" w:rsidRPr="00C02092" w:rsidRDefault="00A8637B" w:rsidP="00A8637B">
      <w:pPr>
        <w:pStyle w:val="SCCSystemYear"/>
        <w:jc w:val="both"/>
      </w:pPr>
      <w:r>
        <w:t xml:space="preserve">2018 </w:t>
      </w:r>
      <w:r w:rsidRPr="00C02092">
        <w:t>SCC </w:t>
      </w:r>
      <w:r w:rsidR="000051FB">
        <w:t>47</w:t>
      </w:r>
    </w:p>
    <w:p w:rsidR="00A8637B" w:rsidRDefault="00A8637B" w:rsidP="00A8637B">
      <w:pPr>
        <w:jc w:val="both"/>
      </w:pPr>
    </w:p>
    <w:p w:rsidR="00A8637B" w:rsidRDefault="00A8637B" w:rsidP="00A8637B">
      <w:pPr>
        <w:jc w:val="both"/>
      </w:pPr>
    </w:p>
    <w:p w:rsidR="00A8637B" w:rsidRDefault="00A8637B" w:rsidP="00A8637B">
      <w:pPr>
        <w:jc w:val="both"/>
      </w:pPr>
    </w:p>
    <w:p w:rsidR="00A8637B" w:rsidRDefault="00DF72F2" w:rsidP="00A8637B">
      <w:pPr>
        <w:jc w:val="both"/>
      </w:pPr>
      <w:r>
        <w:t xml:space="preserve">File No.: </w:t>
      </w:r>
      <w:r w:rsidR="00A8637B">
        <w:t>37768</w:t>
      </w:r>
      <w:r w:rsidR="00A8637B" w:rsidRPr="001426A9">
        <w:t>.</w:t>
      </w:r>
    </w:p>
    <w:p w:rsidR="00A8637B" w:rsidRDefault="00A8637B" w:rsidP="00A8637B">
      <w:pPr>
        <w:jc w:val="both"/>
      </w:pPr>
    </w:p>
    <w:p w:rsidR="00A8637B" w:rsidRDefault="00A8637B" w:rsidP="00A8637B">
      <w:pPr>
        <w:jc w:val="both"/>
      </w:pPr>
    </w:p>
    <w:p w:rsidR="00A8637B" w:rsidRDefault="00A8637B" w:rsidP="00A8637B">
      <w:pPr>
        <w:jc w:val="both"/>
      </w:pPr>
    </w:p>
    <w:p w:rsidR="00A8637B" w:rsidRDefault="00A8637B" w:rsidP="00A8637B">
      <w:pPr>
        <w:jc w:val="both"/>
      </w:pPr>
      <w:r>
        <w:t>2018: November 8</w:t>
      </w:r>
      <w:r w:rsidR="000051FB">
        <w:t>.</w:t>
      </w:r>
    </w:p>
    <w:p w:rsidR="00A8637B" w:rsidRDefault="00A8637B" w:rsidP="00A8637B">
      <w:pPr>
        <w:jc w:val="both"/>
      </w:pPr>
    </w:p>
    <w:p w:rsidR="00A8637B" w:rsidRDefault="00A8637B" w:rsidP="00A8637B">
      <w:pPr>
        <w:jc w:val="both"/>
      </w:pPr>
    </w:p>
    <w:p w:rsidR="00A8637B" w:rsidRDefault="00A8637B" w:rsidP="00A8637B">
      <w:pPr>
        <w:jc w:val="both"/>
      </w:pPr>
    </w:p>
    <w:p w:rsidR="00A8637B" w:rsidRDefault="00A8637B" w:rsidP="00A8637B">
      <w:pPr>
        <w:jc w:val="both"/>
      </w:pPr>
      <w:r w:rsidRPr="001426A9">
        <w:t xml:space="preserve">Present: </w:t>
      </w:r>
      <w:r>
        <w:t>Wagner C.J. and Abella, Moldaver, Karakatsanis, Gascon, Côté, Brown, Rowe and Martin JJ.</w:t>
      </w:r>
    </w:p>
    <w:p w:rsidR="00A8637B" w:rsidRDefault="00A8637B" w:rsidP="00A8637B">
      <w:pPr>
        <w:jc w:val="both"/>
      </w:pPr>
    </w:p>
    <w:p w:rsidR="00A8637B" w:rsidRDefault="00A8637B" w:rsidP="00A8637B">
      <w:pPr>
        <w:jc w:val="both"/>
      </w:pPr>
    </w:p>
    <w:p w:rsidR="00A8637B" w:rsidRDefault="00A8637B" w:rsidP="00A8637B">
      <w:pPr>
        <w:jc w:val="both"/>
      </w:pPr>
    </w:p>
    <w:p w:rsidR="00A8637B" w:rsidRDefault="00A8637B" w:rsidP="00A8637B">
      <w:pPr>
        <w:jc w:val="both"/>
      </w:pPr>
    </w:p>
    <w:p w:rsidR="00A8637B" w:rsidRDefault="00A8637B" w:rsidP="00A8637B">
      <w:pPr>
        <w:jc w:val="both"/>
      </w:pPr>
    </w:p>
    <w:p w:rsidR="00A8637B" w:rsidRDefault="00A8637B" w:rsidP="00A8637B">
      <w:pPr>
        <w:jc w:val="both"/>
      </w:pPr>
    </w:p>
    <w:p w:rsidR="00A8637B" w:rsidRDefault="00A8637B" w:rsidP="00A8637B"/>
    <w:p w:rsidR="00A8637B" w:rsidRPr="001C779F" w:rsidRDefault="00A8637B" w:rsidP="00A8637B">
      <w:pPr>
        <w:pStyle w:val="SCCLowerCourtNameLowercase"/>
      </w:pPr>
      <w:r>
        <w:t>on appeal from the federal court of appeal</w:t>
      </w:r>
    </w:p>
    <w:p w:rsidR="00A8637B" w:rsidRPr="001426A9" w:rsidRDefault="00A8637B" w:rsidP="00A8637B">
      <w:pPr>
        <w:pStyle w:val="SCCNormalDoubleSpacing"/>
      </w:pPr>
    </w:p>
    <w:p w:rsidR="00A8637B" w:rsidRPr="00685631" w:rsidRDefault="00685631" w:rsidP="00A8637B">
      <w:pPr>
        <w:pStyle w:val="SCCNormalDoubleSpacing"/>
        <w:rPr>
          <w:i/>
        </w:rPr>
      </w:pPr>
      <w:r>
        <w:tab/>
      </w:r>
      <w:r w:rsidR="00B423C0">
        <w:rPr>
          <w:i/>
        </w:rPr>
        <w:t xml:space="preserve">Taxation </w:t>
      </w:r>
      <w:r w:rsidR="00DF72F2">
        <w:rPr>
          <w:i/>
        </w:rPr>
        <w:t>—</w:t>
      </w:r>
      <w:r w:rsidR="00B423C0">
        <w:rPr>
          <w:i/>
        </w:rPr>
        <w:t xml:space="preserve"> </w:t>
      </w:r>
      <w:r w:rsidR="00693097">
        <w:rPr>
          <w:i/>
        </w:rPr>
        <w:t xml:space="preserve">Goods and services </w:t>
      </w:r>
      <w:r w:rsidR="00A65B4D">
        <w:rPr>
          <w:i/>
        </w:rPr>
        <w:t xml:space="preserve">tax </w:t>
      </w:r>
      <w:r w:rsidR="00DF72F2">
        <w:rPr>
          <w:i/>
        </w:rPr>
        <w:t>—</w:t>
      </w:r>
      <w:r w:rsidR="00912006">
        <w:rPr>
          <w:i/>
        </w:rPr>
        <w:t xml:space="preserve"> Collection and remittance </w:t>
      </w:r>
      <w:r w:rsidR="00DF72F2">
        <w:rPr>
          <w:i/>
        </w:rPr>
        <w:t>—</w:t>
      </w:r>
      <w:r w:rsidR="0058144B">
        <w:rPr>
          <w:i/>
        </w:rPr>
        <w:t xml:space="preserve"> T</w:t>
      </w:r>
      <w:r w:rsidR="00912006">
        <w:rPr>
          <w:i/>
        </w:rPr>
        <w:t xml:space="preserve">rust for amounts collected </w:t>
      </w:r>
      <w:r w:rsidR="00DF72F2">
        <w:rPr>
          <w:i/>
        </w:rPr>
        <w:t>—</w:t>
      </w:r>
      <w:r w:rsidR="00912006">
        <w:rPr>
          <w:i/>
        </w:rPr>
        <w:t xml:space="preserve"> </w:t>
      </w:r>
      <w:r w:rsidR="0058144B">
        <w:rPr>
          <w:i/>
        </w:rPr>
        <w:t>Effect of b</w:t>
      </w:r>
      <w:r w:rsidR="006B1115">
        <w:rPr>
          <w:i/>
        </w:rPr>
        <w:t xml:space="preserve">ankruptcy </w:t>
      </w:r>
      <w:r w:rsidR="00DF72F2">
        <w:rPr>
          <w:i/>
        </w:rPr>
        <w:t>—</w:t>
      </w:r>
      <w:r w:rsidR="006B1115">
        <w:rPr>
          <w:i/>
        </w:rPr>
        <w:t xml:space="preserve"> </w:t>
      </w:r>
      <w:r w:rsidR="00912006">
        <w:rPr>
          <w:i/>
        </w:rPr>
        <w:t>Statute creating d</w:t>
      </w:r>
      <w:r w:rsidR="00E22C88">
        <w:rPr>
          <w:i/>
        </w:rPr>
        <w:t xml:space="preserve">eemed trust </w:t>
      </w:r>
      <w:r w:rsidR="0058144B">
        <w:rPr>
          <w:i/>
        </w:rPr>
        <w:t xml:space="preserve">on </w:t>
      </w:r>
      <w:r w:rsidR="0058144B">
        <w:rPr>
          <w:i/>
        </w:rPr>
        <w:lastRenderedPageBreak/>
        <w:t>property of tax debtor</w:t>
      </w:r>
      <w:r w:rsidR="002432D4">
        <w:rPr>
          <w:i/>
        </w:rPr>
        <w:t xml:space="preserve"> </w:t>
      </w:r>
      <w:r w:rsidR="00E22C88">
        <w:rPr>
          <w:i/>
        </w:rPr>
        <w:t xml:space="preserve">in favour of Crown </w:t>
      </w:r>
      <w:r w:rsidR="004A742B">
        <w:rPr>
          <w:i/>
        </w:rPr>
        <w:t xml:space="preserve">for payment of all amounts of tax collected by tax debtor but not remitted to Crown </w:t>
      </w:r>
      <w:r w:rsidR="00DF72F2">
        <w:rPr>
          <w:i/>
        </w:rPr>
        <w:t>—</w:t>
      </w:r>
      <w:r w:rsidR="004A742B">
        <w:rPr>
          <w:i/>
        </w:rPr>
        <w:t xml:space="preserve"> </w:t>
      </w:r>
      <w:r w:rsidR="002432D4">
        <w:rPr>
          <w:i/>
        </w:rPr>
        <w:t xml:space="preserve">Statute also </w:t>
      </w:r>
      <w:r w:rsidR="00D66F00">
        <w:rPr>
          <w:i/>
        </w:rPr>
        <w:t>providing</w:t>
      </w:r>
      <w:r w:rsidR="007971C3">
        <w:rPr>
          <w:i/>
        </w:rPr>
        <w:t xml:space="preserve"> </w:t>
      </w:r>
      <w:r w:rsidR="006C3C86">
        <w:rPr>
          <w:i/>
        </w:rPr>
        <w:t xml:space="preserve">that after tax debtor becomes bankrupt, </w:t>
      </w:r>
      <w:r w:rsidR="00912006">
        <w:rPr>
          <w:i/>
        </w:rPr>
        <w:t>deemed trust does not apply</w:t>
      </w:r>
      <w:r w:rsidR="006C3C86">
        <w:rPr>
          <w:i/>
        </w:rPr>
        <w:t xml:space="preserve"> </w:t>
      </w:r>
      <w:r w:rsidR="0058144B">
        <w:rPr>
          <w:i/>
        </w:rPr>
        <w:t>to</w:t>
      </w:r>
      <w:r w:rsidR="004A742B">
        <w:rPr>
          <w:i/>
        </w:rPr>
        <w:t xml:space="preserve"> amounts that were collected or became collectible by ta</w:t>
      </w:r>
      <w:r w:rsidR="00461C02">
        <w:rPr>
          <w:i/>
        </w:rPr>
        <w:t xml:space="preserve">x debtor prior to bankruptcy </w:t>
      </w:r>
      <w:r w:rsidR="00DF72F2">
        <w:rPr>
          <w:i/>
        </w:rPr>
        <w:t>—</w:t>
      </w:r>
      <w:r w:rsidR="00461C02">
        <w:rPr>
          <w:i/>
        </w:rPr>
        <w:t xml:space="preserve"> </w:t>
      </w:r>
      <w:r w:rsidR="004A742B">
        <w:rPr>
          <w:i/>
        </w:rPr>
        <w:t>Tax d</w:t>
      </w:r>
      <w:r w:rsidR="004E4141">
        <w:rPr>
          <w:i/>
        </w:rPr>
        <w:t xml:space="preserve">ebtor failing to remit </w:t>
      </w:r>
      <w:r w:rsidR="002432D4">
        <w:rPr>
          <w:i/>
        </w:rPr>
        <w:t xml:space="preserve">collected </w:t>
      </w:r>
      <w:r w:rsidR="00B423C0">
        <w:rPr>
          <w:i/>
        </w:rPr>
        <w:t>harmonized sales tax and g</w:t>
      </w:r>
      <w:r w:rsidR="002432D4">
        <w:rPr>
          <w:i/>
        </w:rPr>
        <w:t xml:space="preserve">oods and services tax </w:t>
      </w:r>
      <w:r w:rsidR="00DF72F2">
        <w:rPr>
          <w:i/>
        </w:rPr>
        <w:t>—</w:t>
      </w:r>
      <w:r w:rsidR="00F84434">
        <w:rPr>
          <w:i/>
        </w:rPr>
        <w:t xml:space="preserve"> </w:t>
      </w:r>
      <w:r w:rsidR="004E4141">
        <w:rPr>
          <w:i/>
        </w:rPr>
        <w:t>Crown seeking payment of unremitted tax</w:t>
      </w:r>
      <w:r w:rsidR="00F84434">
        <w:rPr>
          <w:i/>
        </w:rPr>
        <w:t xml:space="preserve"> from </w:t>
      </w:r>
      <w:r w:rsidR="004E4141">
        <w:rPr>
          <w:i/>
        </w:rPr>
        <w:t xml:space="preserve">tax debtor’s secured </w:t>
      </w:r>
      <w:r w:rsidR="00F84434">
        <w:rPr>
          <w:i/>
        </w:rPr>
        <w:t>creditor</w:t>
      </w:r>
      <w:r w:rsidR="009564D9">
        <w:rPr>
          <w:i/>
        </w:rPr>
        <w:t xml:space="preserve"> on basis of</w:t>
      </w:r>
      <w:r w:rsidR="002432D4">
        <w:rPr>
          <w:i/>
        </w:rPr>
        <w:t xml:space="preserve"> </w:t>
      </w:r>
      <w:r w:rsidR="004E4141">
        <w:rPr>
          <w:i/>
        </w:rPr>
        <w:t xml:space="preserve">statutory </w:t>
      </w:r>
      <w:r w:rsidR="002432D4">
        <w:rPr>
          <w:i/>
        </w:rPr>
        <w:t>deemed trust</w:t>
      </w:r>
      <w:r w:rsidR="00F84434">
        <w:rPr>
          <w:i/>
        </w:rPr>
        <w:t xml:space="preserve"> </w:t>
      </w:r>
      <w:r w:rsidR="009564D9">
        <w:rPr>
          <w:i/>
        </w:rPr>
        <w:t xml:space="preserve">mechanism </w:t>
      </w:r>
      <w:r w:rsidR="00DF72F2">
        <w:rPr>
          <w:i/>
        </w:rPr>
        <w:t>—</w:t>
      </w:r>
      <w:r w:rsidR="00F84434">
        <w:rPr>
          <w:i/>
        </w:rPr>
        <w:t xml:space="preserve"> </w:t>
      </w:r>
      <w:r w:rsidR="002432D4">
        <w:rPr>
          <w:i/>
        </w:rPr>
        <w:t xml:space="preserve">Tax debtor </w:t>
      </w:r>
      <w:r w:rsidR="00F84434">
        <w:rPr>
          <w:i/>
        </w:rPr>
        <w:t xml:space="preserve">making assignment in bankruptcy </w:t>
      </w:r>
      <w:r w:rsidR="00DF72F2">
        <w:rPr>
          <w:i/>
        </w:rPr>
        <w:t>—</w:t>
      </w:r>
      <w:r w:rsidR="00752C02">
        <w:rPr>
          <w:i/>
        </w:rPr>
        <w:t xml:space="preserve"> Crown commencing action</w:t>
      </w:r>
      <w:r w:rsidR="004A742B">
        <w:rPr>
          <w:i/>
        </w:rPr>
        <w:t xml:space="preserve"> against creditor for </w:t>
      </w:r>
      <w:r w:rsidR="00C00298">
        <w:rPr>
          <w:i/>
        </w:rPr>
        <w:t xml:space="preserve">recovery of </w:t>
      </w:r>
      <w:r w:rsidR="00752C02">
        <w:rPr>
          <w:i/>
        </w:rPr>
        <w:t xml:space="preserve">unremitted tax </w:t>
      </w:r>
      <w:r w:rsidR="00DF72F2">
        <w:rPr>
          <w:i/>
        </w:rPr>
        <w:t>—</w:t>
      </w:r>
      <w:r w:rsidR="007971C3">
        <w:rPr>
          <w:i/>
        </w:rPr>
        <w:t xml:space="preserve"> Cr</w:t>
      </w:r>
      <w:r w:rsidR="004A742B">
        <w:rPr>
          <w:i/>
        </w:rPr>
        <w:t xml:space="preserve">editor </w:t>
      </w:r>
      <w:r w:rsidR="002432D4">
        <w:rPr>
          <w:i/>
        </w:rPr>
        <w:t>bringing motion</w:t>
      </w:r>
      <w:r w:rsidR="007971C3">
        <w:rPr>
          <w:i/>
        </w:rPr>
        <w:t xml:space="preserve"> </w:t>
      </w:r>
      <w:r w:rsidR="00752C02">
        <w:rPr>
          <w:i/>
        </w:rPr>
        <w:t xml:space="preserve">on consent </w:t>
      </w:r>
      <w:r w:rsidR="007971C3">
        <w:rPr>
          <w:i/>
        </w:rPr>
        <w:t xml:space="preserve">for determination of question of law </w:t>
      </w:r>
      <w:r w:rsidR="00DF72F2">
        <w:rPr>
          <w:i/>
        </w:rPr>
        <w:t>—</w:t>
      </w:r>
      <w:r w:rsidR="007971C3">
        <w:rPr>
          <w:i/>
        </w:rPr>
        <w:t xml:space="preserve"> Federa</w:t>
      </w:r>
      <w:r w:rsidR="004A742B">
        <w:rPr>
          <w:i/>
        </w:rPr>
        <w:t xml:space="preserve">l Court </w:t>
      </w:r>
      <w:r w:rsidR="007971C3">
        <w:rPr>
          <w:i/>
        </w:rPr>
        <w:t xml:space="preserve">holding that </w:t>
      </w:r>
      <w:r w:rsidR="00461C02">
        <w:rPr>
          <w:i/>
        </w:rPr>
        <w:t xml:space="preserve">bankruptcy of tax debtor and application of statute render deemed trust </w:t>
      </w:r>
      <w:r w:rsidR="004A742B">
        <w:rPr>
          <w:i/>
        </w:rPr>
        <w:t xml:space="preserve">ineffective </w:t>
      </w:r>
      <w:r w:rsidR="00461C02">
        <w:rPr>
          <w:i/>
        </w:rPr>
        <w:t>as against secured creditor who received</w:t>
      </w:r>
      <w:r w:rsidR="00DF72F2">
        <w:rPr>
          <w:i/>
        </w:rPr>
        <w:t>,</w:t>
      </w:r>
      <w:r w:rsidR="00461C02">
        <w:rPr>
          <w:i/>
        </w:rPr>
        <w:t xml:space="preserve"> </w:t>
      </w:r>
      <w:r w:rsidR="00DF72F2">
        <w:rPr>
          <w:i/>
        </w:rPr>
        <w:t xml:space="preserve">prior to the bankruptcy, </w:t>
      </w:r>
      <w:r w:rsidR="00461C02">
        <w:rPr>
          <w:i/>
        </w:rPr>
        <w:t>proceeds from the assets of the tax debtor that were deemed to be held in trust</w:t>
      </w:r>
      <w:r w:rsidR="00C00298">
        <w:rPr>
          <w:i/>
        </w:rPr>
        <w:t xml:space="preserve"> for the Crown</w:t>
      </w:r>
      <w:r w:rsidR="00DF72F2">
        <w:rPr>
          <w:i/>
        </w:rPr>
        <w:t xml:space="preserve"> —</w:t>
      </w:r>
      <w:r w:rsidR="00461C02">
        <w:rPr>
          <w:i/>
        </w:rPr>
        <w:t xml:space="preserve"> Majority of Court of </w:t>
      </w:r>
      <w:r w:rsidR="007971C3">
        <w:rPr>
          <w:i/>
        </w:rPr>
        <w:t>Appeal setting aside determination</w:t>
      </w:r>
      <w:r w:rsidR="00461C02">
        <w:rPr>
          <w:i/>
        </w:rPr>
        <w:t xml:space="preserve"> </w:t>
      </w:r>
      <w:r w:rsidR="00DF72F2">
        <w:rPr>
          <w:i/>
        </w:rPr>
        <w:t>—</w:t>
      </w:r>
      <w:r w:rsidR="00461C02">
        <w:rPr>
          <w:i/>
        </w:rPr>
        <w:t xml:space="preserve"> Federal Court order reinstated </w:t>
      </w:r>
      <w:r w:rsidR="00DF72F2">
        <w:rPr>
          <w:i/>
        </w:rPr>
        <w:t>—</w:t>
      </w:r>
      <w:r w:rsidR="00461C02">
        <w:rPr>
          <w:i/>
        </w:rPr>
        <w:t xml:space="preserve"> </w:t>
      </w:r>
      <w:r w:rsidR="00B423C0">
        <w:rPr>
          <w:i/>
        </w:rPr>
        <w:t>Excise</w:t>
      </w:r>
      <w:r w:rsidR="00461C02">
        <w:rPr>
          <w:i/>
        </w:rPr>
        <w:t xml:space="preserve"> </w:t>
      </w:r>
      <w:r w:rsidR="00B423C0">
        <w:rPr>
          <w:i/>
        </w:rPr>
        <w:t>Tax Act, R.S.C. 1985, c. E-15, s. 222.</w:t>
      </w:r>
    </w:p>
    <w:p w:rsidR="00A8637B" w:rsidRPr="009F3651" w:rsidRDefault="00A8637B" w:rsidP="0067286A">
      <w:pPr>
        <w:pStyle w:val="SCCNormalDoubleSpacing"/>
        <w:rPr>
          <w:lang w:val="en-US"/>
        </w:rPr>
      </w:pPr>
    </w:p>
    <w:p w:rsidR="00A8637B" w:rsidRDefault="00A8637B" w:rsidP="00A8637B">
      <w:pPr>
        <w:pStyle w:val="SCCNormalDoubleSpacing"/>
        <w:spacing w:line="240" w:lineRule="auto"/>
      </w:pPr>
      <w:r w:rsidRPr="00314E01">
        <w:rPr>
          <w:b/>
        </w:rPr>
        <w:t>Statutes and Regulations Cite</w:t>
      </w:r>
      <w:r>
        <w:rPr>
          <w:b/>
        </w:rPr>
        <w:t>d</w:t>
      </w:r>
    </w:p>
    <w:p w:rsidR="00A8637B" w:rsidRDefault="00A8637B" w:rsidP="00A8637B">
      <w:pPr>
        <w:pStyle w:val="SCCNormalDoubleSpacing"/>
        <w:spacing w:line="240" w:lineRule="auto"/>
        <w:ind w:left="540" w:hanging="540"/>
      </w:pPr>
    </w:p>
    <w:p w:rsidR="003F490B" w:rsidRDefault="003F490B" w:rsidP="00A8637B">
      <w:pPr>
        <w:pStyle w:val="SCCNormalDoubleSpacing"/>
        <w:spacing w:line="240" w:lineRule="auto"/>
        <w:ind w:left="540" w:hanging="540"/>
      </w:pPr>
    </w:p>
    <w:p w:rsidR="00A8637B" w:rsidRDefault="003F490B" w:rsidP="00A8637B">
      <w:pPr>
        <w:pStyle w:val="SCCNormalDoubleSpacing"/>
        <w:spacing w:line="240" w:lineRule="auto"/>
        <w:ind w:left="540" w:hanging="540"/>
      </w:pPr>
      <w:r w:rsidRPr="00591345">
        <w:rPr>
          <w:i/>
        </w:rPr>
        <w:t>Excise Tax Act</w:t>
      </w:r>
      <w:r w:rsidRPr="003C055D">
        <w:t>, R.S.C. 1985, c. E-15</w:t>
      </w:r>
      <w:r w:rsidR="00685631">
        <w:t>, s. 2</w:t>
      </w:r>
      <w:r>
        <w:t>22.</w:t>
      </w:r>
    </w:p>
    <w:p w:rsidR="00A8637B" w:rsidRDefault="00A8637B" w:rsidP="00A8637B">
      <w:pPr>
        <w:pStyle w:val="SCCNormalDoubleSpacing"/>
        <w:spacing w:line="240" w:lineRule="auto"/>
        <w:ind w:left="540" w:hanging="540"/>
      </w:pPr>
    </w:p>
    <w:p w:rsidR="003F490B" w:rsidRDefault="003F490B" w:rsidP="00A8637B">
      <w:pPr>
        <w:pStyle w:val="SCCNormalDoubleSpacing"/>
        <w:spacing w:line="240" w:lineRule="auto"/>
        <w:ind w:left="540" w:hanging="540"/>
      </w:pPr>
    </w:p>
    <w:p w:rsidR="00A8637B" w:rsidRDefault="00A8637B" w:rsidP="00A8637B">
      <w:pPr>
        <w:pStyle w:val="SCCNormalDoubleSpacing"/>
        <w:spacing w:line="240" w:lineRule="auto"/>
        <w:ind w:left="540" w:hanging="540"/>
      </w:pPr>
    </w:p>
    <w:p w:rsidR="00A8637B" w:rsidRDefault="00A8637B" w:rsidP="00A8637B">
      <w:pPr>
        <w:pStyle w:val="SCCNormalDoubleSpacing"/>
      </w:pPr>
      <w:r w:rsidRPr="001426A9">
        <w:tab/>
        <w:t xml:space="preserve">APPEAL from a judgment of the </w:t>
      </w:r>
      <w:r>
        <w:t>Federal Court of Appeal</w:t>
      </w:r>
      <w:r w:rsidR="004B3486">
        <w:t xml:space="preserve"> (Pelletier, Near and Rennie JJ.A.)</w:t>
      </w:r>
      <w:r w:rsidR="00B113D3">
        <w:t xml:space="preserve">, </w:t>
      </w:r>
      <w:r w:rsidR="00B113D3" w:rsidRPr="00B113D3">
        <w:rPr>
          <w:lang w:val="en-US"/>
        </w:rPr>
        <w:t xml:space="preserve">2017 FCA 162, 414 D.L.R. (4th) 132, </w:t>
      </w:r>
      <w:r w:rsidR="009F3651" w:rsidRPr="00B113D3">
        <w:rPr>
          <w:lang w:val="en-US"/>
        </w:rPr>
        <w:t xml:space="preserve">51 C.B.R. </w:t>
      </w:r>
      <w:r w:rsidR="009F3651">
        <w:rPr>
          <w:lang w:val="en-US"/>
        </w:rPr>
        <w:t>(6th) 15,</w:t>
      </w:r>
      <w:r w:rsidR="00B90C0C">
        <w:rPr>
          <w:lang w:val="en-US"/>
        </w:rPr>
        <w:t xml:space="preserve"> </w:t>
      </w:r>
      <w:r w:rsidR="00B90C0C" w:rsidRPr="00B113D3">
        <w:rPr>
          <w:lang w:val="en-US"/>
        </w:rPr>
        <w:t>37 E.T.R. (4th) 177,</w:t>
      </w:r>
      <w:r w:rsidR="00B113D3" w:rsidRPr="00B113D3">
        <w:rPr>
          <w:lang w:val="en-US"/>
        </w:rPr>
        <w:t xml:space="preserve"> </w:t>
      </w:r>
      <w:r w:rsidR="009F3651" w:rsidRPr="00B113D3">
        <w:rPr>
          <w:lang w:val="en-US"/>
        </w:rPr>
        <w:t xml:space="preserve">[2017] G.S.T.C. 60, </w:t>
      </w:r>
      <w:r w:rsidR="00B113D3" w:rsidRPr="00B113D3">
        <w:rPr>
          <w:lang w:val="en-US"/>
        </w:rPr>
        <w:t xml:space="preserve">8 P.P.S.A.C. (4th) 1, [2017] </w:t>
      </w:r>
      <w:r w:rsidR="00B113D3">
        <w:rPr>
          <w:lang w:val="en-US"/>
        </w:rPr>
        <w:t xml:space="preserve">F.C.J. No. </w:t>
      </w:r>
      <w:r w:rsidR="00B113D3" w:rsidRPr="00B113D3">
        <w:rPr>
          <w:lang w:val="en-US"/>
        </w:rPr>
        <w:t>767 (QL), 2017 CarswellNat 3599 (WL Can.)</w:t>
      </w:r>
      <w:r w:rsidR="00FE4C1C">
        <w:t>, setting aside a decision of McVeigh J., 2015 FC 977, 28 C.B.R. (6</w:t>
      </w:r>
      <w:r w:rsidR="00FE4C1C" w:rsidRPr="00FE4C1C">
        <w:t>th</w:t>
      </w:r>
      <w:r w:rsidR="00FE4C1C">
        <w:t xml:space="preserve">) 209, </w:t>
      </w:r>
      <w:r w:rsidR="009F3651">
        <w:t>13 E.T.R. (4</w:t>
      </w:r>
      <w:r w:rsidR="009F3651" w:rsidRPr="00FE4C1C">
        <w:t>th</w:t>
      </w:r>
      <w:r w:rsidR="009F3651">
        <w:t xml:space="preserve">) 43, </w:t>
      </w:r>
      <w:r w:rsidR="00FE4C1C">
        <w:t>[2015] G.S.T.C. 105, 5 P.P.S.A.C. (4</w:t>
      </w:r>
      <w:r w:rsidR="00FE4C1C" w:rsidRPr="00FE4C1C">
        <w:t>th</w:t>
      </w:r>
      <w:r w:rsidR="00FE4C1C">
        <w:t xml:space="preserve">) 29, </w:t>
      </w:r>
      <w:r w:rsidR="003E6428">
        <w:t xml:space="preserve">[2015] F.C.J. No. 1111 (QL), </w:t>
      </w:r>
      <w:r w:rsidR="00DA56F6">
        <w:t>20</w:t>
      </w:r>
      <w:r w:rsidR="004A6ABB">
        <w:t xml:space="preserve">15 CarswellNat 4410 (WL Can.). </w:t>
      </w:r>
      <w:r w:rsidR="00DA56F6">
        <w:t>A</w:t>
      </w:r>
      <w:r w:rsidR="003F490B">
        <w:t>ppeal allowed</w:t>
      </w:r>
      <w:r w:rsidR="00DA56F6">
        <w:t>.</w:t>
      </w:r>
    </w:p>
    <w:p w:rsidR="00A8637B" w:rsidRDefault="00A8637B" w:rsidP="00A8637B">
      <w:pPr>
        <w:pStyle w:val="SCCNormalDoubleSpacing"/>
      </w:pPr>
    </w:p>
    <w:p w:rsidR="00A8637B" w:rsidRDefault="00A8637B" w:rsidP="00A8637B">
      <w:pPr>
        <w:pStyle w:val="SCCNormalDoubleSpacing"/>
      </w:pPr>
      <w:r>
        <w:rPr>
          <w:rStyle w:val="SCCCounselNameChar"/>
        </w:rPr>
        <w:lastRenderedPageBreak/>
        <w:tab/>
        <w:t>Harvey G. Chaiton</w:t>
      </w:r>
      <w:r>
        <w:rPr>
          <w:rStyle w:val="SCCCounselSeparatorChar"/>
        </w:rPr>
        <w:t xml:space="preserve"> and </w:t>
      </w:r>
      <w:r>
        <w:rPr>
          <w:rStyle w:val="SCCCounselNameChar"/>
        </w:rPr>
        <w:t>Sam Rappos</w:t>
      </w:r>
      <w:r>
        <w:rPr>
          <w:rStyle w:val="SCCCounselPartyRoleChar"/>
        </w:rPr>
        <w:t>, for the appellant.</w:t>
      </w:r>
    </w:p>
    <w:p w:rsidR="00A8637B" w:rsidRDefault="00A8637B" w:rsidP="00A8637B">
      <w:pPr>
        <w:pStyle w:val="SCCNormalDoubleSpacing"/>
      </w:pPr>
    </w:p>
    <w:p w:rsidR="00A8637B" w:rsidRDefault="00A8637B" w:rsidP="00A8637B">
      <w:pPr>
        <w:pStyle w:val="SCCNormalDoubleSpacing"/>
      </w:pPr>
      <w:r>
        <w:rPr>
          <w:rStyle w:val="SCCCounselNameChar"/>
        </w:rPr>
        <w:tab/>
        <w:t>Michael Taylor</w:t>
      </w:r>
      <w:r>
        <w:rPr>
          <w:rStyle w:val="SCCCounselSeparatorChar"/>
        </w:rPr>
        <w:t xml:space="preserve"> and </w:t>
      </w:r>
      <w:r w:rsidR="000E1BF8">
        <w:rPr>
          <w:rStyle w:val="SCCCounselNameChar"/>
        </w:rPr>
        <w:t>Louis L’</w:t>
      </w:r>
      <w:r>
        <w:rPr>
          <w:rStyle w:val="SCCCounselNameChar"/>
        </w:rPr>
        <w:t>Heureux</w:t>
      </w:r>
      <w:r>
        <w:rPr>
          <w:rStyle w:val="SCCCounselPartyRoleChar"/>
        </w:rPr>
        <w:t>, for the respondent.</w:t>
      </w:r>
    </w:p>
    <w:p w:rsidR="00A8637B" w:rsidRDefault="00A8637B" w:rsidP="00A8637B">
      <w:pPr>
        <w:pStyle w:val="SCCNormalDoubleSpacing"/>
      </w:pPr>
    </w:p>
    <w:p w:rsidR="00A8637B" w:rsidRDefault="00A8637B" w:rsidP="00A8637B">
      <w:pPr>
        <w:pStyle w:val="SCCNormalDoubleSpacing"/>
      </w:pPr>
      <w:r>
        <w:rPr>
          <w:rStyle w:val="SCCCounselNameChar"/>
        </w:rPr>
        <w:tab/>
        <w:t>Grant B. Moffat</w:t>
      </w:r>
      <w:r>
        <w:rPr>
          <w:rStyle w:val="SCCCounselSeparatorChar"/>
        </w:rPr>
        <w:t xml:space="preserve"> and </w:t>
      </w:r>
      <w:r w:rsidR="00D276C8">
        <w:rPr>
          <w:rStyle w:val="SCCCounselNameChar"/>
        </w:rPr>
        <w:t>D.</w:t>
      </w:r>
      <w:r w:rsidR="003D0B00">
        <w:rPr>
          <w:rStyle w:val="SCCCounselNameChar"/>
        </w:rPr>
        <w:t xml:space="preserve"> </w:t>
      </w:r>
      <w:r w:rsidR="00D276C8">
        <w:rPr>
          <w:rStyle w:val="SCCCounselNameChar"/>
        </w:rPr>
        <w:t>J. Mi</w:t>
      </w:r>
      <w:r>
        <w:rPr>
          <w:rStyle w:val="SCCCounselNameChar"/>
        </w:rPr>
        <w:t>ller</w:t>
      </w:r>
      <w:r>
        <w:rPr>
          <w:rStyle w:val="SCCCounselPartyRoleChar"/>
        </w:rPr>
        <w:t>, for the intervener</w:t>
      </w:r>
      <w:r w:rsidR="000E1BF8">
        <w:rPr>
          <w:rStyle w:val="SCCCounselPartyRoleChar"/>
        </w:rPr>
        <w:t xml:space="preserve"> the</w:t>
      </w:r>
      <w:r>
        <w:rPr>
          <w:rStyle w:val="SCCCounselPartyRoleChar"/>
        </w:rPr>
        <w:t xml:space="preserve"> Insolvency Institute of Canada.</w:t>
      </w:r>
    </w:p>
    <w:p w:rsidR="00A8637B" w:rsidRDefault="00A8637B" w:rsidP="00A8637B">
      <w:pPr>
        <w:pStyle w:val="SCCNormalDoubleSpacing"/>
      </w:pPr>
    </w:p>
    <w:p w:rsidR="00A8637B" w:rsidRDefault="00A8637B" w:rsidP="00A8637B">
      <w:pPr>
        <w:pStyle w:val="SCCNormalDoubleSpacing"/>
      </w:pPr>
      <w:r>
        <w:rPr>
          <w:rStyle w:val="SCCCounselNameChar"/>
        </w:rPr>
        <w:tab/>
        <w:t>Éric Vallières</w:t>
      </w:r>
      <w:r w:rsidR="000E1BF8">
        <w:rPr>
          <w:rStyle w:val="SCCCounselSeparatorChar"/>
        </w:rPr>
        <w:t xml:space="preserve"> and</w:t>
      </w:r>
      <w:r>
        <w:rPr>
          <w:rStyle w:val="SCCCounselSeparatorChar"/>
        </w:rPr>
        <w:t xml:space="preserve"> </w:t>
      </w:r>
      <w:r>
        <w:rPr>
          <w:rStyle w:val="SCCCounselNameChar"/>
        </w:rPr>
        <w:t>Michael J. Hanlon</w:t>
      </w:r>
      <w:r>
        <w:rPr>
          <w:rStyle w:val="SCCCounselPartyRoleChar"/>
        </w:rPr>
        <w:t>, for the intervener</w:t>
      </w:r>
      <w:r w:rsidR="000E1BF8">
        <w:rPr>
          <w:rStyle w:val="SCCCounselPartyRoleChar"/>
        </w:rPr>
        <w:t xml:space="preserve"> the</w:t>
      </w:r>
      <w:r>
        <w:rPr>
          <w:rStyle w:val="SCCCounselPartyRoleChar"/>
        </w:rPr>
        <w:t xml:space="preserve"> Canadian Association of Insolvency and Restructuring Professionals.</w:t>
      </w:r>
    </w:p>
    <w:p w:rsidR="00A8637B" w:rsidRDefault="00A8637B" w:rsidP="00A8637B">
      <w:pPr>
        <w:pStyle w:val="SCCNormalDoubleSpacing"/>
      </w:pPr>
    </w:p>
    <w:p w:rsidR="00A8637B" w:rsidRDefault="00A8637B" w:rsidP="00A8637B">
      <w:pPr>
        <w:pStyle w:val="SCCNormalDoubleSpacing"/>
      </w:pPr>
      <w:r>
        <w:rPr>
          <w:rStyle w:val="SCCCounselNameChar"/>
        </w:rPr>
        <w:tab/>
        <w:t>Philippe H. Bélanger</w:t>
      </w:r>
      <w:r>
        <w:rPr>
          <w:rStyle w:val="SCCCounselSeparatorChar"/>
        </w:rPr>
        <w:t xml:space="preserve">, </w:t>
      </w:r>
      <w:r>
        <w:rPr>
          <w:rStyle w:val="SCCCounselNameChar"/>
        </w:rPr>
        <w:t>Jocelyn Perreault</w:t>
      </w:r>
      <w:r>
        <w:rPr>
          <w:rStyle w:val="SCCCounselSeparatorChar"/>
        </w:rPr>
        <w:t xml:space="preserve"> and </w:t>
      </w:r>
      <w:r>
        <w:rPr>
          <w:rStyle w:val="SCCCounselNameChar"/>
        </w:rPr>
        <w:t>Pascale Klees-Themens</w:t>
      </w:r>
      <w:r>
        <w:rPr>
          <w:rStyle w:val="SCCCounselPartyRoleChar"/>
        </w:rPr>
        <w:t xml:space="preserve">, for the intervener </w:t>
      </w:r>
      <w:r w:rsidR="000E1BF8">
        <w:rPr>
          <w:rStyle w:val="SCCCounselPartyRoleChar"/>
        </w:rPr>
        <w:t xml:space="preserve">the </w:t>
      </w:r>
      <w:r>
        <w:rPr>
          <w:rStyle w:val="SCCCounselPartyRoleChar"/>
        </w:rPr>
        <w:t>Canadian Bankers’ Association.</w:t>
      </w:r>
    </w:p>
    <w:p w:rsidR="00A8637B" w:rsidRDefault="00A8637B" w:rsidP="00A8637B">
      <w:pPr>
        <w:pStyle w:val="SCCNormalDoubleSpacing"/>
      </w:pPr>
    </w:p>
    <w:p w:rsidR="00591345" w:rsidRDefault="004007BB" w:rsidP="00591345">
      <w:pPr>
        <w:pStyle w:val="SCCNormalDoubleSpacing"/>
        <w:rPr>
          <w:rStyle w:val="SCCCounselPartyRoleChar"/>
        </w:rPr>
      </w:pPr>
      <w:r>
        <w:tab/>
        <w:t>The judgment of the Court was delivered orally by</w:t>
      </w:r>
    </w:p>
    <w:p w:rsidR="00591345" w:rsidRDefault="004007BB" w:rsidP="00591345">
      <w:pPr>
        <w:pStyle w:val="SCCNormalDoubleSpacing"/>
        <w:numPr>
          <w:ilvl w:val="0"/>
          <w:numId w:val="1"/>
        </w:numPr>
        <w:spacing w:before="480" w:after="480"/>
        <w:ind w:left="0" w:firstLine="0"/>
        <w:rPr>
          <w:rStyle w:val="SCCCounselPartyRoleChar"/>
        </w:rPr>
      </w:pPr>
      <w:r w:rsidRPr="00591345">
        <w:rPr>
          <w:smallCaps/>
        </w:rPr>
        <w:t>Gascon J.</w:t>
      </w:r>
      <w:r w:rsidRPr="003D0D6F">
        <w:t xml:space="preserve"> </w:t>
      </w:r>
      <w:r w:rsidRPr="00591345">
        <w:t>—</w:t>
      </w:r>
      <w:r w:rsidRPr="003D0D6F">
        <w:t xml:space="preserve"> </w:t>
      </w:r>
      <w:r w:rsidRPr="001C2C45">
        <w:t xml:space="preserve">We would allow the appeal for the reasons of the dissenting judge in </w:t>
      </w:r>
      <w:r>
        <w:t xml:space="preserve">the Federal Court of Appeal, and </w:t>
      </w:r>
      <w:r w:rsidRPr="00591345">
        <w:rPr>
          <w:rStyle w:val="SCCCounselPartyRoleChar"/>
          <w:lang w:val="en-US"/>
        </w:rPr>
        <w:t>reinstate</w:t>
      </w:r>
      <w:r>
        <w:t xml:space="preserve"> the order of Justice McVeigh of the Federal Court that answered in the affirmative the question of law submitted by the parties, with costs throughout in favo</w:t>
      </w:r>
      <w:r w:rsidRPr="003C055D">
        <w:t>u</w:t>
      </w:r>
      <w:r>
        <w:t>r of Callidus Capital Corporation.</w:t>
      </w:r>
    </w:p>
    <w:p w:rsidR="004007BB" w:rsidRDefault="004007BB" w:rsidP="003F490B">
      <w:pPr>
        <w:pStyle w:val="SCCNormalDoubleSpacing"/>
        <w:numPr>
          <w:ilvl w:val="0"/>
          <w:numId w:val="1"/>
        </w:numPr>
        <w:spacing w:before="240" w:after="240"/>
        <w:ind w:left="0" w:firstLine="0"/>
      </w:pPr>
      <w:r>
        <w:t>The question of law at issue was formulated as follows and assumed the existence of a pre</w:t>
      </w:r>
      <w:r w:rsidRPr="003C055D">
        <w:t>-</w:t>
      </w:r>
      <w:r>
        <w:t xml:space="preserve">bankruptcy liability under s. 222 of the </w:t>
      </w:r>
      <w:r w:rsidRPr="00591345">
        <w:rPr>
          <w:i/>
        </w:rPr>
        <w:t>Excise Tax Act</w:t>
      </w:r>
      <w:r w:rsidRPr="003C055D">
        <w:t>, R.S.C. 1985, c. E-15 (“</w:t>
      </w:r>
      <w:r w:rsidRPr="00591345">
        <w:rPr>
          <w:i/>
        </w:rPr>
        <w:t>ETA</w:t>
      </w:r>
      <w:r w:rsidRPr="003C055D">
        <w:t>”)</w:t>
      </w:r>
      <w:r>
        <w:t>:</w:t>
      </w:r>
    </w:p>
    <w:p w:rsidR="004007BB" w:rsidRPr="0016232C" w:rsidRDefault="004007BB" w:rsidP="003F490B">
      <w:pPr>
        <w:ind w:left="1170"/>
        <w:jc w:val="both"/>
        <w:rPr>
          <w:szCs w:val="24"/>
        </w:rPr>
      </w:pPr>
      <w:r w:rsidRPr="0016232C">
        <w:rPr>
          <w:szCs w:val="24"/>
        </w:rPr>
        <w:t>Does the bankruptcy of a tax debtor and subs</w:t>
      </w:r>
      <w:r w:rsidR="008A02E7">
        <w:rPr>
          <w:szCs w:val="24"/>
        </w:rPr>
        <w:t>.</w:t>
      </w:r>
      <w:r w:rsidR="00166102">
        <w:rPr>
          <w:szCs w:val="24"/>
        </w:rPr>
        <w:t xml:space="preserve"> </w:t>
      </w:r>
      <w:r w:rsidR="00F040C7">
        <w:rPr>
          <w:szCs w:val="24"/>
        </w:rPr>
        <w:t xml:space="preserve">222(1.1) of the </w:t>
      </w:r>
      <w:r w:rsidR="001721F9">
        <w:rPr>
          <w:szCs w:val="24"/>
        </w:rPr>
        <w:t>[</w:t>
      </w:r>
      <w:r w:rsidRPr="0016232C">
        <w:rPr>
          <w:i/>
          <w:szCs w:val="24"/>
        </w:rPr>
        <w:t>ETA</w:t>
      </w:r>
      <w:r w:rsidR="001721F9" w:rsidRPr="001721F9">
        <w:rPr>
          <w:szCs w:val="24"/>
        </w:rPr>
        <w:t>]</w:t>
      </w:r>
      <w:r w:rsidRPr="001721F9">
        <w:rPr>
          <w:szCs w:val="24"/>
        </w:rPr>
        <w:t xml:space="preserve"> </w:t>
      </w:r>
      <w:r w:rsidRPr="0016232C">
        <w:rPr>
          <w:szCs w:val="24"/>
        </w:rPr>
        <w:t>render the deemed trust under s</w:t>
      </w:r>
      <w:r w:rsidR="008A02E7">
        <w:rPr>
          <w:szCs w:val="24"/>
        </w:rPr>
        <w:t>.</w:t>
      </w:r>
      <w:r w:rsidR="00F040C7">
        <w:rPr>
          <w:szCs w:val="24"/>
        </w:rPr>
        <w:t xml:space="preserve"> </w:t>
      </w:r>
      <w:r w:rsidRPr="0016232C">
        <w:rPr>
          <w:szCs w:val="24"/>
        </w:rPr>
        <w:t xml:space="preserve">222 of the </w:t>
      </w:r>
      <w:r w:rsidRPr="0016232C">
        <w:rPr>
          <w:i/>
          <w:szCs w:val="24"/>
        </w:rPr>
        <w:t>ETA</w:t>
      </w:r>
      <w:r w:rsidRPr="0016232C">
        <w:rPr>
          <w:szCs w:val="24"/>
        </w:rPr>
        <w:t xml:space="preserve"> ineffective as against a secured </w:t>
      </w:r>
      <w:r w:rsidRPr="0016232C">
        <w:rPr>
          <w:szCs w:val="24"/>
        </w:rPr>
        <w:lastRenderedPageBreak/>
        <w:t>creditor who received, prior to the bankruptcy, proceeds from the assets of the tax debtor that were deemed to be held in trust</w:t>
      </w:r>
      <w:r w:rsidR="001721F9">
        <w:rPr>
          <w:szCs w:val="24"/>
        </w:rPr>
        <w:t xml:space="preserve"> for the Plaintiff</w:t>
      </w:r>
      <w:r w:rsidRPr="0016232C">
        <w:rPr>
          <w:szCs w:val="24"/>
        </w:rPr>
        <w:t>?</w:t>
      </w:r>
    </w:p>
    <w:p w:rsidR="00591345" w:rsidRDefault="004007BB" w:rsidP="00591345">
      <w:pPr>
        <w:pStyle w:val="SCCNormalDoubleSpacing"/>
        <w:numPr>
          <w:ilvl w:val="0"/>
          <w:numId w:val="1"/>
        </w:numPr>
        <w:spacing w:before="480" w:after="480"/>
        <w:ind w:left="0" w:firstLine="0"/>
      </w:pPr>
      <w:r w:rsidRPr="001617FF">
        <w:t>As</w:t>
      </w:r>
      <w:r>
        <w:t xml:space="preserve"> a result, as it is not necessary to do so to resolve this appeal, this Court is not commenting, one way </w:t>
      </w:r>
      <w:r w:rsidRPr="001617FF">
        <w:t>or</w:t>
      </w:r>
      <w:r>
        <w:t xml:space="preserve"> the other, on the scope of the deemed trust or any liability under s. 222 of the </w:t>
      </w:r>
      <w:r w:rsidRPr="00591345">
        <w:rPr>
          <w:i/>
        </w:rPr>
        <w:t>ETA</w:t>
      </w:r>
      <w:r>
        <w:t xml:space="preserve"> prior to bankruptcy.</w:t>
      </w:r>
    </w:p>
    <w:p w:rsidR="00591345" w:rsidRDefault="00591345" w:rsidP="00591345">
      <w:pPr>
        <w:pStyle w:val="SCCLawFirm"/>
      </w:pPr>
      <w:r>
        <w:tab/>
        <w:t>Judgment accordingly.</w:t>
      </w:r>
    </w:p>
    <w:p w:rsidR="00591345" w:rsidRPr="00591345" w:rsidRDefault="00591345" w:rsidP="00591345">
      <w:pPr>
        <w:pStyle w:val="SCCNormalDoubleSpacing"/>
      </w:pPr>
    </w:p>
    <w:p w:rsidR="00A8637B" w:rsidRDefault="00A8637B" w:rsidP="00A8637B">
      <w:pPr>
        <w:pStyle w:val="SCCLawFirm"/>
      </w:pPr>
      <w:r>
        <w:tab/>
        <w:t>Solicitor</w:t>
      </w:r>
      <w:r w:rsidR="00591345">
        <w:t xml:space="preserve">s </w:t>
      </w:r>
      <w:r w:rsidR="004A6ABB">
        <w:t xml:space="preserve">for the appellant: </w:t>
      </w:r>
      <w:r>
        <w:t>Chaitons, Toronto.</w:t>
      </w:r>
    </w:p>
    <w:p w:rsidR="00A8637B" w:rsidRDefault="00A8637B" w:rsidP="00A8637B">
      <w:pPr>
        <w:pStyle w:val="SCCLawFirm"/>
      </w:pPr>
    </w:p>
    <w:p w:rsidR="00A8637B" w:rsidRDefault="00A8637B" w:rsidP="00A8637B">
      <w:pPr>
        <w:pStyle w:val="SCCLawFirm"/>
      </w:pPr>
      <w:r>
        <w:tab/>
        <w:t>Solicitor</w:t>
      </w:r>
      <w:r w:rsidR="00591345">
        <w:t xml:space="preserve"> </w:t>
      </w:r>
      <w:r>
        <w:t>for the respondent: Attorney General of Canada, Vancouver.</w:t>
      </w:r>
    </w:p>
    <w:p w:rsidR="00A8637B" w:rsidRDefault="00A8637B" w:rsidP="00A8637B">
      <w:pPr>
        <w:pStyle w:val="SCCLawFirm"/>
      </w:pPr>
    </w:p>
    <w:p w:rsidR="00A8637B" w:rsidRDefault="00591345" w:rsidP="00A8637B">
      <w:pPr>
        <w:pStyle w:val="SCCLawFirm"/>
      </w:pPr>
      <w:r>
        <w:tab/>
        <w:t>Solicitor</w:t>
      </w:r>
      <w:r w:rsidR="003F490B">
        <w:t>s</w:t>
      </w:r>
      <w:r>
        <w:t xml:space="preserve"> </w:t>
      </w:r>
      <w:r w:rsidR="00A8637B">
        <w:t>for the intervener</w:t>
      </w:r>
      <w:r w:rsidR="00356FBF">
        <w:t xml:space="preserve"> the</w:t>
      </w:r>
      <w:r w:rsidR="00A8637B">
        <w:t xml:space="preserve"> Insolvency Institute of Cana</w:t>
      </w:r>
      <w:r>
        <w:t>da: Thornton Grout Finnigan</w:t>
      </w:r>
      <w:r w:rsidR="00A8637B">
        <w:t>, Toronto.</w:t>
      </w:r>
    </w:p>
    <w:p w:rsidR="00A8637B" w:rsidRDefault="00A8637B" w:rsidP="00A8637B">
      <w:pPr>
        <w:pStyle w:val="SCCLawFirm"/>
      </w:pPr>
    </w:p>
    <w:p w:rsidR="00A8637B" w:rsidRDefault="00A8637B" w:rsidP="00A8637B">
      <w:pPr>
        <w:pStyle w:val="SCCLawFirm"/>
      </w:pPr>
      <w:r>
        <w:tab/>
        <w:t>So</w:t>
      </w:r>
      <w:r w:rsidR="00591345">
        <w:t>licitors</w:t>
      </w:r>
      <w:r>
        <w:t xml:space="preserve"> for the intervener</w:t>
      </w:r>
      <w:r w:rsidR="00356FBF">
        <w:t xml:space="preserve"> the</w:t>
      </w:r>
      <w:r>
        <w:t xml:space="preserve"> Canadian Association of Insolvency and Restructur</w:t>
      </w:r>
      <w:r w:rsidR="00591345">
        <w:t>ing Professionals: McMillan</w:t>
      </w:r>
      <w:r>
        <w:t>, Montréal.</w:t>
      </w:r>
    </w:p>
    <w:p w:rsidR="00A8637B" w:rsidRDefault="00A8637B" w:rsidP="00A8637B">
      <w:pPr>
        <w:pStyle w:val="SCCLawFirm"/>
      </w:pPr>
    </w:p>
    <w:p w:rsidR="00A8637B" w:rsidRDefault="00591345" w:rsidP="00A8637B">
      <w:pPr>
        <w:pStyle w:val="SCCLawFirm"/>
      </w:pPr>
      <w:r>
        <w:tab/>
        <w:t>Solicitors</w:t>
      </w:r>
      <w:r w:rsidR="00A8637B">
        <w:t xml:space="preserve"> for the intervener </w:t>
      </w:r>
      <w:r w:rsidR="00356FBF">
        <w:t xml:space="preserve">the </w:t>
      </w:r>
      <w:r w:rsidR="00A8637B">
        <w:t>Canadian Bankers’ Ass</w:t>
      </w:r>
      <w:r w:rsidR="004A6ABB">
        <w:t xml:space="preserve">ociation: </w:t>
      </w:r>
      <w:r>
        <w:t>McCarthy Tétrault</w:t>
      </w:r>
      <w:r w:rsidR="00A8637B">
        <w:t>, Montréal.</w:t>
      </w:r>
    </w:p>
    <w:sectPr w:rsidR="00A8637B" w:rsidSect="000648CC">
      <w:pgSz w:w="12240" w:h="15840"/>
      <w:pgMar w:top="1267" w:right="2160" w:bottom="720" w:left="1800" w:header="180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29" w:rsidRDefault="001A0329">
      <w:r>
        <w:separator/>
      </w:r>
    </w:p>
  </w:endnote>
  <w:endnote w:type="continuationSeparator" w:id="0">
    <w:p w:rsidR="001A0329" w:rsidRDefault="001A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29" w:rsidRDefault="001A0329">
      <w:r>
        <w:separator/>
      </w:r>
    </w:p>
  </w:footnote>
  <w:footnote w:type="continuationSeparator" w:id="0">
    <w:p w:rsidR="001A0329" w:rsidRDefault="001A0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73636"/>
    <w:multiLevelType w:val="hybridMultilevel"/>
    <w:tmpl w:val="078CEF9C"/>
    <w:lvl w:ilvl="0" w:tplc="BD564518">
      <w:start w:val="1"/>
      <w:numFmt w:val="decimal"/>
      <w:lvlText w:val="[%1]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603130A"/>
    <w:multiLevelType w:val="multilevel"/>
    <w:tmpl w:val="57642F48"/>
    <w:lvl w:ilvl="0">
      <w:start w:val="1"/>
      <w:numFmt w:val="upperRoman"/>
      <w:pStyle w:val="Title1LevelTitre1Niveau-Alt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24"/>
      </w:rPr>
    </w:lvl>
    <w:lvl w:ilvl="1">
      <w:start w:val="1"/>
      <w:numFmt w:val="upperLetter"/>
      <w:pStyle w:val="Title2LevelTitre2Niveau"/>
      <w:lvlText w:val="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itle3LevelTitre3Niveau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Title4LevelTitre4Niveau"/>
      <w:lvlText w:val="(%4)"/>
      <w:lvlJc w:val="left"/>
      <w:pPr>
        <w:tabs>
          <w:tab w:val="num" w:pos="1152"/>
        </w:tabs>
        <w:ind w:left="1152" w:hanging="576"/>
      </w:pPr>
      <w:rPr>
        <w:rFonts w:hint="default"/>
        <w:b w:val="0"/>
        <w:i w:val="0"/>
      </w:rPr>
    </w:lvl>
    <w:lvl w:ilvl="4">
      <w:start w:val="1"/>
      <w:numFmt w:val="lowerRoman"/>
      <w:pStyle w:val="Title5LevelTitre5Niveau"/>
      <w:lvlText w:val="(%5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5">
      <w:start w:val="1"/>
      <w:numFmt w:val="decimal"/>
      <w:pStyle w:val="Title6LevelTitre6Niveau"/>
      <w:lvlText w:val="%6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208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072" w:hanging="43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bordersDoNotSurroundHeader/>
  <w:bordersDoNotSurroundFooter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4C"/>
    <w:rsid w:val="00000ED4"/>
    <w:rsid w:val="000051FB"/>
    <w:rsid w:val="00006515"/>
    <w:rsid w:val="00023FC7"/>
    <w:rsid w:val="00025198"/>
    <w:rsid w:val="000578A3"/>
    <w:rsid w:val="000648CC"/>
    <w:rsid w:val="000C59B8"/>
    <w:rsid w:val="000C59FA"/>
    <w:rsid w:val="000C6AF0"/>
    <w:rsid w:val="000D0A77"/>
    <w:rsid w:val="000E1BF8"/>
    <w:rsid w:val="000F7993"/>
    <w:rsid w:val="00104F33"/>
    <w:rsid w:val="00111DE2"/>
    <w:rsid w:val="00116B38"/>
    <w:rsid w:val="00135406"/>
    <w:rsid w:val="00135972"/>
    <w:rsid w:val="001426A9"/>
    <w:rsid w:val="00154D7C"/>
    <w:rsid w:val="001570B0"/>
    <w:rsid w:val="0015752C"/>
    <w:rsid w:val="00157737"/>
    <w:rsid w:val="001617FF"/>
    <w:rsid w:val="00165277"/>
    <w:rsid w:val="00166102"/>
    <w:rsid w:val="00170592"/>
    <w:rsid w:val="001720F7"/>
    <w:rsid w:val="001721F9"/>
    <w:rsid w:val="00195D83"/>
    <w:rsid w:val="001A00C1"/>
    <w:rsid w:val="001A0329"/>
    <w:rsid w:val="001B33E0"/>
    <w:rsid w:val="001B4573"/>
    <w:rsid w:val="001C779F"/>
    <w:rsid w:val="001D2AC1"/>
    <w:rsid w:val="001D4E88"/>
    <w:rsid w:val="00220FC2"/>
    <w:rsid w:val="002222F4"/>
    <w:rsid w:val="00224FC0"/>
    <w:rsid w:val="00225EA4"/>
    <w:rsid w:val="00226EAF"/>
    <w:rsid w:val="00231F3A"/>
    <w:rsid w:val="002406EE"/>
    <w:rsid w:val="002432D4"/>
    <w:rsid w:val="00243EC8"/>
    <w:rsid w:val="00270D93"/>
    <w:rsid w:val="002745CC"/>
    <w:rsid w:val="002B6FBE"/>
    <w:rsid w:val="002B7924"/>
    <w:rsid w:val="002C10A6"/>
    <w:rsid w:val="002D28C3"/>
    <w:rsid w:val="002D39A4"/>
    <w:rsid w:val="002E6705"/>
    <w:rsid w:val="0030329A"/>
    <w:rsid w:val="0031086F"/>
    <w:rsid w:val="0031414C"/>
    <w:rsid w:val="00314E01"/>
    <w:rsid w:val="003167A7"/>
    <w:rsid w:val="0032089D"/>
    <w:rsid w:val="003310DE"/>
    <w:rsid w:val="003323B0"/>
    <w:rsid w:val="00340A49"/>
    <w:rsid w:val="003451E5"/>
    <w:rsid w:val="0035169A"/>
    <w:rsid w:val="0035259D"/>
    <w:rsid w:val="00356FBF"/>
    <w:rsid w:val="00364B18"/>
    <w:rsid w:val="003A125D"/>
    <w:rsid w:val="003A4C70"/>
    <w:rsid w:val="003B215F"/>
    <w:rsid w:val="003C799C"/>
    <w:rsid w:val="003D0399"/>
    <w:rsid w:val="003D0B00"/>
    <w:rsid w:val="003E1C71"/>
    <w:rsid w:val="003E6428"/>
    <w:rsid w:val="003F327B"/>
    <w:rsid w:val="003F490B"/>
    <w:rsid w:val="004007BB"/>
    <w:rsid w:val="00406166"/>
    <w:rsid w:val="0040704B"/>
    <w:rsid w:val="00410A55"/>
    <w:rsid w:val="00411300"/>
    <w:rsid w:val="00413F17"/>
    <w:rsid w:val="00415417"/>
    <w:rsid w:val="00426659"/>
    <w:rsid w:val="00445015"/>
    <w:rsid w:val="00450352"/>
    <w:rsid w:val="00454BDB"/>
    <w:rsid w:val="00461C02"/>
    <w:rsid w:val="00465132"/>
    <w:rsid w:val="00480C90"/>
    <w:rsid w:val="0048396F"/>
    <w:rsid w:val="00493C18"/>
    <w:rsid w:val="004A600C"/>
    <w:rsid w:val="004A6118"/>
    <w:rsid w:val="004A6ABB"/>
    <w:rsid w:val="004A742B"/>
    <w:rsid w:val="004B3486"/>
    <w:rsid w:val="004B5995"/>
    <w:rsid w:val="004C478D"/>
    <w:rsid w:val="004D7D95"/>
    <w:rsid w:val="004E2C26"/>
    <w:rsid w:val="004E4141"/>
    <w:rsid w:val="005125A8"/>
    <w:rsid w:val="00517549"/>
    <w:rsid w:val="00520ABC"/>
    <w:rsid w:val="00521AE8"/>
    <w:rsid w:val="00527180"/>
    <w:rsid w:val="00555291"/>
    <w:rsid w:val="00566AD1"/>
    <w:rsid w:val="0058144B"/>
    <w:rsid w:val="00583EDE"/>
    <w:rsid w:val="00591345"/>
    <w:rsid w:val="005A6079"/>
    <w:rsid w:val="005E4698"/>
    <w:rsid w:val="00603924"/>
    <w:rsid w:val="00610539"/>
    <w:rsid w:val="00613969"/>
    <w:rsid w:val="00625C35"/>
    <w:rsid w:val="00647E49"/>
    <w:rsid w:val="00656313"/>
    <w:rsid w:val="006565F4"/>
    <w:rsid w:val="0067286A"/>
    <w:rsid w:val="00684EEA"/>
    <w:rsid w:val="00685631"/>
    <w:rsid w:val="00693097"/>
    <w:rsid w:val="0069689B"/>
    <w:rsid w:val="006B1115"/>
    <w:rsid w:val="006B5FF5"/>
    <w:rsid w:val="006C3C86"/>
    <w:rsid w:val="006F0315"/>
    <w:rsid w:val="006F30AF"/>
    <w:rsid w:val="00701759"/>
    <w:rsid w:val="00705C15"/>
    <w:rsid w:val="007110F6"/>
    <w:rsid w:val="007208D1"/>
    <w:rsid w:val="00744518"/>
    <w:rsid w:val="00747288"/>
    <w:rsid w:val="00747DD3"/>
    <w:rsid w:val="00752C02"/>
    <w:rsid w:val="007549C8"/>
    <w:rsid w:val="00766D14"/>
    <w:rsid w:val="00767A0F"/>
    <w:rsid w:val="00791272"/>
    <w:rsid w:val="007971C3"/>
    <w:rsid w:val="007A05F6"/>
    <w:rsid w:val="007B6F4A"/>
    <w:rsid w:val="007E1C47"/>
    <w:rsid w:val="007E337A"/>
    <w:rsid w:val="007E5C70"/>
    <w:rsid w:val="007F2FF5"/>
    <w:rsid w:val="007F3F08"/>
    <w:rsid w:val="00804CC6"/>
    <w:rsid w:val="00817190"/>
    <w:rsid w:val="008260E2"/>
    <w:rsid w:val="008322BD"/>
    <w:rsid w:val="00834F73"/>
    <w:rsid w:val="00864C8A"/>
    <w:rsid w:val="00864CF8"/>
    <w:rsid w:val="00874914"/>
    <w:rsid w:val="00891422"/>
    <w:rsid w:val="00892E1A"/>
    <w:rsid w:val="00895C33"/>
    <w:rsid w:val="008960D8"/>
    <w:rsid w:val="00897A15"/>
    <w:rsid w:val="008A02E7"/>
    <w:rsid w:val="008B5096"/>
    <w:rsid w:val="008B660A"/>
    <w:rsid w:val="008C01DA"/>
    <w:rsid w:val="008F2674"/>
    <w:rsid w:val="008F78E9"/>
    <w:rsid w:val="00912006"/>
    <w:rsid w:val="009179F9"/>
    <w:rsid w:val="00917C7A"/>
    <w:rsid w:val="00933E5E"/>
    <w:rsid w:val="00935218"/>
    <w:rsid w:val="00937C52"/>
    <w:rsid w:val="00937DC1"/>
    <w:rsid w:val="009403F3"/>
    <w:rsid w:val="009555B7"/>
    <w:rsid w:val="009564D9"/>
    <w:rsid w:val="009567AA"/>
    <w:rsid w:val="009602C9"/>
    <w:rsid w:val="00967374"/>
    <w:rsid w:val="009A343A"/>
    <w:rsid w:val="009B2F23"/>
    <w:rsid w:val="009B57B3"/>
    <w:rsid w:val="009D2920"/>
    <w:rsid w:val="009D5AEB"/>
    <w:rsid w:val="009F0E33"/>
    <w:rsid w:val="009F3651"/>
    <w:rsid w:val="00A149DF"/>
    <w:rsid w:val="00A151F3"/>
    <w:rsid w:val="00A1755C"/>
    <w:rsid w:val="00A21B90"/>
    <w:rsid w:val="00A22AAC"/>
    <w:rsid w:val="00A41805"/>
    <w:rsid w:val="00A51882"/>
    <w:rsid w:val="00A52AFB"/>
    <w:rsid w:val="00A548CB"/>
    <w:rsid w:val="00A5521C"/>
    <w:rsid w:val="00A643E7"/>
    <w:rsid w:val="00A65B4D"/>
    <w:rsid w:val="00A73C38"/>
    <w:rsid w:val="00A8637B"/>
    <w:rsid w:val="00A921A7"/>
    <w:rsid w:val="00AB670D"/>
    <w:rsid w:val="00AC35FF"/>
    <w:rsid w:val="00AF03C5"/>
    <w:rsid w:val="00B000D8"/>
    <w:rsid w:val="00B00F75"/>
    <w:rsid w:val="00B113D3"/>
    <w:rsid w:val="00B145B6"/>
    <w:rsid w:val="00B279EB"/>
    <w:rsid w:val="00B423C0"/>
    <w:rsid w:val="00B50C81"/>
    <w:rsid w:val="00B557F8"/>
    <w:rsid w:val="00B66BFB"/>
    <w:rsid w:val="00B815FC"/>
    <w:rsid w:val="00B83B52"/>
    <w:rsid w:val="00B90C0C"/>
    <w:rsid w:val="00B93FBC"/>
    <w:rsid w:val="00BA7DA0"/>
    <w:rsid w:val="00BB2EE4"/>
    <w:rsid w:val="00BB4C92"/>
    <w:rsid w:val="00BC2108"/>
    <w:rsid w:val="00BD0E9E"/>
    <w:rsid w:val="00BD1BEC"/>
    <w:rsid w:val="00BD32FF"/>
    <w:rsid w:val="00BF1ACC"/>
    <w:rsid w:val="00BF6FE9"/>
    <w:rsid w:val="00C00298"/>
    <w:rsid w:val="00C02092"/>
    <w:rsid w:val="00C055C8"/>
    <w:rsid w:val="00C24D91"/>
    <w:rsid w:val="00C26DB2"/>
    <w:rsid w:val="00C53F14"/>
    <w:rsid w:val="00C600CF"/>
    <w:rsid w:val="00C6084F"/>
    <w:rsid w:val="00C62A66"/>
    <w:rsid w:val="00C66359"/>
    <w:rsid w:val="00C71458"/>
    <w:rsid w:val="00C77613"/>
    <w:rsid w:val="00C828E7"/>
    <w:rsid w:val="00C86719"/>
    <w:rsid w:val="00C921DD"/>
    <w:rsid w:val="00CA6391"/>
    <w:rsid w:val="00CE036E"/>
    <w:rsid w:val="00CE3171"/>
    <w:rsid w:val="00CF1601"/>
    <w:rsid w:val="00D0172F"/>
    <w:rsid w:val="00D01E33"/>
    <w:rsid w:val="00D068A7"/>
    <w:rsid w:val="00D17476"/>
    <w:rsid w:val="00D17B0E"/>
    <w:rsid w:val="00D276C8"/>
    <w:rsid w:val="00D30B8D"/>
    <w:rsid w:val="00D32086"/>
    <w:rsid w:val="00D37A3F"/>
    <w:rsid w:val="00D4431D"/>
    <w:rsid w:val="00D4667A"/>
    <w:rsid w:val="00D63A1C"/>
    <w:rsid w:val="00D66F00"/>
    <w:rsid w:val="00D7516F"/>
    <w:rsid w:val="00D95F8E"/>
    <w:rsid w:val="00DA0590"/>
    <w:rsid w:val="00DA56F6"/>
    <w:rsid w:val="00DC1739"/>
    <w:rsid w:val="00DC1788"/>
    <w:rsid w:val="00DE319C"/>
    <w:rsid w:val="00DF0CA8"/>
    <w:rsid w:val="00DF2B48"/>
    <w:rsid w:val="00DF49A7"/>
    <w:rsid w:val="00DF72F2"/>
    <w:rsid w:val="00E05C94"/>
    <w:rsid w:val="00E07EE2"/>
    <w:rsid w:val="00E07FD1"/>
    <w:rsid w:val="00E22C88"/>
    <w:rsid w:val="00E24573"/>
    <w:rsid w:val="00E25E1E"/>
    <w:rsid w:val="00E27EE7"/>
    <w:rsid w:val="00E35404"/>
    <w:rsid w:val="00E45109"/>
    <w:rsid w:val="00E47B7A"/>
    <w:rsid w:val="00E56A44"/>
    <w:rsid w:val="00E60269"/>
    <w:rsid w:val="00E9260E"/>
    <w:rsid w:val="00E97830"/>
    <w:rsid w:val="00EE0830"/>
    <w:rsid w:val="00EE6CB8"/>
    <w:rsid w:val="00EF0683"/>
    <w:rsid w:val="00F0070C"/>
    <w:rsid w:val="00F00EB7"/>
    <w:rsid w:val="00F040C7"/>
    <w:rsid w:val="00F36AB6"/>
    <w:rsid w:val="00F37A09"/>
    <w:rsid w:val="00F409CE"/>
    <w:rsid w:val="00F4379D"/>
    <w:rsid w:val="00F50D2D"/>
    <w:rsid w:val="00F56C8B"/>
    <w:rsid w:val="00F62639"/>
    <w:rsid w:val="00F66810"/>
    <w:rsid w:val="00F84434"/>
    <w:rsid w:val="00F84DF4"/>
    <w:rsid w:val="00F85C97"/>
    <w:rsid w:val="00FB37D2"/>
    <w:rsid w:val="00FC4EFB"/>
    <w:rsid w:val="00FD068D"/>
    <w:rsid w:val="00FD4F28"/>
    <w:rsid w:val="00FE4C1C"/>
    <w:rsid w:val="00FE6784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F8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25D"/>
    <w:pPr>
      <w:keepNext/>
      <w:keepLines/>
      <w:spacing w:after="72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85C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85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1"/>
    <w:aliases w:val=" 2, 3, A"/>
    <w:basedOn w:val="Normal"/>
    <w:uiPriority w:val="1"/>
    <w:rsid w:val="00493C18"/>
    <w:pPr>
      <w:widowControl w:val="0"/>
    </w:pPr>
  </w:style>
  <w:style w:type="paragraph" w:customStyle="1" w:styleId="SCCNormalDoubleSpacing">
    <w:name w:val="SCC.Normal.DoubleSpacing"/>
    <w:basedOn w:val="Normal"/>
    <w:link w:val="SCCNormalDoubleSpacingChar"/>
    <w:rsid w:val="00104F33"/>
    <w:pPr>
      <w:tabs>
        <w:tab w:val="left" w:pos="1168"/>
      </w:tabs>
      <w:spacing w:line="480" w:lineRule="auto"/>
      <w:jc w:val="both"/>
    </w:pPr>
  </w:style>
  <w:style w:type="character" w:customStyle="1" w:styleId="SCCNormalDoubleSpacingChar">
    <w:name w:val="SCC.Normal.DoubleSpacing Char"/>
    <w:basedOn w:val="DefaultParagraphFont"/>
    <w:link w:val="SCCNormalDoubleSpacing"/>
    <w:rsid w:val="00104F33"/>
    <w:rPr>
      <w:sz w:val="24"/>
    </w:rPr>
  </w:style>
  <w:style w:type="character" w:styleId="Strong">
    <w:name w:val="Strong"/>
    <w:basedOn w:val="DefaultParagraphFont"/>
    <w:uiPriority w:val="22"/>
    <w:qFormat/>
    <w:rsid w:val="00C53F1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548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48CB"/>
    <w:rPr>
      <w:i/>
      <w:iCs/>
      <w:color w:val="000000" w:themeColor="text1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CE31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7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5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9B8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5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9B8"/>
    <w:rPr>
      <w:sz w:val="24"/>
      <w:lang w:val="en-US"/>
    </w:rPr>
  </w:style>
  <w:style w:type="paragraph" w:customStyle="1" w:styleId="SCCLsocParty">
    <w:name w:val="SCC.Lsoc.Party"/>
    <w:basedOn w:val="Normal"/>
    <w:next w:val="Normal"/>
    <w:link w:val="SCCLsocPartyChar"/>
    <w:rsid w:val="005A6079"/>
    <w:pPr>
      <w:tabs>
        <w:tab w:val="right" w:pos="8222"/>
      </w:tabs>
      <w:jc w:val="both"/>
    </w:pPr>
    <w:rPr>
      <w:b/>
    </w:rPr>
  </w:style>
  <w:style w:type="character" w:customStyle="1" w:styleId="SCCLsocPartyChar">
    <w:name w:val="SCC.Lsoc.Party Char"/>
    <w:basedOn w:val="DefaultParagraphFont"/>
    <w:link w:val="SCCLsocParty"/>
    <w:rsid w:val="005A6079"/>
    <w:rPr>
      <w:b/>
      <w:sz w:val="24"/>
    </w:rPr>
  </w:style>
  <w:style w:type="paragraph" w:customStyle="1" w:styleId="SCCLsocVersus">
    <w:name w:val="SCC.Lsoc.Versus"/>
    <w:basedOn w:val="Normal"/>
    <w:next w:val="Normal"/>
    <w:link w:val="SCCLsocVersusChar"/>
    <w:rsid w:val="001A00C1"/>
    <w:pPr>
      <w:spacing w:after="720"/>
    </w:pPr>
    <w:rPr>
      <w:i/>
    </w:rPr>
  </w:style>
  <w:style w:type="character" w:customStyle="1" w:styleId="SCCLsocVersusChar">
    <w:name w:val="SCC.Lsoc.Versus Char"/>
    <w:basedOn w:val="DefaultParagraphFont"/>
    <w:link w:val="SCCLsocVersus"/>
    <w:rsid w:val="001A00C1"/>
    <w:rPr>
      <w:i/>
      <w:sz w:val="24"/>
    </w:rPr>
  </w:style>
  <w:style w:type="character" w:customStyle="1" w:styleId="SCCLsocPartyRole">
    <w:name w:val="SCC.Lsoc.PartyRole"/>
    <w:basedOn w:val="SCCLsocLastPartyInRoleChar"/>
    <w:uiPriority w:val="1"/>
    <w:rsid w:val="00B279EB"/>
    <w:rPr>
      <w:b/>
      <w:i/>
      <w:sz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1A00C1"/>
    <w:pPr>
      <w:spacing w:after="720"/>
    </w:pPr>
  </w:style>
  <w:style w:type="character" w:customStyle="1" w:styleId="SCCLsocSubfileSeparatorChar">
    <w:name w:val="SCC.Lsoc.SubfileSeparator Char"/>
    <w:basedOn w:val="DefaultParagraphFont"/>
    <w:link w:val="SCCLsocSubfileSeparator"/>
    <w:rsid w:val="001A00C1"/>
    <w:rPr>
      <w:sz w:val="24"/>
    </w:r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3323B0"/>
    <w:pPr>
      <w:spacing w:after="720"/>
    </w:p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3323B0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1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CBanSummary">
    <w:name w:val="SCC.BanSummary"/>
    <w:basedOn w:val="Normal"/>
    <w:next w:val="Normal"/>
    <w:rsid w:val="00111DE2"/>
    <w:pPr>
      <w:jc w:val="right"/>
    </w:pPr>
    <w:rPr>
      <w:b/>
    </w:rPr>
  </w:style>
  <w:style w:type="paragraph" w:customStyle="1" w:styleId="SCCAppellantForRunningHead">
    <w:name w:val="SCC.AppellantForRunningHead"/>
    <w:basedOn w:val="Normal"/>
    <w:next w:val="Normal"/>
    <w:link w:val="SCCAppellantForRunningHeadChar"/>
    <w:rsid w:val="00701759"/>
    <w:rPr>
      <w:smallCaps/>
    </w:rPr>
  </w:style>
  <w:style w:type="character" w:customStyle="1" w:styleId="SCCAppellantForRunningHeadChar">
    <w:name w:val="SCC.AppellantForRunningHead Char"/>
    <w:basedOn w:val="DefaultParagraphFont"/>
    <w:link w:val="SCCAppellantForRunningHead"/>
    <w:rsid w:val="00701759"/>
    <w:rPr>
      <w:smallCaps/>
      <w:sz w:val="24"/>
    </w:rPr>
  </w:style>
  <w:style w:type="paragraph" w:customStyle="1" w:styleId="SCCRespondentForRunningHead">
    <w:name w:val="SCC.RespondentForRunningHead"/>
    <w:basedOn w:val="Normal"/>
    <w:next w:val="Normal"/>
    <w:link w:val="SCCRespondentForRunningHeadChar"/>
    <w:rsid w:val="00701759"/>
    <w:rPr>
      <w:smallCaps/>
    </w:rPr>
  </w:style>
  <w:style w:type="character" w:customStyle="1" w:styleId="SCCRespondentForRunningHeadChar">
    <w:name w:val="SCC.RespondentForRunningHead Char"/>
    <w:basedOn w:val="DefaultParagraphFont"/>
    <w:link w:val="SCCRespondentForRunningHead"/>
    <w:rsid w:val="00701759"/>
    <w:rPr>
      <w:smallCaps/>
      <w:sz w:val="24"/>
    </w:rPr>
  </w:style>
  <w:style w:type="paragraph" w:customStyle="1" w:styleId="SCCAppellantForIndex">
    <w:name w:val="SCC.AppellantForIndex"/>
    <w:basedOn w:val="Normal"/>
    <w:next w:val="Normal"/>
    <w:link w:val="SCCAppellantForIndexChar"/>
    <w:rsid w:val="00C02092"/>
    <w:rPr>
      <w:b/>
    </w:rPr>
  </w:style>
  <w:style w:type="character" w:customStyle="1" w:styleId="SCCAppellantForIndexChar">
    <w:name w:val="SCC.AppellantForIndex Char"/>
    <w:basedOn w:val="DefaultParagraphFont"/>
    <w:link w:val="SCCAppellantForIndex"/>
    <w:rsid w:val="00C02092"/>
    <w:rPr>
      <w:b/>
      <w:sz w:val="24"/>
    </w:rPr>
  </w:style>
  <w:style w:type="paragraph" w:customStyle="1" w:styleId="SCCRespondentForIndex">
    <w:name w:val="SCC.RespondentForIndex"/>
    <w:basedOn w:val="Normal"/>
    <w:next w:val="Normal"/>
    <w:link w:val="SCCRespondentForIndexChar"/>
    <w:rsid w:val="00C02092"/>
    <w:rPr>
      <w:b/>
    </w:rPr>
  </w:style>
  <w:style w:type="character" w:customStyle="1" w:styleId="SCCRespondentForIndexChar">
    <w:name w:val="SCC.RespondentForIndex Char"/>
    <w:basedOn w:val="DefaultParagraphFont"/>
    <w:link w:val="SCCRespondentForIndex"/>
    <w:rsid w:val="00C02092"/>
    <w:rPr>
      <w:b/>
      <w:sz w:val="24"/>
    </w:rPr>
  </w:style>
  <w:style w:type="paragraph" w:customStyle="1" w:styleId="SCCSystemYear">
    <w:name w:val="SCC.SystemYear"/>
    <w:basedOn w:val="Normal"/>
    <w:next w:val="Normal"/>
    <w:link w:val="SCCSystemYearChar"/>
    <w:rsid w:val="00111DE2"/>
    <w:rPr>
      <w:b/>
    </w:rPr>
  </w:style>
  <w:style w:type="character" w:customStyle="1" w:styleId="SCCSystemYearChar">
    <w:name w:val="SCC.SystemYear Char"/>
    <w:basedOn w:val="DefaultParagraphFont"/>
    <w:link w:val="SCCSystemYear"/>
    <w:rsid w:val="00111DE2"/>
    <w:rPr>
      <w:b/>
      <w:sz w:val="24"/>
    </w:rPr>
  </w:style>
  <w:style w:type="paragraph" w:customStyle="1" w:styleId="SCCLowerCourtNameLowercase">
    <w:name w:val="SCC.LowerCourtNameLowercase"/>
    <w:basedOn w:val="SCCNormalDoubleSpacing"/>
    <w:next w:val="SCCNormalDoubleSpacing"/>
    <w:rsid w:val="00111DE2"/>
    <w:rPr>
      <w:smallCaps/>
    </w:rPr>
  </w:style>
  <w:style w:type="paragraph" w:customStyle="1" w:styleId="SCCCounselName">
    <w:name w:val="SCC.CounselName"/>
    <w:basedOn w:val="SCCNormalDoubleSpacing"/>
    <w:next w:val="SCCNormalDoubleSpacing"/>
    <w:link w:val="SCCCounselNameChar"/>
    <w:rsid w:val="003F327B"/>
    <w:rPr>
      <w:i/>
    </w:rPr>
  </w:style>
  <w:style w:type="character" w:customStyle="1" w:styleId="SCCCounselNameChar">
    <w:name w:val="SCC.CounselName Char"/>
    <w:basedOn w:val="SCCNormalDoubleSpacingChar"/>
    <w:link w:val="SCCCounselName"/>
    <w:rsid w:val="003F327B"/>
    <w:rPr>
      <w:i/>
      <w:sz w:val="24"/>
    </w:rPr>
  </w:style>
  <w:style w:type="paragraph" w:customStyle="1" w:styleId="SCCItalic">
    <w:name w:val="SCC.Italic"/>
    <w:basedOn w:val="SCCNormalDoubleSpacing"/>
    <w:next w:val="SCCNormalDoubleSpacing"/>
    <w:rsid w:val="00DF0CA8"/>
    <w:rPr>
      <w:i/>
    </w:rPr>
  </w:style>
  <w:style w:type="paragraph" w:customStyle="1" w:styleId="SCCAppellantForCitation">
    <w:name w:val="SCC.AppellantForCitation"/>
    <w:basedOn w:val="Normal"/>
    <w:next w:val="Normal"/>
    <w:link w:val="SCCAppellantForCitationChar"/>
    <w:rsid w:val="00E45109"/>
    <w:rPr>
      <w:i/>
    </w:rPr>
  </w:style>
  <w:style w:type="character" w:customStyle="1" w:styleId="SCCAppellantForCitationChar">
    <w:name w:val="SCC.AppellantForCitation Char"/>
    <w:basedOn w:val="DefaultParagraphFont"/>
    <w:link w:val="SCCAppellantForCitation"/>
    <w:rsid w:val="00E45109"/>
    <w:rPr>
      <w:i/>
      <w:sz w:val="24"/>
    </w:rPr>
  </w:style>
  <w:style w:type="paragraph" w:customStyle="1" w:styleId="SCCRespondentForCitation">
    <w:name w:val="SCC.RespondentForCitation"/>
    <w:basedOn w:val="Normal"/>
    <w:next w:val="Normal"/>
    <w:link w:val="SCCRespondentForCitationChar"/>
    <w:rsid w:val="00E45109"/>
    <w:rPr>
      <w:i/>
    </w:rPr>
  </w:style>
  <w:style w:type="character" w:customStyle="1" w:styleId="SCCRespondentForCitationChar">
    <w:name w:val="SCC.RespondentForCitation Char"/>
    <w:basedOn w:val="DefaultParagraphFont"/>
    <w:link w:val="SCCRespondentForCitation"/>
    <w:rsid w:val="00E45109"/>
    <w:rPr>
      <w:i/>
      <w:sz w:val="24"/>
    </w:rPr>
  </w:style>
  <w:style w:type="paragraph" w:customStyle="1" w:styleId="SCCCounselSeparator">
    <w:name w:val="SCC.CounselSeparator"/>
    <w:basedOn w:val="SCCNormalDoubleSpacing"/>
    <w:next w:val="SCCNormalDoubleSpacing"/>
    <w:link w:val="SCCCounselSeparatorChar"/>
    <w:rsid w:val="00874914"/>
  </w:style>
  <w:style w:type="character" w:customStyle="1" w:styleId="SCCCounselSeparatorChar">
    <w:name w:val="SCC.CounselSeparator Char"/>
    <w:basedOn w:val="SCCNormalDoubleSpacingChar"/>
    <w:link w:val="SCCCounselSeparator"/>
    <w:rsid w:val="00874914"/>
    <w:rPr>
      <w:sz w:val="24"/>
    </w:rPr>
  </w:style>
  <w:style w:type="paragraph" w:customStyle="1" w:styleId="SCCPartyRole">
    <w:name w:val="SCC.PartyRole"/>
    <w:basedOn w:val="SCCNormalDoubleSpacing"/>
    <w:next w:val="SCCNormalDoubleSpacing"/>
    <w:link w:val="SCCPartyRoleChar"/>
    <w:rsid w:val="00874914"/>
  </w:style>
  <w:style w:type="character" w:customStyle="1" w:styleId="SCCPartyRoleChar">
    <w:name w:val="SCC.PartyRole Char"/>
    <w:basedOn w:val="SCCNormalDoubleSpacingChar"/>
    <w:link w:val="SCCPartyRole"/>
    <w:rsid w:val="00874914"/>
    <w:rPr>
      <w:sz w:val="24"/>
    </w:rPr>
  </w:style>
  <w:style w:type="paragraph" w:customStyle="1" w:styleId="SCCLawFirm">
    <w:name w:val="SCC.LawFirm"/>
    <w:basedOn w:val="SCCNormalDoubleSpacing"/>
    <w:next w:val="SCCNormalDoubleSpacing"/>
    <w:link w:val="SCCLawFirmChar"/>
    <w:rsid w:val="00364B18"/>
    <w:rPr>
      <w:i/>
    </w:rPr>
  </w:style>
  <w:style w:type="character" w:customStyle="1" w:styleId="SCCLawFirmChar">
    <w:name w:val="SCC.LawFirm Char"/>
    <w:basedOn w:val="SCCNormalDoubleSpacingChar"/>
    <w:link w:val="SCCLawFirm"/>
    <w:rsid w:val="00364B18"/>
    <w:rPr>
      <w:i/>
      <w:sz w:val="24"/>
    </w:rPr>
  </w:style>
  <w:style w:type="paragraph" w:customStyle="1" w:styleId="SCCCounselPartyRole">
    <w:name w:val="SCC.CounselPartyRole"/>
    <w:basedOn w:val="SCCNormalDoubleSpacing"/>
    <w:next w:val="SCCNormalDoubleSpacing"/>
    <w:link w:val="SCCCounselPartyRoleChar"/>
    <w:rsid w:val="00D4431D"/>
  </w:style>
  <w:style w:type="character" w:customStyle="1" w:styleId="SCCCounselPartyRoleChar">
    <w:name w:val="SCC.CounselPartyRole Char"/>
    <w:basedOn w:val="SCCNormalDoubleSpacingChar"/>
    <w:link w:val="SCCCounselPartyRole"/>
    <w:rsid w:val="00D4431D"/>
    <w:rPr>
      <w:sz w:val="24"/>
    </w:rPr>
  </w:style>
  <w:style w:type="paragraph" w:customStyle="1" w:styleId="SCCLsocLastPartyInRole">
    <w:name w:val="SCC.Lsoc.LastPartyInRole"/>
    <w:basedOn w:val="Normal"/>
    <w:next w:val="Normal"/>
    <w:link w:val="SCCLsocLastPartyInRoleChar"/>
    <w:qFormat/>
    <w:rsid w:val="00FE7A8B"/>
    <w:pPr>
      <w:tabs>
        <w:tab w:val="right" w:pos="8222"/>
      </w:tabs>
      <w:spacing w:after="720"/>
    </w:pPr>
    <w:rPr>
      <w:b/>
    </w:rPr>
  </w:style>
  <w:style w:type="character" w:customStyle="1" w:styleId="SCCLsocLastPartyInRoleChar">
    <w:name w:val="SCC.Lsoc.LastPartyInRole Char"/>
    <w:basedOn w:val="SCCLsocPartyChar"/>
    <w:link w:val="SCCLsocLastPartyInRole"/>
    <w:rsid w:val="00FE7A8B"/>
    <w:rPr>
      <w:b/>
      <w:sz w:val="24"/>
    </w:rPr>
  </w:style>
  <w:style w:type="paragraph" w:customStyle="1" w:styleId="ParaNoNdepar-AltN">
    <w:name w:val="Para. No. / Nº de par. - Alt N"/>
    <w:qFormat/>
    <w:rsid w:val="00591345"/>
    <w:pPr>
      <w:spacing w:before="480" w:after="480" w:line="480" w:lineRule="auto"/>
      <w:jc w:val="both"/>
    </w:pPr>
    <w:rPr>
      <w:rFonts w:eastAsiaTheme="minorEastAsia" w:cstheme="minorBidi"/>
      <w:sz w:val="24"/>
      <w:szCs w:val="22"/>
      <w:lang w:eastAsia="en-US"/>
    </w:rPr>
  </w:style>
  <w:style w:type="paragraph" w:customStyle="1" w:styleId="SCCLsocOtherPartyRoleSeparator">
    <w:name w:val="SCC.Lsoc.OtherPartyRoleSeparator"/>
    <w:basedOn w:val="Normal"/>
    <w:next w:val="Normal"/>
    <w:link w:val="SCCLsocOtherPartyRoleSeparatorChar"/>
    <w:rsid w:val="00591345"/>
    <w:pPr>
      <w:spacing w:after="480"/>
    </w:pPr>
    <w:rPr>
      <w:rFonts w:eastAsiaTheme="minorHAnsi" w:cstheme="minorBidi"/>
      <w:szCs w:val="22"/>
      <w:lang w:eastAsia="en-US"/>
    </w:rPr>
  </w:style>
  <w:style w:type="character" w:customStyle="1" w:styleId="SCCLsocOtherPartyRoleSeparatorChar">
    <w:name w:val="SCC.Lsoc.OtherPartyRoleSeparator Char"/>
    <w:basedOn w:val="DefaultParagraphFont"/>
    <w:link w:val="SCCLsocOtherPartyRoleSeparator"/>
    <w:rsid w:val="00591345"/>
    <w:rPr>
      <w:rFonts w:eastAsiaTheme="minorHAnsi" w:cstheme="minorBidi"/>
      <w:sz w:val="24"/>
      <w:szCs w:val="22"/>
      <w:lang w:eastAsia="en-US"/>
    </w:rPr>
  </w:style>
  <w:style w:type="paragraph" w:customStyle="1" w:styleId="Title1LevelTitre1Niveau-AltL">
    <w:name w:val="Title 1 Level / Titre 1 Niveau - Alt L"/>
    <w:next w:val="ParaNoNdepar-AltN"/>
    <w:uiPriority w:val="4"/>
    <w:qFormat/>
    <w:rsid w:val="00591345"/>
    <w:pPr>
      <w:numPr>
        <w:numId w:val="2"/>
      </w:numPr>
      <w:spacing w:before="480" w:after="720"/>
      <w:jc w:val="both"/>
      <w:outlineLvl w:val="0"/>
    </w:pPr>
    <w:rPr>
      <w:rFonts w:eastAsiaTheme="minorHAnsi" w:cstheme="minorBidi"/>
      <w:sz w:val="24"/>
      <w:szCs w:val="22"/>
      <w:u w:val="single"/>
      <w:lang w:eastAsia="en-US"/>
    </w:rPr>
  </w:style>
  <w:style w:type="paragraph" w:customStyle="1" w:styleId="Title2LevelTitre2Niveau">
    <w:name w:val="Title 2 Level / Titre 2 Niveau"/>
    <w:basedOn w:val="Title1LevelTitre1Niveau-AltL"/>
    <w:next w:val="ParaNoNdepar-AltN"/>
    <w:uiPriority w:val="4"/>
    <w:qFormat/>
    <w:rsid w:val="00591345"/>
    <w:pPr>
      <w:numPr>
        <w:ilvl w:val="1"/>
      </w:numPr>
      <w:outlineLvl w:val="1"/>
    </w:pPr>
    <w:rPr>
      <w:i/>
      <w:u w:val="none"/>
    </w:rPr>
  </w:style>
  <w:style w:type="paragraph" w:customStyle="1" w:styleId="Title3LevelTitre3Niveau">
    <w:name w:val="Title 3 Level / Titre 3 Niveau"/>
    <w:basedOn w:val="Title1LevelTitre1Niveau-AltL"/>
    <w:next w:val="ParaNoNdepar-AltN"/>
    <w:uiPriority w:val="4"/>
    <w:qFormat/>
    <w:rsid w:val="00591345"/>
    <w:pPr>
      <w:numPr>
        <w:ilvl w:val="2"/>
      </w:numPr>
      <w:outlineLvl w:val="2"/>
    </w:pPr>
  </w:style>
  <w:style w:type="paragraph" w:customStyle="1" w:styleId="Title4LevelTitre4Niveau">
    <w:name w:val="Title 4 Level / Titre 4 Niveau"/>
    <w:basedOn w:val="Title3LevelTitre3Niveau"/>
    <w:next w:val="ParaNoNdepar-AltN"/>
    <w:uiPriority w:val="4"/>
    <w:qFormat/>
    <w:rsid w:val="00591345"/>
    <w:pPr>
      <w:numPr>
        <w:ilvl w:val="3"/>
      </w:numPr>
      <w:outlineLvl w:val="3"/>
    </w:pPr>
    <w:rPr>
      <w:i/>
      <w:u w:val="none"/>
    </w:rPr>
  </w:style>
  <w:style w:type="paragraph" w:customStyle="1" w:styleId="Title5LevelTitre5Niveau">
    <w:name w:val="Title 5 Level / Titre 5 Niveau"/>
    <w:basedOn w:val="Title1LevelTitre1Niveau-AltL"/>
    <w:next w:val="ParaNoNdepar-AltN"/>
    <w:uiPriority w:val="4"/>
    <w:qFormat/>
    <w:rsid w:val="00591345"/>
    <w:pPr>
      <w:numPr>
        <w:ilvl w:val="4"/>
      </w:numPr>
      <w:outlineLvl w:val="4"/>
    </w:pPr>
  </w:style>
  <w:style w:type="paragraph" w:customStyle="1" w:styleId="Title6LevelTitre6Niveau">
    <w:name w:val="Title 6 Level / Titre 6 Niveau"/>
    <w:basedOn w:val="Title5LevelTitre5Niveau"/>
    <w:next w:val="ParaNoNdepar-AltN"/>
    <w:uiPriority w:val="4"/>
    <w:qFormat/>
    <w:rsid w:val="00591345"/>
    <w:pPr>
      <w:numPr>
        <w:ilvl w:val="5"/>
      </w:numPr>
      <w:outlineLvl w:val="5"/>
    </w:pPr>
    <w:rPr>
      <w:i/>
      <w:u w:val="none"/>
    </w:rPr>
  </w:style>
  <w:style w:type="table" w:styleId="TableGrid">
    <w:name w:val="Table Grid"/>
    <w:basedOn w:val="TableNormal"/>
    <w:uiPriority w:val="59"/>
    <w:rsid w:val="00445015"/>
    <w:rPr>
      <w:rFonts w:eastAsiaTheme="minorHAnsi" w:cstheme="minorBidi"/>
      <w:sz w:val="24"/>
      <w:szCs w:val="24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CCLsocPartyRoleChar">
    <w:name w:val="SCC.Lsoc.PartyRole Char"/>
    <w:basedOn w:val="DefaultParagraphFont"/>
    <w:rsid w:val="00445015"/>
    <w:rPr>
      <w:rFonts w:ascii="Times New Roman" w:hAnsi="Times New Roman"/>
      <w:sz w:val="24"/>
      <w:szCs w:val="24"/>
      <w:lang w:val="en-CA"/>
    </w:rPr>
  </w:style>
  <w:style w:type="paragraph" w:customStyle="1" w:styleId="SCCLsocPrefix">
    <w:name w:val="SCC.Lsoc.Prefix"/>
    <w:basedOn w:val="Normal"/>
    <w:next w:val="Normal"/>
    <w:link w:val="SCCLsocPrefixChar"/>
    <w:rsid w:val="00445015"/>
    <w:rPr>
      <w:rFonts w:eastAsiaTheme="minorHAnsi" w:cstheme="minorBidi"/>
      <w:b/>
      <w:smallCaps/>
      <w:szCs w:val="24"/>
      <w:lang w:eastAsia="en-US"/>
    </w:rPr>
  </w:style>
  <w:style w:type="character" w:customStyle="1" w:styleId="SCCLsocPrefixChar">
    <w:name w:val="SCC.Lsoc.Prefix Char"/>
    <w:basedOn w:val="DefaultParagraphFont"/>
    <w:link w:val="SCCLsocPrefix"/>
    <w:rsid w:val="00445015"/>
    <w:rPr>
      <w:rFonts w:eastAsiaTheme="minorHAnsi" w:cstheme="minorBidi"/>
      <w:b/>
      <w:smallCap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2018-11-15T17:46:00Z</dcterms:created>
  <dcterms:modified xsi:type="dcterms:W3CDTF">2019-07-29T12:46:00Z</dcterms:modified>
</cp:coreProperties>
</file>