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45" w:rsidRDefault="00EB0545" w:rsidP="00EB0545">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4.8pt" o:ole="">
            <v:imagedata r:id="rId7" o:title=""/>
          </v:shape>
          <o:OLEObject Type="Embed" ProgID="Presentations.Drawing.13" ShapeID="_x0000_i1025" DrawAspect="Content" ObjectID="_1650949078" r:id="rId8"/>
        </w:object>
      </w:r>
      <w:r>
        <w:t xml:space="preserve"> </w:t>
      </w:r>
      <w:r>
        <w:ptab w:relativeTo="margin" w:alignment="right" w:leader="none"/>
      </w:r>
    </w:p>
    <w:p w:rsidR="00EB0545" w:rsidRDefault="00EB0545" w:rsidP="00EB0545">
      <w:pPr>
        <w:pStyle w:val="Header"/>
      </w:pPr>
    </w:p>
    <w:p w:rsidR="00EB0545" w:rsidRPr="006B210C" w:rsidRDefault="00EB0545" w:rsidP="00EB0545">
      <w:pPr>
        <w:jc w:val="center"/>
        <w:rPr>
          <w:b/>
        </w:rPr>
      </w:pPr>
      <w:r w:rsidRPr="006B210C">
        <w:rPr>
          <w:b/>
        </w:rPr>
        <w:t>SUPREME COURT OF CANADA</w:t>
      </w:r>
    </w:p>
    <w:p w:rsidR="00EB0545" w:rsidRDefault="00EB0545" w:rsidP="00EB0545"/>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60"/>
      </w:tblGrid>
      <w:tr w:rsidR="00EB0545" w:rsidRPr="006B210C" w:rsidTr="003001B4">
        <w:trPr>
          <w:cantSplit/>
        </w:trPr>
        <w:tc>
          <w:tcPr>
            <w:tcW w:w="5670" w:type="dxa"/>
          </w:tcPr>
          <w:p w:rsidR="00EB0545" w:rsidRPr="00EB0545" w:rsidRDefault="00EB0545" w:rsidP="003001B4">
            <w:pPr>
              <w:jc w:val="both"/>
              <w:rPr>
                <w:smallCaps/>
              </w:rPr>
            </w:pPr>
            <w:r w:rsidRPr="00EB0545">
              <w:rPr>
                <w:b/>
                <w:smallCaps/>
              </w:rPr>
              <w:t>Citation:</w:t>
            </w:r>
            <w:r w:rsidRPr="00EB0545">
              <w:t xml:space="preserve"> </w:t>
            </w:r>
            <w:r w:rsidRPr="00EB0545">
              <w:rPr>
                <w:rStyle w:val="SCCAppellantForRunningHeadChar"/>
                <w:smallCaps w:val="0"/>
              </w:rPr>
              <w:t>R</w:t>
            </w:r>
            <w:r w:rsidRPr="00EB0545">
              <w:rPr>
                <w:rStyle w:val="SCCAppellantForRunningHeadChar"/>
              </w:rPr>
              <w:t xml:space="preserve">. </w:t>
            </w:r>
            <w:r w:rsidRPr="00EB0545">
              <w:rPr>
                <w:rStyle w:val="SCCAppellantForRunningHeadChar"/>
                <w:i/>
                <w:smallCaps w:val="0"/>
              </w:rPr>
              <w:t>v</w:t>
            </w:r>
            <w:r w:rsidRPr="00EB0545">
              <w:rPr>
                <w:rStyle w:val="SCCAppellantForRunningHeadChar"/>
              </w:rPr>
              <w:t xml:space="preserve">. </w:t>
            </w:r>
            <w:r w:rsidRPr="00EB0545">
              <w:rPr>
                <w:rStyle w:val="SCCAppellantForRunningHeadChar"/>
                <w:smallCaps w:val="0"/>
              </w:rPr>
              <w:t>Snelgrove</w:t>
            </w:r>
            <w:r w:rsidRPr="00EB0545">
              <w:rPr>
                <w:rStyle w:val="SCCAppellantForRunningHeadChar"/>
              </w:rPr>
              <w:t xml:space="preserve">, 2019 SCC 16, [2019] </w:t>
            </w:r>
            <w:r>
              <w:rPr>
                <w:rStyle w:val="SCCAppellantForRunningHeadChar"/>
              </w:rPr>
              <w:t>2</w:t>
            </w:r>
            <w:r w:rsidRPr="00EB0545">
              <w:rPr>
                <w:rStyle w:val="SCCAppellantForRunningHeadChar"/>
              </w:rPr>
              <w:t xml:space="preserve"> S.C.R. </w:t>
            </w:r>
            <w:r>
              <w:rPr>
                <w:rStyle w:val="SCCAppellantForRunningHeadChar"/>
              </w:rPr>
              <w:t>98</w:t>
            </w:r>
          </w:p>
          <w:p w:rsidR="00EB0545" w:rsidRPr="00EB0545" w:rsidRDefault="00EB0545" w:rsidP="003001B4"/>
        </w:tc>
        <w:tc>
          <w:tcPr>
            <w:tcW w:w="3960" w:type="dxa"/>
          </w:tcPr>
          <w:p w:rsidR="00EB0545" w:rsidRDefault="00EB0545" w:rsidP="003001B4">
            <w:r>
              <w:rPr>
                <w:b/>
                <w:smallCaps/>
              </w:rPr>
              <w:t>Appeal Heard:</w:t>
            </w:r>
            <w:r w:rsidRPr="006B210C">
              <w:t xml:space="preserve"> </w:t>
            </w:r>
            <w:r>
              <w:t>March 22, 2019</w:t>
            </w:r>
          </w:p>
          <w:p w:rsidR="00EB0545" w:rsidRPr="006B210C" w:rsidRDefault="00EB0545" w:rsidP="003001B4">
            <w:r>
              <w:rPr>
                <w:b/>
                <w:smallCaps/>
              </w:rPr>
              <w:t>Judgment Rendered</w:t>
            </w:r>
            <w:r w:rsidRPr="003E41F2">
              <w:rPr>
                <w:b/>
                <w:smallCaps/>
              </w:rPr>
              <w:t>:</w:t>
            </w:r>
            <w:r>
              <w:t xml:space="preserve"> March 22, 2019</w:t>
            </w:r>
          </w:p>
          <w:p w:rsidR="00EB0545" w:rsidRPr="006B210C" w:rsidRDefault="00EB0545" w:rsidP="003001B4">
            <w:r w:rsidRPr="005D4B83">
              <w:rPr>
                <w:b/>
                <w:smallCaps/>
              </w:rPr>
              <w:t>Docket:</w:t>
            </w:r>
            <w:r>
              <w:t xml:space="preserve"> 38372</w:t>
            </w:r>
          </w:p>
        </w:tc>
      </w:tr>
    </w:tbl>
    <w:p w:rsidR="00EB0545" w:rsidRPr="006B210C" w:rsidRDefault="00EB0545" w:rsidP="00EB0545"/>
    <w:p w:rsidR="00EB0545" w:rsidRDefault="00EB0545" w:rsidP="00EB0545">
      <w:pPr>
        <w:pStyle w:val="SCCLsocPrefix"/>
      </w:pPr>
      <w:r>
        <w:t>Between:</w:t>
      </w:r>
    </w:p>
    <w:p w:rsidR="00EB0545" w:rsidRPr="00DE0C2D" w:rsidRDefault="00EB0545" w:rsidP="00EB0545">
      <w:pPr>
        <w:jc w:val="center"/>
        <w:rPr>
          <w:b/>
        </w:rPr>
      </w:pPr>
      <w:r w:rsidRPr="00DE0C2D">
        <w:rPr>
          <w:b/>
        </w:rPr>
        <w:t>Carl Douglas Snelgrove</w:t>
      </w:r>
    </w:p>
    <w:p w:rsidR="00EB0545" w:rsidRDefault="00EB0545" w:rsidP="00EB0545">
      <w:pPr>
        <w:jc w:val="center"/>
      </w:pPr>
      <w:r>
        <w:t>Appellant</w:t>
      </w:r>
    </w:p>
    <w:p w:rsidR="00EB0545" w:rsidRPr="005D4B83" w:rsidRDefault="00EB0545" w:rsidP="00EB0545">
      <w:pPr>
        <w:jc w:val="center"/>
      </w:pPr>
    </w:p>
    <w:p w:rsidR="00EB0545" w:rsidRPr="00EB0545" w:rsidRDefault="00EB0545" w:rsidP="00EB0545">
      <w:pPr>
        <w:pStyle w:val="SCCLsocVersus"/>
        <w:jc w:val="center"/>
        <w:rPr>
          <w:i w:val="0"/>
        </w:rPr>
      </w:pPr>
      <w:r w:rsidRPr="00EB0545">
        <w:rPr>
          <w:i w:val="0"/>
        </w:rPr>
        <w:t>and</w:t>
      </w:r>
      <w:bookmarkStart w:id="0" w:name="_GoBack"/>
      <w:bookmarkEnd w:id="0"/>
    </w:p>
    <w:p w:rsidR="00EB0545" w:rsidRPr="005D4B83" w:rsidRDefault="00EB0545" w:rsidP="00EB0545">
      <w:pPr>
        <w:jc w:val="center"/>
      </w:pPr>
    </w:p>
    <w:p w:rsidR="00EB0545" w:rsidRDefault="00EB0545" w:rsidP="00EB0545">
      <w:pPr>
        <w:pStyle w:val="SCCLsocParty"/>
        <w:jc w:val="center"/>
      </w:pPr>
      <w:r>
        <w:t>Her Majesty The Queen</w:t>
      </w:r>
    </w:p>
    <w:p w:rsidR="00EB0545" w:rsidRDefault="00EB0545" w:rsidP="00EB0545">
      <w:pPr>
        <w:jc w:val="center"/>
      </w:pPr>
      <w:r>
        <w:t>Respondent</w:t>
      </w:r>
    </w:p>
    <w:p w:rsidR="00EB0545" w:rsidRDefault="00EB0545" w:rsidP="00EB0545">
      <w:pPr>
        <w:jc w:val="center"/>
      </w:pPr>
    </w:p>
    <w:p w:rsidR="00EB0545" w:rsidRDefault="00EB0545" w:rsidP="00EB0545"/>
    <w:p w:rsidR="00EB0545" w:rsidRPr="00A53D62" w:rsidRDefault="00EB0545" w:rsidP="00EB0545"/>
    <w:p w:rsidR="00EB0545" w:rsidRPr="007470F5" w:rsidRDefault="00EB0545" w:rsidP="00EB0545"/>
    <w:p w:rsidR="00EB0545" w:rsidRPr="006B210C" w:rsidRDefault="00EB0545" w:rsidP="00EB0545"/>
    <w:p w:rsidR="00EB0545" w:rsidRPr="006B210C" w:rsidRDefault="00EB0545" w:rsidP="00EB0545"/>
    <w:p w:rsidR="00EB0545" w:rsidRDefault="00EB0545" w:rsidP="00EB0545">
      <w:pPr>
        <w:jc w:val="both"/>
      </w:pPr>
      <w:r w:rsidRPr="006B210C">
        <w:rPr>
          <w:b/>
          <w:smallCaps/>
        </w:rPr>
        <w:t>Coram</w:t>
      </w:r>
      <w:r>
        <w:rPr>
          <w:b/>
          <w:smallCaps/>
        </w:rPr>
        <w:t xml:space="preserve">: </w:t>
      </w:r>
      <w:r>
        <w:t>Moldaver, Karakatsanis, Brown, Rowe and Martin JJ.</w:t>
      </w:r>
    </w:p>
    <w:p w:rsidR="00EB0545" w:rsidRPr="006B210C" w:rsidRDefault="00EB0545" w:rsidP="00EB0545"/>
    <w:p w:rsidR="00EB0545" w:rsidRPr="006B210C" w:rsidRDefault="00EB0545" w:rsidP="00EB05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B0545" w:rsidRPr="000872C9" w:rsidTr="003001B4">
        <w:trPr>
          <w:cantSplit/>
        </w:trPr>
        <w:tc>
          <w:tcPr>
            <w:tcW w:w="3618" w:type="dxa"/>
          </w:tcPr>
          <w:p w:rsidR="00EB0545" w:rsidRDefault="00EB0545" w:rsidP="003001B4">
            <w:pPr>
              <w:rPr>
                <w:b/>
                <w:smallCaps/>
              </w:rPr>
            </w:pPr>
            <w:r w:rsidRPr="006B210C">
              <w:rPr>
                <w:b/>
                <w:smallCaps/>
              </w:rPr>
              <w:t xml:space="preserve">Reasons for </w:t>
            </w:r>
            <w:r>
              <w:rPr>
                <w:b/>
                <w:smallCaps/>
              </w:rPr>
              <w:t>Judgment:</w:t>
            </w:r>
          </w:p>
          <w:p w:rsidR="00EB0545" w:rsidRPr="006B210C" w:rsidRDefault="00EB0545" w:rsidP="003001B4">
            <w:r>
              <w:t>(paras. 1 to 4)</w:t>
            </w:r>
          </w:p>
        </w:tc>
        <w:tc>
          <w:tcPr>
            <w:tcW w:w="5958" w:type="dxa"/>
          </w:tcPr>
          <w:p w:rsidR="00EB0545" w:rsidRPr="00484289" w:rsidRDefault="00EB0545" w:rsidP="003001B4">
            <w:r>
              <w:t>Moldaver J. (Karakatsanis, Brown, Rowe and Martin JJ. concurring)</w:t>
            </w:r>
          </w:p>
        </w:tc>
      </w:tr>
    </w:tbl>
    <w:p w:rsidR="00EB0545" w:rsidRPr="00484289" w:rsidRDefault="00EB0545" w:rsidP="00EB0545">
      <w:pPr>
        <w:rPr>
          <w:lang w:val="en-US"/>
        </w:rPr>
      </w:pPr>
    </w:p>
    <w:p w:rsidR="00EB0545" w:rsidRPr="00484289" w:rsidRDefault="00EB0545" w:rsidP="00EB0545">
      <w:pPr>
        <w:rPr>
          <w:lang w:val="en-US"/>
        </w:rPr>
      </w:pPr>
    </w:p>
    <w:p w:rsidR="00EB0545" w:rsidRPr="00484289" w:rsidRDefault="00EB0545" w:rsidP="00EB0545">
      <w:pPr>
        <w:rPr>
          <w:lang w:val="en-US"/>
        </w:rPr>
      </w:pPr>
      <w:r>
        <w:rPr>
          <w:noProof/>
          <w:lang w:val="en-US"/>
        </w:rPr>
        <mc:AlternateContent>
          <mc:Choice Requires="wps">
            <w:drawing>
              <wp:anchor distT="0" distB="0" distL="114300" distR="114300" simplePos="0" relativeHeight="251659264" behindDoc="0" locked="0" layoutInCell="1" allowOverlap="1" wp14:anchorId="3B091349" wp14:editId="6635A39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0CCD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B0545" w:rsidRPr="00EB0545" w:rsidRDefault="00EB0545" w:rsidP="0023407B">
      <w:pPr>
        <w:spacing w:after="720"/>
        <w:jc w:val="both"/>
        <w:rPr>
          <w:rStyle w:val="SCCAppellantForRunningHeadChar"/>
          <w:smallCaps w:val="0"/>
          <w:lang w:val="en-US"/>
        </w:rPr>
      </w:pPr>
    </w:p>
    <w:p w:rsidR="008322BD" w:rsidRPr="001426A9" w:rsidRDefault="001A6AEA" w:rsidP="0023407B">
      <w:pPr>
        <w:spacing w:after="720"/>
        <w:jc w:val="both"/>
      </w:pPr>
      <w:r>
        <w:rPr>
          <w:rStyle w:val="SCCAppellantForRunningHeadChar"/>
          <w:smallCaps w:val="0"/>
        </w:rPr>
        <w:t>R</w:t>
      </w:r>
      <w:r w:rsidR="004C5383">
        <w:rPr>
          <w:rStyle w:val="SCCAppellantForRunningHeadChar"/>
        </w:rPr>
        <w:t xml:space="preserve">. </w:t>
      </w:r>
      <w:r w:rsidR="009B57B3" w:rsidRPr="00C62A66">
        <w:rPr>
          <w:i/>
        </w:rPr>
        <w:t>v.</w:t>
      </w:r>
      <w:r w:rsidR="00B000D8" w:rsidRPr="001426A9">
        <w:t xml:space="preserve"> </w:t>
      </w:r>
      <w:r>
        <w:rPr>
          <w:rStyle w:val="SCCAppellantForRunningHeadChar"/>
          <w:smallCaps w:val="0"/>
        </w:rPr>
        <w:t>S</w:t>
      </w:r>
      <w:r w:rsidR="004C5383" w:rsidRPr="001A6AEA">
        <w:rPr>
          <w:rStyle w:val="SCCAppellantForRunningHeadChar"/>
          <w:smallCaps w:val="0"/>
        </w:rPr>
        <w:t>nelgrove</w:t>
      </w:r>
      <w:r>
        <w:rPr>
          <w:rStyle w:val="SCCAppellantForRunningHeadChar"/>
          <w:smallCaps w:val="0"/>
        </w:rPr>
        <w:t>, 2016 SCC 16, [2019] 2 S.C.R. 98</w:t>
      </w:r>
    </w:p>
    <w:p w:rsidR="006A1942" w:rsidRDefault="004C5383">
      <w:pPr>
        <w:pStyle w:val="SCCLsocLastPartyInRole"/>
      </w:pPr>
      <w:r>
        <w:t>Carl Douglas Snelgrove</w:t>
      </w:r>
      <w:r>
        <w:rPr>
          <w:rStyle w:val="SCCLsocPartyRole"/>
        </w:rPr>
        <w:tab/>
        <w:t>Appellant</w:t>
      </w:r>
    </w:p>
    <w:p w:rsidR="006A1942" w:rsidRDefault="004C5383">
      <w:pPr>
        <w:pStyle w:val="SCCLsocVersus"/>
      </w:pPr>
      <w:r>
        <w:t>v.</w:t>
      </w:r>
    </w:p>
    <w:p w:rsidR="006A1942" w:rsidRDefault="004C5383">
      <w:pPr>
        <w:pStyle w:val="SCCLsocLastPartyInRole"/>
      </w:pPr>
      <w:r>
        <w:lastRenderedPageBreak/>
        <w:t>Her Majesty The Queen</w:t>
      </w:r>
      <w:r>
        <w:rPr>
          <w:rStyle w:val="SCCLsocPartyRole"/>
        </w:rPr>
        <w:tab/>
        <w:t>Respondent</w:t>
      </w:r>
    </w:p>
    <w:p w:rsidR="00426659" w:rsidRPr="00426659" w:rsidRDefault="00426659" w:rsidP="0023407B">
      <w:pPr>
        <w:spacing w:after="720"/>
        <w:jc w:val="both"/>
        <w:rPr>
          <w:b/>
        </w:rPr>
      </w:pPr>
      <w:r w:rsidRPr="00426659">
        <w:rPr>
          <w:b/>
        </w:rPr>
        <w:t>Indexed as:</w:t>
      </w:r>
      <w:r>
        <w:rPr>
          <w:b/>
        </w:rPr>
        <w:t xml:space="preserve"> </w:t>
      </w:r>
      <w:r w:rsidR="004C5383">
        <w:rPr>
          <w:b/>
        </w:rPr>
        <w:t xml:space="preserve">R. </w:t>
      </w:r>
      <w:r w:rsidRPr="00426659">
        <w:rPr>
          <w:b/>
          <w:i/>
        </w:rPr>
        <w:t>v.</w:t>
      </w:r>
      <w:r w:rsidRPr="00426659">
        <w:rPr>
          <w:b/>
        </w:rPr>
        <w:t xml:space="preserve"> </w:t>
      </w:r>
      <w:r w:rsidR="004C5383">
        <w:rPr>
          <w:rStyle w:val="SCCAppellantForIndexChar"/>
        </w:rPr>
        <w:t>Snelgrove</w:t>
      </w:r>
    </w:p>
    <w:p w:rsidR="00426659" w:rsidRPr="00C02092" w:rsidRDefault="00AE4535" w:rsidP="0023407B">
      <w:pPr>
        <w:pStyle w:val="SCCSystemYear"/>
        <w:spacing w:after="720"/>
        <w:jc w:val="both"/>
      </w:pPr>
      <w:r>
        <w:t>2019</w:t>
      </w:r>
      <w:r w:rsidR="003D0399">
        <w:t xml:space="preserve"> </w:t>
      </w:r>
      <w:r w:rsidR="00426659" w:rsidRPr="00C02092">
        <w:t>SCC </w:t>
      </w:r>
      <w:r w:rsidR="00D6250C">
        <w:t>16</w:t>
      </w:r>
    </w:p>
    <w:p w:rsidR="008322BD" w:rsidRDefault="004C5383" w:rsidP="0023407B">
      <w:pPr>
        <w:spacing w:after="720"/>
        <w:jc w:val="both"/>
      </w:pPr>
      <w:r>
        <w:t xml:space="preserve">File No.: </w:t>
      </w:r>
      <w:r w:rsidR="009B57B3">
        <w:t>38372</w:t>
      </w:r>
      <w:r w:rsidR="009B57B3" w:rsidRPr="001426A9">
        <w:t>.</w:t>
      </w:r>
    </w:p>
    <w:p w:rsidR="008322BD" w:rsidRDefault="004C5383" w:rsidP="0023407B">
      <w:pPr>
        <w:spacing w:after="720"/>
        <w:jc w:val="both"/>
      </w:pPr>
      <w:r>
        <w:t>2019:</w:t>
      </w:r>
      <w:r w:rsidR="00AE4535">
        <w:t xml:space="preserve"> March 22</w:t>
      </w:r>
      <w:r>
        <w:t>.</w:t>
      </w:r>
    </w:p>
    <w:p w:rsidR="008322BD" w:rsidRDefault="004C5383" w:rsidP="0023407B">
      <w:pPr>
        <w:spacing w:after="720"/>
        <w:jc w:val="both"/>
      </w:pPr>
      <w:r>
        <w:t xml:space="preserve">Present: </w:t>
      </w:r>
      <w:r w:rsidR="009B57B3">
        <w:t>Moldaver, Karakatsanis, Brown, Rowe and Martin JJ.</w:t>
      </w:r>
    </w:p>
    <w:p w:rsidR="008322BD" w:rsidRPr="001C779F" w:rsidRDefault="00656313" w:rsidP="0023407B">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C11559">
        <w:t xml:space="preserve">court of appeal </w:t>
      </w:r>
      <w:r w:rsidR="009B57B3">
        <w:t>f</w:t>
      </w:r>
      <w:r w:rsidR="00C11559">
        <w:t>or</w:t>
      </w:r>
      <w:r w:rsidR="009B57B3">
        <w:t xml:space="preserve"> newfoundland and labrador</w:t>
      </w:r>
    </w:p>
    <w:p w:rsidR="008322BD" w:rsidRPr="002513CA" w:rsidRDefault="009B57B3" w:rsidP="00FC4EFB">
      <w:pPr>
        <w:pStyle w:val="SCCNormalDoubleSpacing"/>
        <w:rPr>
          <w:i/>
        </w:rPr>
      </w:pPr>
      <w:r w:rsidRPr="00583EDE">
        <w:tab/>
      </w:r>
      <w:r w:rsidR="0023407B">
        <w:rPr>
          <w:i/>
        </w:rPr>
        <w:t xml:space="preserve">Criminal law — </w:t>
      </w:r>
      <w:r w:rsidR="002A03ED">
        <w:rPr>
          <w:i/>
        </w:rPr>
        <w:t xml:space="preserve">Charge to jury </w:t>
      </w:r>
      <w:r w:rsidR="002A03ED" w:rsidRPr="002F1A08">
        <w:rPr>
          <w:i/>
        </w:rPr>
        <w:t xml:space="preserve">— </w:t>
      </w:r>
      <w:r w:rsidR="005A227B" w:rsidRPr="000A60A9">
        <w:rPr>
          <w:i/>
        </w:rPr>
        <w:t>Sexual assault — Vitiation of consent</w:t>
      </w:r>
      <w:r w:rsidR="005A227B">
        <w:rPr>
          <w:i/>
        </w:rPr>
        <w:t xml:space="preserve"> — </w:t>
      </w:r>
      <w:r w:rsidR="00780E80">
        <w:rPr>
          <w:i/>
        </w:rPr>
        <w:t>P</w:t>
      </w:r>
      <w:r w:rsidR="002513CA" w:rsidRPr="002F1A08">
        <w:rPr>
          <w:i/>
        </w:rPr>
        <w:t xml:space="preserve">olice officer </w:t>
      </w:r>
      <w:r w:rsidR="0019538D">
        <w:rPr>
          <w:i/>
        </w:rPr>
        <w:t>acquitted by jury of</w:t>
      </w:r>
      <w:r w:rsidR="002513CA" w:rsidRPr="002F1A08">
        <w:rPr>
          <w:i/>
        </w:rPr>
        <w:t xml:space="preserve"> sexual assault</w:t>
      </w:r>
      <w:r w:rsidR="0019538D">
        <w:rPr>
          <w:i/>
        </w:rPr>
        <w:t xml:space="preserve"> </w:t>
      </w:r>
      <w:r w:rsidR="002513CA" w:rsidRPr="00902261">
        <w:rPr>
          <w:i/>
        </w:rPr>
        <w:t>—</w:t>
      </w:r>
      <w:r w:rsidR="002513CA">
        <w:rPr>
          <w:i/>
        </w:rPr>
        <w:t xml:space="preserve"> </w:t>
      </w:r>
      <w:r w:rsidR="00780E80">
        <w:rPr>
          <w:i/>
        </w:rPr>
        <w:t xml:space="preserve">Court of Appeal setting aside acquittal and ordering new trial — </w:t>
      </w:r>
      <w:r w:rsidR="002A03ED">
        <w:rPr>
          <w:i/>
        </w:rPr>
        <w:t xml:space="preserve">Trial judge erred in refusing to instruct jury on provision which provides that no consent is obtained where accused induces complainant to engage in sexual activity by abusing position of trust, power, or authority — </w:t>
      </w:r>
      <w:r w:rsidR="002513CA">
        <w:rPr>
          <w:i/>
        </w:rPr>
        <w:t xml:space="preserve">New trial </w:t>
      </w:r>
      <w:r w:rsidR="00780E80">
        <w:rPr>
          <w:i/>
        </w:rPr>
        <w:t>warranted</w:t>
      </w:r>
      <w:r w:rsidR="002513CA">
        <w:rPr>
          <w:i/>
        </w:rPr>
        <w:t xml:space="preserve"> — Criminal Code, </w:t>
      </w:r>
      <w:r w:rsidR="0019538D">
        <w:rPr>
          <w:i/>
        </w:rPr>
        <w:t xml:space="preserve">R.S.C. 1985, c. C-46, </w:t>
      </w:r>
      <w:r w:rsidR="002513CA">
        <w:rPr>
          <w:i/>
        </w:rPr>
        <w:t>s.</w:t>
      </w:r>
      <w:r w:rsidR="00845F3B">
        <w:rPr>
          <w:i/>
        </w:rPr>
        <w:t> </w:t>
      </w:r>
      <w:r w:rsidR="002513CA">
        <w:rPr>
          <w:i/>
        </w:rPr>
        <w:t xml:space="preserve">273.1(2)(c). </w:t>
      </w:r>
    </w:p>
    <w:p w:rsidR="007E1C47" w:rsidRPr="0023407B" w:rsidRDefault="002E6705" w:rsidP="0023407B">
      <w:pPr>
        <w:pStyle w:val="SCCNormalDoubleSpacing"/>
        <w:spacing w:after="720" w:line="240" w:lineRule="auto"/>
        <w:rPr>
          <w:b/>
          <w:lang w:val="en-US"/>
        </w:rPr>
      </w:pPr>
      <w:r w:rsidRPr="00314E01">
        <w:rPr>
          <w:b/>
        </w:rPr>
        <w:t>Cases Cited</w:t>
      </w:r>
    </w:p>
    <w:p w:rsidR="004E2C26" w:rsidRPr="007E1C47" w:rsidRDefault="002E6705" w:rsidP="0023407B">
      <w:pPr>
        <w:tabs>
          <w:tab w:val="left" w:pos="1170"/>
        </w:tabs>
        <w:spacing w:after="480" w:line="480" w:lineRule="auto"/>
        <w:jc w:val="both"/>
      </w:pPr>
      <w:r>
        <w:tab/>
      </w:r>
      <w:r w:rsidRPr="00314E01">
        <w:rPr>
          <w:b/>
        </w:rPr>
        <w:t>Referred to:</w:t>
      </w:r>
      <w:r w:rsidR="00BD0E9E" w:rsidRPr="00BD0E9E">
        <w:t xml:space="preserve"> </w:t>
      </w:r>
      <w:r w:rsidR="00D6250C" w:rsidRPr="00EE4F8F">
        <w:rPr>
          <w:rFonts w:eastAsia="Calibri"/>
          <w:i/>
          <w:szCs w:val="24"/>
        </w:rPr>
        <w:t>R. v. Hogg</w:t>
      </w:r>
      <w:r w:rsidR="00D6250C" w:rsidRPr="00EE4F8F">
        <w:rPr>
          <w:rFonts w:eastAsia="Calibri"/>
          <w:szCs w:val="24"/>
        </w:rPr>
        <w:t xml:space="preserve"> (2000), 148 C.C.C. (3d) 86</w:t>
      </w:r>
      <w:r w:rsidR="00D6250C">
        <w:rPr>
          <w:rFonts w:eastAsia="Calibri"/>
          <w:szCs w:val="24"/>
        </w:rPr>
        <w:t xml:space="preserve">; </w:t>
      </w:r>
      <w:r w:rsidR="00D6250C" w:rsidRPr="00EE4F8F">
        <w:rPr>
          <w:rFonts w:eastAsia="Calibri"/>
          <w:i/>
          <w:szCs w:val="24"/>
        </w:rPr>
        <w:t>R. v. Lutoslawski</w:t>
      </w:r>
      <w:r w:rsidR="00D6250C" w:rsidRPr="00EE4F8F">
        <w:rPr>
          <w:rFonts w:eastAsia="Calibri"/>
          <w:szCs w:val="24"/>
        </w:rPr>
        <w:t>,</w:t>
      </w:r>
      <w:r w:rsidR="00D6250C" w:rsidRPr="00EE4F8F">
        <w:rPr>
          <w:rFonts w:eastAsia="Calibri"/>
          <w:i/>
          <w:szCs w:val="24"/>
        </w:rPr>
        <w:t xml:space="preserve"> </w:t>
      </w:r>
      <w:r w:rsidR="00D6250C" w:rsidRPr="00EE4F8F">
        <w:rPr>
          <w:rFonts w:eastAsia="Calibri"/>
          <w:szCs w:val="24"/>
        </w:rPr>
        <w:t>2010 ONCA 207</w:t>
      </w:r>
      <w:r w:rsidR="00D6250C" w:rsidRPr="00CB7575">
        <w:rPr>
          <w:rFonts w:eastAsia="Calibri"/>
          <w:szCs w:val="24"/>
        </w:rPr>
        <w:t>, 258 C.C.C. (3d) 1</w:t>
      </w:r>
      <w:r w:rsidR="00D6250C">
        <w:rPr>
          <w:rFonts w:eastAsia="Calibri"/>
          <w:szCs w:val="24"/>
        </w:rPr>
        <w:t>.</w:t>
      </w:r>
    </w:p>
    <w:p w:rsidR="003B215F" w:rsidRDefault="002E6705" w:rsidP="0023407B">
      <w:pPr>
        <w:pStyle w:val="SCCNormalDoubleSpacing"/>
        <w:spacing w:after="720" w:line="240" w:lineRule="auto"/>
      </w:pPr>
      <w:r w:rsidRPr="00314E01">
        <w:rPr>
          <w:b/>
        </w:rPr>
        <w:t>Statutes and Regulations Cite</w:t>
      </w:r>
      <w:r w:rsidR="00A41805">
        <w:rPr>
          <w:b/>
        </w:rPr>
        <w:t>d</w:t>
      </w:r>
    </w:p>
    <w:p w:rsidR="00A149DF" w:rsidRPr="0023407B" w:rsidRDefault="00D6250C" w:rsidP="0023407B">
      <w:pPr>
        <w:tabs>
          <w:tab w:val="left" w:pos="1170"/>
        </w:tabs>
        <w:spacing w:after="480" w:line="480" w:lineRule="auto"/>
        <w:jc w:val="both"/>
        <w:rPr>
          <w:rFonts w:eastAsia="Calibri"/>
          <w:szCs w:val="24"/>
          <w:lang w:val="en-US"/>
        </w:rPr>
      </w:pPr>
      <w:r w:rsidRPr="0023407B">
        <w:rPr>
          <w:rFonts w:eastAsia="Calibri"/>
          <w:i/>
          <w:szCs w:val="24"/>
          <w:lang w:val="en-US"/>
        </w:rPr>
        <w:lastRenderedPageBreak/>
        <w:t>Criminal Code</w:t>
      </w:r>
      <w:r w:rsidRPr="0023407B">
        <w:rPr>
          <w:rFonts w:eastAsia="Calibri"/>
          <w:szCs w:val="24"/>
          <w:lang w:val="en-US"/>
        </w:rPr>
        <w:t>, R.S.C. 1985, c. C-46, ss. 265(3)(d), 273.1(2)(c).</w:t>
      </w:r>
    </w:p>
    <w:p w:rsidR="00656313" w:rsidRDefault="004C5383" w:rsidP="00FC4EFB">
      <w:pPr>
        <w:pStyle w:val="SCCNormalDoubleSpacing"/>
      </w:pPr>
      <w:r w:rsidRPr="0023407B">
        <w:rPr>
          <w:lang w:val="en-US"/>
        </w:rPr>
        <w:tab/>
      </w:r>
      <w:r w:rsidR="009B57B3" w:rsidRPr="001426A9">
        <w:t xml:space="preserve">APPEAL from a judgment of the </w:t>
      </w:r>
      <w:r w:rsidR="00366BE0">
        <w:t xml:space="preserve">Newfoundland and Labrador </w:t>
      </w:r>
      <w:r w:rsidR="009B57B3">
        <w:t xml:space="preserve">Court of Appeal </w:t>
      </w:r>
      <w:r>
        <w:t>(</w:t>
      </w:r>
      <w:r w:rsidR="00C8444D">
        <w:t xml:space="preserve">Welsh, White and Hoegg JJ.A.), 2018 NLCA 59, </w:t>
      </w:r>
      <w:r w:rsidR="003C4011">
        <w:t>366 C.C.C. (3d) 164</w:t>
      </w:r>
      <w:r w:rsidR="004E4E3A">
        <w:t>,</w:t>
      </w:r>
      <w:r w:rsidR="003C4011">
        <w:t xml:space="preserve"> 50 C.R. (7</w:t>
      </w:r>
      <w:r w:rsidR="003C4011" w:rsidRPr="003C4011">
        <w:t>th</w:t>
      </w:r>
      <w:r w:rsidR="003C4011">
        <w:t>) 133, [2018] N.J. No. 300 (QL), 2018 CarswellNfld 378</w:t>
      </w:r>
      <w:r w:rsidR="00F02567">
        <w:t xml:space="preserve"> (WL Can.</w:t>
      </w:r>
      <w:r w:rsidR="00F02567" w:rsidRPr="0023407B">
        <w:t xml:space="preserve">), </w:t>
      </w:r>
      <w:r w:rsidR="00CC1EB2" w:rsidRPr="0023407B">
        <w:t>setting aside the acquittal</w:t>
      </w:r>
      <w:r w:rsidR="00366BE0" w:rsidRPr="0023407B">
        <w:t xml:space="preserve"> of the accused</w:t>
      </w:r>
      <w:r w:rsidR="00CC1EB2" w:rsidRPr="0023407B">
        <w:t xml:space="preserve"> and ordering a new trial</w:t>
      </w:r>
      <w:r w:rsidR="00CC1EB2">
        <w:t>. Appeal</w:t>
      </w:r>
      <w:r w:rsidR="00C1162D">
        <w:t xml:space="preserve"> dismissed.</w:t>
      </w:r>
    </w:p>
    <w:p w:rsidR="00656313" w:rsidRDefault="00656313" w:rsidP="00FC4EFB">
      <w:pPr>
        <w:pStyle w:val="SCCNormalDoubleSpacing"/>
      </w:pPr>
    </w:p>
    <w:p w:rsidR="006A1942" w:rsidRDefault="00516272">
      <w:pPr>
        <w:pStyle w:val="SCCNormalDoubleSpacing"/>
      </w:pPr>
      <w:r>
        <w:rPr>
          <w:rStyle w:val="SCCCounselNameChar"/>
        </w:rPr>
        <w:tab/>
        <w:t>Randolph J.</w:t>
      </w:r>
      <w:r w:rsidR="004C5383">
        <w:rPr>
          <w:rStyle w:val="SCCCounselNameChar"/>
        </w:rPr>
        <w:t xml:space="preserve"> Piercey</w:t>
      </w:r>
      <w:r w:rsidR="004C5383" w:rsidRPr="00516272">
        <w:rPr>
          <w:rStyle w:val="SCCCounselNameChar"/>
          <w:i w:val="0"/>
        </w:rPr>
        <w:t>,</w:t>
      </w:r>
      <w:r w:rsidR="004C5383">
        <w:rPr>
          <w:rStyle w:val="SCCCounselNameChar"/>
        </w:rPr>
        <w:t xml:space="preserve"> Q.C.</w:t>
      </w:r>
      <w:r w:rsidRPr="00516272">
        <w:rPr>
          <w:rStyle w:val="SCCCounselNameChar"/>
          <w:i w:val="0"/>
        </w:rPr>
        <w:t>,</w:t>
      </w:r>
      <w:r w:rsidR="003C6685">
        <w:rPr>
          <w:rStyle w:val="SCCCounselPartyRoleChar"/>
        </w:rPr>
        <w:t xml:space="preserve"> and </w:t>
      </w:r>
      <w:r w:rsidR="003C6685" w:rsidRPr="003C6685">
        <w:rPr>
          <w:rStyle w:val="SCCCounselPartyRoleChar"/>
          <w:i/>
        </w:rPr>
        <w:t>Michael Crystal</w:t>
      </w:r>
      <w:r w:rsidR="003C6685">
        <w:rPr>
          <w:rStyle w:val="SCCCounselPartyRoleChar"/>
        </w:rPr>
        <w:t>,</w:t>
      </w:r>
      <w:r w:rsidR="004C5383">
        <w:rPr>
          <w:rStyle w:val="SCCCounselPartyRoleChar"/>
        </w:rPr>
        <w:t xml:space="preserve"> for the appellant.</w:t>
      </w:r>
    </w:p>
    <w:p w:rsidR="006A1942" w:rsidRDefault="006A1942">
      <w:pPr>
        <w:pStyle w:val="SCCNormalDoubleSpacing"/>
      </w:pPr>
    </w:p>
    <w:p w:rsidR="006A1942" w:rsidRDefault="004C5383">
      <w:pPr>
        <w:pStyle w:val="SCCNormalDoubleSpacing"/>
      </w:pPr>
      <w:r>
        <w:rPr>
          <w:rStyle w:val="SCCCounselNameChar"/>
        </w:rPr>
        <w:tab/>
        <w:t>Iain R.</w:t>
      </w:r>
      <w:r w:rsidR="00425FE1">
        <w:rPr>
          <w:rStyle w:val="SCCCounselNameChar"/>
        </w:rPr>
        <w:t xml:space="preserve"> </w:t>
      </w:r>
      <w:r>
        <w:rPr>
          <w:rStyle w:val="SCCCounselNameChar"/>
        </w:rPr>
        <w:t>W. Hollett</w:t>
      </w:r>
      <w:r>
        <w:rPr>
          <w:rStyle w:val="SCCCounselPartyRoleChar"/>
        </w:rPr>
        <w:t>, for the respondent.</w:t>
      </w:r>
    </w:p>
    <w:p w:rsidR="00D6250C" w:rsidRPr="00D1430B" w:rsidRDefault="00D6250C" w:rsidP="00D6250C">
      <w:pPr>
        <w:pStyle w:val="SCCNormalDoubleSpacing"/>
        <w:rPr>
          <w:rStyle w:val="SCCCounselPartyRoleChar"/>
          <w:lang w:val="en-US"/>
        </w:rPr>
      </w:pPr>
    </w:p>
    <w:p w:rsidR="00D6250C" w:rsidRPr="00342297" w:rsidRDefault="00D6250C" w:rsidP="00342297">
      <w:pPr>
        <w:pStyle w:val="SCCNormalDoubleSpacing"/>
        <w:rPr>
          <w:lang w:val="en-US"/>
        </w:rPr>
      </w:pPr>
      <w:r>
        <w:rPr>
          <w:lang w:val="en-US"/>
        </w:rPr>
        <w:tab/>
        <w:t>The judgment</w:t>
      </w:r>
      <w:r w:rsidRPr="00D1430B">
        <w:rPr>
          <w:lang w:val="en-US"/>
        </w:rPr>
        <w:t xml:space="preserve"> of the Court was deliv</w:t>
      </w:r>
      <w:r>
        <w:rPr>
          <w:lang w:val="en-US"/>
        </w:rPr>
        <w:t xml:space="preserve">ered </w:t>
      </w:r>
      <w:r w:rsidR="00304C55">
        <w:rPr>
          <w:lang w:val="en-US"/>
        </w:rPr>
        <w:t xml:space="preserve">orally </w:t>
      </w:r>
      <w:r>
        <w:rPr>
          <w:lang w:val="en-US"/>
        </w:rPr>
        <w:t>by</w:t>
      </w:r>
    </w:p>
    <w:p w:rsidR="00D6250C" w:rsidRPr="00342297" w:rsidRDefault="00D6250C" w:rsidP="00342297">
      <w:pPr>
        <w:pStyle w:val="ParaNoNdepar-AltN"/>
        <w:numPr>
          <w:ilvl w:val="0"/>
          <w:numId w:val="0"/>
        </w:numPr>
      </w:pPr>
      <w:r w:rsidRPr="00D1430B">
        <w:rPr>
          <w:smallCaps/>
          <w:lang w:val="en-US"/>
        </w:rPr>
        <w:t>[1]</w:t>
      </w:r>
      <w:r w:rsidRPr="00D1430B">
        <w:rPr>
          <w:smallCaps/>
          <w:lang w:val="en-US"/>
        </w:rPr>
        <w:tab/>
      </w:r>
      <w:r>
        <w:rPr>
          <w:smallCaps/>
          <w:lang w:val="en-US"/>
        </w:rPr>
        <w:t>Moldaver J. </w:t>
      </w:r>
      <w:r>
        <w:rPr>
          <w:lang w:val="en-US"/>
        </w:rPr>
        <w:t>— </w:t>
      </w:r>
      <w:r w:rsidRPr="00EE4F8F">
        <w:rPr>
          <w:rFonts w:eastAsia="Calibri"/>
          <w:szCs w:val="24"/>
        </w:rPr>
        <w:t xml:space="preserve">This </w:t>
      </w:r>
      <w:r w:rsidRPr="00342297">
        <w:rPr>
          <w:rFonts w:cs="Times New Roman"/>
        </w:rPr>
        <w:t>appeal</w:t>
      </w:r>
      <w:r w:rsidRPr="00EE4F8F">
        <w:rPr>
          <w:rFonts w:eastAsia="Calibri"/>
          <w:szCs w:val="24"/>
        </w:rPr>
        <w:t xml:space="preserve"> comes to us as of right from the Court of Appeal of Newfoundland and Labrador. The issue before us is whether a majority of that court erred in setting aside the appellant’s acquittal on a charge of sexual assault following a trial by judge and jury and ordering a new trial. The particular issue at hand is whether the majority of the Court of Appeal wrongly concluded that the trial judge erred in refusing to instruct the jury on s.</w:t>
      </w:r>
      <w:r>
        <w:rPr>
          <w:rFonts w:eastAsia="Calibri"/>
          <w:szCs w:val="24"/>
        </w:rPr>
        <w:t> </w:t>
      </w:r>
      <w:r w:rsidRPr="00EE4F8F">
        <w:rPr>
          <w:rFonts w:eastAsia="Calibri"/>
          <w:szCs w:val="24"/>
        </w:rPr>
        <w:t>273.1(2</w:t>
      </w:r>
      <w:r w:rsidRPr="00CB7575">
        <w:rPr>
          <w:rFonts w:eastAsia="Calibri"/>
          <w:szCs w:val="24"/>
        </w:rPr>
        <w:t xml:space="preserve">)(c) of the </w:t>
      </w:r>
      <w:r w:rsidRPr="00CB7575">
        <w:rPr>
          <w:rFonts w:eastAsia="Calibri"/>
          <w:i/>
          <w:szCs w:val="24"/>
        </w:rPr>
        <w:t>Criminal Code</w:t>
      </w:r>
      <w:r w:rsidRPr="00CB7575">
        <w:rPr>
          <w:rFonts w:eastAsia="Calibri"/>
          <w:szCs w:val="24"/>
        </w:rPr>
        <w:t>, R.S.C. 1985, c. C-46</w:t>
      </w:r>
      <w:r w:rsidRPr="00EE4F8F">
        <w:rPr>
          <w:rFonts w:eastAsia="Calibri"/>
          <w:i/>
          <w:szCs w:val="24"/>
        </w:rPr>
        <w:t xml:space="preserve"> </w:t>
      </w:r>
      <w:r w:rsidRPr="00EE4F8F">
        <w:rPr>
          <w:rFonts w:eastAsia="Calibri"/>
          <w:szCs w:val="24"/>
        </w:rPr>
        <w:t xml:space="preserve">— a provision which </w:t>
      </w:r>
      <w:r w:rsidRPr="004C19A6">
        <w:rPr>
          <w:rFonts w:eastAsia="Calibri"/>
          <w:szCs w:val="24"/>
        </w:rPr>
        <w:t>provides</w:t>
      </w:r>
      <w:r w:rsidRPr="00EE4F8F">
        <w:rPr>
          <w:rFonts w:eastAsia="Calibri"/>
          <w:szCs w:val="24"/>
        </w:rPr>
        <w:t xml:space="preserve"> that no consent is obtained where an accused, by abusing a position of trust, power, or authority, induces a complainant to engage in sexual activity.</w:t>
      </w:r>
    </w:p>
    <w:p w:rsidR="00D6250C" w:rsidRPr="00342297" w:rsidRDefault="00D6250C" w:rsidP="00342297">
      <w:pPr>
        <w:pStyle w:val="ParaNoNdepar-AltN"/>
        <w:numPr>
          <w:ilvl w:val="0"/>
          <w:numId w:val="0"/>
        </w:numPr>
        <w:rPr>
          <w:rFonts w:eastAsia="Calibri"/>
          <w:szCs w:val="24"/>
        </w:rPr>
      </w:pPr>
      <w:r w:rsidRPr="00D1430B">
        <w:rPr>
          <w:lang w:val="en-US"/>
        </w:rPr>
        <w:t>[2]</w:t>
      </w:r>
      <w:r w:rsidRPr="00D1430B">
        <w:rPr>
          <w:lang w:val="en-US"/>
        </w:rPr>
        <w:tab/>
      </w:r>
      <w:r w:rsidRPr="00EE4F8F">
        <w:rPr>
          <w:rFonts w:eastAsia="Calibri"/>
          <w:szCs w:val="24"/>
        </w:rPr>
        <w:t xml:space="preserve">We would </w:t>
      </w:r>
      <w:r w:rsidRPr="00342297">
        <w:rPr>
          <w:rFonts w:cs="Times New Roman"/>
        </w:rPr>
        <w:t>dismiss</w:t>
      </w:r>
      <w:r w:rsidRPr="00EE4F8F">
        <w:rPr>
          <w:rFonts w:eastAsia="Calibri"/>
          <w:szCs w:val="24"/>
        </w:rPr>
        <w:t xml:space="preserve"> the appeal, substa</w:t>
      </w:r>
      <w:r>
        <w:rPr>
          <w:rFonts w:eastAsia="Calibri"/>
          <w:szCs w:val="24"/>
        </w:rPr>
        <w:t>ntiall</w:t>
      </w:r>
      <w:r w:rsidRPr="00EE4F8F">
        <w:rPr>
          <w:rFonts w:eastAsia="Calibri"/>
          <w:szCs w:val="24"/>
        </w:rPr>
        <w:t>y for the reasons of the majority of the Court of Appeal.</w:t>
      </w:r>
    </w:p>
    <w:p w:rsidR="00D6250C" w:rsidRPr="00D6250C" w:rsidRDefault="00D6250C" w:rsidP="00342297">
      <w:pPr>
        <w:pStyle w:val="ParaNoNdepar-AltN"/>
        <w:numPr>
          <w:ilvl w:val="0"/>
          <w:numId w:val="0"/>
        </w:numPr>
        <w:rPr>
          <w:rFonts w:eastAsia="Calibri"/>
          <w:szCs w:val="24"/>
        </w:rPr>
      </w:pPr>
      <w:r w:rsidRPr="00D1430B">
        <w:rPr>
          <w:lang w:val="en-US"/>
        </w:rPr>
        <w:lastRenderedPageBreak/>
        <w:t>[3]</w:t>
      </w:r>
      <w:r w:rsidRPr="00D1430B">
        <w:rPr>
          <w:lang w:val="en-US"/>
        </w:rPr>
        <w:tab/>
      </w:r>
      <w:r w:rsidRPr="00EE4F8F">
        <w:rPr>
          <w:rFonts w:eastAsia="Calibri"/>
          <w:szCs w:val="24"/>
        </w:rPr>
        <w:t>Section 273.1(2)(</w:t>
      </w:r>
      <w:r w:rsidRPr="00CB7575">
        <w:rPr>
          <w:rFonts w:eastAsia="Calibri"/>
          <w:szCs w:val="24"/>
        </w:rPr>
        <w:t>c</w:t>
      </w:r>
      <w:r w:rsidRPr="00EE4F8F">
        <w:rPr>
          <w:rFonts w:eastAsia="Calibri"/>
          <w:szCs w:val="24"/>
        </w:rPr>
        <w:t>) has as its aim “[t]he protection of the vulnerable and the weak and the preservation of the right to freely choose to consent to sexual activity” (</w:t>
      </w:r>
      <w:r w:rsidRPr="00EE4F8F">
        <w:rPr>
          <w:rFonts w:eastAsia="Calibri"/>
          <w:i/>
          <w:szCs w:val="24"/>
        </w:rPr>
        <w:t>R. v. Hogg</w:t>
      </w:r>
      <w:r w:rsidRPr="00EE4F8F">
        <w:rPr>
          <w:rFonts w:eastAsia="Calibri"/>
          <w:szCs w:val="24"/>
        </w:rPr>
        <w:t xml:space="preserve"> (2000), 148 C.C.C. (3d) 86 (Ont. C.A.)</w:t>
      </w:r>
      <w:r w:rsidRPr="00CB7575">
        <w:rPr>
          <w:rFonts w:eastAsia="Calibri"/>
          <w:szCs w:val="24"/>
        </w:rPr>
        <w:t>, at para. 17</w:t>
      </w:r>
      <w:r w:rsidRPr="00EE4F8F">
        <w:rPr>
          <w:rFonts w:eastAsia="Calibri"/>
          <w:szCs w:val="24"/>
        </w:rPr>
        <w:t>). Inducing consent by abusing the relationships set out in s.</w:t>
      </w:r>
      <w:r>
        <w:rPr>
          <w:rFonts w:eastAsia="Calibri"/>
          <w:szCs w:val="24"/>
        </w:rPr>
        <w:t> </w:t>
      </w:r>
      <w:r w:rsidRPr="00EE4F8F">
        <w:rPr>
          <w:rFonts w:eastAsia="Calibri"/>
          <w:szCs w:val="24"/>
        </w:rPr>
        <w:t>273.1(2)(</w:t>
      </w:r>
      <w:r w:rsidRPr="00CB7575">
        <w:rPr>
          <w:rFonts w:eastAsia="Calibri"/>
          <w:szCs w:val="24"/>
        </w:rPr>
        <w:t>c</w:t>
      </w:r>
      <w:r w:rsidRPr="00EE4F8F">
        <w:rPr>
          <w:rFonts w:eastAsia="Calibri"/>
          <w:szCs w:val="24"/>
        </w:rPr>
        <w:t>) does not imply the same kind of coercion contemplated by s.</w:t>
      </w:r>
      <w:r>
        <w:rPr>
          <w:rFonts w:eastAsia="Calibri"/>
          <w:szCs w:val="24"/>
        </w:rPr>
        <w:t> </w:t>
      </w:r>
      <w:r w:rsidRPr="00EE4F8F">
        <w:rPr>
          <w:rFonts w:eastAsia="Calibri"/>
          <w:szCs w:val="24"/>
        </w:rPr>
        <w:t>265(3)(</w:t>
      </w:r>
      <w:r w:rsidRPr="00CB7575">
        <w:rPr>
          <w:rFonts w:eastAsia="Calibri"/>
          <w:szCs w:val="24"/>
        </w:rPr>
        <w:t>d</w:t>
      </w:r>
      <w:r w:rsidRPr="00EE4F8F">
        <w:rPr>
          <w:rFonts w:eastAsia="Calibri"/>
          <w:szCs w:val="24"/>
        </w:rPr>
        <w:t xml:space="preserve">) of the </w:t>
      </w:r>
      <w:r w:rsidRPr="00EE4F8F">
        <w:rPr>
          <w:rFonts w:eastAsia="Calibri"/>
          <w:i/>
          <w:szCs w:val="24"/>
        </w:rPr>
        <w:t>Criminal Code</w:t>
      </w:r>
      <w:r w:rsidRPr="00EE4F8F">
        <w:rPr>
          <w:rFonts w:eastAsia="Calibri"/>
          <w:szCs w:val="24"/>
        </w:rPr>
        <w:t xml:space="preserve">, which speaks to consent obtained where the complainant submits or does not resist by reason of the </w:t>
      </w:r>
      <w:r w:rsidRPr="00CB7575">
        <w:rPr>
          <w:rFonts w:eastAsia="Calibri"/>
          <w:szCs w:val="24"/>
        </w:rPr>
        <w:t>“</w:t>
      </w:r>
      <w:r w:rsidRPr="00EE4F8F">
        <w:rPr>
          <w:rFonts w:eastAsia="Calibri"/>
          <w:szCs w:val="24"/>
        </w:rPr>
        <w:t xml:space="preserve">exercise of authority”. Rather, as </w:t>
      </w:r>
      <w:r w:rsidRPr="00CB7575">
        <w:rPr>
          <w:rFonts w:eastAsia="Calibri"/>
          <w:szCs w:val="24"/>
        </w:rPr>
        <w:t>Justice</w:t>
      </w:r>
      <w:r>
        <w:rPr>
          <w:rFonts w:eastAsia="Calibri"/>
          <w:szCs w:val="24"/>
        </w:rPr>
        <w:t xml:space="preserve"> </w:t>
      </w:r>
      <w:r w:rsidRPr="00EE4F8F">
        <w:rPr>
          <w:rFonts w:eastAsia="Calibri"/>
          <w:szCs w:val="24"/>
        </w:rPr>
        <w:t>Doherty</w:t>
      </w:r>
      <w:r>
        <w:rPr>
          <w:rFonts w:eastAsia="Calibri"/>
          <w:szCs w:val="24"/>
        </w:rPr>
        <w:t xml:space="preserve"> </w:t>
      </w:r>
      <w:r w:rsidRPr="00EE4F8F">
        <w:rPr>
          <w:rFonts w:eastAsia="Calibri"/>
          <w:szCs w:val="24"/>
        </w:rPr>
        <w:t xml:space="preserve">observed in </w:t>
      </w:r>
      <w:r w:rsidRPr="00EE4F8F">
        <w:rPr>
          <w:rFonts w:eastAsia="Calibri"/>
          <w:i/>
          <w:szCs w:val="24"/>
        </w:rPr>
        <w:t>R. v. Lutoslawski</w:t>
      </w:r>
      <w:r w:rsidRPr="00EE4F8F">
        <w:rPr>
          <w:rFonts w:eastAsia="Calibri"/>
          <w:szCs w:val="24"/>
        </w:rPr>
        <w:t>,</w:t>
      </w:r>
      <w:r w:rsidRPr="00EE4F8F">
        <w:rPr>
          <w:rFonts w:eastAsia="Calibri"/>
          <w:i/>
          <w:szCs w:val="24"/>
        </w:rPr>
        <w:t xml:space="preserve"> </w:t>
      </w:r>
      <w:r w:rsidRPr="00EE4F8F">
        <w:rPr>
          <w:rFonts w:eastAsia="Calibri"/>
          <w:szCs w:val="24"/>
        </w:rPr>
        <w:t>2010 ONCA 207</w:t>
      </w:r>
      <w:r w:rsidRPr="00CB7575">
        <w:rPr>
          <w:rFonts w:eastAsia="Calibri"/>
          <w:szCs w:val="24"/>
        </w:rPr>
        <w:t>, 258 C.C.C. (3d) 1</w:t>
      </w:r>
      <w:r w:rsidRPr="00EE4F8F">
        <w:rPr>
          <w:rFonts w:eastAsia="Calibri"/>
          <w:szCs w:val="24"/>
        </w:rPr>
        <w:t>: “An individual who is in a position of trust over another may use the personal feelings and confidence engendered by that relationship to secure an apparent consent to sexual activity” (para. 12).</w:t>
      </w:r>
    </w:p>
    <w:p w:rsidR="00D6250C" w:rsidRPr="00D1430B" w:rsidRDefault="00342297" w:rsidP="00342297">
      <w:pPr>
        <w:pStyle w:val="ParaNoNdepar-AltN"/>
        <w:numPr>
          <w:ilvl w:val="0"/>
          <w:numId w:val="0"/>
        </w:numPr>
        <w:rPr>
          <w:lang w:val="en-US"/>
        </w:rPr>
      </w:pPr>
      <w:r w:rsidRPr="00D1430B">
        <w:rPr>
          <w:lang w:val="en-US"/>
        </w:rPr>
        <w:t xml:space="preserve"> </w:t>
      </w:r>
      <w:r w:rsidR="00D6250C" w:rsidRPr="00D1430B">
        <w:rPr>
          <w:lang w:val="en-US"/>
        </w:rPr>
        <w:t>[</w:t>
      </w:r>
      <w:r w:rsidR="00D6250C">
        <w:rPr>
          <w:lang w:val="en-US"/>
        </w:rPr>
        <w:t>4</w:t>
      </w:r>
      <w:r w:rsidR="00D6250C" w:rsidRPr="00D1430B">
        <w:rPr>
          <w:lang w:val="en-US"/>
        </w:rPr>
        <w:t>]</w:t>
      </w:r>
      <w:r w:rsidR="00D6250C" w:rsidRPr="00D1430B">
        <w:rPr>
          <w:lang w:val="en-US"/>
        </w:rPr>
        <w:tab/>
      </w:r>
      <w:r w:rsidR="00D6250C" w:rsidRPr="00EE4F8F">
        <w:rPr>
          <w:rFonts w:eastAsia="Calibri"/>
          <w:szCs w:val="24"/>
        </w:rPr>
        <w:t xml:space="preserve">On the facts </w:t>
      </w:r>
      <w:r w:rsidR="00D6250C" w:rsidRPr="00342297">
        <w:rPr>
          <w:rFonts w:cs="Times New Roman"/>
        </w:rPr>
        <w:t>of</w:t>
      </w:r>
      <w:r w:rsidR="00D6250C" w:rsidRPr="00EE4F8F">
        <w:rPr>
          <w:rFonts w:eastAsia="Calibri"/>
          <w:szCs w:val="24"/>
        </w:rPr>
        <w:t xml:space="preserve"> this case, we are of the view that it would have been open to the jury to conclude that by virtue of abusing his position of trust and authority, the accused took advantage of the complainant, who was highly intoxicated and vulnerable, by using the personal feelings and confidence engendered by their relationship to secure her apparent consent to sexual activity. An instruction under s.</w:t>
      </w:r>
      <w:r w:rsidR="00D6250C">
        <w:rPr>
          <w:rFonts w:eastAsia="Calibri"/>
          <w:szCs w:val="24"/>
        </w:rPr>
        <w:t> </w:t>
      </w:r>
      <w:r w:rsidR="00D6250C" w:rsidRPr="00EE4F8F">
        <w:rPr>
          <w:rFonts w:eastAsia="Calibri"/>
          <w:szCs w:val="24"/>
        </w:rPr>
        <w:t>273.1(2)(</w:t>
      </w:r>
      <w:r w:rsidR="00D6250C" w:rsidRPr="00CB7575">
        <w:rPr>
          <w:rFonts w:eastAsia="Calibri"/>
          <w:szCs w:val="24"/>
        </w:rPr>
        <w:t>c</w:t>
      </w:r>
      <w:r w:rsidR="00D6250C" w:rsidRPr="00EE4F8F">
        <w:rPr>
          <w:rFonts w:eastAsia="Calibri"/>
          <w:szCs w:val="24"/>
        </w:rPr>
        <w:t>) was therefore warranted. Accordingly, we would dismiss the appeal.</w:t>
      </w:r>
    </w:p>
    <w:p w:rsidR="00D6250C" w:rsidRPr="00B26232" w:rsidRDefault="00D6250C" w:rsidP="006B0BE1">
      <w:pPr>
        <w:pStyle w:val="SCCLawFirm"/>
        <w:rPr>
          <w:i w:val="0"/>
          <w:lang w:val="en-US"/>
        </w:rPr>
      </w:pPr>
      <w:r w:rsidRPr="00D1430B">
        <w:rPr>
          <w:lang w:val="en-US"/>
        </w:rPr>
        <w:tab/>
      </w:r>
      <w:r w:rsidR="006B0BE1">
        <w:rPr>
          <w:lang w:val="en-US"/>
        </w:rPr>
        <w:t>Judgment accordingly</w:t>
      </w:r>
      <w:r w:rsidRPr="00B26232">
        <w:rPr>
          <w:lang w:val="en-US"/>
        </w:rPr>
        <w:t>.</w:t>
      </w:r>
    </w:p>
    <w:p w:rsidR="00A149DF" w:rsidRPr="001426A9" w:rsidRDefault="00A149DF" w:rsidP="00FC4EFB">
      <w:pPr>
        <w:pStyle w:val="SCCNormalDoubleSpacing"/>
      </w:pPr>
    </w:p>
    <w:p w:rsidR="006A1942" w:rsidRDefault="004C5383">
      <w:pPr>
        <w:pStyle w:val="SCCLawFirm"/>
      </w:pPr>
      <w:r>
        <w:tab/>
      </w:r>
      <w:r w:rsidR="003C6685">
        <w:t>Solicitor</w:t>
      </w:r>
      <w:r>
        <w:t>s</w:t>
      </w:r>
      <w:r w:rsidR="003C6685">
        <w:t xml:space="preserve"> for the appellant:</w:t>
      </w:r>
      <w:r>
        <w:t xml:space="preserve"> Noonan Piercey, St. John</w:t>
      </w:r>
      <w:r w:rsidR="00F02567">
        <w:t>’</w:t>
      </w:r>
      <w:r>
        <w:t>s</w:t>
      </w:r>
      <w:r w:rsidR="002F1A08">
        <w:t>; Spiteri &amp; Ursulak,</w:t>
      </w:r>
      <w:r w:rsidR="003C6685">
        <w:t xml:space="preserve"> Ottawa</w:t>
      </w:r>
      <w:r>
        <w:t>.</w:t>
      </w:r>
    </w:p>
    <w:p w:rsidR="006A1942" w:rsidRDefault="006A1942">
      <w:pPr>
        <w:pStyle w:val="SCCLawFirm"/>
      </w:pPr>
    </w:p>
    <w:p w:rsidR="009B57B3" w:rsidRPr="00304C55" w:rsidRDefault="003C6685" w:rsidP="00304C55">
      <w:pPr>
        <w:pStyle w:val="SCCLawFirm"/>
      </w:pPr>
      <w:r>
        <w:tab/>
        <w:t xml:space="preserve">Solicitor for the respondent: </w:t>
      </w:r>
      <w:r w:rsidR="004C5383">
        <w:t>Attorney General of Newfoundland and Labrador, St. John</w:t>
      </w:r>
      <w:r w:rsidR="00F02567">
        <w:t>’</w:t>
      </w:r>
      <w:r w:rsidR="004C5383">
        <w:t>s.</w:t>
      </w:r>
    </w:p>
    <w:sectPr w:rsidR="009B57B3" w:rsidRPr="00304C55"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906"/>
    <w:multiLevelType w:val="multilevel"/>
    <w:tmpl w:val="A2E23A80"/>
    <w:lvl w:ilvl="0">
      <w:start w:val="1"/>
      <w:numFmt w:val="decimal"/>
      <w:pStyle w:val="ParaNoNdepar-Alt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A60A9"/>
    <w:rsid w:val="000C59B8"/>
    <w:rsid w:val="000C6AF0"/>
    <w:rsid w:val="00104F33"/>
    <w:rsid w:val="00111DE2"/>
    <w:rsid w:val="00116B38"/>
    <w:rsid w:val="00135406"/>
    <w:rsid w:val="00135972"/>
    <w:rsid w:val="001426A9"/>
    <w:rsid w:val="00154D7C"/>
    <w:rsid w:val="001570B0"/>
    <w:rsid w:val="0015752C"/>
    <w:rsid w:val="00157737"/>
    <w:rsid w:val="00165277"/>
    <w:rsid w:val="00170592"/>
    <w:rsid w:val="00186351"/>
    <w:rsid w:val="0019538D"/>
    <w:rsid w:val="00195D83"/>
    <w:rsid w:val="001A00C1"/>
    <w:rsid w:val="001A6AEA"/>
    <w:rsid w:val="001B33E0"/>
    <w:rsid w:val="001B4573"/>
    <w:rsid w:val="001B6CF0"/>
    <w:rsid w:val="001C779F"/>
    <w:rsid w:val="001D2AC1"/>
    <w:rsid w:val="001D4E88"/>
    <w:rsid w:val="00220FC2"/>
    <w:rsid w:val="002222F4"/>
    <w:rsid w:val="00224FC0"/>
    <w:rsid w:val="00225EA4"/>
    <w:rsid w:val="00226EAF"/>
    <w:rsid w:val="00231F3A"/>
    <w:rsid w:val="0023407B"/>
    <w:rsid w:val="00234199"/>
    <w:rsid w:val="002406EE"/>
    <w:rsid w:val="00243EC8"/>
    <w:rsid w:val="002513CA"/>
    <w:rsid w:val="00270D93"/>
    <w:rsid w:val="002745CC"/>
    <w:rsid w:val="002A03ED"/>
    <w:rsid w:val="002B7924"/>
    <w:rsid w:val="002D28C3"/>
    <w:rsid w:val="002D39A4"/>
    <w:rsid w:val="002E6705"/>
    <w:rsid w:val="002F1A08"/>
    <w:rsid w:val="00301D08"/>
    <w:rsid w:val="0030329A"/>
    <w:rsid w:val="00304C55"/>
    <w:rsid w:val="0031086F"/>
    <w:rsid w:val="0031414C"/>
    <w:rsid w:val="00314E01"/>
    <w:rsid w:val="0032089D"/>
    <w:rsid w:val="003310DE"/>
    <w:rsid w:val="003323B0"/>
    <w:rsid w:val="00342297"/>
    <w:rsid w:val="003455EC"/>
    <w:rsid w:val="0035169A"/>
    <w:rsid w:val="0035259D"/>
    <w:rsid w:val="00364B18"/>
    <w:rsid w:val="00366BE0"/>
    <w:rsid w:val="003A125D"/>
    <w:rsid w:val="003A4C70"/>
    <w:rsid w:val="003B215F"/>
    <w:rsid w:val="003C4011"/>
    <w:rsid w:val="003C6685"/>
    <w:rsid w:val="003C799C"/>
    <w:rsid w:val="003D0399"/>
    <w:rsid w:val="003E1C71"/>
    <w:rsid w:val="003F327B"/>
    <w:rsid w:val="00406166"/>
    <w:rsid w:val="0040704B"/>
    <w:rsid w:val="00410A55"/>
    <w:rsid w:val="00411300"/>
    <w:rsid w:val="00415417"/>
    <w:rsid w:val="00425FE1"/>
    <w:rsid w:val="00426659"/>
    <w:rsid w:val="00450352"/>
    <w:rsid w:val="00454BDB"/>
    <w:rsid w:val="00464800"/>
    <w:rsid w:val="00465132"/>
    <w:rsid w:val="00480C90"/>
    <w:rsid w:val="0048396F"/>
    <w:rsid w:val="004917E7"/>
    <w:rsid w:val="00493C18"/>
    <w:rsid w:val="004A600C"/>
    <w:rsid w:val="004A6118"/>
    <w:rsid w:val="004C1464"/>
    <w:rsid w:val="004C478D"/>
    <w:rsid w:val="004C5383"/>
    <w:rsid w:val="004E2C26"/>
    <w:rsid w:val="004E4E3A"/>
    <w:rsid w:val="004F36FF"/>
    <w:rsid w:val="005125A8"/>
    <w:rsid w:val="00516272"/>
    <w:rsid w:val="00521AE8"/>
    <w:rsid w:val="00527180"/>
    <w:rsid w:val="0054201E"/>
    <w:rsid w:val="00555291"/>
    <w:rsid w:val="00565588"/>
    <w:rsid w:val="00566AD1"/>
    <w:rsid w:val="00583EDE"/>
    <w:rsid w:val="005A210A"/>
    <w:rsid w:val="005A227B"/>
    <w:rsid w:val="005A6079"/>
    <w:rsid w:val="005E4698"/>
    <w:rsid w:val="00610539"/>
    <w:rsid w:val="00613969"/>
    <w:rsid w:val="00625C35"/>
    <w:rsid w:val="00656313"/>
    <w:rsid w:val="006565F4"/>
    <w:rsid w:val="00684EEA"/>
    <w:rsid w:val="0069689B"/>
    <w:rsid w:val="006A1551"/>
    <w:rsid w:val="006A1942"/>
    <w:rsid w:val="006B0BE1"/>
    <w:rsid w:val="006B5FF5"/>
    <w:rsid w:val="006F30AF"/>
    <w:rsid w:val="006F63E4"/>
    <w:rsid w:val="00701759"/>
    <w:rsid w:val="00705C15"/>
    <w:rsid w:val="007074C4"/>
    <w:rsid w:val="0071600E"/>
    <w:rsid w:val="007208D1"/>
    <w:rsid w:val="00747288"/>
    <w:rsid w:val="00747DD3"/>
    <w:rsid w:val="007549C8"/>
    <w:rsid w:val="00754A0B"/>
    <w:rsid w:val="00766D14"/>
    <w:rsid w:val="00767A0F"/>
    <w:rsid w:val="00780E80"/>
    <w:rsid w:val="007A05F6"/>
    <w:rsid w:val="007B6F4A"/>
    <w:rsid w:val="007E1C47"/>
    <w:rsid w:val="007E337A"/>
    <w:rsid w:val="007E5C70"/>
    <w:rsid w:val="007F2FF5"/>
    <w:rsid w:val="007F3F08"/>
    <w:rsid w:val="00804CC6"/>
    <w:rsid w:val="00817190"/>
    <w:rsid w:val="00820EE5"/>
    <w:rsid w:val="008260E2"/>
    <w:rsid w:val="008322BD"/>
    <w:rsid w:val="00833E0A"/>
    <w:rsid w:val="00834F73"/>
    <w:rsid w:val="00845F3B"/>
    <w:rsid w:val="00864CF8"/>
    <w:rsid w:val="00872819"/>
    <w:rsid w:val="00874914"/>
    <w:rsid w:val="00891422"/>
    <w:rsid w:val="00892E1A"/>
    <w:rsid w:val="008A3F29"/>
    <w:rsid w:val="008B660A"/>
    <w:rsid w:val="008C01DA"/>
    <w:rsid w:val="008F78E9"/>
    <w:rsid w:val="00902261"/>
    <w:rsid w:val="00911989"/>
    <w:rsid w:val="009179F9"/>
    <w:rsid w:val="00933E5E"/>
    <w:rsid w:val="00935218"/>
    <w:rsid w:val="009403F3"/>
    <w:rsid w:val="009555B7"/>
    <w:rsid w:val="009567AA"/>
    <w:rsid w:val="00967374"/>
    <w:rsid w:val="009A343A"/>
    <w:rsid w:val="009B2F23"/>
    <w:rsid w:val="009B57B3"/>
    <w:rsid w:val="009C5B92"/>
    <w:rsid w:val="009D2920"/>
    <w:rsid w:val="009D5AEB"/>
    <w:rsid w:val="009F0E33"/>
    <w:rsid w:val="00A030CE"/>
    <w:rsid w:val="00A149DF"/>
    <w:rsid w:val="00A1755C"/>
    <w:rsid w:val="00A21B90"/>
    <w:rsid w:val="00A41805"/>
    <w:rsid w:val="00A42DCD"/>
    <w:rsid w:val="00A52AFB"/>
    <w:rsid w:val="00A548CB"/>
    <w:rsid w:val="00A5521C"/>
    <w:rsid w:val="00A643E7"/>
    <w:rsid w:val="00A73C38"/>
    <w:rsid w:val="00AB670D"/>
    <w:rsid w:val="00AE4535"/>
    <w:rsid w:val="00AF03C5"/>
    <w:rsid w:val="00B000D8"/>
    <w:rsid w:val="00B00F75"/>
    <w:rsid w:val="00B145B6"/>
    <w:rsid w:val="00B279EB"/>
    <w:rsid w:val="00B50C81"/>
    <w:rsid w:val="00B557F8"/>
    <w:rsid w:val="00B815FC"/>
    <w:rsid w:val="00B93FBC"/>
    <w:rsid w:val="00BA7DA0"/>
    <w:rsid w:val="00BB2EE4"/>
    <w:rsid w:val="00BC2108"/>
    <w:rsid w:val="00BD0E9E"/>
    <w:rsid w:val="00BD1BEC"/>
    <w:rsid w:val="00BD32FF"/>
    <w:rsid w:val="00C02092"/>
    <w:rsid w:val="00C11559"/>
    <w:rsid w:val="00C1162D"/>
    <w:rsid w:val="00C24D91"/>
    <w:rsid w:val="00C53F14"/>
    <w:rsid w:val="00C600CF"/>
    <w:rsid w:val="00C6084F"/>
    <w:rsid w:val="00C62A66"/>
    <w:rsid w:val="00C71458"/>
    <w:rsid w:val="00C77613"/>
    <w:rsid w:val="00C828E7"/>
    <w:rsid w:val="00C8444D"/>
    <w:rsid w:val="00C86719"/>
    <w:rsid w:val="00C921DD"/>
    <w:rsid w:val="00CA6391"/>
    <w:rsid w:val="00CC1EB2"/>
    <w:rsid w:val="00CC34BD"/>
    <w:rsid w:val="00CE161A"/>
    <w:rsid w:val="00CE3171"/>
    <w:rsid w:val="00CF1601"/>
    <w:rsid w:val="00D0172F"/>
    <w:rsid w:val="00D033A5"/>
    <w:rsid w:val="00D068A7"/>
    <w:rsid w:val="00D17476"/>
    <w:rsid w:val="00D32086"/>
    <w:rsid w:val="00D37A3F"/>
    <w:rsid w:val="00D4431D"/>
    <w:rsid w:val="00D4667A"/>
    <w:rsid w:val="00D6250C"/>
    <w:rsid w:val="00D63A1C"/>
    <w:rsid w:val="00D7516F"/>
    <w:rsid w:val="00D8579F"/>
    <w:rsid w:val="00D905B7"/>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97830"/>
    <w:rsid w:val="00EA0777"/>
    <w:rsid w:val="00EB0545"/>
    <w:rsid w:val="00EE643C"/>
    <w:rsid w:val="00EF0683"/>
    <w:rsid w:val="00EF69D2"/>
    <w:rsid w:val="00EF766E"/>
    <w:rsid w:val="00F0070C"/>
    <w:rsid w:val="00F00EB7"/>
    <w:rsid w:val="00F02567"/>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ListParagraph">
    <w:name w:val="List Paragraph"/>
    <w:basedOn w:val="Normal"/>
    <w:uiPriority w:val="34"/>
    <w:qFormat/>
    <w:rsid w:val="00D6250C"/>
    <w:pPr>
      <w:ind w:left="720"/>
      <w:contextualSpacing/>
    </w:pPr>
  </w:style>
  <w:style w:type="paragraph" w:customStyle="1" w:styleId="ParaNoNdepar-AltN">
    <w:name w:val="Para. No. / Nº de par. - Alt N"/>
    <w:link w:val="ParaNoNdepar-AltNChar"/>
    <w:qFormat/>
    <w:rsid w:val="00342297"/>
    <w:pPr>
      <w:numPr>
        <w:numId w:val="1"/>
      </w:numPr>
      <w:tabs>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342297"/>
    <w:rPr>
      <w:rFonts w:eastAsiaTheme="minorEastAsia" w:cstheme="minorBidi"/>
      <w:sz w:val="24"/>
      <w:szCs w:val="22"/>
      <w:lang w:eastAsia="en-US"/>
    </w:rPr>
  </w:style>
  <w:style w:type="table" w:styleId="TableGrid">
    <w:name w:val="Table Grid"/>
    <w:basedOn w:val="TableNormal"/>
    <w:uiPriority w:val="59"/>
    <w:rsid w:val="00EB054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EB0545"/>
    <w:rPr>
      <w:rFonts w:ascii="Times New Roman" w:hAnsi="Times New Roman"/>
      <w:sz w:val="24"/>
      <w:szCs w:val="24"/>
      <w:lang w:val="en-CA"/>
    </w:rPr>
  </w:style>
  <w:style w:type="paragraph" w:customStyle="1" w:styleId="SCCLsocPrefix">
    <w:name w:val="SCC.Lsoc.Prefix"/>
    <w:basedOn w:val="Normal"/>
    <w:next w:val="Normal"/>
    <w:link w:val="SCCLsocPrefixChar"/>
    <w:rsid w:val="00EB0545"/>
    <w:rPr>
      <w:rFonts w:eastAsiaTheme="minorHAnsi" w:cstheme="minorBidi"/>
      <w:b/>
      <w:smallCaps/>
      <w:szCs w:val="24"/>
      <w:lang w:eastAsia="en-US"/>
    </w:rPr>
  </w:style>
  <w:style w:type="character" w:customStyle="1" w:styleId="SCCLsocPrefixChar">
    <w:name w:val="SCC.Lsoc.Prefix Char"/>
    <w:basedOn w:val="DefaultParagraphFont"/>
    <w:link w:val="SCCLsocPrefix"/>
    <w:rsid w:val="00EB0545"/>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2019-03-25T19:52:00Z</dcterms:created>
  <dcterms:modified xsi:type="dcterms:W3CDTF">2020-05-14T12:11:00Z</dcterms:modified>
</cp:coreProperties>
</file>