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F9F" w:rsidRDefault="00EB0545" w:rsidP="00482F9F">
      <w:pPr>
        <w:pStyle w:val="Header"/>
      </w:pPr>
      <w:r>
        <w:ptab w:relativeTo="margin" w:alignment="center" w:leader="none"/>
      </w:r>
      <w:r w:rsidRPr="00F72014">
        <w:t xml:space="preserve"> </w:t>
      </w:r>
      <w:bookmarkStart w:id="0" w:name="_GoBack"/>
      <w:bookmarkEnd w:id="0"/>
      <w:r w:rsidR="00482F9F" w:rsidRPr="00F72014">
        <w:t xml:space="preserve"> </w:t>
      </w:r>
      <w:r w:rsidR="00482F9F">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6pt;height:64.8pt" o:ole="">
            <v:imagedata r:id="rId7" o:title=""/>
          </v:shape>
          <o:OLEObject Type="Embed" ProgID="Presentations.Drawing.13" ShapeID="_x0000_i1025" DrawAspect="Content" ObjectID="_1650955413" r:id="rId8"/>
        </w:object>
      </w:r>
      <w:r w:rsidR="00482F9F">
        <w:t xml:space="preserve"> </w:t>
      </w:r>
      <w:r w:rsidR="00482F9F">
        <w:ptab w:relativeTo="margin" w:alignment="right" w:leader="none"/>
      </w:r>
    </w:p>
    <w:p w:rsidR="00482F9F" w:rsidRDefault="00482F9F" w:rsidP="00482F9F">
      <w:pPr>
        <w:pStyle w:val="Header"/>
      </w:pPr>
    </w:p>
    <w:p w:rsidR="00482F9F" w:rsidRPr="006B210C" w:rsidRDefault="00482F9F" w:rsidP="00482F9F">
      <w:pPr>
        <w:jc w:val="center"/>
        <w:rPr>
          <w:b/>
        </w:rPr>
      </w:pPr>
      <w:r w:rsidRPr="006B210C">
        <w:rPr>
          <w:b/>
        </w:rPr>
        <w:t>SUPREME COURT OF CANADA</w:t>
      </w:r>
    </w:p>
    <w:p w:rsidR="00482F9F" w:rsidRDefault="00482F9F" w:rsidP="00482F9F"/>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3960"/>
      </w:tblGrid>
      <w:tr w:rsidR="00482F9F" w:rsidRPr="006B210C" w:rsidTr="00726911">
        <w:trPr>
          <w:cantSplit/>
        </w:trPr>
        <w:tc>
          <w:tcPr>
            <w:tcW w:w="5670" w:type="dxa"/>
          </w:tcPr>
          <w:p w:rsidR="00482F9F" w:rsidRPr="00483E1E" w:rsidRDefault="00482F9F" w:rsidP="00726911">
            <w:pPr>
              <w:jc w:val="both"/>
              <w:rPr>
                <w:smallCaps/>
                <w:lang w:val="fr-CA"/>
              </w:rPr>
            </w:pPr>
            <w:r w:rsidRPr="00483E1E">
              <w:rPr>
                <w:b/>
                <w:smallCaps/>
                <w:lang w:val="fr-CA"/>
              </w:rPr>
              <w:t>Citation:</w:t>
            </w:r>
            <w:r w:rsidRPr="00483E1E">
              <w:rPr>
                <w:lang w:val="fr-CA"/>
              </w:rPr>
              <w:t xml:space="preserve"> </w:t>
            </w:r>
            <w:r w:rsidRPr="006A4070">
              <w:rPr>
                <w:rStyle w:val="SCCAppellantForRunningHeadChar"/>
                <w:smallCaps w:val="0"/>
                <w:lang w:val="fr-CA"/>
              </w:rPr>
              <w:t xml:space="preserve">R. </w:t>
            </w:r>
            <w:r w:rsidRPr="006A4070">
              <w:rPr>
                <w:rStyle w:val="SCCAppellantForRunningHeadChar"/>
                <w:i/>
                <w:smallCaps w:val="0"/>
                <w:lang w:val="fr-CA"/>
              </w:rPr>
              <w:t>v</w:t>
            </w:r>
            <w:r w:rsidRPr="006A4070">
              <w:rPr>
                <w:rStyle w:val="SCCAppellantForRunningHeadChar"/>
                <w:smallCaps w:val="0"/>
                <w:lang w:val="fr-CA"/>
              </w:rPr>
              <w:t>. Kelsie</w:t>
            </w:r>
            <w:r w:rsidRPr="00483E1E">
              <w:rPr>
                <w:rStyle w:val="SCCAppellantForRunningHeadChar"/>
                <w:lang w:val="fr-CA"/>
              </w:rPr>
              <w:t>, 2019 SCC 1</w:t>
            </w:r>
            <w:r>
              <w:rPr>
                <w:rStyle w:val="SCCAppellantForRunningHeadChar"/>
                <w:lang w:val="fr-CA"/>
              </w:rPr>
              <w:t>7</w:t>
            </w:r>
            <w:r w:rsidRPr="00483E1E">
              <w:rPr>
                <w:rStyle w:val="SCCAppellantForRunningHeadChar"/>
                <w:lang w:val="fr-CA"/>
              </w:rPr>
              <w:t xml:space="preserve">, [2019] </w:t>
            </w:r>
            <w:r>
              <w:rPr>
                <w:rStyle w:val="SCCAppellantForRunningHeadChar"/>
                <w:lang w:val="fr-CA"/>
              </w:rPr>
              <w:t>2</w:t>
            </w:r>
            <w:r w:rsidRPr="00483E1E">
              <w:rPr>
                <w:rStyle w:val="SCCAppellantForRunningHeadChar"/>
                <w:lang w:val="fr-CA"/>
              </w:rPr>
              <w:t xml:space="preserve"> S.C.R. </w:t>
            </w:r>
            <w:r>
              <w:rPr>
                <w:rStyle w:val="SCCAppellantForRunningHeadChar"/>
                <w:lang w:val="fr-CA"/>
              </w:rPr>
              <w:t>101</w:t>
            </w:r>
          </w:p>
          <w:p w:rsidR="00482F9F" w:rsidRPr="00483E1E" w:rsidRDefault="00482F9F" w:rsidP="00726911">
            <w:pPr>
              <w:rPr>
                <w:lang w:val="fr-CA"/>
              </w:rPr>
            </w:pPr>
          </w:p>
        </w:tc>
        <w:tc>
          <w:tcPr>
            <w:tcW w:w="3960" w:type="dxa"/>
          </w:tcPr>
          <w:p w:rsidR="00482F9F" w:rsidRDefault="00482F9F" w:rsidP="00726911">
            <w:r>
              <w:rPr>
                <w:b/>
                <w:smallCaps/>
              </w:rPr>
              <w:t>Appeal Heard:</w:t>
            </w:r>
            <w:r w:rsidRPr="006B210C">
              <w:t xml:space="preserve"> </w:t>
            </w:r>
            <w:r>
              <w:t>March 27, 2019</w:t>
            </w:r>
          </w:p>
          <w:p w:rsidR="00482F9F" w:rsidRPr="006B210C" w:rsidRDefault="00482F9F" w:rsidP="00726911">
            <w:r>
              <w:rPr>
                <w:b/>
                <w:smallCaps/>
              </w:rPr>
              <w:t>Judgment Rendered</w:t>
            </w:r>
            <w:r w:rsidRPr="003E41F2">
              <w:rPr>
                <w:b/>
                <w:smallCaps/>
              </w:rPr>
              <w:t>:</w:t>
            </w:r>
            <w:r>
              <w:t xml:space="preserve"> 27, 2019</w:t>
            </w:r>
          </w:p>
          <w:p w:rsidR="00482F9F" w:rsidRPr="006B210C" w:rsidRDefault="00482F9F" w:rsidP="00726911">
            <w:r w:rsidRPr="005D4B83">
              <w:rPr>
                <w:b/>
                <w:smallCaps/>
              </w:rPr>
              <w:t>Docket:</w:t>
            </w:r>
            <w:r>
              <w:t xml:space="preserve"> 38129</w:t>
            </w:r>
          </w:p>
        </w:tc>
      </w:tr>
    </w:tbl>
    <w:p w:rsidR="00482F9F" w:rsidRPr="006B210C" w:rsidRDefault="00482F9F" w:rsidP="00482F9F"/>
    <w:p w:rsidR="00482F9F" w:rsidRDefault="00482F9F" w:rsidP="00482F9F">
      <w:pPr>
        <w:pStyle w:val="SCCLsocPrefix"/>
      </w:pPr>
      <w:r>
        <w:t>Between:</w:t>
      </w:r>
    </w:p>
    <w:p w:rsidR="00482F9F" w:rsidRPr="00A53D62" w:rsidRDefault="00482F9F" w:rsidP="00482F9F">
      <w:pPr>
        <w:jc w:val="center"/>
        <w:rPr>
          <w:b/>
        </w:rPr>
      </w:pPr>
      <w:r>
        <w:rPr>
          <w:b/>
        </w:rPr>
        <w:t>Her Majesty The Queen</w:t>
      </w:r>
    </w:p>
    <w:p w:rsidR="00482F9F" w:rsidRDefault="00482F9F" w:rsidP="00482F9F">
      <w:pPr>
        <w:jc w:val="center"/>
      </w:pPr>
      <w:r>
        <w:t>Appellant</w:t>
      </w:r>
    </w:p>
    <w:p w:rsidR="00482F9F" w:rsidRPr="005D4B83" w:rsidRDefault="00482F9F" w:rsidP="00482F9F">
      <w:pPr>
        <w:jc w:val="center"/>
      </w:pPr>
    </w:p>
    <w:p w:rsidR="00482F9F" w:rsidRPr="006A4070" w:rsidRDefault="00482F9F" w:rsidP="00482F9F">
      <w:pPr>
        <w:pStyle w:val="SCCLsocVersus"/>
        <w:jc w:val="center"/>
        <w:rPr>
          <w:i w:val="0"/>
        </w:rPr>
      </w:pPr>
      <w:r w:rsidRPr="006A4070">
        <w:rPr>
          <w:i w:val="0"/>
        </w:rPr>
        <w:t>and</w:t>
      </w:r>
    </w:p>
    <w:p w:rsidR="00482F9F" w:rsidRPr="00C34B24" w:rsidRDefault="00482F9F" w:rsidP="00482F9F">
      <w:pPr>
        <w:jc w:val="center"/>
      </w:pPr>
    </w:p>
    <w:p w:rsidR="00482F9F" w:rsidRDefault="00482F9F" w:rsidP="00482F9F">
      <w:pPr>
        <w:pStyle w:val="SCCLsocParty"/>
        <w:jc w:val="center"/>
      </w:pPr>
      <w:r>
        <w:t>Dean Daniel Kelsie</w:t>
      </w:r>
    </w:p>
    <w:p w:rsidR="00482F9F" w:rsidRDefault="00482F9F" w:rsidP="00482F9F">
      <w:pPr>
        <w:jc w:val="center"/>
      </w:pPr>
      <w:r>
        <w:t>Respondent</w:t>
      </w:r>
    </w:p>
    <w:p w:rsidR="00482F9F" w:rsidRDefault="00482F9F" w:rsidP="00482F9F">
      <w:pPr>
        <w:jc w:val="center"/>
      </w:pPr>
    </w:p>
    <w:p w:rsidR="00482F9F" w:rsidRDefault="00482F9F" w:rsidP="00482F9F">
      <w:pPr>
        <w:jc w:val="center"/>
      </w:pPr>
      <w:r>
        <w:t>- and -</w:t>
      </w:r>
    </w:p>
    <w:p w:rsidR="00482F9F" w:rsidRDefault="00482F9F" w:rsidP="00482F9F">
      <w:pPr>
        <w:jc w:val="center"/>
      </w:pPr>
    </w:p>
    <w:p w:rsidR="00482F9F" w:rsidRDefault="00482F9F" w:rsidP="00482F9F">
      <w:pPr>
        <w:pStyle w:val="SCCLsocParty"/>
        <w:jc w:val="center"/>
      </w:pPr>
      <w:r>
        <w:t>Director of Public Prosecutions,</w:t>
      </w:r>
    </w:p>
    <w:p w:rsidR="00482F9F" w:rsidRDefault="00482F9F" w:rsidP="00482F9F">
      <w:pPr>
        <w:pStyle w:val="SCCLsocParty"/>
        <w:jc w:val="center"/>
      </w:pPr>
      <w:r>
        <w:t>Attorney General of Ontario and</w:t>
      </w:r>
    </w:p>
    <w:p w:rsidR="00482F9F" w:rsidRPr="0099022F" w:rsidRDefault="00482F9F" w:rsidP="00482F9F">
      <w:pPr>
        <w:jc w:val="center"/>
        <w:rPr>
          <w:b/>
        </w:rPr>
      </w:pPr>
      <w:r w:rsidRPr="0099022F">
        <w:rPr>
          <w:b/>
        </w:rPr>
        <w:t>Criminal Lawyers’ Association</w:t>
      </w:r>
    </w:p>
    <w:p w:rsidR="00482F9F" w:rsidRPr="007470F5" w:rsidRDefault="00482F9F" w:rsidP="00482F9F">
      <w:pPr>
        <w:jc w:val="center"/>
      </w:pPr>
      <w:r>
        <w:t>Interveners</w:t>
      </w:r>
    </w:p>
    <w:p w:rsidR="00482F9F" w:rsidRPr="006B210C" w:rsidRDefault="00482F9F" w:rsidP="00482F9F"/>
    <w:p w:rsidR="00482F9F" w:rsidRPr="006B210C" w:rsidRDefault="00482F9F" w:rsidP="00482F9F"/>
    <w:p w:rsidR="00482F9F" w:rsidRDefault="00482F9F" w:rsidP="00482F9F">
      <w:pPr>
        <w:jc w:val="both"/>
      </w:pPr>
      <w:r w:rsidRPr="006B210C">
        <w:rPr>
          <w:b/>
          <w:smallCaps/>
        </w:rPr>
        <w:t>Coram</w:t>
      </w:r>
      <w:r>
        <w:rPr>
          <w:b/>
          <w:smallCaps/>
        </w:rPr>
        <w:t xml:space="preserve">: </w:t>
      </w:r>
      <w:r>
        <w:t>Wagner C.J. and Abella, Moldaver, Karakatsanis, Côté, Rowe and Martin JJ.</w:t>
      </w:r>
    </w:p>
    <w:p w:rsidR="00482F9F" w:rsidRPr="006B210C" w:rsidRDefault="00482F9F" w:rsidP="00482F9F"/>
    <w:p w:rsidR="00482F9F" w:rsidRPr="006B210C" w:rsidRDefault="00482F9F" w:rsidP="00482F9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482F9F" w:rsidRPr="000872C9" w:rsidTr="00726911">
        <w:trPr>
          <w:cantSplit/>
        </w:trPr>
        <w:tc>
          <w:tcPr>
            <w:tcW w:w="3618" w:type="dxa"/>
          </w:tcPr>
          <w:p w:rsidR="00482F9F" w:rsidRDefault="00482F9F" w:rsidP="00726911">
            <w:pPr>
              <w:rPr>
                <w:b/>
                <w:smallCaps/>
              </w:rPr>
            </w:pPr>
            <w:r w:rsidRPr="006B210C">
              <w:rPr>
                <w:b/>
                <w:smallCaps/>
              </w:rPr>
              <w:t xml:space="preserve">Reasons for </w:t>
            </w:r>
            <w:r>
              <w:rPr>
                <w:b/>
                <w:smallCaps/>
              </w:rPr>
              <w:t>Judgment:</w:t>
            </w:r>
          </w:p>
          <w:p w:rsidR="00482F9F" w:rsidRPr="006B210C" w:rsidRDefault="00482F9F" w:rsidP="00726911">
            <w:r>
              <w:t>(paras. 1 to 7)</w:t>
            </w:r>
          </w:p>
        </w:tc>
        <w:tc>
          <w:tcPr>
            <w:tcW w:w="5958" w:type="dxa"/>
          </w:tcPr>
          <w:p w:rsidR="00482F9F" w:rsidRPr="00484289" w:rsidRDefault="00482F9F" w:rsidP="00726911">
            <w:r>
              <w:t>Karakatsanis J.</w:t>
            </w:r>
            <w:r w:rsidRPr="00484289">
              <w:t xml:space="preserve"> (</w:t>
            </w:r>
            <w:r>
              <w:t>Wagner C.J. and Abella, Moldaver, Côté, Rowe and Martin</w:t>
            </w:r>
            <w:r w:rsidRPr="00484289">
              <w:t> JJ. concurring)</w:t>
            </w:r>
          </w:p>
        </w:tc>
      </w:tr>
    </w:tbl>
    <w:p w:rsidR="00482F9F" w:rsidRPr="00484289" w:rsidRDefault="00482F9F" w:rsidP="00482F9F">
      <w:pPr>
        <w:rPr>
          <w:lang w:val="en-US"/>
        </w:rPr>
      </w:pPr>
    </w:p>
    <w:p w:rsidR="00482F9F" w:rsidRPr="00484289" w:rsidRDefault="00482F9F" w:rsidP="00482F9F">
      <w:pPr>
        <w:rPr>
          <w:lang w:val="en-US"/>
        </w:rPr>
      </w:pPr>
    </w:p>
    <w:p w:rsidR="00482F9F" w:rsidRPr="00484289" w:rsidRDefault="00482F9F" w:rsidP="00482F9F">
      <w:pPr>
        <w:rPr>
          <w:lang w:val="en-US"/>
        </w:rPr>
      </w:pPr>
      <w:r>
        <w:rPr>
          <w:noProof/>
          <w:lang w:val="en-US" w:eastAsia="en-US"/>
        </w:rPr>
        <mc:AlternateContent>
          <mc:Choice Requires="wps">
            <w:drawing>
              <wp:anchor distT="0" distB="0" distL="114300" distR="114300" simplePos="0" relativeHeight="251659264" behindDoc="0" locked="0" layoutInCell="1" allowOverlap="1" wp14:anchorId="55D89DE2" wp14:editId="722DBC11">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A1B50C"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482F9F" w:rsidRDefault="00482F9F" w:rsidP="00482F9F">
      <w:pPr>
        <w:spacing w:after="720"/>
        <w:jc w:val="both"/>
        <w:rPr>
          <w:rStyle w:val="SCCAppellantForRunningHeadChar"/>
          <w:smallCaps w:val="0"/>
          <w:lang w:val="en-US"/>
        </w:rPr>
      </w:pPr>
    </w:p>
    <w:p w:rsidR="00482F9F" w:rsidRPr="00AA3E3C" w:rsidRDefault="00482F9F" w:rsidP="00482F9F">
      <w:pPr>
        <w:spacing w:after="720"/>
        <w:jc w:val="both"/>
        <w:rPr>
          <w:lang w:val="fr-FR"/>
        </w:rPr>
      </w:pPr>
      <w:r w:rsidRPr="00AA3E3C">
        <w:rPr>
          <w:rStyle w:val="SCCAppellantForRunningHeadChar"/>
          <w:smallCaps w:val="0"/>
          <w:lang w:val="fr-FR"/>
        </w:rPr>
        <w:t>R</w:t>
      </w:r>
      <w:r w:rsidRPr="00AA3E3C">
        <w:rPr>
          <w:rStyle w:val="SCCAppellantForRunningHeadChar"/>
          <w:lang w:val="fr-FR"/>
        </w:rPr>
        <w:t>.</w:t>
      </w:r>
      <w:r w:rsidRPr="00AA3E3C">
        <w:rPr>
          <w:lang w:val="fr-FR"/>
        </w:rPr>
        <w:t xml:space="preserve"> </w:t>
      </w:r>
      <w:r w:rsidRPr="00AA3E3C">
        <w:rPr>
          <w:i/>
          <w:lang w:val="fr-FR"/>
        </w:rPr>
        <w:t>v.</w:t>
      </w:r>
      <w:r w:rsidRPr="00AA3E3C">
        <w:rPr>
          <w:lang w:val="fr-FR"/>
        </w:rPr>
        <w:t xml:space="preserve"> </w:t>
      </w:r>
      <w:r w:rsidRPr="00AA3E3C">
        <w:rPr>
          <w:rStyle w:val="SCCRespondentForRunningHeadChar"/>
          <w:smallCaps w:val="0"/>
          <w:lang w:val="fr-FR"/>
        </w:rPr>
        <w:t>Kelsie, 2019 SCC 17, [2019] 2 S.C.R. 101</w:t>
      </w:r>
    </w:p>
    <w:p w:rsidR="00482F9F" w:rsidRDefault="00482F9F" w:rsidP="00482F9F">
      <w:pPr>
        <w:pStyle w:val="SCCLsocLastPartyInRole"/>
      </w:pPr>
      <w:r>
        <w:t>Her Majesty The Queen</w:t>
      </w:r>
      <w:r>
        <w:rPr>
          <w:rStyle w:val="SCCLsocPartyRole"/>
        </w:rPr>
        <w:tab/>
        <w:t>Appellant</w:t>
      </w:r>
    </w:p>
    <w:p w:rsidR="00482F9F" w:rsidRDefault="00482F9F" w:rsidP="00482F9F">
      <w:pPr>
        <w:pStyle w:val="SCCLsocVersus"/>
      </w:pPr>
      <w:r>
        <w:lastRenderedPageBreak/>
        <w:t>v.</w:t>
      </w:r>
    </w:p>
    <w:p w:rsidR="00482F9F" w:rsidRDefault="00482F9F" w:rsidP="00482F9F">
      <w:pPr>
        <w:pStyle w:val="SCCLsocLastPartyInRole"/>
      </w:pPr>
      <w:r>
        <w:t>Dean Daniel Kelsie</w:t>
      </w:r>
      <w:r>
        <w:rPr>
          <w:rStyle w:val="SCCLsocPartyRole"/>
        </w:rPr>
        <w:tab/>
        <w:t>Respondent</w:t>
      </w:r>
    </w:p>
    <w:p w:rsidR="00482F9F" w:rsidRDefault="00482F9F" w:rsidP="00482F9F">
      <w:pPr>
        <w:pStyle w:val="SCCLsocOtherPartySeparator"/>
      </w:pPr>
      <w:r>
        <w:t>and</w:t>
      </w:r>
    </w:p>
    <w:p w:rsidR="00482F9F" w:rsidRDefault="00482F9F" w:rsidP="00482F9F">
      <w:pPr>
        <w:pStyle w:val="SCCLsocParty"/>
      </w:pPr>
      <w:r>
        <w:t>Director of Public Prosecutions,</w:t>
      </w:r>
    </w:p>
    <w:p w:rsidR="00482F9F" w:rsidRDefault="00482F9F" w:rsidP="00482F9F">
      <w:pPr>
        <w:pStyle w:val="SCCLsocParty"/>
      </w:pPr>
      <w:r>
        <w:t>Attorney General of Ontario and</w:t>
      </w:r>
    </w:p>
    <w:p w:rsidR="00482F9F" w:rsidRDefault="00482F9F" w:rsidP="00482F9F">
      <w:pPr>
        <w:pStyle w:val="SCCLsocLastPartyInRole"/>
      </w:pPr>
      <w:r>
        <w:t>Criminal Lawyers’ Association</w:t>
      </w:r>
      <w:r>
        <w:rPr>
          <w:rStyle w:val="SCCLsocPartyRole"/>
        </w:rPr>
        <w:tab/>
        <w:t>Interveners</w:t>
      </w:r>
    </w:p>
    <w:p w:rsidR="00482F9F" w:rsidRDefault="00482F9F" w:rsidP="00482F9F">
      <w:pPr>
        <w:spacing w:after="720"/>
        <w:jc w:val="both"/>
        <w:rPr>
          <w:rStyle w:val="SCCRespondentForIndexChar"/>
        </w:rPr>
      </w:pPr>
      <w:r w:rsidRPr="00426659">
        <w:rPr>
          <w:b/>
        </w:rPr>
        <w:t>Indexed as:</w:t>
      </w:r>
      <w:r>
        <w:rPr>
          <w:b/>
        </w:rPr>
        <w:t xml:space="preserve"> </w:t>
      </w:r>
      <w:r>
        <w:rPr>
          <w:rStyle w:val="SCCAppellantForIndexChar"/>
        </w:rPr>
        <w:t>R.</w:t>
      </w:r>
      <w:r w:rsidRPr="00426659">
        <w:rPr>
          <w:b/>
        </w:rPr>
        <w:t xml:space="preserve"> </w:t>
      </w:r>
      <w:r w:rsidRPr="00426659">
        <w:rPr>
          <w:b/>
          <w:i/>
        </w:rPr>
        <w:t>v.</w:t>
      </w:r>
      <w:r w:rsidRPr="00426659">
        <w:rPr>
          <w:b/>
        </w:rPr>
        <w:t xml:space="preserve"> </w:t>
      </w:r>
      <w:r>
        <w:rPr>
          <w:rStyle w:val="SCCRespondentForIndexChar"/>
        </w:rPr>
        <w:t>Kelsie</w:t>
      </w:r>
    </w:p>
    <w:p w:rsidR="00482F9F" w:rsidRPr="00C02092" w:rsidRDefault="00482F9F" w:rsidP="00482F9F">
      <w:pPr>
        <w:pStyle w:val="SCCSystemYear"/>
        <w:spacing w:after="720"/>
        <w:jc w:val="both"/>
      </w:pPr>
      <w:r>
        <w:t>2019 SCC 17</w:t>
      </w:r>
    </w:p>
    <w:p w:rsidR="00482F9F" w:rsidRDefault="00482F9F" w:rsidP="00482F9F">
      <w:pPr>
        <w:spacing w:after="720"/>
        <w:jc w:val="both"/>
      </w:pPr>
      <w:r>
        <w:t>File No.:</w:t>
      </w:r>
      <w:r w:rsidRPr="001426A9">
        <w:t xml:space="preserve"> </w:t>
      </w:r>
      <w:r>
        <w:t>38129</w:t>
      </w:r>
      <w:r w:rsidRPr="001426A9">
        <w:t>.</w:t>
      </w:r>
    </w:p>
    <w:p w:rsidR="00482F9F" w:rsidRDefault="00482F9F" w:rsidP="00482F9F">
      <w:pPr>
        <w:spacing w:after="720"/>
        <w:jc w:val="both"/>
      </w:pPr>
      <w:r>
        <w:t>2019: March 27</w:t>
      </w:r>
      <w:r w:rsidRPr="001426A9">
        <w:t>.</w:t>
      </w:r>
    </w:p>
    <w:p w:rsidR="00482F9F" w:rsidRDefault="00482F9F" w:rsidP="00482F9F">
      <w:pPr>
        <w:spacing w:after="720"/>
        <w:jc w:val="both"/>
      </w:pPr>
      <w:r>
        <w:t>Present: Wagner C.J. and Abella, Moldaver, Karakatsanis, Côté, Rowe and Martin JJ.</w:t>
      </w:r>
    </w:p>
    <w:p w:rsidR="00482F9F" w:rsidRDefault="00482F9F" w:rsidP="00482F9F">
      <w:pPr>
        <w:pStyle w:val="SCCLowerCourtNameLowercase"/>
        <w:spacing w:after="720" w:line="240" w:lineRule="auto"/>
      </w:pPr>
      <w:r>
        <w:t>on appeal from the court of appeal</w:t>
      </w:r>
      <w:r w:rsidRPr="00DD080F">
        <w:t xml:space="preserve"> </w:t>
      </w:r>
      <w:r>
        <w:t>for nova scotia</w:t>
      </w:r>
    </w:p>
    <w:p w:rsidR="00482F9F" w:rsidRDefault="00482F9F" w:rsidP="00482F9F">
      <w:pPr>
        <w:pStyle w:val="SCCNormalDoubleSpacing"/>
        <w:spacing w:after="480"/>
        <w:rPr>
          <w:i/>
        </w:rPr>
      </w:pPr>
      <w:r w:rsidRPr="00583EDE">
        <w:tab/>
      </w:r>
      <w:r>
        <w:rPr>
          <w:i/>
        </w:rPr>
        <w:t xml:space="preserve">Criminal law — Charge to jury — Accused convicted of first degree murder and conspiracy to commit murder — Court of Appeal setting aside convictions and ordering new trial — </w:t>
      </w:r>
      <w:r w:rsidRPr="00E26ED0">
        <w:rPr>
          <w:i/>
        </w:rPr>
        <w:t xml:space="preserve">Court of </w:t>
      </w:r>
      <w:r w:rsidRPr="00541A24">
        <w:rPr>
          <w:i/>
        </w:rPr>
        <w:t>Appeal correct</w:t>
      </w:r>
      <w:r w:rsidRPr="00E26ED0">
        <w:rPr>
          <w:i/>
        </w:rPr>
        <w:t xml:space="preserve"> in finding that trial judge’s instructions on party liability for first degree murder were in error</w:t>
      </w:r>
      <w:r w:rsidRPr="00CF0934">
        <w:rPr>
          <w:i/>
        </w:rPr>
        <w:t xml:space="preserve"> </w:t>
      </w:r>
      <w:r>
        <w:rPr>
          <w:i/>
        </w:rPr>
        <w:t xml:space="preserve">— </w:t>
      </w:r>
      <w:r w:rsidRPr="008F5A85">
        <w:rPr>
          <w:i/>
        </w:rPr>
        <w:t xml:space="preserve">Court of Appeal erred in finding that trial judge was required to charge jury on manslaughter as evidence </w:t>
      </w:r>
      <w:r>
        <w:rPr>
          <w:i/>
        </w:rPr>
        <w:t>did not</w:t>
      </w:r>
      <w:r w:rsidRPr="008F5A85">
        <w:rPr>
          <w:i/>
        </w:rPr>
        <w:t xml:space="preserve"> meet</w:t>
      </w:r>
      <w:r>
        <w:rPr>
          <w:i/>
        </w:rPr>
        <w:t xml:space="preserve"> </w:t>
      </w:r>
      <w:r w:rsidRPr="008F5A85">
        <w:rPr>
          <w:i/>
        </w:rPr>
        <w:t>air of reality test</w:t>
      </w:r>
      <w:r>
        <w:rPr>
          <w:i/>
        </w:rPr>
        <w:t xml:space="preserve"> — Court of Appeal erred in interfering with conviction for conspiracy to commit murder as </w:t>
      </w:r>
      <w:r w:rsidRPr="007C7B94">
        <w:rPr>
          <w:i/>
        </w:rPr>
        <w:t>trial judge</w:t>
      </w:r>
      <w:r>
        <w:rPr>
          <w:i/>
        </w:rPr>
        <w:t xml:space="preserve"> did not err in evidence he left for jury to consider as part of third prong of Carter test for admissibility of co-conspirator hearsay — Conspiracy conviction restored and second degree murder conviction entered. </w:t>
      </w:r>
    </w:p>
    <w:p w:rsidR="00482F9F" w:rsidRDefault="00482F9F" w:rsidP="00482F9F">
      <w:pPr>
        <w:pStyle w:val="SCCNormalDoubleSpacing"/>
        <w:spacing w:after="720" w:line="240" w:lineRule="auto"/>
        <w:rPr>
          <w:b/>
        </w:rPr>
      </w:pPr>
      <w:r w:rsidRPr="00314E01">
        <w:rPr>
          <w:b/>
        </w:rPr>
        <w:t>Cases Cited</w:t>
      </w:r>
    </w:p>
    <w:p w:rsidR="00482F9F" w:rsidRPr="007E1C47" w:rsidRDefault="00482F9F" w:rsidP="00482F9F">
      <w:pPr>
        <w:tabs>
          <w:tab w:val="left" w:pos="1170"/>
        </w:tabs>
        <w:spacing w:after="480" w:line="480" w:lineRule="auto"/>
        <w:jc w:val="both"/>
      </w:pPr>
      <w:r>
        <w:tab/>
      </w:r>
      <w:r w:rsidRPr="00314E01">
        <w:rPr>
          <w:b/>
        </w:rPr>
        <w:t>Referred to:</w:t>
      </w:r>
      <w:r>
        <w:rPr>
          <w:b/>
        </w:rPr>
        <w:t xml:space="preserve"> </w:t>
      </w:r>
      <w:r w:rsidRPr="00B465F5">
        <w:rPr>
          <w:i/>
        </w:rPr>
        <w:t>R. v. Carter</w:t>
      </w:r>
      <w:r w:rsidRPr="00B465F5">
        <w:t>, [1982] 1 S.C.R. 938</w:t>
      </w:r>
      <w:r>
        <w:t>.</w:t>
      </w:r>
      <w:r w:rsidRPr="00BD0E9E">
        <w:t xml:space="preserve"> </w:t>
      </w:r>
    </w:p>
    <w:p w:rsidR="00482F9F" w:rsidRDefault="00482F9F" w:rsidP="00482F9F">
      <w:pPr>
        <w:pStyle w:val="SCCNormalDoubleSpacing"/>
        <w:spacing w:after="720" w:line="240" w:lineRule="auto"/>
        <w:rPr>
          <w:b/>
        </w:rPr>
      </w:pPr>
      <w:r w:rsidRPr="00314E01">
        <w:rPr>
          <w:b/>
        </w:rPr>
        <w:t>Statutes and Regulations Cite</w:t>
      </w:r>
      <w:r>
        <w:rPr>
          <w:b/>
        </w:rPr>
        <w:t>d</w:t>
      </w:r>
    </w:p>
    <w:p w:rsidR="00482F9F" w:rsidRDefault="00482F9F" w:rsidP="00482F9F">
      <w:pPr>
        <w:pStyle w:val="SCCNormalDoubleSpacing"/>
        <w:spacing w:after="720" w:line="240" w:lineRule="auto"/>
        <w:ind w:left="547" w:hanging="547"/>
      </w:pPr>
      <w:r w:rsidRPr="00B465F5">
        <w:rPr>
          <w:i/>
        </w:rPr>
        <w:t>Criminal Code</w:t>
      </w:r>
      <w:r w:rsidRPr="00B465F5">
        <w:t>, R.S.C. 1985, c. C-46</w:t>
      </w:r>
      <w:r>
        <w:t>, s. 686(1)(b)(i), (3).</w:t>
      </w:r>
    </w:p>
    <w:p w:rsidR="00482F9F" w:rsidRDefault="00482F9F" w:rsidP="00482F9F">
      <w:pPr>
        <w:pStyle w:val="SCCNormalDoubleSpacing"/>
        <w:spacing w:after="480"/>
      </w:pPr>
      <w:r w:rsidRPr="001426A9">
        <w:tab/>
        <w:t xml:space="preserve">APPEAL from a judgment of the </w:t>
      </w:r>
      <w:r>
        <w:t>Nova Scotia Court of Appeal (Farrar, Bourgeois and Van den Eynden JJ.A.), 2017 NSCA 89, 358 C.C.C. (3d) 75, [2017] N.S.J. No. 467 (QL), 2017 CarwswellNS 884 (WL Can.), setting aside the convictions of the accused for conspiracy to commit murder and first degree murder and ordering a new trial. Appeal allowed in part.</w:t>
      </w:r>
    </w:p>
    <w:p w:rsidR="00482F9F" w:rsidRDefault="00482F9F" w:rsidP="00482F9F">
      <w:pPr>
        <w:pStyle w:val="SCCNormalDoubleSpacing"/>
        <w:spacing w:after="480"/>
      </w:pPr>
      <w:r>
        <w:rPr>
          <w:rStyle w:val="SCCCounselNameChar"/>
        </w:rPr>
        <w:tab/>
        <w:t>Jennifer A. MacLellan</w:t>
      </w:r>
      <w:r w:rsidRPr="00BF611D">
        <w:rPr>
          <w:rStyle w:val="SCCCounselNameChar"/>
          <w:i w:val="0"/>
        </w:rPr>
        <w:t>,</w:t>
      </w:r>
      <w:r>
        <w:rPr>
          <w:rStyle w:val="SCCCounselNameChar"/>
        </w:rPr>
        <w:t xml:space="preserve"> Q.C.</w:t>
      </w:r>
      <w:r>
        <w:rPr>
          <w:rStyle w:val="SCCCounselNameChar"/>
          <w:i w:val="0"/>
        </w:rPr>
        <w:t>,</w:t>
      </w:r>
      <w:r>
        <w:rPr>
          <w:rStyle w:val="SCCCounselSeparatorChar"/>
        </w:rPr>
        <w:t xml:space="preserve"> and </w:t>
      </w:r>
      <w:r>
        <w:rPr>
          <w:rStyle w:val="SCCCounselNameChar"/>
        </w:rPr>
        <w:t>Mark Scott</w:t>
      </w:r>
      <w:r w:rsidRPr="00BF611D">
        <w:rPr>
          <w:rStyle w:val="SCCCounselNameChar"/>
          <w:i w:val="0"/>
        </w:rPr>
        <w:t>,</w:t>
      </w:r>
      <w:r>
        <w:rPr>
          <w:rStyle w:val="SCCCounselNameChar"/>
        </w:rPr>
        <w:t xml:space="preserve"> Q.C.</w:t>
      </w:r>
      <w:r>
        <w:rPr>
          <w:rStyle w:val="SCCCounselPartyRoleChar"/>
        </w:rPr>
        <w:t>, for the appellant.</w:t>
      </w:r>
    </w:p>
    <w:p w:rsidR="00482F9F" w:rsidRDefault="00482F9F" w:rsidP="00482F9F">
      <w:pPr>
        <w:pStyle w:val="SCCNormalDoubleSpacing"/>
        <w:spacing w:after="480"/>
      </w:pPr>
      <w:r>
        <w:rPr>
          <w:rStyle w:val="SCCCounselNameChar"/>
        </w:rPr>
        <w:tab/>
        <w:t xml:space="preserve">R. Philip Campbell </w:t>
      </w:r>
      <w:r w:rsidRPr="0060212B">
        <w:rPr>
          <w:rStyle w:val="SCCCounselNameChar"/>
          <w:i w:val="0"/>
        </w:rPr>
        <w:t>and</w:t>
      </w:r>
      <w:r>
        <w:rPr>
          <w:rStyle w:val="SCCCounselNameChar"/>
        </w:rPr>
        <w:t xml:space="preserve"> Matthew </w:t>
      </w:r>
      <w:r w:rsidRPr="00C62953">
        <w:rPr>
          <w:rStyle w:val="SCCCounselNameChar"/>
        </w:rPr>
        <w:t>S. Estabrooks</w:t>
      </w:r>
      <w:r w:rsidRPr="00C62953">
        <w:rPr>
          <w:rStyle w:val="SCCCounselPartyRoleChar"/>
        </w:rPr>
        <w:t>,</w:t>
      </w:r>
      <w:r>
        <w:rPr>
          <w:rStyle w:val="SCCCounselPartyRoleChar"/>
        </w:rPr>
        <w:t xml:space="preserve"> for the respondent.</w:t>
      </w:r>
    </w:p>
    <w:p w:rsidR="00482F9F" w:rsidRDefault="00482F9F" w:rsidP="00482F9F">
      <w:pPr>
        <w:pStyle w:val="SCCNormalDoubleSpacing"/>
        <w:spacing w:after="480"/>
      </w:pPr>
      <w:r>
        <w:rPr>
          <w:rStyle w:val="SCCCounselNameChar"/>
        </w:rPr>
        <w:tab/>
        <w:t xml:space="preserve">Amber Pashuk </w:t>
      </w:r>
      <w:r w:rsidRPr="0060212B">
        <w:rPr>
          <w:rStyle w:val="SCCCounselNameChar"/>
          <w:i w:val="0"/>
        </w:rPr>
        <w:t>and</w:t>
      </w:r>
      <w:r>
        <w:rPr>
          <w:rStyle w:val="SCCCounselNameChar"/>
        </w:rPr>
        <w:t xml:space="preserve"> François Lacasse</w:t>
      </w:r>
      <w:r>
        <w:rPr>
          <w:rStyle w:val="SCCCounselPartyRoleChar"/>
        </w:rPr>
        <w:t>, for the intervener the Director of Public Prosecutions.</w:t>
      </w:r>
    </w:p>
    <w:p w:rsidR="00482F9F" w:rsidRDefault="00482F9F" w:rsidP="00482F9F">
      <w:pPr>
        <w:pStyle w:val="SCCNormalDoubleSpacing"/>
        <w:spacing w:after="480"/>
      </w:pPr>
      <w:r>
        <w:rPr>
          <w:rStyle w:val="SCCCounselNameChar"/>
        </w:rPr>
        <w:tab/>
        <w:t>John Neander</w:t>
      </w:r>
      <w:r>
        <w:rPr>
          <w:rStyle w:val="SCCCounselSeparatorChar"/>
        </w:rPr>
        <w:t xml:space="preserve"> and </w:t>
      </w:r>
      <w:r>
        <w:rPr>
          <w:rStyle w:val="SCCCounselNameChar"/>
        </w:rPr>
        <w:t>Michael Bernstein</w:t>
      </w:r>
      <w:r>
        <w:rPr>
          <w:rStyle w:val="SCCCounselPartyRoleChar"/>
        </w:rPr>
        <w:t>, for the intervener the Attorney General of Ontario.</w:t>
      </w:r>
    </w:p>
    <w:p w:rsidR="00482F9F" w:rsidRDefault="00482F9F" w:rsidP="00482F9F">
      <w:pPr>
        <w:pStyle w:val="SCCNormalDoubleSpacing"/>
        <w:spacing w:after="480"/>
      </w:pPr>
      <w:r>
        <w:rPr>
          <w:rStyle w:val="SCCCounselNameChar"/>
        </w:rPr>
        <w:tab/>
        <w:t>Ian R. Smith</w:t>
      </w:r>
      <w:r>
        <w:rPr>
          <w:rStyle w:val="SCCCounselPartyRoleChar"/>
        </w:rPr>
        <w:t>, for the intervener the Criminal Lawyers’ Association.</w:t>
      </w:r>
    </w:p>
    <w:p w:rsidR="00482F9F" w:rsidRDefault="00482F9F" w:rsidP="00482F9F">
      <w:pPr>
        <w:pStyle w:val="SCCNormalDoubleSpacing"/>
        <w:widowControl w:val="0"/>
        <w:spacing w:before="480" w:after="480"/>
      </w:pPr>
      <w:r w:rsidRPr="00B465F5">
        <w:tab/>
      </w:r>
      <w:r w:rsidRPr="00025FF7">
        <w:rPr>
          <w:lang w:val="en"/>
        </w:rPr>
        <w:t>The judgment of the Court was delivered orally by</w:t>
      </w:r>
      <w:r w:rsidRPr="00025FF7">
        <w:rPr>
          <w:rStyle w:val="FootnoteReference"/>
          <w:lang w:val="en"/>
        </w:rPr>
        <w:footnoteReference w:id="1"/>
      </w:r>
    </w:p>
    <w:p w:rsidR="00482F9F" w:rsidRPr="00B465F5" w:rsidRDefault="00482F9F" w:rsidP="00482F9F">
      <w:pPr>
        <w:pStyle w:val="ParaNoNdepar-AltN"/>
        <w:numPr>
          <w:ilvl w:val="0"/>
          <w:numId w:val="0"/>
        </w:numPr>
      </w:pPr>
      <w:r>
        <w:t>[1]</w:t>
      </w:r>
      <w:r>
        <w:tab/>
      </w:r>
      <w:r w:rsidRPr="00B465F5">
        <w:rPr>
          <w:smallCaps/>
        </w:rPr>
        <w:t>Karakatsanis J.</w:t>
      </w:r>
      <w:r w:rsidRPr="00B465F5">
        <w:t xml:space="preserve"> — We agree with the conclusion of the Court of Appeal that the trial judge’s instructions on party liability for first degree murder were in error. As a result, the conviction for first degree murder cannot stand. </w:t>
      </w:r>
    </w:p>
    <w:p w:rsidR="00482F9F" w:rsidRPr="00B465F5" w:rsidRDefault="00482F9F" w:rsidP="00482F9F">
      <w:pPr>
        <w:pStyle w:val="ParaNoNdepar-AltN"/>
        <w:numPr>
          <w:ilvl w:val="0"/>
          <w:numId w:val="0"/>
        </w:numPr>
      </w:pPr>
      <w:r>
        <w:t>[2]</w:t>
      </w:r>
      <w:r>
        <w:tab/>
      </w:r>
      <w:r w:rsidRPr="00B465F5">
        <w:t>We do not, however, agree with the Court of Appeal that the trial judge was required to charge the jury on manslaughter. While not determinative, we agree with defence counsel’s position at trial that there was no basis to leave it with the jury as an available verdict. In our view, the evidence was, at best, tenuous and speculative, and did not meet the air of reality test.</w:t>
      </w:r>
    </w:p>
    <w:p w:rsidR="00482F9F" w:rsidRPr="00B465F5" w:rsidRDefault="00482F9F" w:rsidP="00482F9F">
      <w:pPr>
        <w:pStyle w:val="ParaNoNdepar-AltN"/>
        <w:numPr>
          <w:ilvl w:val="0"/>
          <w:numId w:val="0"/>
        </w:numPr>
      </w:pPr>
      <w:r>
        <w:t>[3]</w:t>
      </w:r>
      <w:r>
        <w:tab/>
      </w:r>
      <w:r w:rsidRPr="00B465F5">
        <w:t xml:space="preserve">With respect to the conspiracy charge, we do not agree with the Court of Appeal. In the particular circumstances of this case, we are not persuaded that the trial judge erred in the evidence he left for the jury to consider as part of the third prong of the </w:t>
      </w:r>
      <w:r w:rsidRPr="00B465F5">
        <w:rPr>
          <w:i/>
        </w:rPr>
        <w:t xml:space="preserve">Carter </w:t>
      </w:r>
      <w:r w:rsidRPr="00B465F5">
        <w:t>test for the admissibility of co-conspirator hearsay (</w:t>
      </w:r>
      <w:r w:rsidRPr="00B465F5">
        <w:rPr>
          <w:i/>
        </w:rPr>
        <w:t>R. v. Carter</w:t>
      </w:r>
      <w:r w:rsidRPr="00B465F5">
        <w:t xml:space="preserve">, [1982] 1 S.C.R. 938). We note, in this regard, that the defence of the accused to the charge of conspiracy is that he did not know the nature and scope of the alleged conspiracy. Accordingly, we would not have interfered with the conviction for conspiracy to commit murder. </w:t>
      </w:r>
    </w:p>
    <w:p w:rsidR="00482F9F" w:rsidRPr="00B465F5" w:rsidRDefault="00482F9F" w:rsidP="00482F9F">
      <w:pPr>
        <w:pStyle w:val="ParaNoNdepar-AltN"/>
        <w:numPr>
          <w:ilvl w:val="0"/>
          <w:numId w:val="0"/>
        </w:numPr>
      </w:pPr>
      <w:r>
        <w:t>[4]</w:t>
      </w:r>
      <w:r>
        <w:tab/>
      </w:r>
      <w:r w:rsidRPr="00B465F5">
        <w:t xml:space="preserve">Given our conclusions, the parties agree that it would be appropriate to substitute a verdict of second degree murder in place of the verdict for first degree murder. We are satisfied that such a verdict is appropriate in the circumstances. </w:t>
      </w:r>
    </w:p>
    <w:p w:rsidR="00482F9F" w:rsidRPr="00B465F5" w:rsidRDefault="00482F9F" w:rsidP="00482F9F">
      <w:pPr>
        <w:pStyle w:val="ParaNoNdepar-AltN"/>
        <w:numPr>
          <w:ilvl w:val="0"/>
          <w:numId w:val="0"/>
        </w:numPr>
      </w:pPr>
      <w:r>
        <w:t>[5]</w:t>
      </w:r>
      <w:r>
        <w:tab/>
      </w:r>
      <w:r w:rsidRPr="00B465F5">
        <w:t xml:space="preserve">As a result, pursuant to s. 686(1)(b)(i) and s. 686(3) of the </w:t>
      </w:r>
      <w:r w:rsidRPr="00B465F5">
        <w:rPr>
          <w:i/>
        </w:rPr>
        <w:t>Criminal Code</w:t>
      </w:r>
      <w:r w:rsidRPr="00B465F5">
        <w:t xml:space="preserve">, R.S.C. 1985, c. C-46, we would have dismissed the appeal and substituted a conviction for second degree murder. </w:t>
      </w:r>
    </w:p>
    <w:p w:rsidR="00482F9F" w:rsidRPr="00B465F5" w:rsidRDefault="00482F9F" w:rsidP="00482F9F">
      <w:pPr>
        <w:pStyle w:val="ParaNoNdepar-AltN"/>
        <w:numPr>
          <w:ilvl w:val="0"/>
          <w:numId w:val="0"/>
        </w:numPr>
      </w:pPr>
      <w:r>
        <w:t>[6]</w:t>
      </w:r>
      <w:r>
        <w:tab/>
      </w:r>
      <w:r w:rsidRPr="00B465F5">
        <w:t xml:space="preserve">Therefore, the appeal is allowed in part. The conspiracy conviction is restored and a second degree murder conviction is entered. </w:t>
      </w:r>
    </w:p>
    <w:p w:rsidR="00482F9F" w:rsidRDefault="00482F9F" w:rsidP="00482F9F">
      <w:pPr>
        <w:pStyle w:val="ParaNoNdepar-AltN"/>
        <w:numPr>
          <w:ilvl w:val="0"/>
          <w:numId w:val="0"/>
        </w:numPr>
      </w:pPr>
      <w:r>
        <w:t>[7]</w:t>
      </w:r>
      <w:r>
        <w:tab/>
      </w:r>
      <w:r w:rsidRPr="00B465F5">
        <w:t>Counsel are encouraged to agree on the appropriate sentence regarding eligibility for parole. The matter is remitted to the trial court for sentencing.</w:t>
      </w:r>
    </w:p>
    <w:p w:rsidR="00482F9F" w:rsidRPr="006F1CAA" w:rsidRDefault="00482F9F" w:rsidP="00482F9F">
      <w:pPr>
        <w:pStyle w:val="SCCNormalDoubleSpacing"/>
        <w:spacing w:after="480"/>
      </w:pPr>
      <w:r>
        <w:rPr>
          <w:i/>
        </w:rPr>
        <w:tab/>
      </w:r>
      <w:r w:rsidRPr="00B465F5">
        <w:rPr>
          <w:i/>
        </w:rPr>
        <w:t xml:space="preserve">Judgment accordingly. </w:t>
      </w:r>
    </w:p>
    <w:p w:rsidR="00482F9F" w:rsidRDefault="00482F9F" w:rsidP="00482F9F">
      <w:pPr>
        <w:pStyle w:val="SCCLawFirm"/>
        <w:spacing w:after="480"/>
      </w:pPr>
      <w:r>
        <w:tab/>
        <w:t>Solicitor for the appellant: Nova Scotia Public Prosecution Service, Halifax.</w:t>
      </w:r>
    </w:p>
    <w:p w:rsidR="00482F9F" w:rsidRDefault="00482F9F" w:rsidP="00482F9F">
      <w:pPr>
        <w:pStyle w:val="SCCLawFirm"/>
        <w:spacing w:after="480"/>
      </w:pPr>
      <w:r>
        <w:tab/>
        <w:t>Solicitors for the respondent: Lockyer Campbell Posner, Toronto; Gowling WLG</w:t>
      </w:r>
      <w:r w:rsidRPr="00FA3662">
        <w:t>, Ottawa.</w:t>
      </w:r>
    </w:p>
    <w:p w:rsidR="00482F9F" w:rsidRDefault="00482F9F" w:rsidP="00482F9F">
      <w:pPr>
        <w:pStyle w:val="SCCLawFirm"/>
        <w:spacing w:after="480"/>
      </w:pPr>
      <w:r>
        <w:tab/>
        <w:t>Solicitor for the intervener the Director of Public Prosecutions: Public Prosecution Service of Canada, Brampton.</w:t>
      </w:r>
    </w:p>
    <w:p w:rsidR="00482F9F" w:rsidRDefault="00482F9F" w:rsidP="00482F9F">
      <w:pPr>
        <w:pStyle w:val="SCCLawFirm"/>
        <w:spacing w:after="480"/>
      </w:pPr>
      <w:r>
        <w:tab/>
        <w:t>Solicitor for the intervener the Attorney General of Ontario: Attorney General of Ontario, Toronto.</w:t>
      </w:r>
    </w:p>
    <w:p w:rsidR="00482F9F" w:rsidRPr="00B82D4F" w:rsidRDefault="00482F9F" w:rsidP="00482F9F">
      <w:pPr>
        <w:pStyle w:val="SCCLawFirm"/>
      </w:pPr>
      <w:r>
        <w:tab/>
        <w:t>Solicitors for the intervener the Criminal Lawyers’ Association: Fenton, Smith, Toronto.</w:t>
      </w:r>
    </w:p>
    <w:p w:rsidR="009B57B3" w:rsidRPr="00304C55" w:rsidRDefault="009B57B3" w:rsidP="00482F9F">
      <w:pPr>
        <w:pStyle w:val="Header"/>
      </w:pPr>
    </w:p>
    <w:sectPr w:rsidR="009B57B3" w:rsidRPr="00304C55"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 w:id="1">
    <w:p w:rsidR="00482F9F" w:rsidRPr="00D21791" w:rsidRDefault="00482F9F" w:rsidP="00482F9F">
      <w:pPr>
        <w:pStyle w:val="FootnoteText"/>
        <w:rPr>
          <w:lang w:val="en-US"/>
        </w:rPr>
      </w:pPr>
      <w:r w:rsidRPr="00025FF7">
        <w:rPr>
          <w:rStyle w:val="FootnoteReference"/>
        </w:rPr>
        <w:footnoteRef/>
      </w:r>
      <w:r w:rsidRPr="00025FF7">
        <w:t xml:space="preserve"> </w:t>
      </w:r>
      <w:r w:rsidRPr="00025FF7">
        <w:rPr>
          <w:lang w:val="en-US"/>
        </w:rPr>
        <w:t>The judgment pronounced at the hearing was amended.</w:t>
      </w:r>
      <w:r w:rsidRPr="00D21791">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3906"/>
    <w:multiLevelType w:val="multilevel"/>
    <w:tmpl w:val="A2E23A80"/>
    <w:lvl w:ilvl="0">
      <w:start w:val="1"/>
      <w:numFmt w:val="decimal"/>
      <w:pStyle w:val="ParaNoNdepar-Alt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479683C"/>
    <w:multiLevelType w:val="multilevel"/>
    <w:tmpl w:val="2C9CB0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578A3"/>
    <w:rsid w:val="000648CC"/>
    <w:rsid w:val="000A60A9"/>
    <w:rsid w:val="000C59B8"/>
    <w:rsid w:val="000C6AF0"/>
    <w:rsid w:val="00104F33"/>
    <w:rsid w:val="00111DE2"/>
    <w:rsid w:val="00116B38"/>
    <w:rsid w:val="00135406"/>
    <w:rsid w:val="00135972"/>
    <w:rsid w:val="001426A9"/>
    <w:rsid w:val="00154D7C"/>
    <w:rsid w:val="001570B0"/>
    <w:rsid w:val="0015752C"/>
    <w:rsid w:val="00157737"/>
    <w:rsid w:val="00165277"/>
    <w:rsid w:val="00170592"/>
    <w:rsid w:val="00186351"/>
    <w:rsid w:val="0019538D"/>
    <w:rsid w:val="00195D83"/>
    <w:rsid w:val="001A00C1"/>
    <w:rsid w:val="001A6AEA"/>
    <w:rsid w:val="001B0B44"/>
    <w:rsid w:val="001B33E0"/>
    <w:rsid w:val="001B4573"/>
    <w:rsid w:val="001B6CF0"/>
    <w:rsid w:val="001C779F"/>
    <w:rsid w:val="001D2AC1"/>
    <w:rsid w:val="001D4E88"/>
    <w:rsid w:val="00220FC2"/>
    <w:rsid w:val="002222F4"/>
    <w:rsid w:val="00224FC0"/>
    <w:rsid w:val="00225EA4"/>
    <w:rsid w:val="00226EAF"/>
    <w:rsid w:val="00231F3A"/>
    <w:rsid w:val="0023407B"/>
    <w:rsid w:val="00234199"/>
    <w:rsid w:val="002406EE"/>
    <w:rsid w:val="00243EC8"/>
    <w:rsid w:val="002513CA"/>
    <w:rsid w:val="00270D93"/>
    <w:rsid w:val="002745CC"/>
    <w:rsid w:val="002A03ED"/>
    <w:rsid w:val="002B7924"/>
    <w:rsid w:val="002D28C3"/>
    <w:rsid w:val="002D39A4"/>
    <w:rsid w:val="002E6705"/>
    <w:rsid w:val="002F1A08"/>
    <w:rsid w:val="00301D08"/>
    <w:rsid w:val="0030329A"/>
    <w:rsid w:val="00304C55"/>
    <w:rsid w:val="0031086F"/>
    <w:rsid w:val="0031414C"/>
    <w:rsid w:val="00314E01"/>
    <w:rsid w:val="0032089D"/>
    <w:rsid w:val="003310DE"/>
    <w:rsid w:val="003323B0"/>
    <w:rsid w:val="003345D1"/>
    <w:rsid w:val="00342297"/>
    <w:rsid w:val="003455EC"/>
    <w:rsid w:val="0035169A"/>
    <w:rsid w:val="0035259D"/>
    <w:rsid w:val="00364B18"/>
    <w:rsid w:val="00366BE0"/>
    <w:rsid w:val="003A125D"/>
    <w:rsid w:val="003A4C70"/>
    <w:rsid w:val="003B215F"/>
    <w:rsid w:val="003C4011"/>
    <w:rsid w:val="003C6685"/>
    <w:rsid w:val="003C799C"/>
    <w:rsid w:val="003D0399"/>
    <w:rsid w:val="003E1C71"/>
    <w:rsid w:val="003F327B"/>
    <w:rsid w:val="00406166"/>
    <w:rsid w:val="0040704B"/>
    <w:rsid w:val="00410A55"/>
    <w:rsid w:val="00411300"/>
    <w:rsid w:val="00415417"/>
    <w:rsid w:val="00425FE1"/>
    <w:rsid w:val="00426659"/>
    <w:rsid w:val="00450352"/>
    <w:rsid w:val="00454BDB"/>
    <w:rsid w:val="00464800"/>
    <w:rsid w:val="00465132"/>
    <w:rsid w:val="00480C90"/>
    <w:rsid w:val="00482F9F"/>
    <w:rsid w:val="0048396F"/>
    <w:rsid w:val="004917E7"/>
    <w:rsid w:val="00493C18"/>
    <w:rsid w:val="004A600C"/>
    <w:rsid w:val="004A6118"/>
    <w:rsid w:val="004C1464"/>
    <w:rsid w:val="004C478D"/>
    <w:rsid w:val="004C5383"/>
    <w:rsid w:val="004E2C26"/>
    <w:rsid w:val="004E4E3A"/>
    <w:rsid w:val="004F36FF"/>
    <w:rsid w:val="005125A8"/>
    <w:rsid w:val="00516272"/>
    <w:rsid w:val="00521AE8"/>
    <w:rsid w:val="00527180"/>
    <w:rsid w:val="0054201E"/>
    <w:rsid w:val="00555291"/>
    <w:rsid w:val="00565588"/>
    <w:rsid w:val="00566AD1"/>
    <w:rsid w:val="00583EDE"/>
    <w:rsid w:val="005A210A"/>
    <w:rsid w:val="005A227B"/>
    <w:rsid w:val="005A6079"/>
    <w:rsid w:val="005E4698"/>
    <w:rsid w:val="00610539"/>
    <w:rsid w:val="00613969"/>
    <w:rsid w:val="00625C35"/>
    <w:rsid w:val="00656313"/>
    <w:rsid w:val="006565F4"/>
    <w:rsid w:val="00684EEA"/>
    <w:rsid w:val="0069689B"/>
    <w:rsid w:val="006A1551"/>
    <w:rsid w:val="006A1942"/>
    <w:rsid w:val="006B0BE1"/>
    <w:rsid w:val="006B5FF5"/>
    <w:rsid w:val="006F30AF"/>
    <w:rsid w:val="006F63E4"/>
    <w:rsid w:val="00701759"/>
    <w:rsid w:val="00705C15"/>
    <w:rsid w:val="007074C4"/>
    <w:rsid w:val="0071600E"/>
    <w:rsid w:val="007208D1"/>
    <w:rsid w:val="00747288"/>
    <w:rsid w:val="00747DD3"/>
    <w:rsid w:val="007549C8"/>
    <w:rsid w:val="00754A0B"/>
    <w:rsid w:val="00766D14"/>
    <w:rsid w:val="00767A0F"/>
    <w:rsid w:val="00780E80"/>
    <w:rsid w:val="007A05F6"/>
    <w:rsid w:val="007B6F4A"/>
    <w:rsid w:val="007E1C47"/>
    <w:rsid w:val="007E337A"/>
    <w:rsid w:val="007E5C70"/>
    <w:rsid w:val="007F2FF5"/>
    <w:rsid w:val="007F3F08"/>
    <w:rsid w:val="00804CC6"/>
    <w:rsid w:val="00817190"/>
    <w:rsid w:val="00820EE5"/>
    <w:rsid w:val="008260E2"/>
    <w:rsid w:val="008322BD"/>
    <w:rsid w:val="00833E0A"/>
    <w:rsid w:val="00834F73"/>
    <w:rsid w:val="00845F3B"/>
    <w:rsid w:val="00864CF8"/>
    <w:rsid w:val="00872819"/>
    <w:rsid w:val="00874914"/>
    <w:rsid w:val="00891422"/>
    <w:rsid w:val="00892E1A"/>
    <w:rsid w:val="008A3F29"/>
    <w:rsid w:val="008B660A"/>
    <w:rsid w:val="008C01DA"/>
    <w:rsid w:val="008F78E9"/>
    <w:rsid w:val="00902261"/>
    <w:rsid w:val="00911989"/>
    <w:rsid w:val="009179F9"/>
    <w:rsid w:val="00933E5E"/>
    <w:rsid w:val="00935218"/>
    <w:rsid w:val="009403F3"/>
    <w:rsid w:val="009555B7"/>
    <w:rsid w:val="009567AA"/>
    <w:rsid w:val="00967374"/>
    <w:rsid w:val="009A343A"/>
    <w:rsid w:val="009B2F23"/>
    <w:rsid w:val="009B57B3"/>
    <w:rsid w:val="009C5B92"/>
    <w:rsid w:val="009D2920"/>
    <w:rsid w:val="009D5AEB"/>
    <w:rsid w:val="009F0E33"/>
    <w:rsid w:val="00A030CE"/>
    <w:rsid w:val="00A149DF"/>
    <w:rsid w:val="00A1755C"/>
    <w:rsid w:val="00A21B90"/>
    <w:rsid w:val="00A41805"/>
    <w:rsid w:val="00A42DCD"/>
    <w:rsid w:val="00A52AFB"/>
    <w:rsid w:val="00A548CB"/>
    <w:rsid w:val="00A5521C"/>
    <w:rsid w:val="00A643E7"/>
    <w:rsid w:val="00A73C38"/>
    <w:rsid w:val="00AB670D"/>
    <w:rsid w:val="00AE4535"/>
    <w:rsid w:val="00AF03C5"/>
    <w:rsid w:val="00B000D8"/>
    <w:rsid w:val="00B00F75"/>
    <w:rsid w:val="00B145B6"/>
    <w:rsid w:val="00B279EB"/>
    <w:rsid w:val="00B50C81"/>
    <w:rsid w:val="00B557F8"/>
    <w:rsid w:val="00B815FC"/>
    <w:rsid w:val="00B93FBC"/>
    <w:rsid w:val="00BA7DA0"/>
    <w:rsid w:val="00BB2EE4"/>
    <w:rsid w:val="00BC2108"/>
    <w:rsid w:val="00BD0E9E"/>
    <w:rsid w:val="00BD1BEC"/>
    <w:rsid w:val="00BD32FF"/>
    <w:rsid w:val="00C02092"/>
    <w:rsid w:val="00C11559"/>
    <w:rsid w:val="00C1162D"/>
    <w:rsid w:val="00C24D91"/>
    <w:rsid w:val="00C53F14"/>
    <w:rsid w:val="00C600CF"/>
    <w:rsid w:val="00C6084F"/>
    <w:rsid w:val="00C62A66"/>
    <w:rsid w:val="00C71458"/>
    <w:rsid w:val="00C77613"/>
    <w:rsid w:val="00C828E7"/>
    <w:rsid w:val="00C8444D"/>
    <w:rsid w:val="00C86719"/>
    <w:rsid w:val="00C921DD"/>
    <w:rsid w:val="00CA6391"/>
    <w:rsid w:val="00CC1EB2"/>
    <w:rsid w:val="00CC34BD"/>
    <w:rsid w:val="00CE161A"/>
    <w:rsid w:val="00CE3171"/>
    <w:rsid w:val="00CF1601"/>
    <w:rsid w:val="00D0172F"/>
    <w:rsid w:val="00D033A5"/>
    <w:rsid w:val="00D068A7"/>
    <w:rsid w:val="00D17476"/>
    <w:rsid w:val="00D32086"/>
    <w:rsid w:val="00D37A3F"/>
    <w:rsid w:val="00D4431D"/>
    <w:rsid w:val="00D4667A"/>
    <w:rsid w:val="00D6250C"/>
    <w:rsid w:val="00D63A1C"/>
    <w:rsid w:val="00D7516F"/>
    <w:rsid w:val="00D8579F"/>
    <w:rsid w:val="00D905B7"/>
    <w:rsid w:val="00D95F8E"/>
    <w:rsid w:val="00DA0590"/>
    <w:rsid w:val="00DB7BEA"/>
    <w:rsid w:val="00DC1739"/>
    <w:rsid w:val="00DC1788"/>
    <w:rsid w:val="00DE319C"/>
    <w:rsid w:val="00DF0CA8"/>
    <w:rsid w:val="00DF2B48"/>
    <w:rsid w:val="00DF49A7"/>
    <w:rsid w:val="00E07EE2"/>
    <w:rsid w:val="00E07FD1"/>
    <w:rsid w:val="00E176D8"/>
    <w:rsid w:val="00E24573"/>
    <w:rsid w:val="00E25E1E"/>
    <w:rsid w:val="00E27EE7"/>
    <w:rsid w:val="00E35404"/>
    <w:rsid w:val="00E45109"/>
    <w:rsid w:val="00E47B7A"/>
    <w:rsid w:val="00E56A44"/>
    <w:rsid w:val="00E60269"/>
    <w:rsid w:val="00E77932"/>
    <w:rsid w:val="00E97830"/>
    <w:rsid w:val="00EA0777"/>
    <w:rsid w:val="00EB0545"/>
    <w:rsid w:val="00EE643C"/>
    <w:rsid w:val="00EF0683"/>
    <w:rsid w:val="00EF69D2"/>
    <w:rsid w:val="00EF766E"/>
    <w:rsid w:val="00F0070C"/>
    <w:rsid w:val="00F00EB7"/>
    <w:rsid w:val="00F02567"/>
    <w:rsid w:val="00F36AB6"/>
    <w:rsid w:val="00F37A09"/>
    <w:rsid w:val="00F409CE"/>
    <w:rsid w:val="00F4379D"/>
    <w:rsid w:val="00F50D2D"/>
    <w:rsid w:val="00F56C8B"/>
    <w:rsid w:val="00F66810"/>
    <w:rsid w:val="00F846D9"/>
    <w:rsid w:val="00F84DF4"/>
    <w:rsid w:val="00F85C97"/>
    <w:rsid w:val="00FB37D2"/>
    <w:rsid w:val="00FC4EF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styleId="ListParagraph">
    <w:name w:val="List Paragraph"/>
    <w:basedOn w:val="Normal"/>
    <w:uiPriority w:val="34"/>
    <w:qFormat/>
    <w:rsid w:val="00D6250C"/>
    <w:pPr>
      <w:ind w:left="720"/>
      <w:contextualSpacing/>
    </w:pPr>
  </w:style>
  <w:style w:type="paragraph" w:customStyle="1" w:styleId="ParaNoNdepar-AltN">
    <w:name w:val="Para. No. / Nº de par. - Alt N"/>
    <w:link w:val="ParaNoNdepar-AltNChar"/>
    <w:qFormat/>
    <w:rsid w:val="00342297"/>
    <w:pPr>
      <w:numPr>
        <w:numId w:val="1"/>
      </w:numPr>
      <w:tabs>
        <w:tab w:val="left" w:pos="1166"/>
      </w:tabs>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342297"/>
    <w:rPr>
      <w:rFonts w:eastAsiaTheme="minorEastAsia" w:cstheme="minorBidi"/>
      <w:sz w:val="24"/>
      <w:szCs w:val="22"/>
      <w:lang w:eastAsia="en-US"/>
    </w:rPr>
  </w:style>
  <w:style w:type="table" w:styleId="TableGrid">
    <w:name w:val="Table Grid"/>
    <w:basedOn w:val="TableNormal"/>
    <w:uiPriority w:val="59"/>
    <w:rsid w:val="00EB0545"/>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EB0545"/>
    <w:rPr>
      <w:rFonts w:ascii="Times New Roman" w:hAnsi="Times New Roman"/>
      <w:sz w:val="24"/>
      <w:szCs w:val="24"/>
      <w:lang w:val="en-CA"/>
    </w:rPr>
  </w:style>
  <w:style w:type="paragraph" w:customStyle="1" w:styleId="SCCLsocPrefix">
    <w:name w:val="SCC.Lsoc.Prefix"/>
    <w:basedOn w:val="Normal"/>
    <w:next w:val="Normal"/>
    <w:link w:val="SCCLsocPrefixChar"/>
    <w:rsid w:val="00EB0545"/>
    <w:rPr>
      <w:rFonts w:eastAsiaTheme="minorHAnsi" w:cstheme="minorBidi"/>
      <w:b/>
      <w:smallCaps/>
      <w:szCs w:val="24"/>
      <w:lang w:eastAsia="en-US"/>
    </w:rPr>
  </w:style>
  <w:style w:type="character" w:customStyle="1" w:styleId="SCCLsocPrefixChar">
    <w:name w:val="SCC.Lsoc.Prefix Char"/>
    <w:basedOn w:val="DefaultParagraphFont"/>
    <w:link w:val="SCCLsocPrefix"/>
    <w:rsid w:val="00EB0545"/>
    <w:rPr>
      <w:rFonts w:eastAsiaTheme="minorHAnsi" w:cstheme="minorBidi"/>
      <w:b/>
      <w:smallCaps/>
      <w:sz w:val="24"/>
      <w:szCs w:val="24"/>
      <w:lang w:eastAsia="en-US"/>
    </w:rPr>
  </w:style>
  <w:style w:type="paragraph" w:styleId="FootnoteText">
    <w:name w:val="footnote text"/>
    <w:basedOn w:val="Normal"/>
    <w:link w:val="FootnoteTextChar"/>
    <w:uiPriority w:val="99"/>
    <w:semiHidden/>
    <w:unhideWhenUsed/>
    <w:rsid w:val="00482F9F"/>
    <w:rPr>
      <w:sz w:val="20"/>
    </w:rPr>
  </w:style>
  <w:style w:type="character" w:customStyle="1" w:styleId="FootnoteTextChar">
    <w:name w:val="Footnote Text Char"/>
    <w:basedOn w:val="DefaultParagraphFont"/>
    <w:link w:val="FootnoteText"/>
    <w:uiPriority w:val="99"/>
    <w:semiHidden/>
    <w:rsid w:val="00482F9F"/>
  </w:style>
  <w:style w:type="character" w:styleId="FootnoteReference">
    <w:name w:val="footnote reference"/>
    <w:basedOn w:val="DefaultParagraphFont"/>
    <w:uiPriority w:val="99"/>
    <w:semiHidden/>
    <w:unhideWhenUsed/>
    <w:rsid w:val="00482F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824</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2020-05-14T13:22:00Z</dcterms:created>
  <dcterms:modified xsi:type="dcterms:W3CDTF">2020-05-14T13:57:00Z</dcterms:modified>
</cp:coreProperties>
</file>