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D3" w:rsidRPr="006D74D3" w:rsidRDefault="006D74D3" w:rsidP="003E7F8F">
      <w:pPr>
        <w:tabs>
          <w:tab w:val="center" w:pos="4680"/>
          <w:tab w:val="right" w:pos="9360"/>
        </w:tabs>
        <w:jc w:val="center"/>
        <w:rPr>
          <w:rFonts w:eastAsia="Calibri"/>
          <w:szCs w:val="24"/>
          <w:lang w:eastAsia="en-US"/>
        </w:rPr>
      </w:pPr>
      <w:r w:rsidRPr="006D74D3">
        <w:rPr>
          <w:rFonts w:eastAsia="Calibri"/>
          <w:szCs w:val="24"/>
          <w:lang w:eastAsia="en-US"/>
        </w:rPr>
        <w:ptab w:relativeTo="margin" w:alignment="center" w:leader="none"/>
      </w:r>
      <w:r w:rsidRPr="006D74D3">
        <w:rPr>
          <w:rFonts w:eastAsia="Calibri"/>
          <w:szCs w:val="24"/>
          <w:lang w:eastAsia="en-US"/>
        </w:rPr>
        <w:t xml:space="preserve"> </w:t>
      </w:r>
      <w:bookmarkStart w:id="0" w:name="_GoBack"/>
      <w:r w:rsidRPr="006D74D3">
        <w:rPr>
          <w:rFonts w:eastAsia="Calibr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64.65pt" o:ole="">
            <v:imagedata r:id="rId7" o:title=""/>
          </v:shape>
          <o:OLEObject Type="Embed" ProgID="Presentations.Drawing.13" ShapeID="_x0000_i1025" DrawAspect="Content" ObjectID="_1676110373" r:id="rId8"/>
        </w:object>
      </w:r>
      <w:bookmarkEnd w:id="0"/>
      <w:r w:rsidRPr="006D74D3">
        <w:rPr>
          <w:rFonts w:eastAsia="Calibri"/>
          <w:szCs w:val="24"/>
          <w:lang w:eastAsia="en-US"/>
        </w:rPr>
        <w:t xml:space="preserve"> </w:t>
      </w:r>
      <w:r w:rsidRPr="006D74D3">
        <w:rPr>
          <w:rFonts w:eastAsia="Calibri"/>
          <w:szCs w:val="24"/>
          <w:lang w:eastAsia="en-US"/>
        </w:rPr>
        <w:ptab w:relativeTo="margin" w:alignment="right" w:leader="none"/>
      </w:r>
    </w:p>
    <w:p w:rsidR="006D74D3" w:rsidRPr="006D74D3" w:rsidRDefault="006D74D3" w:rsidP="006D74D3">
      <w:pPr>
        <w:tabs>
          <w:tab w:val="center" w:pos="4680"/>
          <w:tab w:val="right" w:pos="9360"/>
        </w:tabs>
        <w:rPr>
          <w:rFonts w:eastAsia="Calibri"/>
          <w:szCs w:val="24"/>
          <w:lang w:eastAsia="en-US"/>
        </w:rPr>
      </w:pPr>
    </w:p>
    <w:p w:rsidR="006D74D3" w:rsidRPr="006D74D3" w:rsidRDefault="006D74D3" w:rsidP="006D74D3">
      <w:pPr>
        <w:jc w:val="center"/>
        <w:rPr>
          <w:rFonts w:eastAsia="Calibri"/>
          <w:b/>
          <w:szCs w:val="24"/>
          <w:lang w:eastAsia="en-US"/>
        </w:rPr>
      </w:pPr>
      <w:r w:rsidRPr="006D74D3">
        <w:rPr>
          <w:rFonts w:eastAsia="Calibri"/>
          <w:b/>
          <w:szCs w:val="24"/>
          <w:lang w:eastAsia="en-US"/>
        </w:rPr>
        <w:t>SUPREME COURT OF CANADA</w:t>
      </w:r>
    </w:p>
    <w:p w:rsidR="006D74D3" w:rsidRPr="006D74D3" w:rsidRDefault="006D74D3" w:rsidP="006D74D3">
      <w:pPr>
        <w:rPr>
          <w:rFonts w:eastAsia="Calibri"/>
          <w:szCs w:val="24"/>
          <w:lang w:eastAsia="en-US"/>
        </w:rPr>
      </w:pPr>
    </w:p>
    <w:tbl>
      <w:tblPr>
        <w:tblStyle w:val="TableGrid11"/>
        <w:tblW w:w="53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1"/>
        <w:gridCol w:w="1756"/>
        <w:gridCol w:w="3387"/>
      </w:tblGrid>
      <w:tr w:rsidR="006D74D3" w:rsidRPr="006D74D3" w:rsidTr="00FD0877">
        <w:tc>
          <w:tcPr>
            <w:tcW w:w="2112" w:type="pct"/>
            <w:tcMar>
              <w:top w:w="284" w:type="dxa"/>
            </w:tcMar>
          </w:tcPr>
          <w:p w:rsidR="006D74D3" w:rsidRPr="006D74D3" w:rsidRDefault="006D74D3" w:rsidP="006D74D3">
            <w:pPr>
              <w:spacing w:before="100" w:beforeAutospacing="1"/>
              <w:rPr>
                <w:rFonts w:eastAsia="Calibri"/>
                <w:szCs w:val="24"/>
                <w:lang w:val="fr-CA"/>
              </w:rPr>
            </w:pPr>
            <w:r w:rsidRPr="006D74D3">
              <w:rPr>
                <w:b/>
                <w:smallCaps/>
                <w:szCs w:val="24"/>
                <w:lang w:val="fr-CA"/>
              </w:rPr>
              <w:t>Citation:</w:t>
            </w:r>
            <w:r w:rsidRPr="006D74D3">
              <w:rPr>
                <w:szCs w:val="24"/>
                <w:lang w:val="fr-CA"/>
              </w:rPr>
              <w:t xml:space="preserve"> </w:t>
            </w:r>
            <w:r w:rsidRPr="006D74D3">
              <w:rPr>
                <w:rFonts w:eastAsia="Calibri"/>
                <w:smallCaps/>
                <w:lang w:val="fr-CA"/>
              </w:rPr>
              <w:t xml:space="preserve">R. </w:t>
            </w:r>
            <w:r w:rsidRPr="006D74D3">
              <w:rPr>
                <w:rFonts w:eastAsia="Calibri"/>
                <w:lang w:val="fr-CA"/>
              </w:rPr>
              <w:t>v.</w:t>
            </w:r>
            <w:r w:rsidRPr="006D74D3">
              <w:rPr>
                <w:rFonts w:eastAsia="Calibri"/>
                <w:smallCaps/>
                <w:lang w:val="fr-CA"/>
              </w:rPr>
              <w:t xml:space="preserve"> J.M., 2019 SCC 24, [2019] 2 S.C.R. 396</w:t>
            </w:r>
          </w:p>
        </w:tc>
        <w:tc>
          <w:tcPr>
            <w:tcW w:w="986" w:type="pct"/>
          </w:tcPr>
          <w:p w:rsidR="006D74D3" w:rsidRPr="006D74D3" w:rsidRDefault="006D74D3" w:rsidP="006D74D3">
            <w:pPr>
              <w:rPr>
                <w:b/>
                <w:smallCaps/>
                <w:szCs w:val="24"/>
                <w:lang w:val="fr-CA"/>
              </w:rPr>
            </w:pPr>
          </w:p>
        </w:tc>
        <w:tc>
          <w:tcPr>
            <w:tcW w:w="1902" w:type="pct"/>
            <w:tcMar>
              <w:top w:w="284" w:type="dxa"/>
            </w:tcMar>
          </w:tcPr>
          <w:p w:rsidR="006D74D3" w:rsidRPr="006D74D3" w:rsidRDefault="006D74D3" w:rsidP="006D74D3">
            <w:pPr>
              <w:rPr>
                <w:szCs w:val="24"/>
              </w:rPr>
            </w:pPr>
            <w:r w:rsidRPr="006D74D3">
              <w:rPr>
                <w:b/>
                <w:smallCaps/>
                <w:szCs w:val="24"/>
              </w:rPr>
              <w:t>Appeal Heard:</w:t>
            </w:r>
            <w:r w:rsidRPr="006D74D3">
              <w:rPr>
                <w:szCs w:val="24"/>
              </w:rPr>
              <w:t xml:space="preserve"> April 18, 2019</w:t>
            </w:r>
          </w:p>
          <w:p w:rsidR="006D74D3" w:rsidRPr="006D74D3" w:rsidRDefault="006D74D3" w:rsidP="006D74D3">
            <w:pPr>
              <w:rPr>
                <w:szCs w:val="24"/>
              </w:rPr>
            </w:pPr>
            <w:r w:rsidRPr="006D74D3">
              <w:rPr>
                <w:b/>
                <w:smallCaps/>
                <w:szCs w:val="24"/>
              </w:rPr>
              <w:t>Judgment Rendered:</w:t>
            </w:r>
            <w:r w:rsidRPr="006D74D3">
              <w:rPr>
                <w:szCs w:val="24"/>
              </w:rPr>
              <w:t xml:space="preserve"> April 18, 2019</w:t>
            </w:r>
          </w:p>
          <w:p w:rsidR="006D74D3" w:rsidRPr="006D74D3" w:rsidRDefault="006D74D3" w:rsidP="006D74D3">
            <w:pPr>
              <w:rPr>
                <w:szCs w:val="24"/>
              </w:rPr>
            </w:pPr>
            <w:r w:rsidRPr="006D74D3">
              <w:rPr>
                <w:b/>
                <w:smallCaps/>
                <w:szCs w:val="24"/>
              </w:rPr>
              <w:t>Docket:</w:t>
            </w:r>
            <w:r w:rsidRPr="006D74D3">
              <w:rPr>
                <w:szCs w:val="24"/>
              </w:rPr>
              <w:t xml:space="preserve"> 38483</w:t>
            </w:r>
          </w:p>
        </w:tc>
      </w:tr>
    </w:tbl>
    <w:p w:rsidR="006D74D3" w:rsidRPr="006D74D3" w:rsidRDefault="006D74D3" w:rsidP="006D74D3">
      <w:pPr>
        <w:rPr>
          <w:rFonts w:eastAsia="Calibri"/>
          <w:szCs w:val="24"/>
          <w:lang w:eastAsia="en-US"/>
        </w:rPr>
      </w:pPr>
    </w:p>
    <w:p w:rsidR="006D74D3" w:rsidRPr="006D74D3" w:rsidRDefault="006D74D3" w:rsidP="006D74D3">
      <w:pPr>
        <w:rPr>
          <w:rFonts w:eastAsia="Calibri"/>
          <w:b/>
          <w:smallCaps/>
          <w:szCs w:val="24"/>
          <w:lang w:eastAsia="en-US"/>
        </w:rPr>
      </w:pPr>
      <w:r w:rsidRPr="006D74D3">
        <w:rPr>
          <w:rFonts w:eastAsia="Calibri"/>
          <w:b/>
          <w:smallCaps/>
          <w:szCs w:val="24"/>
          <w:lang w:eastAsia="en-US"/>
        </w:rPr>
        <w:t>Between:</w:t>
      </w:r>
    </w:p>
    <w:p w:rsidR="006D74D3" w:rsidRPr="006D74D3" w:rsidRDefault="006D74D3" w:rsidP="006D74D3">
      <w:pPr>
        <w:jc w:val="center"/>
        <w:rPr>
          <w:rFonts w:eastAsia="Calibri"/>
          <w:b/>
          <w:szCs w:val="24"/>
          <w:lang w:eastAsia="en-US"/>
        </w:rPr>
      </w:pPr>
      <w:r w:rsidRPr="006D74D3">
        <w:rPr>
          <w:rFonts w:eastAsia="Calibri"/>
          <w:b/>
          <w:szCs w:val="24"/>
          <w:lang w:eastAsia="en-US"/>
        </w:rPr>
        <w:t xml:space="preserve">Her Majesty </w:t>
      </w:r>
      <w:proofErr w:type="gramStart"/>
      <w:r w:rsidRPr="006D74D3">
        <w:rPr>
          <w:rFonts w:eastAsia="Calibri"/>
          <w:b/>
          <w:szCs w:val="24"/>
          <w:lang w:eastAsia="en-US"/>
        </w:rPr>
        <w:t>The</w:t>
      </w:r>
      <w:proofErr w:type="gramEnd"/>
      <w:r w:rsidRPr="006D74D3">
        <w:rPr>
          <w:rFonts w:eastAsia="Calibri"/>
          <w:b/>
          <w:szCs w:val="24"/>
          <w:lang w:eastAsia="en-US"/>
        </w:rPr>
        <w:t xml:space="preserve"> Queen</w:t>
      </w:r>
    </w:p>
    <w:p w:rsidR="006D74D3" w:rsidRPr="006D74D3" w:rsidRDefault="006D74D3" w:rsidP="006D74D3">
      <w:pPr>
        <w:jc w:val="center"/>
        <w:rPr>
          <w:rFonts w:eastAsia="Calibri"/>
          <w:szCs w:val="24"/>
          <w:lang w:eastAsia="en-US"/>
        </w:rPr>
      </w:pPr>
      <w:r w:rsidRPr="006D74D3">
        <w:rPr>
          <w:rFonts w:eastAsia="Calibri"/>
          <w:szCs w:val="24"/>
          <w:lang w:eastAsia="en-US"/>
        </w:rPr>
        <w:t>Appellant</w:t>
      </w:r>
    </w:p>
    <w:p w:rsidR="006D74D3" w:rsidRPr="006D74D3" w:rsidRDefault="006D74D3" w:rsidP="006D74D3">
      <w:pPr>
        <w:rPr>
          <w:rFonts w:eastAsia="Calibri"/>
          <w:szCs w:val="24"/>
          <w:lang w:eastAsia="en-US"/>
        </w:rPr>
      </w:pPr>
    </w:p>
    <w:p w:rsidR="006D74D3" w:rsidRPr="006D74D3" w:rsidRDefault="006D74D3" w:rsidP="006D74D3">
      <w:pPr>
        <w:jc w:val="center"/>
        <w:rPr>
          <w:rFonts w:eastAsia="Calibri"/>
          <w:szCs w:val="24"/>
          <w:lang w:eastAsia="en-US"/>
        </w:rPr>
      </w:pPr>
      <w:proofErr w:type="gramStart"/>
      <w:r w:rsidRPr="006D74D3">
        <w:rPr>
          <w:rFonts w:eastAsia="Calibri"/>
          <w:szCs w:val="24"/>
          <w:lang w:eastAsia="en-US"/>
        </w:rPr>
        <w:t>and</w:t>
      </w:r>
      <w:proofErr w:type="gramEnd"/>
    </w:p>
    <w:p w:rsidR="006D74D3" w:rsidRPr="006D74D3" w:rsidRDefault="006D74D3" w:rsidP="006D74D3">
      <w:pPr>
        <w:rPr>
          <w:rFonts w:eastAsia="Calibri"/>
          <w:szCs w:val="24"/>
          <w:lang w:eastAsia="en-US"/>
        </w:rPr>
      </w:pPr>
    </w:p>
    <w:p w:rsidR="006D74D3" w:rsidRPr="006D74D3" w:rsidRDefault="006D74D3" w:rsidP="006D74D3">
      <w:pPr>
        <w:jc w:val="center"/>
        <w:rPr>
          <w:rFonts w:eastAsia="Calibri"/>
          <w:b/>
          <w:szCs w:val="24"/>
          <w:lang w:eastAsia="en-US"/>
        </w:rPr>
      </w:pPr>
      <w:r w:rsidRPr="006D74D3">
        <w:rPr>
          <w:rFonts w:eastAsia="Calibri"/>
          <w:b/>
          <w:szCs w:val="24"/>
          <w:lang w:eastAsia="en-US"/>
        </w:rPr>
        <w:t xml:space="preserve">J.M. </w:t>
      </w:r>
    </w:p>
    <w:p w:rsidR="006D74D3" w:rsidRPr="006D74D3" w:rsidRDefault="006D74D3" w:rsidP="006D74D3">
      <w:pPr>
        <w:jc w:val="center"/>
        <w:rPr>
          <w:rFonts w:eastAsia="Calibri"/>
          <w:szCs w:val="24"/>
          <w:lang w:eastAsia="en-US"/>
        </w:rPr>
      </w:pPr>
      <w:r w:rsidRPr="006D74D3">
        <w:rPr>
          <w:rFonts w:eastAsia="Calibri"/>
          <w:szCs w:val="24"/>
          <w:lang w:eastAsia="en-US"/>
        </w:rPr>
        <w:t>Respondent</w:t>
      </w:r>
    </w:p>
    <w:p w:rsidR="006D74D3" w:rsidRPr="006D74D3" w:rsidRDefault="006D74D3" w:rsidP="006D74D3">
      <w:pPr>
        <w:rPr>
          <w:rFonts w:eastAsia="Calibri"/>
          <w:szCs w:val="24"/>
          <w:lang w:eastAsia="en-US"/>
        </w:rPr>
      </w:pPr>
    </w:p>
    <w:p w:rsidR="006D74D3" w:rsidRPr="006D74D3" w:rsidRDefault="006D74D3" w:rsidP="006D74D3">
      <w:pPr>
        <w:ind w:hanging="90"/>
        <w:contextualSpacing/>
        <w:jc w:val="center"/>
        <w:rPr>
          <w:rFonts w:eastAsia="Calibri"/>
          <w:szCs w:val="24"/>
          <w:lang w:eastAsia="en-US"/>
        </w:rPr>
      </w:pPr>
      <w:r w:rsidRPr="006D74D3">
        <w:rPr>
          <w:rFonts w:eastAsia="Calibri"/>
          <w:szCs w:val="24"/>
          <w:lang w:eastAsia="en-US"/>
        </w:rPr>
        <w:t xml:space="preserve">- </w:t>
      </w:r>
      <w:proofErr w:type="gramStart"/>
      <w:r w:rsidRPr="006D74D3">
        <w:rPr>
          <w:rFonts w:eastAsia="Calibri"/>
          <w:szCs w:val="24"/>
          <w:lang w:eastAsia="en-US"/>
        </w:rPr>
        <w:t>and</w:t>
      </w:r>
      <w:proofErr w:type="gramEnd"/>
      <w:r w:rsidRPr="006D74D3">
        <w:rPr>
          <w:rFonts w:eastAsia="Calibri"/>
          <w:szCs w:val="24"/>
          <w:lang w:eastAsia="en-US"/>
        </w:rPr>
        <w:t xml:space="preserve"> -</w:t>
      </w:r>
    </w:p>
    <w:p w:rsidR="006D74D3" w:rsidRPr="006D74D3" w:rsidRDefault="006D74D3" w:rsidP="006D74D3">
      <w:pPr>
        <w:rPr>
          <w:rFonts w:eastAsia="Calibri"/>
          <w:szCs w:val="24"/>
          <w:lang w:eastAsia="en-US"/>
        </w:rPr>
      </w:pPr>
    </w:p>
    <w:p w:rsidR="006D74D3" w:rsidRPr="006D74D3" w:rsidRDefault="006D74D3" w:rsidP="006D74D3">
      <w:pPr>
        <w:jc w:val="center"/>
        <w:rPr>
          <w:rFonts w:eastAsia="Calibri"/>
          <w:b/>
          <w:szCs w:val="24"/>
          <w:lang w:eastAsia="en-US"/>
        </w:rPr>
      </w:pPr>
      <w:r w:rsidRPr="006D74D3">
        <w:rPr>
          <w:rFonts w:eastAsia="Calibri"/>
          <w:b/>
          <w:szCs w:val="24"/>
          <w:lang w:eastAsia="en-US"/>
        </w:rPr>
        <w:t>Criminal Lawyers’ Association (Ontario)</w:t>
      </w:r>
    </w:p>
    <w:p w:rsidR="006D74D3" w:rsidRPr="006D74D3" w:rsidRDefault="006D74D3" w:rsidP="006D74D3">
      <w:pPr>
        <w:jc w:val="center"/>
        <w:rPr>
          <w:rFonts w:eastAsia="Calibri"/>
          <w:szCs w:val="24"/>
          <w:lang w:eastAsia="en-US"/>
        </w:rPr>
      </w:pPr>
      <w:r w:rsidRPr="006D74D3">
        <w:rPr>
          <w:rFonts w:eastAsia="Calibri"/>
          <w:szCs w:val="24"/>
          <w:lang w:eastAsia="en-US"/>
        </w:rPr>
        <w:t>Intervener</w:t>
      </w:r>
    </w:p>
    <w:p w:rsidR="006D74D3" w:rsidRPr="006D74D3" w:rsidRDefault="006D74D3" w:rsidP="006D74D3">
      <w:pPr>
        <w:rPr>
          <w:rFonts w:eastAsia="Calibri"/>
          <w:szCs w:val="24"/>
          <w:lang w:eastAsia="en-US"/>
        </w:rPr>
      </w:pPr>
    </w:p>
    <w:p w:rsidR="006D74D3" w:rsidRPr="006D74D3" w:rsidRDefault="006D74D3" w:rsidP="006D74D3">
      <w:pPr>
        <w:jc w:val="both"/>
        <w:rPr>
          <w:rFonts w:eastAsia="Calibri"/>
          <w:b/>
          <w:smallCaps/>
          <w:szCs w:val="24"/>
          <w:lang w:eastAsia="en-US"/>
        </w:rPr>
      </w:pPr>
    </w:p>
    <w:p w:rsidR="006D74D3" w:rsidRPr="006D74D3" w:rsidRDefault="006D74D3" w:rsidP="006D74D3">
      <w:pPr>
        <w:jc w:val="both"/>
        <w:rPr>
          <w:rFonts w:eastAsia="Calibri"/>
          <w:szCs w:val="24"/>
          <w:lang w:eastAsia="en-US"/>
        </w:rPr>
      </w:pPr>
      <w:r w:rsidRPr="006D74D3">
        <w:rPr>
          <w:rFonts w:eastAsia="Calibri"/>
          <w:b/>
          <w:smallCaps/>
          <w:szCs w:val="24"/>
          <w:lang w:eastAsia="en-US"/>
        </w:rPr>
        <w:t xml:space="preserve">Coram: </w:t>
      </w:r>
      <w:r w:rsidRPr="006D74D3">
        <w:rPr>
          <w:rFonts w:eastAsia="Calibri"/>
          <w:szCs w:val="24"/>
          <w:lang w:eastAsia="en-US"/>
        </w:rPr>
        <w:t>Abella, Karakatsanis, Côté, Rowe and Martin JJ.</w:t>
      </w:r>
    </w:p>
    <w:p w:rsidR="006D74D3" w:rsidRPr="006D74D3" w:rsidRDefault="006D74D3" w:rsidP="006D74D3">
      <w:pPr>
        <w:rPr>
          <w:rFonts w:eastAsia="Calibri"/>
          <w:szCs w:val="24"/>
          <w:lang w:eastAsia="en-US"/>
        </w:rPr>
      </w:pPr>
    </w:p>
    <w:p w:rsidR="006D74D3" w:rsidRPr="006D74D3" w:rsidRDefault="006D74D3" w:rsidP="006D74D3">
      <w:pPr>
        <w:rPr>
          <w:rFonts w:eastAsia="Calibri"/>
          <w:szCs w:val="24"/>
          <w:lang w:eastAsia="en-US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6D74D3" w:rsidRPr="006D74D3" w:rsidTr="00FD0877">
        <w:trPr>
          <w:cantSplit/>
        </w:trPr>
        <w:tc>
          <w:tcPr>
            <w:tcW w:w="3618" w:type="dxa"/>
          </w:tcPr>
          <w:p w:rsidR="006D74D3" w:rsidRPr="006D74D3" w:rsidRDefault="006D74D3" w:rsidP="006D74D3">
            <w:pPr>
              <w:rPr>
                <w:b/>
                <w:smallCaps/>
              </w:rPr>
            </w:pPr>
            <w:r w:rsidRPr="006D74D3">
              <w:rPr>
                <w:b/>
                <w:smallCaps/>
              </w:rPr>
              <w:t>Reasons for Judgment:</w:t>
            </w:r>
          </w:p>
          <w:p w:rsidR="006D74D3" w:rsidRPr="006D74D3" w:rsidRDefault="006D74D3" w:rsidP="006D74D3">
            <w:r w:rsidRPr="006D74D3">
              <w:t>(paras. 1 to 3)</w:t>
            </w:r>
          </w:p>
        </w:tc>
        <w:tc>
          <w:tcPr>
            <w:tcW w:w="5958" w:type="dxa"/>
          </w:tcPr>
          <w:p w:rsidR="006D74D3" w:rsidRPr="006D74D3" w:rsidRDefault="006D74D3" w:rsidP="006D74D3">
            <w:r w:rsidRPr="006D74D3">
              <w:t>Abella J. (Karakatsanis, Côté, Rowe and Martin JJ. concurring)</w:t>
            </w:r>
          </w:p>
        </w:tc>
      </w:tr>
    </w:tbl>
    <w:p w:rsidR="006D74D3" w:rsidRPr="006D74D3" w:rsidRDefault="006D74D3" w:rsidP="006D74D3">
      <w:pPr>
        <w:rPr>
          <w:rFonts w:eastAsia="Calibri"/>
          <w:szCs w:val="24"/>
          <w:lang w:val="en-US" w:eastAsia="en-US"/>
        </w:rPr>
      </w:pPr>
    </w:p>
    <w:p w:rsidR="006D74D3" w:rsidRPr="006D74D3" w:rsidRDefault="006D74D3" w:rsidP="006D74D3">
      <w:pPr>
        <w:rPr>
          <w:rFonts w:eastAsia="Calibri"/>
          <w:szCs w:val="24"/>
          <w:lang w:val="en-US" w:eastAsia="en-US"/>
        </w:rPr>
      </w:pPr>
      <w:r w:rsidRPr="006D74D3">
        <w:rPr>
          <w:rFonts w:eastAsia="Calibr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FB184" wp14:editId="0079E43B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617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6D74D3" w:rsidRPr="006D74D3" w:rsidRDefault="006D74D3" w:rsidP="006D74D3">
      <w:pPr>
        <w:rPr>
          <w:rFonts w:eastAsia="Calibri"/>
          <w:szCs w:val="24"/>
          <w:lang w:val="en-US" w:eastAsia="en-US"/>
        </w:rPr>
      </w:pPr>
    </w:p>
    <w:p w:rsidR="008322BD" w:rsidRPr="001426A9" w:rsidRDefault="00AE40F5" w:rsidP="0035169A">
      <w:pPr>
        <w:spacing w:line="480" w:lineRule="auto"/>
        <w:jc w:val="both"/>
      </w:pPr>
      <w:r w:rsidRPr="00AE40F5">
        <w:t>R</w:t>
      </w:r>
      <w:r w:rsidRPr="00AE40F5">
        <w:rPr>
          <w:rStyle w:val="SCCAppellantForIndexChar"/>
        </w:rPr>
        <w:t>.</w:t>
      </w:r>
      <w:r w:rsidRPr="00426659">
        <w:rPr>
          <w:b/>
        </w:rPr>
        <w:t xml:space="preserve"> </w:t>
      </w:r>
      <w:r w:rsidRPr="00AE40F5">
        <w:rPr>
          <w:i/>
        </w:rPr>
        <w:t>v.</w:t>
      </w:r>
      <w:r w:rsidRPr="00426659">
        <w:rPr>
          <w:b/>
        </w:rPr>
        <w:t xml:space="preserve"> </w:t>
      </w:r>
      <w:r w:rsidRPr="00AE40F5">
        <w:rPr>
          <w:rStyle w:val="SCCRespondentForIndexChar"/>
          <w:b w:val="0"/>
        </w:rPr>
        <w:t>J.M.</w:t>
      </w:r>
      <w:r>
        <w:rPr>
          <w:rStyle w:val="SCCAppellantForRunningHeadChar"/>
        </w:rPr>
        <w:t>, 2019 SCC 24, [2019] 2 S.C.R. 396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331D0B" w:rsidRDefault="008D2305">
      <w:pPr>
        <w:pStyle w:val="SCCLsocLastPartyInRole"/>
      </w:pPr>
      <w:r>
        <w:t xml:space="preserve">Her Majesty </w:t>
      </w:r>
      <w:proofErr w:type="gramStart"/>
      <w:r w:rsidR="00F85EC6">
        <w:t>T</w:t>
      </w:r>
      <w:r>
        <w:t>he</w:t>
      </w:r>
      <w:proofErr w:type="gramEnd"/>
      <w:r>
        <w:t xml:space="preserve"> Queen</w:t>
      </w:r>
      <w:r>
        <w:rPr>
          <w:rStyle w:val="SCCLsocPartyRole"/>
        </w:rPr>
        <w:tab/>
        <w:t>Appellant</w:t>
      </w:r>
    </w:p>
    <w:p w:rsidR="00331D0B" w:rsidRDefault="008D2305">
      <w:pPr>
        <w:pStyle w:val="SCCLsocVersus"/>
      </w:pPr>
      <w:proofErr w:type="gramStart"/>
      <w:r>
        <w:t>v</w:t>
      </w:r>
      <w:proofErr w:type="gramEnd"/>
      <w:r>
        <w:t>.</w:t>
      </w:r>
    </w:p>
    <w:p w:rsidR="00331D0B" w:rsidRDefault="00F85EC6">
      <w:pPr>
        <w:pStyle w:val="SCCLsocLastPartyInRole"/>
      </w:pPr>
      <w:r>
        <w:lastRenderedPageBreak/>
        <w:t>J.M.</w:t>
      </w:r>
      <w:r w:rsidR="008D2305">
        <w:rPr>
          <w:rStyle w:val="SCCLsocPartyRole"/>
        </w:rPr>
        <w:tab/>
        <w:t>Respondent</w:t>
      </w:r>
    </w:p>
    <w:p w:rsidR="00331D0B" w:rsidRDefault="008D2305">
      <w:pPr>
        <w:pStyle w:val="SCCLsocOtherPartySeparator"/>
      </w:pPr>
      <w:proofErr w:type="gramStart"/>
      <w:r>
        <w:t>and</w:t>
      </w:r>
      <w:proofErr w:type="gramEnd"/>
    </w:p>
    <w:p w:rsidR="00331D0B" w:rsidRDefault="008D2305">
      <w:pPr>
        <w:pStyle w:val="SCCLsocLastPartyInRole"/>
      </w:pPr>
      <w:r>
        <w:t>Criminal Lawyers</w:t>
      </w:r>
      <w:r w:rsidR="00F85EC6">
        <w:t>’</w:t>
      </w:r>
      <w:r>
        <w:t xml:space="preserve"> Association (Ontario)</w:t>
      </w:r>
      <w:r>
        <w:rPr>
          <w:rStyle w:val="SCCLsocPartyRole"/>
        </w:rPr>
        <w:tab/>
        <w:t>Intervener</w:t>
      </w:r>
    </w:p>
    <w:p w:rsidR="00766D14" w:rsidRDefault="00766D14" w:rsidP="00FC4EFB">
      <w:pPr>
        <w:jc w:val="both"/>
      </w:pPr>
    </w:p>
    <w:p w:rsidR="00A149DF" w:rsidRDefault="00A149DF" w:rsidP="00FC4EFB">
      <w:pPr>
        <w:jc w:val="both"/>
      </w:pPr>
    </w:p>
    <w:p w:rsidR="00A149DF" w:rsidRPr="001426A9" w:rsidRDefault="00A149DF" w:rsidP="00FC4EFB">
      <w:pPr>
        <w:jc w:val="both"/>
      </w:pPr>
    </w:p>
    <w:p w:rsidR="00426659" w:rsidRPr="00426659" w:rsidRDefault="00426659" w:rsidP="00FC4EFB">
      <w:pPr>
        <w:jc w:val="both"/>
        <w:rPr>
          <w:b/>
        </w:rPr>
      </w:pPr>
      <w:r w:rsidRPr="00426659">
        <w:rPr>
          <w:b/>
        </w:rPr>
        <w:t>Indexed as:</w:t>
      </w:r>
      <w:r>
        <w:rPr>
          <w:b/>
        </w:rPr>
        <w:t xml:space="preserve"> </w:t>
      </w:r>
      <w:r w:rsidR="008D2305">
        <w:rPr>
          <w:b/>
        </w:rPr>
        <w:t>R</w:t>
      </w:r>
      <w:r>
        <w:rPr>
          <w:rStyle w:val="SCCAppellantForIndexChar"/>
        </w:rPr>
        <w:t>.</w:t>
      </w:r>
      <w:r w:rsidRPr="00426659">
        <w:rPr>
          <w:b/>
        </w:rPr>
        <w:t xml:space="preserve"> </w:t>
      </w:r>
      <w:r w:rsidRPr="00426659">
        <w:rPr>
          <w:b/>
          <w:i/>
        </w:rPr>
        <w:t>v.</w:t>
      </w:r>
      <w:r w:rsidRPr="00426659">
        <w:rPr>
          <w:b/>
        </w:rPr>
        <w:t xml:space="preserve"> </w:t>
      </w:r>
      <w:r>
        <w:rPr>
          <w:rStyle w:val="SCCRespondentForIndexChar"/>
        </w:rPr>
        <w:t>J.M.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426659" w:rsidRPr="00C02092" w:rsidRDefault="00AE4535" w:rsidP="00FC4EFB">
      <w:pPr>
        <w:pStyle w:val="SCCSystemYear"/>
        <w:jc w:val="both"/>
      </w:pPr>
      <w:r>
        <w:t>2019</w:t>
      </w:r>
      <w:r w:rsidR="003D0399">
        <w:t xml:space="preserve"> </w:t>
      </w:r>
      <w:r w:rsidR="00426659" w:rsidRPr="00C02092">
        <w:t>SCC </w:t>
      </w:r>
      <w:r w:rsidR="00676038">
        <w:t>24</w:t>
      </w:r>
    </w:p>
    <w:p w:rsidR="00426659" w:rsidRDefault="00426659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F85EC6" w:rsidP="00FC4EFB">
      <w:pPr>
        <w:jc w:val="both"/>
      </w:pPr>
      <w:r>
        <w:t xml:space="preserve">File No.: </w:t>
      </w:r>
      <w:r w:rsidR="009B57B3">
        <w:t>38483</w:t>
      </w:r>
      <w:r w:rsidR="009B57B3" w:rsidRPr="001426A9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F85EC6" w:rsidP="00FC4EFB">
      <w:pPr>
        <w:jc w:val="both"/>
      </w:pPr>
      <w:r w:rsidRPr="0010415B">
        <w:t>2019:</w:t>
      </w:r>
      <w:r w:rsidR="00AE4535" w:rsidRPr="0010415B">
        <w:t xml:space="preserve"> April 18</w:t>
      </w:r>
      <w:r w:rsidR="004F1D97" w:rsidRPr="0010415B">
        <w:t>.</w:t>
      </w:r>
    </w:p>
    <w:p w:rsidR="00E97830" w:rsidRDefault="00E97830" w:rsidP="00FC4EFB">
      <w:pPr>
        <w:jc w:val="both"/>
      </w:pPr>
    </w:p>
    <w:p w:rsidR="00A149DF" w:rsidRDefault="00A149DF" w:rsidP="00FC4EFB">
      <w:pPr>
        <w:jc w:val="both"/>
      </w:pPr>
    </w:p>
    <w:p w:rsidR="00A149DF" w:rsidRDefault="00A149DF" w:rsidP="00FC4EFB">
      <w:pPr>
        <w:jc w:val="both"/>
      </w:pPr>
    </w:p>
    <w:p w:rsidR="008322BD" w:rsidRDefault="00F85EC6" w:rsidP="00FC4EFB">
      <w:pPr>
        <w:jc w:val="both"/>
      </w:pPr>
      <w:r>
        <w:t xml:space="preserve">Present: </w:t>
      </w:r>
      <w:r w:rsidR="009B57B3">
        <w:t>Abella, Karakatsanis, Côté, Rowe and Martin JJ.</w:t>
      </w:r>
    </w:p>
    <w:p w:rsidR="00E97830" w:rsidRDefault="00E97830" w:rsidP="00FC4EFB">
      <w:pPr>
        <w:jc w:val="both"/>
      </w:pPr>
    </w:p>
    <w:p w:rsidR="006A1551" w:rsidRDefault="006A1551" w:rsidP="00FC4EFB">
      <w:pPr>
        <w:jc w:val="both"/>
      </w:pPr>
    </w:p>
    <w:p w:rsidR="006A1551" w:rsidRDefault="006A1551" w:rsidP="00FC4EFB">
      <w:pPr>
        <w:jc w:val="both"/>
      </w:pPr>
    </w:p>
    <w:p w:rsidR="008322BD" w:rsidRDefault="00656313" w:rsidP="00FC4EFB">
      <w:pPr>
        <w:pStyle w:val="SCCLowerCourtNameLowercase"/>
      </w:pPr>
      <w:r>
        <w:t>o</w:t>
      </w:r>
      <w:r w:rsidR="00170592">
        <w:t>n</w:t>
      </w:r>
      <w:r w:rsidR="00224FC0">
        <w:t xml:space="preserve"> </w:t>
      </w:r>
      <w:r>
        <w:t>a</w:t>
      </w:r>
      <w:r w:rsidR="00170592">
        <w:t>ppeal</w:t>
      </w:r>
      <w:r w:rsidR="00224FC0">
        <w:t xml:space="preserve"> </w:t>
      </w:r>
      <w:r w:rsidR="00170592">
        <w:t>from</w:t>
      </w:r>
      <w:r w:rsidR="009567AA">
        <w:t xml:space="preserve"> the</w:t>
      </w:r>
      <w:r w:rsidR="00224FC0">
        <w:t xml:space="preserve"> </w:t>
      </w:r>
      <w:r w:rsidR="009B57B3">
        <w:t xml:space="preserve">court of appeal for </w:t>
      </w:r>
      <w:proofErr w:type="spellStart"/>
      <w:r w:rsidR="009B57B3">
        <w:t>ontario</w:t>
      </w:r>
      <w:proofErr w:type="spellEnd"/>
    </w:p>
    <w:p w:rsidR="00D0616C" w:rsidRPr="00D0616C" w:rsidRDefault="00D0616C" w:rsidP="00D0616C">
      <w:pPr>
        <w:pStyle w:val="SCCNormalDoubleSpacing"/>
      </w:pPr>
    </w:p>
    <w:p w:rsidR="008322BD" w:rsidRPr="003872F2" w:rsidRDefault="009B57B3" w:rsidP="00FC4EFB">
      <w:pPr>
        <w:pStyle w:val="SCCNormalDoubleSpacing"/>
        <w:rPr>
          <w:i/>
        </w:rPr>
      </w:pPr>
      <w:r w:rsidRPr="00583EDE">
        <w:tab/>
      </w:r>
      <w:r w:rsidR="00744B4A" w:rsidRPr="003872F2">
        <w:rPr>
          <w:i/>
        </w:rPr>
        <w:t xml:space="preserve">Criminal law — Evidence — </w:t>
      </w:r>
      <w:r w:rsidR="00D021F7" w:rsidRPr="003872F2">
        <w:rPr>
          <w:i/>
        </w:rPr>
        <w:t xml:space="preserve">Admissibility — </w:t>
      </w:r>
      <w:r w:rsidR="00D021F7">
        <w:rPr>
          <w:i/>
        </w:rPr>
        <w:t xml:space="preserve">Charge to jury </w:t>
      </w:r>
      <w:r w:rsidR="00D021F7" w:rsidRPr="003872F2">
        <w:rPr>
          <w:i/>
        </w:rPr>
        <w:t>—</w:t>
      </w:r>
      <w:r w:rsidR="00D021F7">
        <w:rPr>
          <w:i/>
        </w:rPr>
        <w:t xml:space="preserve"> </w:t>
      </w:r>
      <w:r w:rsidR="003872F2" w:rsidRPr="003872F2">
        <w:rPr>
          <w:i/>
        </w:rPr>
        <w:t>Post-offence conduct —</w:t>
      </w:r>
      <w:r w:rsidR="00D021F7">
        <w:rPr>
          <w:i/>
        </w:rPr>
        <w:t xml:space="preserve"> Failure to attend trial </w:t>
      </w:r>
      <w:r w:rsidR="00D021F7" w:rsidRPr="003872F2">
        <w:rPr>
          <w:i/>
        </w:rPr>
        <w:t xml:space="preserve">— </w:t>
      </w:r>
      <w:r w:rsidR="00D021F7">
        <w:rPr>
          <w:i/>
        </w:rPr>
        <w:t xml:space="preserve">Trial judge permitting </w:t>
      </w:r>
      <w:r w:rsidR="00A563A7">
        <w:rPr>
          <w:i/>
        </w:rPr>
        <w:t>Crown to lead</w:t>
      </w:r>
      <w:r w:rsidR="008756E4">
        <w:rPr>
          <w:i/>
        </w:rPr>
        <w:t xml:space="preserve"> </w:t>
      </w:r>
      <w:r w:rsidR="00D021F7">
        <w:rPr>
          <w:i/>
        </w:rPr>
        <w:t xml:space="preserve">evidence at accused’s trial </w:t>
      </w:r>
      <w:r w:rsidR="00A563A7">
        <w:rPr>
          <w:i/>
        </w:rPr>
        <w:t xml:space="preserve">that accused failed to </w:t>
      </w:r>
      <w:r w:rsidR="00A563A7" w:rsidRPr="00D021F7">
        <w:rPr>
          <w:i/>
        </w:rPr>
        <w:t xml:space="preserve">attend </w:t>
      </w:r>
      <w:r w:rsidR="00D021F7" w:rsidRPr="00D021F7">
        <w:rPr>
          <w:i/>
        </w:rPr>
        <w:t>for his</w:t>
      </w:r>
      <w:r w:rsidR="00D021F7">
        <w:rPr>
          <w:i/>
        </w:rPr>
        <w:t xml:space="preserve"> original</w:t>
      </w:r>
      <w:r w:rsidR="00A563A7">
        <w:rPr>
          <w:i/>
        </w:rPr>
        <w:t xml:space="preserve"> trial date</w:t>
      </w:r>
      <w:r w:rsidR="008756E4">
        <w:rPr>
          <w:i/>
        </w:rPr>
        <w:t xml:space="preserve"> </w:t>
      </w:r>
      <w:r w:rsidR="00A563A7" w:rsidRPr="003872F2">
        <w:rPr>
          <w:i/>
        </w:rPr>
        <w:t xml:space="preserve">— </w:t>
      </w:r>
      <w:r w:rsidR="00D021F7">
        <w:rPr>
          <w:i/>
        </w:rPr>
        <w:t>Trial judge instructing j</w:t>
      </w:r>
      <w:r w:rsidR="00A563A7">
        <w:rPr>
          <w:i/>
        </w:rPr>
        <w:t xml:space="preserve">ury </w:t>
      </w:r>
      <w:r w:rsidR="009A1AAF">
        <w:rPr>
          <w:i/>
        </w:rPr>
        <w:t xml:space="preserve">on use it could make of </w:t>
      </w:r>
      <w:r w:rsidR="00D021F7">
        <w:rPr>
          <w:i/>
        </w:rPr>
        <w:t>evidence</w:t>
      </w:r>
      <w:r w:rsidR="00EC4295" w:rsidRPr="003872F2">
        <w:rPr>
          <w:i/>
        </w:rPr>
        <w:t xml:space="preserve"> — </w:t>
      </w:r>
      <w:r w:rsidR="00EC4295">
        <w:rPr>
          <w:i/>
        </w:rPr>
        <w:t xml:space="preserve">Accused convicted of </w:t>
      </w:r>
      <w:r w:rsidR="008756E4">
        <w:rPr>
          <w:i/>
        </w:rPr>
        <w:t>sexual assault</w:t>
      </w:r>
      <w:r w:rsidR="00D021F7">
        <w:rPr>
          <w:i/>
        </w:rPr>
        <w:t xml:space="preserve"> </w:t>
      </w:r>
      <w:r w:rsidR="00A47F98" w:rsidRPr="003872F2">
        <w:rPr>
          <w:i/>
        </w:rPr>
        <w:t xml:space="preserve">— </w:t>
      </w:r>
      <w:r w:rsidR="00A563A7" w:rsidRPr="00D021F7">
        <w:rPr>
          <w:i/>
        </w:rPr>
        <w:t>Court of Appeal setting aside convictions</w:t>
      </w:r>
      <w:r w:rsidR="004C7BEB" w:rsidRPr="00D021F7">
        <w:rPr>
          <w:i/>
        </w:rPr>
        <w:t xml:space="preserve"> and ordering new trial</w:t>
      </w:r>
      <w:r w:rsidR="00A563A7" w:rsidRPr="00D021F7">
        <w:rPr>
          <w:i/>
        </w:rPr>
        <w:t xml:space="preserve"> </w:t>
      </w:r>
      <w:r w:rsidR="003872F2" w:rsidRPr="00D021F7">
        <w:rPr>
          <w:i/>
        </w:rPr>
        <w:t xml:space="preserve">— </w:t>
      </w:r>
      <w:r w:rsidR="00D021F7" w:rsidRPr="00D021F7">
        <w:rPr>
          <w:i/>
        </w:rPr>
        <w:lastRenderedPageBreak/>
        <w:t>Majority holding that trial judge erred in failing to engage in second step of admissibility inquiry and in his instructions to jury on post-offence conduct —</w:t>
      </w:r>
      <w:r w:rsidR="00D021F7" w:rsidRPr="003872F2">
        <w:rPr>
          <w:i/>
        </w:rPr>
        <w:t xml:space="preserve"> </w:t>
      </w:r>
      <w:r w:rsidR="00A563A7">
        <w:rPr>
          <w:i/>
        </w:rPr>
        <w:t xml:space="preserve">Dissenting judge </w:t>
      </w:r>
      <w:r w:rsidR="00C768DF">
        <w:rPr>
          <w:i/>
        </w:rPr>
        <w:t>finding</w:t>
      </w:r>
      <w:r w:rsidR="00D021F7">
        <w:rPr>
          <w:i/>
        </w:rPr>
        <w:t xml:space="preserve"> that trial judge’s decision to admit evidence entitled to deference and that charge to jury was adequate </w:t>
      </w:r>
      <w:r w:rsidR="00D021F7" w:rsidRPr="003872F2">
        <w:rPr>
          <w:i/>
        </w:rPr>
        <w:t xml:space="preserve">— </w:t>
      </w:r>
      <w:r w:rsidR="00D021F7">
        <w:rPr>
          <w:i/>
        </w:rPr>
        <w:t xml:space="preserve">Failure to attend trial is not </w:t>
      </w:r>
      <w:r w:rsidR="00D021F7" w:rsidRPr="00D021F7">
        <w:rPr>
          <w:i/>
        </w:rPr>
        <w:t xml:space="preserve">presumptively post-offence conduct and its admissibility </w:t>
      </w:r>
      <w:r w:rsidR="00FB5E6B" w:rsidRPr="00D021F7">
        <w:rPr>
          <w:i/>
        </w:rPr>
        <w:t xml:space="preserve">must be assessed on case-by-case basis — </w:t>
      </w:r>
      <w:r w:rsidR="00D0616C" w:rsidRPr="00D021F7">
        <w:rPr>
          <w:i/>
        </w:rPr>
        <w:t>Convictions</w:t>
      </w:r>
      <w:r w:rsidR="00D0616C" w:rsidRPr="00FB5E6B">
        <w:rPr>
          <w:i/>
        </w:rPr>
        <w:t xml:space="preserve"> restored.</w:t>
      </w:r>
      <w:r w:rsidR="00D0616C">
        <w:rPr>
          <w:i/>
        </w:rPr>
        <w:t xml:space="preserve"> </w:t>
      </w:r>
    </w:p>
    <w:p w:rsidR="00DE319C" w:rsidRDefault="00DE319C" w:rsidP="004F1D97">
      <w:pPr>
        <w:pStyle w:val="SCCNormalDoubleSpacing"/>
        <w:spacing w:line="240" w:lineRule="auto"/>
      </w:pPr>
    </w:p>
    <w:p w:rsidR="00A149DF" w:rsidRDefault="00A149DF" w:rsidP="00FC4EFB">
      <w:pPr>
        <w:pStyle w:val="SCCNormalDoubleSpacing"/>
        <w:spacing w:line="240" w:lineRule="auto"/>
        <w:ind w:left="540" w:hanging="540"/>
      </w:pPr>
    </w:p>
    <w:p w:rsidR="00A149DF" w:rsidRDefault="00A149DF" w:rsidP="00FC4EFB">
      <w:pPr>
        <w:pStyle w:val="SCCNormalDoubleSpacing"/>
        <w:spacing w:line="240" w:lineRule="auto"/>
        <w:ind w:left="540" w:hanging="540"/>
      </w:pPr>
    </w:p>
    <w:p w:rsidR="00656313" w:rsidRDefault="00F85EC6" w:rsidP="00FC4EFB">
      <w:pPr>
        <w:pStyle w:val="SCCNormalDoubleSpacing"/>
      </w:pPr>
      <w:r>
        <w:tab/>
      </w:r>
      <w:r w:rsidR="009B57B3" w:rsidRPr="001426A9">
        <w:t xml:space="preserve">APPEAL from a judgment of the </w:t>
      </w:r>
      <w:r w:rsidR="0010415B">
        <w:t xml:space="preserve">Ontario </w:t>
      </w:r>
      <w:r w:rsidR="009B57B3">
        <w:t xml:space="preserve">Court of Appeal </w:t>
      </w:r>
      <w:r>
        <w:t>(MacPherson, Huscroft and Nordheimer JJ.A.), 2018 ONCA 1054, 144 O.R. (3d) 125,</w:t>
      </w:r>
      <w:r w:rsidR="00744B4A">
        <w:t xml:space="preserve"> 370 C.C.C. (3d) 458,</w:t>
      </w:r>
      <w:r>
        <w:t xml:space="preserve"> [2018] O.J. No. 6741 (QL), 2018 </w:t>
      </w:r>
      <w:proofErr w:type="spellStart"/>
      <w:r>
        <w:t>CarswellOnt</w:t>
      </w:r>
      <w:proofErr w:type="spellEnd"/>
      <w:r>
        <w:t xml:space="preserve"> 21543 (WL Can.), setting a</w:t>
      </w:r>
      <w:r w:rsidR="00CC137B">
        <w:t xml:space="preserve">side the convictions </w:t>
      </w:r>
      <w:r w:rsidR="00CC137B" w:rsidRPr="00796D65">
        <w:rPr>
          <w:lang w:val="en-US"/>
        </w:rPr>
        <w:t xml:space="preserve">of the </w:t>
      </w:r>
      <w:r w:rsidR="00CC137B" w:rsidRPr="00C768DF">
        <w:rPr>
          <w:lang w:val="en-US"/>
        </w:rPr>
        <w:t>accused for sexual assault and</w:t>
      </w:r>
      <w:r w:rsidR="00CC137B" w:rsidRPr="00796D65">
        <w:rPr>
          <w:lang w:val="en-US"/>
        </w:rPr>
        <w:t xml:space="preserve"> ordering a new trial.</w:t>
      </w:r>
      <w:r w:rsidR="00CC137B">
        <w:rPr>
          <w:lang w:val="en-US"/>
        </w:rPr>
        <w:t xml:space="preserve"> Appeal allowed</w:t>
      </w:r>
      <w:r w:rsidR="004F1D97">
        <w:rPr>
          <w:lang w:val="en-US"/>
        </w:rPr>
        <w:t xml:space="preserve">, </w:t>
      </w:r>
      <w:r w:rsidR="004F1D97" w:rsidRPr="0010415B">
        <w:rPr>
          <w:lang w:val="en-US"/>
        </w:rPr>
        <w:t>Abella and Karak</w:t>
      </w:r>
      <w:r w:rsidR="0010415B" w:rsidRPr="0010415B">
        <w:rPr>
          <w:lang w:val="en-US"/>
        </w:rPr>
        <w:t>a</w:t>
      </w:r>
      <w:r w:rsidR="004F1D97" w:rsidRPr="0010415B">
        <w:rPr>
          <w:lang w:val="en-US"/>
        </w:rPr>
        <w:t xml:space="preserve">tsanis JJ. </w:t>
      </w:r>
      <w:proofErr w:type="gramStart"/>
      <w:r w:rsidR="004F1D97" w:rsidRPr="0010415B">
        <w:rPr>
          <w:lang w:val="en-US"/>
        </w:rPr>
        <w:t>dissenting</w:t>
      </w:r>
      <w:proofErr w:type="gramEnd"/>
      <w:r w:rsidR="00CC137B" w:rsidRPr="0010415B">
        <w:rPr>
          <w:lang w:val="en-US"/>
        </w:rPr>
        <w:t>.</w:t>
      </w:r>
    </w:p>
    <w:p w:rsidR="00656313" w:rsidRDefault="00656313" w:rsidP="00FC4EFB">
      <w:pPr>
        <w:pStyle w:val="SCCNormalDoubleSpacing"/>
      </w:pPr>
    </w:p>
    <w:p w:rsidR="00331D0B" w:rsidRDefault="008D2305">
      <w:pPr>
        <w:pStyle w:val="SCCNormalDoubleSpacing"/>
      </w:pPr>
      <w:r>
        <w:rPr>
          <w:rStyle w:val="SCCCounselNameChar"/>
        </w:rPr>
        <w:tab/>
        <w:t xml:space="preserve">Luke </w:t>
      </w:r>
      <w:proofErr w:type="spellStart"/>
      <w:r>
        <w:rPr>
          <w:rStyle w:val="SCCCounselNameChar"/>
        </w:rPr>
        <w:t>Schwalm</w:t>
      </w:r>
      <w:proofErr w:type="spellEnd"/>
      <w:r w:rsidR="004A53C9">
        <w:rPr>
          <w:rStyle w:val="SCCCounselNameChar"/>
        </w:rPr>
        <w:t xml:space="preserve"> </w:t>
      </w:r>
      <w:r w:rsidR="004A53C9" w:rsidRPr="004A53C9">
        <w:rPr>
          <w:rStyle w:val="SCCCounselNameChar"/>
          <w:i w:val="0"/>
        </w:rPr>
        <w:t>and</w:t>
      </w:r>
      <w:r w:rsidR="004A53C9">
        <w:rPr>
          <w:rStyle w:val="SCCCounselNameChar"/>
        </w:rPr>
        <w:t xml:space="preserve"> Alexander Alvaro</w:t>
      </w:r>
      <w:r>
        <w:rPr>
          <w:rStyle w:val="SCCCounselPartyRoleChar"/>
        </w:rPr>
        <w:t>, for the appellant.</w:t>
      </w:r>
    </w:p>
    <w:p w:rsidR="00331D0B" w:rsidRDefault="00331D0B">
      <w:pPr>
        <w:pStyle w:val="SCCNormalDoubleSpacing"/>
      </w:pPr>
    </w:p>
    <w:p w:rsidR="00331D0B" w:rsidRDefault="008D2305">
      <w:pPr>
        <w:pStyle w:val="SCCNormalDoubleSpacing"/>
      </w:pPr>
      <w:r>
        <w:rPr>
          <w:rStyle w:val="SCCCounselNameChar"/>
        </w:rPr>
        <w:tab/>
        <w:t>Michael A. Johnston</w:t>
      </w:r>
      <w:r w:rsidR="00CC0866">
        <w:rPr>
          <w:rStyle w:val="SCCCounselNameChar"/>
        </w:rPr>
        <w:t xml:space="preserve"> </w:t>
      </w:r>
      <w:r w:rsidR="00CC0866" w:rsidRPr="00CC0866">
        <w:rPr>
          <w:rStyle w:val="SCCCounselNameChar"/>
          <w:i w:val="0"/>
        </w:rPr>
        <w:t xml:space="preserve">and </w:t>
      </w:r>
      <w:r w:rsidR="00CC0866">
        <w:rPr>
          <w:rStyle w:val="SCCCounselNameChar"/>
        </w:rPr>
        <w:t>Matthew B. Day</w:t>
      </w:r>
      <w:r>
        <w:rPr>
          <w:rStyle w:val="SCCCounselPartyRoleChar"/>
        </w:rPr>
        <w:t>, for the respondent.</w:t>
      </w:r>
    </w:p>
    <w:p w:rsidR="00331D0B" w:rsidRDefault="00331D0B">
      <w:pPr>
        <w:pStyle w:val="SCCNormalDoubleSpacing"/>
      </w:pPr>
    </w:p>
    <w:p w:rsidR="00331D0B" w:rsidRDefault="008D2305" w:rsidP="00CC0866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  <w:t>Solomon Friedman</w:t>
      </w:r>
      <w:r>
        <w:rPr>
          <w:rStyle w:val="SCCCounselSeparatorChar"/>
        </w:rPr>
        <w:t xml:space="preserve"> and </w:t>
      </w:r>
      <w:r>
        <w:rPr>
          <w:rStyle w:val="SCCCounselNameChar"/>
        </w:rPr>
        <w:t>Meaghan McMahon</w:t>
      </w:r>
      <w:r>
        <w:rPr>
          <w:rStyle w:val="SCCCounselPartyRoleChar"/>
        </w:rPr>
        <w:t>, for the intervener.</w:t>
      </w:r>
    </w:p>
    <w:p w:rsidR="002A33F4" w:rsidRDefault="002A33F4" w:rsidP="002A33F4">
      <w:pPr>
        <w:pStyle w:val="SCCLawFirm"/>
      </w:pPr>
    </w:p>
    <w:p w:rsidR="002A33F4" w:rsidRDefault="002A33F4" w:rsidP="002A33F4">
      <w:pPr>
        <w:pStyle w:val="SCCNormalDoubleSpacing"/>
      </w:pPr>
      <w:r>
        <w:tab/>
      </w:r>
      <w:r w:rsidRPr="006B15BA">
        <w:t xml:space="preserve">The judgment </w:t>
      </w:r>
      <w:r w:rsidR="006B1D1D" w:rsidRPr="006B15BA">
        <w:t xml:space="preserve">of the Court </w:t>
      </w:r>
      <w:r w:rsidRPr="006B15BA">
        <w:t>was delivered orally by</w:t>
      </w:r>
      <w:r>
        <w:t xml:space="preserve"> </w:t>
      </w:r>
    </w:p>
    <w:p w:rsidR="002A33F4" w:rsidRDefault="002A33F4" w:rsidP="002A33F4">
      <w:pPr>
        <w:pStyle w:val="SCCNormalDoubleSpacing"/>
      </w:pPr>
    </w:p>
    <w:p w:rsidR="002A33F4" w:rsidRPr="006B15BA" w:rsidRDefault="002A33F4" w:rsidP="006B15BA">
      <w:pPr>
        <w:pStyle w:val="SCCLawFirm"/>
        <w:numPr>
          <w:ilvl w:val="0"/>
          <w:numId w:val="1"/>
        </w:numPr>
        <w:ind w:left="0" w:firstLine="0"/>
        <w:rPr>
          <w:i w:val="0"/>
        </w:rPr>
      </w:pPr>
      <w:r w:rsidRPr="006B15BA">
        <w:rPr>
          <w:i w:val="0"/>
          <w:smallCaps/>
        </w:rPr>
        <w:t>Abella J.</w:t>
      </w:r>
      <w:r w:rsidRPr="006B15BA">
        <w:rPr>
          <w:i w:val="0"/>
        </w:rPr>
        <w:t xml:space="preserve"> — </w:t>
      </w:r>
      <w:proofErr w:type="gramStart"/>
      <w:r w:rsidRPr="006B15BA">
        <w:rPr>
          <w:i w:val="0"/>
        </w:rPr>
        <w:t>We</w:t>
      </w:r>
      <w:proofErr w:type="gramEnd"/>
      <w:r w:rsidRPr="006B15BA">
        <w:rPr>
          <w:i w:val="0"/>
        </w:rPr>
        <w:t xml:space="preserve"> are all of the view that the failure to attend a trial is not presumptively after-the-fact conduct. Its admissibility must be assessed on a case-by-case basis.</w:t>
      </w:r>
    </w:p>
    <w:p w:rsidR="002A33F4" w:rsidRPr="00044728" w:rsidRDefault="002A33F4" w:rsidP="002A33F4">
      <w:pPr>
        <w:spacing w:line="480" w:lineRule="auto"/>
      </w:pPr>
    </w:p>
    <w:p w:rsidR="002A33F4" w:rsidRPr="0048624A" w:rsidRDefault="002A33F4" w:rsidP="0048624A">
      <w:pPr>
        <w:pStyle w:val="SCCLawFirm"/>
        <w:numPr>
          <w:ilvl w:val="0"/>
          <w:numId w:val="1"/>
        </w:numPr>
        <w:ind w:left="0" w:firstLine="0"/>
        <w:rPr>
          <w:i w:val="0"/>
        </w:rPr>
      </w:pPr>
      <w:r w:rsidRPr="0048624A">
        <w:rPr>
          <w:i w:val="0"/>
        </w:rPr>
        <w:t>A majority, however, is of the view that the appeal should be allowed substantially for the reasons of Justice Huscroft. Justice Karakatsanis and I would dismiss the appeal for the reasons of Justice Nordheimer.</w:t>
      </w:r>
    </w:p>
    <w:p w:rsidR="002A33F4" w:rsidRDefault="002A33F4" w:rsidP="002A33F4">
      <w:pPr>
        <w:spacing w:line="480" w:lineRule="auto"/>
      </w:pPr>
    </w:p>
    <w:p w:rsidR="002A33F4" w:rsidRPr="0048624A" w:rsidRDefault="002A33F4" w:rsidP="0048624A">
      <w:pPr>
        <w:pStyle w:val="SCCLawFirm"/>
        <w:numPr>
          <w:ilvl w:val="0"/>
          <w:numId w:val="1"/>
        </w:numPr>
        <w:ind w:left="0" w:firstLine="0"/>
        <w:rPr>
          <w:i w:val="0"/>
        </w:rPr>
      </w:pPr>
      <w:r w:rsidRPr="0048624A">
        <w:rPr>
          <w:i w:val="0"/>
        </w:rPr>
        <w:t>The appeal is therefore allowed and the convictions are restored.</w:t>
      </w:r>
    </w:p>
    <w:p w:rsidR="002A33F4" w:rsidRDefault="002A33F4" w:rsidP="00FC4EFB">
      <w:pPr>
        <w:pStyle w:val="SCCNormalDoubleSpacing"/>
      </w:pPr>
    </w:p>
    <w:p w:rsidR="009B57B3" w:rsidRDefault="00CC0866" w:rsidP="00FC4EFB">
      <w:pPr>
        <w:pStyle w:val="SCCNormalDoubleSpacing"/>
      </w:pPr>
      <w:r>
        <w:tab/>
      </w:r>
      <w:r w:rsidR="00FC16AE">
        <w:rPr>
          <w:i/>
        </w:rPr>
        <w:t>Judg</w:t>
      </w:r>
      <w:r w:rsidR="004862D2">
        <w:rPr>
          <w:i/>
        </w:rPr>
        <w:t>ment accordingly.</w:t>
      </w:r>
    </w:p>
    <w:p w:rsidR="00A149DF" w:rsidRPr="001426A9" w:rsidRDefault="00A149DF" w:rsidP="00FC4EFB">
      <w:pPr>
        <w:pStyle w:val="SCCNormalDoubleSpacing"/>
      </w:pPr>
    </w:p>
    <w:p w:rsidR="00331D0B" w:rsidRDefault="00CC0866">
      <w:pPr>
        <w:pStyle w:val="SCCLawFirm"/>
      </w:pPr>
      <w:r>
        <w:tab/>
        <w:t>Solicitor for the appellant: Attorney</w:t>
      </w:r>
      <w:r w:rsidR="008D2305">
        <w:t xml:space="preserve"> General</w:t>
      </w:r>
      <w:r>
        <w:t xml:space="preserve"> of Ontario</w:t>
      </w:r>
      <w:r w:rsidR="008D2305">
        <w:t>, Toronto.</w:t>
      </w:r>
    </w:p>
    <w:p w:rsidR="00331D0B" w:rsidRDefault="00331D0B">
      <w:pPr>
        <w:pStyle w:val="SCCLawFirm"/>
      </w:pPr>
    </w:p>
    <w:p w:rsidR="00331D0B" w:rsidRDefault="00CC0866">
      <w:pPr>
        <w:pStyle w:val="SCCLawFirm"/>
      </w:pPr>
      <w:r>
        <w:tab/>
        <w:t>Solicitors</w:t>
      </w:r>
      <w:r w:rsidR="008D2305">
        <w:t xml:space="preserve"> for the respondent: Shore Johnston</w:t>
      </w:r>
      <w:r>
        <w:t xml:space="preserve"> </w:t>
      </w:r>
      <w:proofErr w:type="spellStart"/>
      <w:r>
        <w:t>Hyslop</w:t>
      </w:r>
      <w:proofErr w:type="spellEnd"/>
      <w:r>
        <w:t xml:space="preserve"> Day</w:t>
      </w:r>
      <w:r w:rsidR="008D2305">
        <w:t>, Ottawa.</w:t>
      </w:r>
    </w:p>
    <w:p w:rsidR="00331D0B" w:rsidRDefault="00331D0B">
      <w:pPr>
        <w:pStyle w:val="SCCLawFirm"/>
      </w:pPr>
    </w:p>
    <w:p w:rsidR="009B57B3" w:rsidRPr="002A33F4" w:rsidRDefault="00CC0866" w:rsidP="002A33F4">
      <w:pPr>
        <w:pStyle w:val="SCCLawFirm"/>
      </w:pPr>
      <w:r>
        <w:tab/>
        <w:t>Solicitors</w:t>
      </w:r>
      <w:r w:rsidR="008D2305">
        <w:t xml:space="preserve"> for the intervener</w:t>
      </w:r>
      <w:r w:rsidR="002A33F4">
        <w:t xml:space="preserve">: </w:t>
      </w:r>
      <w:proofErr w:type="spellStart"/>
      <w:r>
        <w:t>Edelson</w:t>
      </w:r>
      <w:proofErr w:type="spellEnd"/>
      <w:r>
        <w:t xml:space="preserve"> &amp; Friedman</w:t>
      </w:r>
      <w:r w:rsidR="008D2305">
        <w:t>, Ottawa.</w:t>
      </w:r>
    </w:p>
    <w:sectPr w:rsidR="009B57B3" w:rsidRPr="002A33F4" w:rsidSect="000648CC">
      <w:headerReference w:type="default" r:id="rId9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DF8" w:rsidRDefault="00200DF8">
      <w:r>
        <w:separator/>
      </w:r>
    </w:p>
  </w:endnote>
  <w:endnote w:type="continuationSeparator" w:id="0">
    <w:p w:rsidR="00200DF8" w:rsidRDefault="0020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DF8" w:rsidRDefault="00200DF8">
      <w:r>
        <w:separator/>
      </w:r>
    </w:p>
  </w:footnote>
  <w:footnote w:type="continuationSeparator" w:id="0">
    <w:p w:rsidR="00200DF8" w:rsidRDefault="00200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C052E"/>
    <w:multiLevelType w:val="hybridMultilevel"/>
    <w:tmpl w:val="B56EC6E2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5198"/>
    <w:rsid w:val="000578A3"/>
    <w:rsid w:val="000648CC"/>
    <w:rsid w:val="000A6A5E"/>
    <w:rsid w:val="000C59B8"/>
    <w:rsid w:val="000C6AF0"/>
    <w:rsid w:val="0010415B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86351"/>
    <w:rsid w:val="00195D83"/>
    <w:rsid w:val="00197D1D"/>
    <w:rsid w:val="001A00C1"/>
    <w:rsid w:val="001B33E0"/>
    <w:rsid w:val="001B4573"/>
    <w:rsid w:val="001C779F"/>
    <w:rsid w:val="001D2AC1"/>
    <w:rsid w:val="001D4E88"/>
    <w:rsid w:val="00200DF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70D93"/>
    <w:rsid w:val="002745CC"/>
    <w:rsid w:val="002A33F4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1D0B"/>
    <w:rsid w:val="003323B0"/>
    <w:rsid w:val="0035169A"/>
    <w:rsid w:val="0035259D"/>
    <w:rsid w:val="00364B18"/>
    <w:rsid w:val="003872F2"/>
    <w:rsid w:val="003A125D"/>
    <w:rsid w:val="003A4C70"/>
    <w:rsid w:val="003B215F"/>
    <w:rsid w:val="003C3011"/>
    <w:rsid w:val="003C799C"/>
    <w:rsid w:val="003D0399"/>
    <w:rsid w:val="003E1C71"/>
    <w:rsid w:val="003E7F8F"/>
    <w:rsid w:val="003F327B"/>
    <w:rsid w:val="00406166"/>
    <w:rsid w:val="0040704B"/>
    <w:rsid w:val="00410A55"/>
    <w:rsid w:val="00411300"/>
    <w:rsid w:val="00415417"/>
    <w:rsid w:val="00426659"/>
    <w:rsid w:val="00450352"/>
    <w:rsid w:val="00454BDB"/>
    <w:rsid w:val="00464800"/>
    <w:rsid w:val="00465132"/>
    <w:rsid w:val="00480C90"/>
    <w:rsid w:val="0048396F"/>
    <w:rsid w:val="0048624A"/>
    <w:rsid w:val="004862D2"/>
    <w:rsid w:val="00492345"/>
    <w:rsid w:val="00493C18"/>
    <w:rsid w:val="004A53C9"/>
    <w:rsid w:val="004A600C"/>
    <w:rsid w:val="004A6118"/>
    <w:rsid w:val="004C478D"/>
    <w:rsid w:val="004C7BEB"/>
    <w:rsid w:val="004E2C26"/>
    <w:rsid w:val="004F1D97"/>
    <w:rsid w:val="004F36FF"/>
    <w:rsid w:val="005125A8"/>
    <w:rsid w:val="00521AE8"/>
    <w:rsid w:val="00527180"/>
    <w:rsid w:val="0054201E"/>
    <w:rsid w:val="00543BEC"/>
    <w:rsid w:val="00555291"/>
    <w:rsid w:val="00566AD1"/>
    <w:rsid w:val="00583EDE"/>
    <w:rsid w:val="005A6079"/>
    <w:rsid w:val="005E4698"/>
    <w:rsid w:val="00610539"/>
    <w:rsid w:val="00613969"/>
    <w:rsid w:val="00625C35"/>
    <w:rsid w:val="00656313"/>
    <w:rsid w:val="006565F4"/>
    <w:rsid w:val="00676038"/>
    <w:rsid w:val="00684EEA"/>
    <w:rsid w:val="0069689B"/>
    <w:rsid w:val="006A1551"/>
    <w:rsid w:val="006B15BA"/>
    <w:rsid w:val="006B1D1D"/>
    <w:rsid w:val="006B5FF5"/>
    <w:rsid w:val="006D74D3"/>
    <w:rsid w:val="006F30AF"/>
    <w:rsid w:val="00701759"/>
    <w:rsid w:val="00705C15"/>
    <w:rsid w:val="0071600E"/>
    <w:rsid w:val="007208D1"/>
    <w:rsid w:val="00744B4A"/>
    <w:rsid w:val="00747288"/>
    <w:rsid w:val="00747DD3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0EE5"/>
    <w:rsid w:val="008225C5"/>
    <w:rsid w:val="008260E2"/>
    <w:rsid w:val="008322BD"/>
    <w:rsid w:val="00833E0A"/>
    <w:rsid w:val="00834F73"/>
    <w:rsid w:val="0085473F"/>
    <w:rsid w:val="00864CF8"/>
    <w:rsid w:val="00872819"/>
    <w:rsid w:val="00874914"/>
    <w:rsid w:val="008756E4"/>
    <w:rsid w:val="00891422"/>
    <w:rsid w:val="00892E1A"/>
    <w:rsid w:val="008A3F29"/>
    <w:rsid w:val="008B660A"/>
    <w:rsid w:val="008C01DA"/>
    <w:rsid w:val="008D2305"/>
    <w:rsid w:val="008F78E9"/>
    <w:rsid w:val="00911989"/>
    <w:rsid w:val="009179F9"/>
    <w:rsid w:val="00933E5E"/>
    <w:rsid w:val="00935218"/>
    <w:rsid w:val="009403F3"/>
    <w:rsid w:val="009555B7"/>
    <w:rsid w:val="009567AA"/>
    <w:rsid w:val="00967374"/>
    <w:rsid w:val="009A1AAF"/>
    <w:rsid w:val="009A343A"/>
    <w:rsid w:val="009B2F23"/>
    <w:rsid w:val="009B57B3"/>
    <w:rsid w:val="009C5B92"/>
    <w:rsid w:val="009D2920"/>
    <w:rsid w:val="009D5AEB"/>
    <w:rsid w:val="009F0E33"/>
    <w:rsid w:val="00A030CE"/>
    <w:rsid w:val="00A149DF"/>
    <w:rsid w:val="00A1755C"/>
    <w:rsid w:val="00A21B90"/>
    <w:rsid w:val="00A41805"/>
    <w:rsid w:val="00A42DCD"/>
    <w:rsid w:val="00A47F98"/>
    <w:rsid w:val="00A52AFB"/>
    <w:rsid w:val="00A548CB"/>
    <w:rsid w:val="00A5521C"/>
    <w:rsid w:val="00A563A7"/>
    <w:rsid w:val="00A643E7"/>
    <w:rsid w:val="00A73C38"/>
    <w:rsid w:val="00AB670D"/>
    <w:rsid w:val="00AE40F5"/>
    <w:rsid w:val="00AE4535"/>
    <w:rsid w:val="00AF03C5"/>
    <w:rsid w:val="00AF4AD9"/>
    <w:rsid w:val="00B000D8"/>
    <w:rsid w:val="00B00F75"/>
    <w:rsid w:val="00B145B6"/>
    <w:rsid w:val="00B279EB"/>
    <w:rsid w:val="00B50C81"/>
    <w:rsid w:val="00B557F8"/>
    <w:rsid w:val="00B815FC"/>
    <w:rsid w:val="00B93FBC"/>
    <w:rsid w:val="00BA7DA0"/>
    <w:rsid w:val="00BB2EE4"/>
    <w:rsid w:val="00BC2108"/>
    <w:rsid w:val="00BD0E9E"/>
    <w:rsid w:val="00BD1BEC"/>
    <w:rsid w:val="00BD32FF"/>
    <w:rsid w:val="00C02092"/>
    <w:rsid w:val="00C24D91"/>
    <w:rsid w:val="00C53F14"/>
    <w:rsid w:val="00C600CF"/>
    <w:rsid w:val="00C6084F"/>
    <w:rsid w:val="00C62A66"/>
    <w:rsid w:val="00C71458"/>
    <w:rsid w:val="00C768DF"/>
    <w:rsid w:val="00C77613"/>
    <w:rsid w:val="00C828E7"/>
    <w:rsid w:val="00C861D0"/>
    <w:rsid w:val="00C86719"/>
    <w:rsid w:val="00C921DD"/>
    <w:rsid w:val="00C949F9"/>
    <w:rsid w:val="00CA6391"/>
    <w:rsid w:val="00CC0866"/>
    <w:rsid w:val="00CC137B"/>
    <w:rsid w:val="00CC34BD"/>
    <w:rsid w:val="00CE161A"/>
    <w:rsid w:val="00CE3171"/>
    <w:rsid w:val="00CF1601"/>
    <w:rsid w:val="00D0172F"/>
    <w:rsid w:val="00D021F7"/>
    <w:rsid w:val="00D0616C"/>
    <w:rsid w:val="00D068A7"/>
    <w:rsid w:val="00D17476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E319C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5404"/>
    <w:rsid w:val="00E45109"/>
    <w:rsid w:val="00E47B7A"/>
    <w:rsid w:val="00E56A44"/>
    <w:rsid w:val="00E60269"/>
    <w:rsid w:val="00E77932"/>
    <w:rsid w:val="00E97830"/>
    <w:rsid w:val="00EC4295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6C8B"/>
    <w:rsid w:val="00F66810"/>
    <w:rsid w:val="00F846D9"/>
    <w:rsid w:val="00F84DF4"/>
    <w:rsid w:val="00F85C97"/>
    <w:rsid w:val="00F85EC6"/>
    <w:rsid w:val="00FB37D2"/>
    <w:rsid w:val="00FB5E6B"/>
    <w:rsid w:val="00FC16AE"/>
    <w:rsid w:val="00FC4EFB"/>
    <w:rsid w:val="00FD068D"/>
    <w:rsid w:val="00FD4F28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ListParagraph">
    <w:name w:val="List Paragraph"/>
    <w:basedOn w:val="Normal"/>
    <w:uiPriority w:val="34"/>
    <w:qFormat/>
    <w:rsid w:val="002A33F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D74D3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D74D3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D7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2021-02-28T19:54:00Z</dcterms:created>
  <dcterms:modified xsi:type="dcterms:W3CDTF">2021-03-01T18:25:00Z</dcterms:modified>
</cp:coreProperties>
</file>