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30" w:rsidRPr="004D0230" w:rsidRDefault="004D0230" w:rsidP="00B94FBA">
      <w:pPr>
        <w:tabs>
          <w:tab w:val="center" w:pos="4680"/>
          <w:tab w:val="right" w:pos="9360"/>
        </w:tabs>
        <w:jc w:val="center"/>
        <w:rPr>
          <w:rFonts w:eastAsia="Calibri"/>
          <w:szCs w:val="24"/>
          <w:lang w:eastAsia="en-US"/>
        </w:rPr>
      </w:pPr>
      <w:r w:rsidRPr="004D0230">
        <w:rPr>
          <w:rFonts w:eastAsia="Calibri"/>
          <w:szCs w:val="24"/>
          <w:lang w:eastAsia="en-US"/>
        </w:rPr>
        <w:ptab w:relativeTo="margin" w:alignment="center" w:leader="none"/>
      </w:r>
      <w:r w:rsidRPr="004D0230">
        <w:rPr>
          <w:rFonts w:eastAsia="Calibri"/>
          <w:szCs w:val="24"/>
          <w:lang w:eastAsia="en-US"/>
        </w:rPr>
        <w:t xml:space="preserve"> </w:t>
      </w:r>
      <w:bookmarkStart w:id="0" w:name="_GoBack"/>
      <w:r w:rsidRPr="004D0230">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v:imagedata r:id="rId7" o:title=""/>
          </v:shape>
          <o:OLEObject Type="Embed" ProgID="Presentations.Drawing.13" ShapeID="_x0000_i1025" DrawAspect="Content" ObjectID="_1676111036" r:id="rId8"/>
        </w:object>
      </w:r>
      <w:bookmarkEnd w:id="0"/>
      <w:r w:rsidRPr="004D0230">
        <w:rPr>
          <w:rFonts w:eastAsia="Calibri"/>
          <w:szCs w:val="24"/>
          <w:lang w:eastAsia="en-US"/>
        </w:rPr>
        <w:t xml:space="preserve"> </w:t>
      </w:r>
      <w:r w:rsidRPr="004D0230">
        <w:rPr>
          <w:rFonts w:eastAsia="Calibri"/>
          <w:szCs w:val="24"/>
          <w:lang w:eastAsia="en-US"/>
        </w:rPr>
        <w:ptab w:relativeTo="margin" w:alignment="right" w:leader="none"/>
      </w:r>
    </w:p>
    <w:p w:rsidR="004D0230" w:rsidRPr="004D0230" w:rsidRDefault="004D0230" w:rsidP="004D0230">
      <w:pPr>
        <w:tabs>
          <w:tab w:val="center" w:pos="4680"/>
          <w:tab w:val="right" w:pos="9360"/>
        </w:tabs>
        <w:rPr>
          <w:rFonts w:eastAsia="Calibri"/>
          <w:szCs w:val="24"/>
          <w:lang w:eastAsia="en-US"/>
        </w:rPr>
      </w:pPr>
    </w:p>
    <w:p w:rsidR="004D0230" w:rsidRPr="004D0230" w:rsidRDefault="004D0230" w:rsidP="004D0230">
      <w:pPr>
        <w:jc w:val="center"/>
        <w:rPr>
          <w:rFonts w:eastAsia="Calibri"/>
          <w:b/>
          <w:szCs w:val="24"/>
          <w:lang w:eastAsia="en-US"/>
        </w:rPr>
      </w:pPr>
      <w:r w:rsidRPr="004D0230">
        <w:rPr>
          <w:rFonts w:eastAsia="Calibri"/>
          <w:b/>
          <w:szCs w:val="24"/>
          <w:lang w:eastAsia="en-US"/>
        </w:rPr>
        <w:t>SUPREME COURT OF CANADA</w:t>
      </w:r>
    </w:p>
    <w:p w:rsidR="004D0230" w:rsidRPr="004D0230" w:rsidRDefault="004D0230" w:rsidP="004D0230">
      <w:pPr>
        <w:rPr>
          <w:rFonts w:eastAsia="Calibri"/>
          <w:szCs w:val="24"/>
          <w:lang w:eastAsia="en-US"/>
        </w:rPr>
      </w:pPr>
    </w:p>
    <w:tbl>
      <w:tblPr>
        <w:tblStyle w:val="TableGrid11"/>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6"/>
        <w:gridCol w:w="3387"/>
      </w:tblGrid>
      <w:tr w:rsidR="004D0230" w:rsidRPr="004D0230" w:rsidTr="00FD0877">
        <w:tc>
          <w:tcPr>
            <w:tcW w:w="2112" w:type="pct"/>
            <w:tcMar>
              <w:top w:w="284" w:type="dxa"/>
            </w:tcMar>
          </w:tcPr>
          <w:p w:rsidR="004D0230" w:rsidRPr="004D0230" w:rsidRDefault="004D0230" w:rsidP="004D0230">
            <w:pPr>
              <w:spacing w:before="100" w:beforeAutospacing="1"/>
              <w:rPr>
                <w:rFonts w:eastAsia="Calibri"/>
                <w:szCs w:val="24"/>
              </w:rPr>
            </w:pPr>
            <w:r w:rsidRPr="004D0230">
              <w:rPr>
                <w:b/>
                <w:smallCaps/>
                <w:szCs w:val="24"/>
              </w:rPr>
              <w:t>Citation:</w:t>
            </w:r>
            <w:r w:rsidRPr="004D0230">
              <w:rPr>
                <w:szCs w:val="24"/>
              </w:rPr>
              <w:t xml:space="preserve"> R. </w:t>
            </w:r>
            <w:r w:rsidRPr="004D0230">
              <w:rPr>
                <w:i/>
                <w:szCs w:val="24"/>
              </w:rPr>
              <w:t>v</w:t>
            </w:r>
            <w:r w:rsidRPr="004D0230">
              <w:rPr>
                <w:szCs w:val="24"/>
              </w:rPr>
              <w:t xml:space="preserve">. </w:t>
            </w:r>
            <w:r w:rsidRPr="004D0230">
              <w:rPr>
                <w:rFonts w:eastAsia="Calibri"/>
              </w:rPr>
              <w:t>W.L.S.</w:t>
            </w:r>
            <w:r w:rsidRPr="004D0230">
              <w:rPr>
                <w:rFonts w:eastAsia="Calibri"/>
                <w:smallCaps/>
              </w:rPr>
              <w:t>, 2019 SCC 27, [2019] 2 S.C.R. 403</w:t>
            </w:r>
          </w:p>
        </w:tc>
        <w:tc>
          <w:tcPr>
            <w:tcW w:w="986" w:type="pct"/>
          </w:tcPr>
          <w:p w:rsidR="004D0230" w:rsidRPr="004D0230" w:rsidRDefault="004D0230" w:rsidP="004D0230">
            <w:pPr>
              <w:rPr>
                <w:b/>
                <w:smallCaps/>
                <w:szCs w:val="24"/>
              </w:rPr>
            </w:pPr>
          </w:p>
        </w:tc>
        <w:tc>
          <w:tcPr>
            <w:tcW w:w="1902" w:type="pct"/>
            <w:tcMar>
              <w:top w:w="284" w:type="dxa"/>
            </w:tcMar>
          </w:tcPr>
          <w:p w:rsidR="004D0230" w:rsidRPr="004D0230" w:rsidRDefault="004D0230" w:rsidP="004D0230">
            <w:pPr>
              <w:rPr>
                <w:szCs w:val="24"/>
              </w:rPr>
            </w:pPr>
            <w:r w:rsidRPr="004D0230">
              <w:rPr>
                <w:b/>
                <w:smallCaps/>
                <w:szCs w:val="24"/>
              </w:rPr>
              <w:t>Appeal Heard:</w:t>
            </w:r>
            <w:r w:rsidRPr="004D0230">
              <w:rPr>
                <w:szCs w:val="24"/>
              </w:rPr>
              <w:t xml:space="preserve"> May 7, 2019</w:t>
            </w:r>
          </w:p>
          <w:p w:rsidR="004D0230" w:rsidRPr="004D0230" w:rsidRDefault="004D0230" w:rsidP="004D0230">
            <w:pPr>
              <w:rPr>
                <w:szCs w:val="24"/>
              </w:rPr>
            </w:pPr>
            <w:r w:rsidRPr="004D0230">
              <w:rPr>
                <w:b/>
                <w:smallCaps/>
                <w:szCs w:val="24"/>
              </w:rPr>
              <w:t>Judgment Rendered:</w:t>
            </w:r>
            <w:r w:rsidRPr="004D0230">
              <w:rPr>
                <w:szCs w:val="24"/>
              </w:rPr>
              <w:t xml:space="preserve"> May 7, 2019</w:t>
            </w:r>
          </w:p>
          <w:p w:rsidR="004D0230" w:rsidRPr="004D0230" w:rsidRDefault="004D0230" w:rsidP="004D0230">
            <w:pPr>
              <w:rPr>
                <w:szCs w:val="24"/>
              </w:rPr>
            </w:pPr>
            <w:r w:rsidRPr="004D0230">
              <w:rPr>
                <w:b/>
                <w:smallCaps/>
                <w:szCs w:val="24"/>
              </w:rPr>
              <w:t>Docket:</w:t>
            </w:r>
            <w:r w:rsidRPr="004D0230">
              <w:rPr>
                <w:szCs w:val="24"/>
              </w:rPr>
              <w:t xml:space="preserve"> 38427</w:t>
            </w:r>
          </w:p>
        </w:tc>
      </w:tr>
    </w:tbl>
    <w:p w:rsidR="004D0230" w:rsidRPr="004D0230" w:rsidRDefault="004D0230" w:rsidP="004D0230">
      <w:pPr>
        <w:rPr>
          <w:rFonts w:eastAsia="Calibri"/>
          <w:szCs w:val="24"/>
          <w:lang w:eastAsia="en-US"/>
        </w:rPr>
      </w:pPr>
    </w:p>
    <w:p w:rsidR="004D0230" w:rsidRPr="004D0230" w:rsidRDefault="004D0230" w:rsidP="004D0230">
      <w:pPr>
        <w:rPr>
          <w:rFonts w:eastAsia="Calibri"/>
          <w:b/>
          <w:smallCaps/>
          <w:szCs w:val="24"/>
          <w:lang w:eastAsia="en-US"/>
        </w:rPr>
      </w:pPr>
      <w:r w:rsidRPr="004D0230">
        <w:rPr>
          <w:rFonts w:eastAsia="Calibri"/>
          <w:b/>
          <w:smallCaps/>
          <w:szCs w:val="24"/>
          <w:lang w:eastAsia="en-US"/>
        </w:rPr>
        <w:t>Between:</w:t>
      </w:r>
    </w:p>
    <w:p w:rsidR="004D0230" w:rsidRPr="004D0230" w:rsidRDefault="004D0230" w:rsidP="004D0230">
      <w:pPr>
        <w:jc w:val="center"/>
        <w:rPr>
          <w:rFonts w:eastAsia="Calibri"/>
          <w:b/>
          <w:szCs w:val="24"/>
          <w:lang w:eastAsia="en-US"/>
        </w:rPr>
      </w:pPr>
      <w:r w:rsidRPr="004D0230">
        <w:rPr>
          <w:rFonts w:eastAsia="Calibri"/>
          <w:b/>
          <w:szCs w:val="24"/>
          <w:lang w:eastAsia="en-US"/>
        </w:rPr>
        <w:t>W.L.S.</w:t>
      </w:r>
    </w:p>
    <w:p w:rsidR="004D0230" w:rsidRPr="004D0230" w:rsidRDefault="004D0230" w:rsidP="004D0230">
      <w:pPr>
        <w:jc w:val="center"/>
        <w:rPr>
          <w:rFonts w:eastAsia="Calibri"/>
          <w:szCs w:val="24"/>
          <w:lang w:eastAsia="en-US"/>
        </w:rPr>
      </w:pPr>
      <w:r w:rsidRPr="004D0230">
        <w:rPr>
          <w:rFonts w:eastAsia="Calibri"/>
          <w:szCs w:val="24"/>
          <w:lang w:eastAsia="en-US"/>
        </w:rPr>
        <w:t>Appellant</w:t>
      </w:r>
    </w:p>
    <w:p w:rsidR="004D0230" w:rsidRPr="004D0230" w:rsidRDefault="004D0230" w:rsidP="004D0230">
      <w:pPr>
        <w:rPr>
          <w:rFonts w:eastAsia="Calibri"/>
          <w:szCs w:val="24"/>
          <w:lang w:eastAsia="en-US"/>
        </w:rPr>
      </w:pPr>
    </w:p>
    <w:p w:rsidR="004D0230" w:rsidRPr="004D0230" w:rsidRDefault="004D0230" w:rsidP="004D0230">
      <w:pPr>
        <w:jc w:val="center"/>
        <w:rPr>
          <w:rFonts w:eastAsia="Calibri"/>
          <w:szCs w:val="24"/>
          <w:lang w:eastAsia="en-US"/>
        </w:rPr>
      </w:pPr>
      <w:r w:rsidRPr="004D0230">
        <w:rPr>
          <w:rFonts w:eastAsia="Calibri"/>
          <w:szCs w:val="24"/>
          <w:lang w:eastAsia="en-US"/>
        </w:rPr>
        <w:t>and</w:t>
      </w:r>
    </w:p>
    <w:p w:rsidR="004D0230" w:rsidRPr="004D0230" w:rsidRDefault="004D0230" w:rsidP="004D0230">
      <w:pPr>
        <w:rPr>
          <w:rFonts w:eastAsia="Calibri"/>
          <w:szCs w:val="24"/>
          <w:lang w:eastAsia="en-US"/>
        </w:rPr>
      </w:pPr>
    </w:p>
    <w:p w:rsidR="004D0230" w:rsidRPr="004D0230" w:rsidRDefault="004D0230" w:rsidP="004D0230">
      <w:pPr>
        <w:jc w:val="center"/>
        <w:rPr>
          <w:rFonts w:eastAsia="Calibri"/>
          <w:b/>
          <w:szCs w:val="24"/>
          <w:lang w:eastAsia="en-US"/>
        </w:rPr>
      </w:pPr>
      <w:r w:rsidRPr="004D0230">
        <w:rPr>
          <w:rFonts w:eastAsia="Calibri"/>
          <w:b/>
          <w:szCs w:val="24"/>
          <w:lang w:eastAsia="en-US"/>
        </w:rPr>
        <w:t>Her Majesty The Queen</w:t>
      </w:r>
    </w:p>
    <w:p w:rsidR="004D0230" w:rsidRPr="004D0230" w:rsidRDefault="004D0230" w:rsidP="004D0230">
      <w:pPr>
        <w:jc w:val="center"/>
        <w:rPr>
          <w:rFonts w:eastAsia="Calibri"/>
          <w:szCs w:val="24"/>
          <w:lang w:eastAsia="en-US"/>
        </w:rPr>
      </w:pPr>
      <w:r w:rsidRPr="004D0230">
        <w:rPr>
          <w:rFonts w:eastAsia="Calibri"/>
          <w:szCs w:val="24"/>
          <w:lang w:eastAsia="en-US"/>
        </w:rPr>
        <w:t>Respondent</w:t>
      </w:r>
    </w:p>
    <w:p w:rsidR="004D0230" w:rsidRPr="004D0230" w:rsidRDefault="004D0230" w:rsidP="004D0230">
      <w:pPr>
        <w:rPr>
          <w:rFonts w:eastAsia="Calibri"/>
          <w:szCs w:val="24"/>
          <w:lang w:eastAsia="en-US"/>
        </w:rPr>
      </w:pPr>
    </w:p>
    <w:p w:rsidR="004D0230" w:rsidRPr="004D0230" w:rsidRDefault="004D0230" w:rsidP="004D0230">
      <w:pPr>
        <w:rPr>
          <w:rFonts w:eastAsia="Calibri"/>
          <w:szCs w:val="24"/>
          <w:lang w:eastAsia="en-US"/>
        </w:rPr>
      </w:pPr>
    </w:p>
    <w:p w:rsidR="004D0230" w:rsidRPr="004D0230" w:rsidRDefault="004D0230" w:rsidP="004D0230">
      <w:pPr>
        <w:jc w:val="both"/>
        <w:rPr>
          <w:rFonts w:eastAsia="Calibri"/>
          <w:b/>
          <w:smallCaps/>
          <w:szCs w:val="24"/>
          <w:lang w:eastAsia="en-US"/>
        </w:rPr>
      </w:pPr>
    </w:p>
    <w:p w:rsidR="004D0230" w:rsidRPr="004D0230" w:rsidRDefault="004D0230" w:rsidP="004D0230">
      <w:pPr>
        <w:jc w:val="both"/>
        <w:rPr>
          <w:rFonts w:eastAsia="Calibri"/>
          <w:szCs w:val="24"/>
          <w:lang w:eastAsia="en-US"/>
        </w:rPr>
      </w:pPr>
      <w:r w:rsidRPr="004D0230">
        <w:rPr>
          <w:rFonts w:eastAsia="Calibri"/>
          <w:b/>
          <w:smallCaps/>
          <w:szCs w:val="24"/>
          <w:lang w:eastAsia="en-US"/>
        </w:rPr>
        <w:t xml:space="preserve">Coram: </w:t>
      </w:r>
      <w:r w:rsidRPr="004D0230">
        <w:rPr>
          <w:rFonts w:eastAsia="Calibri"/>
          <w:szCs w:val="24"/>
          <w:lang w:eastAsia="en-US"/>
        </w:rPr>
        <w:t>Moldaver, Côté, Brown, Rowe and Martin JJ.</w:t>
      </w:r>
    </w:p>
    <w:p w:rsidR="004D0230" w:rsidRPr="004D0230" w:rsidRDefault="004D0230" w:rsidP="004D0230">
      <w:pPr>
        <w:rPr>
          <w:rFonts w:eastAsia="Calibri"/>
          <w:szCs w:val="24"/>
          <w:lang w:eastAsia="en-US"/>
        </w:rPr>
      </w:pPr>
    </w:p>
    <w:p w:rsidR="004D0230" w:rsidRPr="004D0230" w:rsidRDefault="004D0230" w:rsidP="004D0230">
      <w:pPr>
        <w:rPr>
          <w:rFonts w:eastAsia="Calibr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D0230" w:rsidRPr="004D0230" w:rsidTr="00FD0877">
        <w:trPr>
          <w:cantSplit/>
        </w:trPr>
        <w:tc>
          <w:tcPr>
            <w:tcW w:w="3618" w:type="dxa"/>
          </w:tcPr>
          <w:p w:rsidR="004D0230" w:rsidRPr="004D0230" w:rsidRDefault="004D0230" w:rsidP="004D0230">
            <w:pPr>
              <w:rPr>
                <w:b/>
                <w:smallCaps/>
              </w:rPr>
            </w:pPr>
            <w:r w:rsidRPr="004D0230">
              <w:rPr>
                <w:b/>
                <w:smallCaps/>
              </w:rPr>
              <w:t>Reasons for Judgment:</w:t>
            </w:r>
          </w:p>
          <w:p w:rsidR="004D0230" w:rsidRPr="004D0230" w:rsidRDefault="004D0230" w:rsidP="004D0230">
            <w:r w:rsidRPr="004D0230">
              <w:t>(paras. 1 to 6)</w:t>
            </w:r>
          </w:p>
        </w:tc>
        <w:tc>
          <w:tcPr>
            <w:tcW w:w="5958" w:type="dxa"/>
          </w:tcPr>
          <w:p w:rsidR="004D0230" w:rsidRPr="004D0230" w:rsidRDefault="004D0230" w:rsidP="004D0230">
            <w:r w:rsidRPr="004D0230">
              <w:t>Martin J. (Moldaver, Côté, Brown and Rowe JJ. concurring)</w:t>
            </w:r>
          </w:p>
        </w:tc>
      </w:tr>
    </w:tbl>
    <w:p w:rsidR="004D0230" w:rsidRPr="004D0230" w:rsidRDefault="004D0230" w:rsidP="004D0230">
      <w:pPr>
        <w:rPr>
          <w:rFonts w:eastAsia="Calibri"/>
          <w:szCs w:val="24"/>
          <w:lang w:val="en-US" w:eastAsia="en-US"/>
        </w:rPr>
      </w:pPr>
    </w:p>
    <w:p w:rsidR="004D0230" w:rsidRPr="004D0230" w:rsidRDefault="004D0230" w:rsidP="004D0230">
      <w:pPr>
        <w:rPr>
          <w:rFonts w:eastAsia="Calibri"/>
          <w:szCs w:val="24"/>
          <w:lang w:val="en-US" w:eastAsia="en-US"/>
        </w:rPr>
      </w:pPr>
      <w:r w:rsidRPr="004D0230">
        <w:rPr>
          <w:rFonts w:eastAsia="Calibri"/>
          <w:noProof/>
          <w:szCs w:val="24"/>
          <w:lang w:val="en-US" w:eastAsia="en-US"/>
        </w:rPr>
        <mc:AlternateContent>
          <mc:Choice Requires="wps">
            <w:drawing>
              <wp:anchor distT="0" distB="0" distL="114300" distR="114300" simplePos="0" relativeHeight="251659264" behindDoc="0" locked="0" layoutInCell="1" allowOverlap="1" wp14:anchorId="07D03204" wp14:editId="591B8B3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9991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D0230" w:rsidRPr="004D0230" w:rsidRDefault="004D0230" w:rsidP="004D0230">
      <w:pPr>
        <w:rPr>
          <w:rFonts w:eastAsia="Calibri"/>
          <w:szCs w:val="24"/>
          <w:lang w:val="en-US" w:eastAsia="en-US"/>
        </w:rPr>
      </w:pPr>
    </w:p>
    <w:p w:rsidR="004D0230" w:rsidRPr="004D0230" w:rsidRDefault="004D0230" w:rsidP="004D0230">
      <w:pPr>
        <w:rPr>
          <w:rFonts w:eastAsia="Calibri"/>
          <w:szCs w:val="24"/>
          <w:lang w:val="en-US" w:eastAsia="en-US"/>
        </w:rPr>
      </w:pPr>
    </w:p>
    <w:p w:rsidR="008322BD" w:rsidRPr="005C6C63" w:rsidRDefault="005C6C63" w:rsidP="0035169A">
      <w:pPr>
        <w:spacing w:line="480" w:lineRule="auto"/>
        <w:jc w:val="both"/>
        <w:rPr>
          <w:lang w:val="en-US"/>
        </w:rPr>
      </w:pPr>
      <w:r w:rsidRPr="005C6C63">
        <w:t xml:space="preserve">R. </w:t>
      </w:r>
      <w:r w:rsidRPr="005C6C63">
        <w:rPr>
          <w:i/>
        </w:rPr>
        <w:t xml:space="preserve">v. </w:t>
      </w:r>
      <w:r w:rsidRPr="005C6C63">
        <w:rPr>
          <w:rStyle w:val="SCCAppellantForIndexChar"/>
          <w:b w:val="0"/>
        </w:rPr>
        <w:t>W.L.S</w:t>
      </w:r>
      <w:r>
        <w:rPr>
          <w:rStyle w:val="SCCAppellantForIndexChar"/>
          <w:b w:val="0"/>
        </w:rPr>
        <w:t>., 2019 SCC 27, [2019] 2 S.C.R. 403</w:t>
      </w:r>
      <w:r w:rsidR="00480C90" w:rsidRPr="005C6C63">
        <w:rPr>
          <w:lang w:val="en-US"/>
        </w:rPr>
        <w:t xml:space="preserve"> </w:t>
      </w:r>
    </w:p>
    <w:p w:rsidR="00766D14" w:rsidRPr="005C6C63" w:rsidRDefault="00766D14" w:rsidP="00FC4EFB">
      <w:pPr>
        <w:jc w:val="both"/>
        <w:rPr>
          <w:lang w:val="en-US"/>
        </w:rPr>
      </w:pPr>
    </w:p>
    <w:p w:rsidR="00A149DF" w:rsidRPr="005C6C63" w:rsidRDefault="00A149DF" w:rsidP="00FC4EFB">
      <w:pPr>
        <w:jc w:val="both"/>
        <w:rPr>
          <w:lang w:val="en-US"/>
        </w:rPr>
      </w:pPr>
    </w:p>
    <w:p w:rsidR="00A149DF" w:rsidRPr="005C6C63" w:rsidRDefault="00A149DF" w:rsidP="00FC4EFB">
      <w:pPr>
        <w:jc w:val="both"/>
        <w:rPr>
          <w:lang w:val="en-US"/>
        </w:rPr>
      </w:pPr>
    </w:p>
    <w:p w:rsidR="00B87C4D" w:rsidRPr="004D0230" w:rsidRDefault="009F1412">
      <w:pPr>
        <w:pStyle w:val="SCCLsocLastPartyInRole"/>
        <w:rPr>
          <w:lang w:val="fr-CA"/>
        </w:rPr>
      </w:pPr>
      <w:r w:rsidRPr="004D0230">
        <w:rPr>
          <w:lang w:val="fr-CA"/>
        </w:rPr>
        <w:t>W.L.S.</w:t>
      </w:r>
      <w:r w:rsidRPr="004D0230">
        <w:rPr>
          <w:rStyle w:val="SCCLsocPartyRole"/>
          <w:lang w:val="fr-CA"/>
        </w:rPr>
        <w:tab/>
        <w:t>Appellant</w:t>
      </w:r>
    </w:p>
    <w:p w:rsidR="00B87C4D" w:rsidRPr="004D0230" w:rsidRDefault="009F1412">
      <w:pPr>
        <w:pStyle w:val="SCCLsocVersus"/>
        <w:rPr>
          <w:lang w:val="fr-CA"/>
        </w:rPr>
      </w:pPr>
      <w:r w:rsidRPr="004D0230">
        <w:rPr>
          <w:lang w:val="fr-CA"/>
        </w:rPr>
        <w:t>v.</w:t>
      </w:r>
    </w:p>
    <w:p w:rsidR="00B87C4D" w:rsidRDefault="00C54459">
      <w:pPr>
        <w:pStyle w:val="SCCLsocLastPartyInRole"/>
      </w:pPr>
      <w:r>
        <w:t>Her Majesty T</w:t>
      </w:r>
      <w:r w:rsidR="009F1412">
        <w:t>he Queen</w:t>
      </w:r>
      <w:r w:rsidR="009F1412">
        <w:rPr>
          <w:rStyle w:val="SCCLsocPartyRole"/>
        </w:rPr>
        <w:tab/>
        <w:t>Respondent</w:t>
      </w:r>
    </w:p>
    <w:p w:rsidR="00766D14" w:rsidRDefault="00766D14" w:rsidP="00FC4EFB">
      <w:pPr>
        <w:jc w:val="both"/>
      </w:pPr>
    </w:p>
    <w:p w:rsidR="00A149DF" w:rsidRDefault="00A149DF" w:rsidP="00FC4EFB">
      <w:pPr>
        <w:jc w:val="both"/>
      </w:pPr>
    </w:p>
    <w:p w:rsidR="00A149DF" w:rsidRPr="001426A9" w:rsidRDefault="00A149DF" w:rsidP="00FC4EFB">
      <w:pPr>
        <w:jc w:val="both"/>
      </w:pPr>
    </w:p>
    <w:p w:rsidR="00426659" w:rsidRDefault="00426659" w:rsidP="00FC4EFB">
      <w:pPr>
        <w:jc w:val="both"/>
      </w:pPr>
      <w:r w:rsidRPr="00426659">
        <w:rPr>
          <w:b/>
        </w:rPr>
        <w:t>Indexed as:</w:t>
      </w:r>
      <w:r w:rsidR="002E57D4">
        <w:rPr>
          <w:b/>
        </w:rPr>
        <w:t xml:space="preserve"> </w:t>
      </w:r>
      <w:r w:rsidR="00292871">
        <w:rPr>
          <w:b/>
        </w:rPr>
        <w:t xml:space="preserve">R. </w:t>
      </w:r>
      <w:r w:rsidR="00292871">
        <w:rPr>
          <w:b/>
          <w:i/>
        </w:rPr>
        <w:t xml:space="preserve">v. </w:t>
      </w:r>
      <w:r>
        <w:rPr>
          <w:rStyle w:val="SCCAppellantForIndexChar"/>
        </w:rPr>
        <w:t>W.L.S</w:t>
      </w:r>
      <w:r w:rsidR="00961E33">
        <w:rPr>
          <w:rStyle w:val="SCCAppellantForIndexChar"/>
        </w:rPr>
        <w:t>.</w:t>
      </w:r>
    </w:p>
    <w:p w:rsidR="00A149DF" w:rsidRDefault="00A149DF" w:rsidP="00FC4EFB">
      <w:pPr>
        <w:jc w:val="both"/>
      </w:pPr>
    </w:p>
    <w:p w:rsidR="00A149DF" w:rsidRDefault="00A149DF" w:rsidP="00FC4EFB">
      <w:pPr>
        <w:jc w:val="both"/>
      </w:pPr>
    </w:p>
    <w:p w:rsidR="00AA0A3F" w:rsidRDefault="00AA0A3F" w:rsidP="00FC4EFB">
      <w:pPr>
        <w:jc w:val="both"/>
      </w:pPr>
    </w:p>
    <w:p w:rsidR="00426659" w:rsidRPr="00C02092" w:rsidRDefault="00AE4535" w:rsidP="00FC4EFB">
      <w:pPr>
        <w:pStyle w:val="SCCSystemYear"/>
        <w:jc w:val="both"/>
      </w:pPr>
      <w:r>
        <w:t>2019</w:t>
      </w:r>
      <w:r w:rsidR="003D0399">
        <w:t xml:space="preserve"> </w:t>
      </w:r>
      <w:r w:rsidR="00426659" w:rsidRPr="00C02092">
        <w:t>SCC </w:t>
      </w:r>
      <w:r w:rsidR="002547F4">
        <w:t>27</w:t>
      </w:r>
    </w:p>
    <w:p w:rsidR="00426659" w:rsidRDefault="00426659"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File No.:  </w:t>
      </w:r>
      <w:r>
        <w:t>38427</w:t>
      </w:r>
      <w:r w:rsidRPr="001426A9">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AE4535" w:rsidP="00FC4EFB">
      <w:pPr>
        <w:jc w:val="both"/>
      </w:pPr>
      <w:r>
        <w:t xml:space="preserve">2019:  </w:t>
      </w:r>
      <w:r w:rsidR="00C54459">
        <w:t>May 7</w:t>
      </w:r>
      <w:r w:rsidR="002547F4">
        <w:t>.</w:t>
      </w:r>
    </w:p>
    <w:p w:rsidR="00E97830" w:rsidRDefault="00E97830" w:rsidP="00FC4EFB">
      <w:pPr>
        <w:jc w:val="both"/>
      </w:pPr>
    </w:p>
    <w:p w:rsidR="00A149DF" w:rsidRDefault="00A149DF" w:rsidP="00FC4EFB">
      <w:pPr>
        <w:jc w:val="both"/>
      </w:pPr>
    </w:p>
    <w:p w:rsidR="00A149DF" w:rsidRDefault="00A149DF" w:rsidP="00FC4EFB">
      <w:pPr>
        <w:jc w:val="both"/>
      </w:pPr>
    </w:p>
    <w:p w:rsidR="008322BD" w:rsidRDefault="009B57B3" w:rsidP="00FC4EFB">
      <w:pPr>
        <w:jc w:val="both"/>
      </w:pPr>
      <w:r w:rsidRPr="001426A9">
        <w:t xml:space="preserve">Present:  </w:t>
      </w:r>
      <w:r>
        <w:t>Moldaver, Côté, Brown, Rowe and Martin JJ.</w:t>
      </w:r>
    </w:p>
    <w:p w:rsidR="00E97830" w:rsidRDefault="00E97830" w:rsidP="00FC4EFB">
      <w:pPr>
        <w:jc w:val="both"/>
      </w:pPr>
    </w:p>
    <w:p w:rsidR="006A1551" w:rsidRDefault="006A1551" w:rsidP="00FC4EFB">
      <w:pPr>
        <w:jc w:val="both"/>
      </w:pPr>
    </w:p>
    <w:p w:rsidR="00B87C4D" w:rsidRDefault="00B87C4D"/>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2547F4">
        <w:t>court of appeal for</w:t>
      </w:r>
      <w:r w:rsidR="009B57B3">
        <w:t xml:space="preserve"> alberta </w:t>
      </w:r>
    </w:p>
    <w:p w:rsidR="003A4C70" w:rsidRPr="001426A9" w:rsidRDefault="003A4C70" w:rsidP="00FC4EFB">
      <w:pPr>
        <w:pStyle w:val="SCCNormalDoubleSpacing"/>
      </w:pPr>
    </w:p>
    <w:p w:rsidR="00A149DF" w:rsidRDefault="009B57B3" w:rsidP="00044BF6">
      <w:pPr>
        <w:pStyle w:val="SCCNormalDoubleSpacing"/>
        <w:spacing w:after="480"/>
        <w:rPr>
          <w:i/>
        </w:rPr>
      </w:pPr>
      <w:r w:rsidRPr="00583EDE">
        <w:tab/>
      </w:r>
      <w:r w:rsidR="00B51141">
        <w:rPr>
          <w:i/>
        </w:rPr>
        <w:t xml:space="preserve">Criminal law — </w:t>
      </w:r>
      <w:r w:rsidR="00B51141" w:rsidRPr="005A15B7">
        <w:rPr>
          <w:i/>
        </w:rPr>
        <w:t>Sexual assault — Consent</w:t>
      </w:r>
      <w:r w:rsidR="00B51141">
        <w:rPr>
          <w:i/>
        </w:rPr>
        <w:t xml:space="preserve"> —</w:t>
      </w:r>
      <w:r w:rsidR="009E111A">
        <w:rPr>
          <w:i/>
        </w:rPr>
        <w:t xml:space="preserve"> </w:t>
      </w:r>
      <w:r w:rsidR="00F57825">
        <w:rPr>
          <w:i/>
        </w:rPr>
        <w:t>A</w:t>
      </w:r>
      <w:r w:rsidR="00BE377A">
        <w:rPr>
          <w:i/>
        </w:rPr>
        <w:t>ccused</w:t>
      </w:r>
      <w:r w:rsidR="00F57825">
        <w:rPr>
          <w:i/>
        </w:rPr>
        <w:t>’s child</w:t>
      </w:r>
      <w:r w:rsidR="00E92035">
        <w:rPr>
          <w:i/>
        </w:rPr>
        <w:t xml:space="preserve"> testifying that </w:t>
      </w:r>
      <w:r w:rsidR="00E92035" w:rsidRPr="005A15B7">
        <w:rPr>
          <w:i/>
        </w:rPr>
        <w:t xml:space="preserve">accused repeatedly sexually assaulted </w:t>
      </w:r>
      <w:r w:rsidR="00F57825">
        <w:rPr>
          <w:i/>
        </w:rPr>
        <w:t>sleepy and drugged complainant</w:t>
      </w:r>
      <w:r w:rsidR="00E92035">
        <w:rPr>
          <w:i/>
        </w:rPr>
        <w:t xml:space="preserve"> — </w:t>
      </w:r>
      <w:r w:rsidR="000A1736">
        <w:rPr>
          <w:i/>
        </w:rPr>
        <w:t>Trial judge</w:t>
      </w:r>
      <w:r w:rsidR="003A6B1D">
        <w:rPr>
          <w:i/>
        </w:rPr>
        <w:t xml:space="preserve"> accepting </w:t>
      </w:r>
      <w:r w:rsidR="00F57825">
        <w:rPr>
          <w:i/>
        </w:rPr>
        <w:t xml:space="preserve">child’s </w:t>
      </w:r>
      <w:r w:rsidR="003A6B1D">
        <w:rPr>
          <w:i/>
        </w:rPr>
        <w:t xml:space="preserve">evidence as </w:t>
      </w:r>
      <w:r w:rsidR="00F57825">
        <w:rPr>
          <w:i/>
        </w:rPr>
        <w:t>truthful</w:t>
      </w:r>
      <w:r w:rsidR="003A6B1D">
        <w:rPr>
          <w:i/>
        </w:rPr>
        <w:t xml:space="preserve"> and reliable but</w:t>
      </w:r>
      <w:r w:rsidR="000A1736">
        <w:rPr>
          <w:i/>
        </w:rPr>
        <w:t xml:space="preserve"> acquitting accused of sexual assault </w:t>
      </w:r>
      <w:r w:rsidR="003A6B1D">
        <w:rPr>
          <w:i/>
        </w:rPr>
        <w:t xml:space="preserve">as </w:t>
      </w:r>
      <w:r w:rsidR="00885CA4">
        <w:rPr>
          <w:i/>
        </w:rPr>
        <w:t xml:space="preserve">she was </w:t>
      </w:r>
      <w:r w:rsidR="003A6B1D">
        <w:rPr>
          <w:i/>
        </w:rPr>
        <w:t xml:space="preserve">not satisfied beyond reasonable doubt that there was absence of subjective consent </w:t>
      </w:r>
      <w:r w:rsidR="000A1736" w:rsidRPr="005A15B7">
        <w:rPr>
          <w:i/>
        </w:rPr>
        <w:t>—</w:t>
      </w:r>
      <w:r w:rsidR="006445C9" w:rsidRPr="005A15B7">
        <w:rPr>
          <w:i/>
        </w:rPr>
        <w:t xml:space="preserve"> Court of Appeal</w:t>
      </w:r>
      <w:r w:rsidR="00885CA4">
        <w:rPr>
          <w:i/>
        </w:rPr>
        <w:t xml:space="preserve"> entering conviction </w:t>
      </w:r>
      <w:r w:rsidR="004A0217">
        <w:rPr>
          <w:i/>
        </w:rPr>
        <w:t xml:space="preserve">— </w:t>
      </w:r>
      <w:r w:rsidR="000A1736">
        <w:rPr>
          <w:i/>
        </w:rPr>
        <w:t>Court of Appeal</w:t>
      </w:r>
      <w:r w:rsidR="00D0424D">
        <w:rPr>
          <w:i/>
        </w:rPr>
        <w:t xml:space="preserve"> finding trial judge erred </w:t>
      </w:r>
      <w:r w:rsidR="00BB2AE0">
        <w:rPr>
          <w:i/>
        </w:rPr>
        <w:t xml:space="preserve">in law </w:t>
      </w:r>
      <w:r w:rsidR="00D0424D">
        <w:rPr>
          <w:i/>
        </w:rPr>
        <w:t>by not providing alternative support</w:t>
      </w:r>
      <w:r w:rsidR="004A0217">
        <w:rPr>
          <w:i/>
        </w:rPr>
        <w:t xml:space="preserve">able theory </w:t>
      </w:r>
      <w:r w:rsidR="004A0217" w:rsidRPr="005A15B7">
        <w:rPr>
          <w:i/>
        </w:rPr>
        <w:t xml:space="preserve">after concluding </w:t>
      </w:r>
      <w:r w:rsidR="00D0424D" w:rsidRPr="005A15B7">
        <w:rPr>
          <w:i/>
        </w:rPr>
        <w:t>absence o</w:t>
      </w:r>
      <w:r w:rsidR="004A0217" w:rsidRPr="005A15B7">
        <w:rPr>
          <w:i/>
        </w:rPr>
        <w:t xml:space="preserve">f subjective consent was not </w:t>
      </w:r>
      <w:r w:rsidR="00D0424D" w:rsidRPr="005A15B7">
        <w:rPr>
          <w:i/>
        </w:rPr>
        <w:t>only inference that could be drawn from evidence</w:t>
      </w:r>
      <w:r w:rsidR="006445C9">
        <w:rPr>
          <w:i/>
        </w:rPr>
        <w:t xml:space="preserve"> </w:t>
      </w:r>
      <w:r w:rsidR="00044BF6" w:rsidRPr="005A15B7">
        <w:rPr>
          <w:i/>
        </w:rPr>
        <w:t xml:space="preserve">— Trial judge </w:t>
      </w:r>
      <w:r w:rsidR="00044BF6">
        <w:rPr>
          <w:i/>
        </w:rPr>
        <w:t xml:space="preserve">misapplied law of circumstantial evidence to evidence of witness and misapplied law of consent — Conviction upheld. </w:t>
      </w:r>
    </w:p>
    <w:p w:rsidR="00656313" w:rsidRDefault="002547F4" w:rsidP="00AA0A3F">
      <w:pPr>
        <w:pStyle w:val="SCCNormalDoubleSpacing"/>
      </w:pPr>
      <w:r>
        <w:tab/>
      </w:r>
      <w:r w:rsidR="009B57B3" w:rsidRPr="001426A9">
        <w:t xml:space="preserve">APPEAL from a judgment of the </w:t>
      </w:r>
      <w:r w:rsidR="00D161A4">
        <w:t xml:space="preserve">Alberta </w:t>
      </w:r>
      <w:r>
        <w:t xml:space="preserve">Court of Appeal </w:t>
      </w:r>
      <w:r w:rsidR="0088369A">
        <w:t xml:space="preserve">(McDonald, Crighton and </w:t>
      </w:r>
      <w:r w:rsidR="00FA73B8">
        <w:t xml:space="preserve">Khullar JJ.A.), 2018 ABCA 363, [2018] A.J. No. 1283 (QL), 2018 </w:t>
      </w:r>
      <w:r w:rsidR="00FA73B8">
        <w:lastRenderedPageBreak/>
        <w:t xml:space="preserve">CarswellAlta 2558 (WL Can.), </w:t>
      </w:r>
      <w:r w:rsidR="00C766C3" w:rsidRPr="00DB39C2">
        <w:t>setting aside the acquittal</w:t>
      </w:r>
      <w:r w:rsidR="00B157FB">
        <w:t xml:space="preserve"> of the accused</w:t>
      </w:r>
      <w:r w:rsidR="00C766C3" w:rsidRPr="00DB39C2">
        <w:t xml:space="preserve"> for sexual assault</w:t>
      </w:r>
      <w:r w:rsidR="00B411B4" w:rsidRPr="00DB39C2">
        <w:t xml:space="preserve"> </w:t>
      </w:r>
      <w:r w:rsidR="00885CA4" w:rsidRPr="00885CA4">
        <w:t>and entering</w:t>
      </w:r>
      <w:r w:rsidR="00A909BF">
        <w:t xml:space="preserve"> a</w:t>
      </w:r>
      <w:r w:rsidR="00C766C3" w:rsidRPr="00885CA4">
        <w:t xml:space="preserve"> </w:t>
      </w:r>
      <w:r w:rsidR="00C766C3" w:rsidRPr="00A909BF">
        <w:t>conviction</w:t>
      </w:r>
      <w:r w:rsidR="00FA73B8" w:rsidRPr="00A909BF">
        <w:t>.</w:t>
      </w:r>
      <w:r w:rsidR="00C766C3" w:rsidRPr="00A909BF">
        <w:t xml:space="preserve"> Appeal dismissed</w:t>
      </w:r>
      <w:r w:rsidR="00C766C3">
        <w:t xml:space="preserve">. </w:t>
      </w:r>
    </w:p>
    <w:p w:rsidR="00656313" w:rsidRDefault="00656313" w:rsidP="00FC4EFB">
      <w:pPr>
        <w:pStyle w:val="SCCNormalDoubleSpacing"/>
      </w:pPr>
    </w:p>
    <w:p w:rsidR="00B87C4D" w:rsidRDefault="009F1412">
      <w:pPr>
        <w:pStyle w:val="SCCNormalDoubleSpacing"/>
      </w:pPr>
      <w:r>
        <w:rPr>
          <w:rStyle w:val="SCCCounselNameChar"/>
        </w:rPr>
        <w:tab/>
        <w:t>Dane F. Bullerwell</w:t>
      </w:r>
      <w:r>
        <w:rPr>
          <w:rStyle w:val="SCCCounselSeparatorChar"/>
        </w:rPr>
        <w:t xml:space="preserve"> and </w:t>
      </w:r>
      <w:r>
        <w:rPr>
          <w:rStyle w:val="SCCCounselNameChar"/>
        </w:rPr>
        <w:t>James Wegener</w:t>
      </w:r>
      <w:r>
        <w:rPr>
          <w:rStyle w:val="SCCCounselPartyRoleChar"/>
        </w:rPr>
        <w:t>, for the appellant.</w:t>
      </w:r>
    </w:p>
    <w:p w:rsidR="00B87C4D" w:rsidRDefault="00B87C4D">
      <w:pPr>
        <w:pStyle w:val="SCCNormalDoubleSpacing"/>
      </w:pPr>
    </w:p>
    <w:p w:rsidR="001D42C4" w:rsidRDefault="009F1412" w:rsidP="001D42C4">
      <w:pPr>
        <w:pStyle w:val="SCCNormalDoubleSpacing"/>
        <w:rPr>
          <w:rStyle w:val="SCCCounselPartyRoleChar"/>
        </w:rPr>
      </w:pPr>
      <w:r>
        <w:rPr>
          <w:rStyle w:val="SCCCounselNameChar"/>
        </w:rPr>
        <w:tab/>
        <w:t>Cheryl</w:t>
      </w:r>
      <w:r w:rsidR="002547F4">
        <w:rPr>
          <w:rStyle w:val="SCCCounselNameChar"/>
        </w:rPr>
        <w:t xml:space="preserve"> A.</w:t>
      </w:r>
      <w:r>
        <w:rPr>
          <w:rStyle w:val="SCCCounselNameChar"/>
        </w:rPr>
        <w:t xml:space="preserve"> Schlecker</w:t>
      </w:r>
      <w:r>
        <w:rPr>
          <w:rStyle w:val="SCCCounselPartyRoleChar"/>
        </w:rPr>
        <w:t>, for the respondent.</w:t>
      </w:r>
    </w:p>
    <w:p w:rsidR="001D42C4" w:rsidRDefault="001D42C4" w:rsidP="001D42C4">
      <w:pPr>
        <w:pStyle w:val="SCCNormalDoubleSpacing"/>
        <w:rPr>
          <w:rStyle w:val="SCCCounselPartyRoleChar"/>
        </w:rPr>
      </w:pPr>
    </w:p>
    <w:p w:rsidR="00B87C4D" w:rsidRPr="00C54459" w:rsidRDefault="001D42C4" w:rsidP="001D42C4">
      <w:pPr>
        <w:pStyle w:val="SCCNormalDoubleSpacing"/>
      </w:pPr>
      <w:r>
        <w:rPr>
          <w:rStyle w:val="SCCCounselPartyRoleChar"/>
        </w:rPr>
        <w:tab/>
      </w:r>
      <w:r w:rsidR="002547F4" w:rsidRPr="00C54459">
        <w:t>The judgment of the Court was delivered orally by</w:t>
      </w:r>
    </w:p>
    <w:p w:rsidR="00A909BF" w:rsidRPr="00C54459" w:rsidRDefault="00A909BF"/>
    <w:p w:rsidR="00885CA4" w:rsidRPr="004123A3" w:rsidRDefault="00F57825" w:rsidP="00885CA4">
      <w:pPr>
        <w:pStyle w:val="ParaNoNdepar-AltN"/>
        <w:numPr>
          <w:ilvl w:val="0"/>
          <w:numId w:val="0"/>
        </w:numPr>
        <w:rPr>
          <w:lang w:val="en-US"/>
        </w:rPr>
      </w:pPr>
      <w:r w:rsidRPr="00885CA4">
        <w:t>[1]</w:t>
      </w:r>
      <w:r w:rsidRPr="00885CA4">
        <w:tab/>
      </w:r>
      <w:r w:rsidR="002547F4" w:rsidRPr="00C54459">
        <w:rPr>
          <w:smallCaps/>
          <w:lang w:val="en-US"/>
        </w:rPr>
        <w:t>Martin</w:t>
      </w:r>
      <w:r w:rsidR="002547F4" w:rsidRPr="00C54459">
        <w:rPr>
          <w:lang w:val="en-US"/>
        </w:rPr>
        <w:t xml:space="preserve"> J. —</w:t>
      </w:r>
      <w:r w:rsidR="00C47FD5">
        <w:rPr>
          <w:lang w:val="en-US"/>
        </w:rPr>
        <w:t xml:space="preserve"> </w:t>
      </w:r>
      <w:r w:rsidR="00C54459" w:rsidRPr="00C54459">
        <w:rPr>
          <w:lang w:val="en-US"/>
        </w:rPr>
        <w:t>The accused</w:t>
      </w:r>
      <w:r w:rsidR="00C54459" w:rsidRPr="004123A3">
        <w:rPr>
          <w:lang w:val="en-US"/>
        </w:rPr>
        <w:t xml:space="preserve"> was acquitted of sexual assault following a trial before a judge alone in the Provincial Court of Alberta.  The Crown appealed the acquittal to the Alberta Court of Appeal, which unanimously allowed the appeal</w:t>
      </w:r>
      <w:r w:rsidR="00D161A4">
        <w:rPr>
          <w:lang w:val="en-US"/>
        </w:rPr>
        <w:t xml:space="preserve"> and substituted a conviction. </w:t>
      </w:r>
      <w:r w:rsidR="00C54459" w:rsidRPr="004123A3">
        <w:rPr>
          <w:lang w:val="en-US"/>
        </w:rPr>
        <w:t>The accused appeals to this Court as of right.</w:t>
      </w:r>
    </w:p>
    <w:p w:rsidR="00C54459" w:rsidRPr="004123A3" w:rsidRDefault="00C54459" w:rsidP="00885CA4">
      <w:pPr>
        <w:pStyle w:val="ParaNoNdepar-AltN"/>
        <w:numPr>
          <w:ilvl w:val="0"/>
          <w:numId w:val="0"/>
        </w:numPr>
        <w:rPr>
          <w:lang w:val="en-US"/>
        </w:rPr>
      </w:pPr>
      <w:r>
        <w:t>[2]</w:t>
      </w:r>
      <w:r>
        <w:tab/>
      </w:r>
      <w:r w:rsidRPr="004123A3">
        <w:rPr>
          <w:lang w:val="en-US"/>
        </w:rPr>
        <w:t>We would dismiss the appeal and uphold the conviction for substantially the reasons of the Court of Appeal. We would add, however, in our view, it was not necessary to reach back into the record of the trial judge’s interactions with counsel to identify an error of law. Rather, errors of law are apparent on the face of the trial judge’s reasons.</w:t>
      </w:r>
    </w:p>
    <w:p w:rsidR="00C54459" w:rsidRPr="004123A3" w:rsidRDefault="00C54459" w:rsidP="00885CA4">
      <w:pPr>
        <w:pStyle w:val="ParaNoNdepar-AltN"/>
        <w:numPr>
          <w:ilvl w:val="0"/>
          <w:numId w:val="0"/>
        </w:numPr>
        <w:rPr>
          <w:lang w:val="en-US"/>
        </w:rPr>
      </w:pPr>
      <w:r>
        <w:rPr>
          <w:lang w:val="en-US"/>
        </w:rPr>
        <w:t>[3]</w:t>
      </w:r>
      <w:r>
        <w:rPr>
          <w:lang w:val="en-US"/>
        </w:rPr>
        <w:tab/>
      </w:r>
      <w:r w:rsidRPr="004123A3">
        <w:rPr>
          <w:lang w:val="en-US"/>
        </w:rPr>
        <w:t xml:space="preserve">The trial judge accepted the testimony of the witness as being truthful and reliable on the “core issues”, namely that he saw his father, the accused, drag the complainant from her bedroom into the living room and engage in sexual activity </w:t>
      </w:r>
      <w:r w:rsidR="00D161A4">
        <w:rPr>
          <w:lang w:val="en-US"/>
        </w:rPr>
        <w:t xml:space="preserve">with her on several occasions. </w:t>
      </w:r>
      <w:r w:rsidRPr="004123A3">
        <w:rPr>
          <w:lang w:val="en-US"/>
        </w:rPr>
        <w:t>The trial judge accepted this evidence but held that “one inference, given the evidence of [the witness] is that [the complainant] was not consenting to the sexual activity involving the accused, it must be the only reasonable inference if the Crown is to prove lack of consent beyond a reasonable doubt” (trial reasons (Alta. Prov. Ct.), December 1, 2017).</w:t>
      </w:r>
    </w:p>
    <w:p w:rsidR="00C54459" w:rsidRPr="004123A3" w:rsidRDefault="00C54459" w:rsidP="00885CA4">
      <w:pPr>
        <w:pStyle w:val="ParaNoNdepar-AltN"/>
        <w:numPr>
          <w:ilvl w:val="0"/>
          <w:numId w:val="0"/>
        </w:numPr>
        <w:rPr>
          <w:lang w:val="en-US"/>
        </w:rPr>
      </w:pPr>
      <w:r>
        <w:rPr>
          <w:lang w:val="en-US"/>
        </w:rPr>
        <w:t>[4]</w:t>
      </w:r>
      <w:r>
        <w:rPr>
          <w:lang w:val="en-US"/>
        </w:rPr>
        <w:tab/>
      </w:r>
      <w:r w:rsidRPr="004123A3">
        <w:rPr>
          <w:lang w:val="en-US"/>
        </w:rPr>
        <w:t>In our view, the act of dragging the complainant while asleep and drugged is inconsis</w:t>
      </w:r>
      <w:r w:rsidR="00D161A4">
        <w:rPr>
          <w:lang w:val="en-US"/>
        </w:rPr>
        <w:t xml:space="preserve">tent with any sort of consent. </w:t>
      </w:r>
      <w:r w:rsidRPr="004123A3">
        <w:rPr>
          <w:lang w:val="en-US"/>
        </w:rPr>
        <w:t>There was no evidence, or absence of evidence, to support any reasonable inf</w:t>
      </w:r>
      <w:r w:rsidR="00D161A4">
        <w:rPr>
          <w:lang w:val="en-US"/>
        </w:rPr>
        <w:t xml:space="preserve">erence other than non-consent. </w:t>
      </w:r>
      <w:r w:rsidRPr="004123A3">
        <w:rPr>
          <w:lang w:val="en-US"/>
        </w:rPr>
        <w:t>No alternative inference was posited to the trial judge in submissions, and she did not cite any alternative inference in her reasons.</w:t>
      </w:r>
    </w:p>
    <w:p w:rsidR="00C54459" w:rsidRPr="004123A3" w:rsidRDefault="00C54459" w:rsidP="00885CA4">
      <w:pPr>
        <w:pStyle w:val="ParaNoNdepar-AltN"/>
        <w:numPr>
          <w:ilvl w:val="0"/>
          <w:numId w:val="0"/>
        </w:numPr>
        <w:rPr>
          <w:lang w:val="en-US"/>
        </w:rPr>
      </w:pPr>
      <w:r>
        <w:rPr>
          <w:lang w:val="en-US"/>
        </w:rPr>
        <w:t>[5]</w:t>
      </w:r>
      <w:r>
        <w:rPr>
          <w:lang w:val="en-US"/>
        </w:rPr>
        <w:tab/>
      </w:r>
      <w:r w:rsidRPr="004123A3">
        <w:rPr>
          <w:lang w:val="en-US"/>
        </w:rPr>
        <w:t xml:space="preserve">In this case, the trial judge misapplied not only the law of circumstantial evidence to the evidence of the witness, which she accepted, she also misapplied the law on consent. This complainant was statutorily incapable of consenting and any other finding on this point was a clear error of law.  </w:t>
      </w:r>
    </w:p>
    <w:p w:rsidR="00B87C4D" w:rsidRDefault="00C54459" w:rsidP="00C54459">
      <w:pPr>
        <w:pStyle w:val="SCCLawFirm"/>
      </w:pPr>
      <w:r>
        <w:rPr>
          <w:i w:val="0"/>
          <w:lang w:val="en-US"/>
        </w:rPr>
        <w:t>[6]</w:t>
      </w:r>
      <w:r>
        <w:rPr>
          <w:i w:val="0"/>
          <w:lang w:val="en-US"/>
        </w:rPr>
        <w:tab/>
      </w:r>
      <w:r w:rsidRPr="00C54459">
        <w:rPr>
          <w:i w:val="0"/>
          <w:lang w:val="en-US"/>
        </w:rPr>
        <w:t>We would therefore uphold the Court of Appeal’s decision to enter a verdict of guilty on the charge of sexual assault and remit the case back to the trial court for sentencing.</w:t>
      </w:r>
    </w:p>
    <w:p w:rsidR="00B87C4D" w:rsidRDefault="00B87C4D">
      <w:pPr>
        <w:pStyle w:val="SCCLawFirm"/>
      </w:pPr>
    </w:p>
    <w:p w:rsidR="009B57B3" w:rsidRPr="002547F4" w:rsidRDefault="009B57B3" w:rsidP="00FC4EFB">
      <w:pPr>
        <w:pStyle w:val="SCCNormalDoubleSpacing"/>
        <w:rPr>
          <w:i/>
        </w:rPr>
      </w:pPr>
      <w:r w:rsidRPr="001426A9">
        <w:tab/>
      </w:r>
      <w:r w:rsidR="002547F4">
        <w:rPr>
          <w:i/>
        </w:rPr>
        <w:t>Judgment accordingly.</w:t>
      </w:r>
    </w:p>
    <w:p w:rsidR="00A149DF" w:rsidRPr="001426A9" w:rsidRDefault="00A149DF" w:rsidP="00FC4EFB">
      <w:pPr>
        <w:pStyle w:val="SCCNormalDoubleSpacing"/>
      </w:pPr>
    </w:p>
    <w:p w:rsidR="00B87C4D" w:rsidRDefault="00292871" w:rsidP="00292871">
      <w:pPr>
        <w:pStyle w:val="SCCLawFirm"/>
      </w:pPr>
      <w:r>
        <w:tab/>
      </w:r>
      <w:r w:rsidR="002547F4">
        <w:t>Solicitors</w:t>
      </w:r>
      <w:r w:rsidR="009F1412">
        <w:t xml:space="preserve"> for the appellant:  Legal Aid Society </w:t>
      </w:r>
      <w:r w:rsidR="000B59EA">
        <w:t xml:space="preserve">of </w:t>
      </w:r>
      <w:r w:rsidR="009F1412">
        <w:t>Alberta, Edmonton</w:t>
      </w:r>
      <w:r w:rsidR="002547F4">
        <w:t xml:space="preserve">; </w:t>
      </w:r>
      <w:r>
        <w:t xml:space="preserve">Sinclair </w:t>
      </w:r>
      <w:r w:rsidR="002547F4">
        <w:t>Law Office</w:t>
      </w:r>
      <w:r w:rsidR="002547F4" w:rsidRPr="00D161A4">
        <w:t xml:space="preserve">, </w:t>
      </w:r>
      <w:r w:rsidR="00167F43" w:rsidRPr="00D161A4">
        <w:t>Stony Plain</w:t>
      </w:r>
      <w:r w:rsidR="009F1412" w:rsidRPr="00D161A4">
        <w:t>.</w:t>
      </w:r>
    </w:p>
    <w:p w:rsidR="00B87C4D" w:rsidRDefault="00B87C4D">
      <w:pPr>
        <w:pStyle w:val="SCCLawFirm"/>
      </w:pPr>
    </w:p>
    <w:p w:rsidR="00B87C4D" w:rsidRDefault="002547F4">
      <w:pPr>
        <w:pStyle w:val="SCCLawFirm"/>
      </w:pPr>
      <w:r>
        <w:tab/>
        <w:t>Solicitor</w:t>
      </w:r>
      <w:r w:rsidR="009F1412">
        <w:t xml:space="preserve"> for the respondent:  Attorney General of Alberta, Edmonton.</w:t>
      </w:r>
    </w:p>
    <w:p w:rsidR="009B57B3" w:rsidRPr="00C54459" w:rsidRDefault="009B57B3" w:rsidP="007B6F4A"/>
    <w:sectPr w:rsidR="009B57B3" w:rsidRPr="00C5445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6C" w:rsidRDefault="0032636C">
      <w:r>
        <w:separator/>
      </w:r>
    </w:p>
  </w:endnote>
  <w:endnote w:type="continuationSeparator" w:id="0">
    <w:p w:rsidR="0032636C" w:rsidRDefault="0032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6C" w:rsidRDefault="0032636C">
      <w:r>
        <w:separator/>
      </w:r>
    </w:p>
  </w:footnote>
  <w:footnote w:type="continuationSeparator" w:id="0">
    <w:p w:rsidR="0032636C" w:rsidRDefault="0032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45A5F"/>
    <w:multiLevelType w:val="multilevel"/>
    <w:tmpl w:val="5F78D848"/>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4BF6"/>
    <w:rsid w:val="000578A3"/>
    <w:rsid w:val="000648CC"/>
    <w:rsid w:val="000A1736"/>
    <w:rsid w:val="000B59EA"/>
    <w:rsid w:val="000C59B8"/>
    <w:rsid w:val="000C6AF0"/>
    <w:rsid w:val="00104F33"/>
    <w:rsid w:val="00111DE2"/>
    <w:rsid w:val="00116B38"/>
    <w:rsid w:val="00135406"/>
    <w:rsid w:val="00135972"/>
    <w:rsid w:val="001426A9"/>
    <w:rsid w:val="00154D7C"/>
    <w:rsid w:val="001570B0"/>
    <w:rsid w:val="0015752C"/>
    <w:rsid w:val="00157737"/>
    <w:rsid w:val="00165277"/>
    <w:rsid w:val="00167F43"/>
    <w:rsid w:val="00170592"/>
    <w:rsid w:val="00186351"/>
    <w:rsid w:val="00195D83"/>
    <w:rsid w:val="001A00C1"/>
    <w:rsid w:val="001B33E0"/>
    <w:rsid w:val="001B4573"/>
    <w:rsid w:val="001C779F"/>
    <w:rsid w:val="001D2AC1"/>
    <w:rsid w:val="001D42C4"/>
    <w:rsid w:val="001D4E88"/>
    <w:rsid w:val="00220FC2"/>
    <w:rsid w:val="002222F4"/>
    <w:rsid w:val="00224FC0"/>
    <w:rsid w:val="00225EA4"/>
    <w:rsid w:val="00226EAF"/>
    <w:rsid w:val="00231F3A"/>
    <w:rsid w:val="00234199"/>
    <w:rsid w:val="00236526"/>
    <w:rsid w:val="002406EE"/>
    <w:rsid w:val="00243EC8"/>
    <w:rsid w:val="002547F4"/>
    <w:rsid w:val="00270D93"/>
    <w:rsid w:val="002745CC"/>
    <w:rsid w:val="00292871"/>
    <w:rsid w:val="002B7924"/>
    <w:rsid w:val="002D28C3"/>
    <w:rsid w:val="002D39A4"/>
    <w:rsid w:val="002E57D4"/>
    <w:rsid w:val="002E6705"/>
    <w:rsid w:val="00301D08"/>
    <w:rsid w:val="0030329A"/>
    <w:rsid w:val="0031086F"/>
    <w:rsid w:val="0031414C"/>
    <w:rsid w:val="00314E01"/>
    <w:rsid w:val="0032089D"/>
    <w:rsid w:val="0032636C"/>
    <w:rsid w:val="003310DE"/>
    <w:rsid w:val="003323B0"/>
    <w:rsid w:val="0033558B"/>
    <w:rsid w:val="0035169A"/>
    <w:rsid w:val="0035259D"/>
    <w:rsid w:val="00364B18"/>
    <w:rsid w:val="003A125D"/>
    <w:rsid w:val="003A4C70"/>
    <w:rsid w:val="003A6B1D"/>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0217"/>
    <w:rsid w:val="004A600C"/>
    <w:rsid w:val="004A6118"/>
    <w:rsid w:val="004C478D"/>
    <w:rsid w:val="004D0230"/>
    <w:rsid w:val="004E2C26"/>
    <w:rsid w:val="004F11E2"/>
    <w:rsid w:val="004F36FF"/>
    <w:rsid w:val="005125A8"/>
    <w:rsid w:val="00521AE8"/>
    <w:rsid w:val="00527180"/>
    <w:rsid w:val="0054201E"/>
    <w:rsid w:val="00555291"/>
    <w:rsid w:val="00566AD1"/>
    <w:rsid w:val="00583EDE"/>
    <w:rsid w:val="005A15B7"/>
    <w:rsid w:val="005A6079"/>
    <w:rsid w:val="005C6C63"/>
    <w:rsid w:val="005E4698"/>
    <w:rsid w:val="00610539"/>
    <w:rsid w:val="00613969"/>
    <w:rsid w:val="00625C35"/>
    <w:rsid w:val="006445C9"/>
    <w:rsid w:val="00656313"/>
    <w:rsid w:val="006565F4"/>
    <w:rsid w:val="00684EEA"/>
    <w:rsid w:val="0069689B"/>
    <w:rsid w:val="006A1551"/>
    <w:rsid w:val="006B5FF5"/>
    <w:rsid w:val="006F30AF"/>
    <w:rsid w:val="00701759"/>
    <w:rsid w:val="00705C15"/>
    <w:rsid w:val="0071600E"/>
    <w:rsid w:val="007208D1"/>
    <w:rsid w:val="007257CF"/>
    <w:rsid w:val="007268CA"/>
    <w:rsid w:val="00747288"/>
    <w:rsid w:val="00747DD3"/>
    <w:rsid w:val="007549C8"/>
    <w:rsid w:val="00754A0B"/>
    <w:rsid w:val="00766D14"/>
    <w:rsid w:val="00767A0F"/>
    <w:rsid w:val="007A05F6"/>
    <w:rsid w:val="007A3F55"/>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8369A"/>
    <w:rsid w:val="00885CA4"/>
    <w:rsid w:val="00891422"/>
    <w:rsid w:val="00892E1A"/>
    <w:rsid w:val="008A3F29"/>
    <w:rsid w:val="008B660A"/>
    <w:rsid w:val="008C01DA"/>
    <w:rsid w:val="008F78E9"/>
    <w:rsid w:val="00911989"/>
    <w:rsid w:val="009179F9"/>
    <w:rsid w:val="00933E5E"/>
    <w:rsid w:val="00935218"/>
    <w:rsid w:val="009403F3"/>
    <w:rsid w:val="009555B7"/>
    <w:rsid w:val="009567AA"/>
    <w:rsid w:val="00961E33"/>
    <w:rsid w:val="00967374"/>
    <w:rsid w:val="0097422A"/>
    <w:rsid w:val="009A343A"/>
    <w:rsid w:val="009B2F23"/>
    <w:rsid w:val="009B57B3"/>
    <w:rsid w:val="009C5B92"/>
    <w:rsid w:val="009D2920"/>
    <w:rsid w:val="009D5AEB"/>
    <w:rsid w:val="009E111A"/>
    <w:rsid w:val="009F0E33"/>
    <w:rsid w:val="009F1412"/>
    <w:rsid w:val="00A030CE"/>
    <w:rsid w:val="00A149DF"/>
    <w:rsid w:val="00A1755C"/>
    <w:rsid w:val="00A21B90"/>
    <w:rsid w:val="00A41805"/>
    <w:rsid w:val="00A42DCD"/>
    <w:rsid w:val="00A52AFB"/>
    <w:rsid w:val="00A548CB"/>
    <w:rsid w:val="00A5521C"/>
    <w:rsid w:val="00A643E7"/>
    <w:rsid w:val="00A73C38"/>
    <w:rsid w:val="00A909BF"/>
    <w:rsid w:val="00AA0A3F"/>
    <w:rsid w:val="00AB670D"/>
    <w:rsid w:val="00AE4535"/>
    <w:rsid w:val="00AF03C5"/>
    <w:rsid w:val="00B000D8"/>
    <w:rsid w:val="00B00F75"/>
    <w:rsid w:val="00B145B6"/>
    <w:rsid w:val="00B157FB"/>
    <w:rsid w:val="00B25B6E"/>
    <w:rsid w:val="00B279EB"/>
    <w:rsid w:val="00B411B4"/>
    <w:rsid w:val="00B50C81"/>
    <w:rsid w:val="00B51141"/>
    <w:rsid w:val="00B557F8"/>
    <w:rsid w:val="00B815FC"/>
    <w:rsid w:val="00B87C4D"/>
    <w:rsid w:val="00B93FBC"/>
    <w:rsid w:val="00B94FBA"/>
    <w:rsid w:val="00BA7DA0"/>
    <w:rsid w:val="00BB2AE0"/>
    <w:rsid w:val="00BB2EE4"/>
    <w:rsid w:val="00BC2108"/>
    <w:rsid w:val="00BC4587"/>
    <w:rsid w:val="00BD0E9E"/>
    <w:rsid w:val="00BD1BEC"/>
    <w:rsid w:val="00BD32FF"/>
    <w:rsid w:val="00BE377A"/>
    <w:rsid w:val="00C02092"/>
    <w:rsid w:val="00C24D91"/>
    <w:rsid w:val="00C47FD5"/>
    <w:rsid w:val="00C53F14"/>
    <w:rsid w:val="00C54459"/>
    <w:rsid w:val="00C600CF"/>
    <w:rsid w:val="00C6084F"/>
    <w:rsid w:val="00C62A66"/>
    <w:rsid w:val="00C71458"/>
    <w:rsid w:val="00C766C3"/>
    <w:rsid w:val="00C77613"/>
    <w:rsid w:val="00C828E7"/>
    <w:rsid w:val="00C86719"/>
    <w:rsid w:val="00C921DD"/>
    <w:rsid w:val="00CA6391"/>
    <w:rsid w:val="00CC34BD"/>
    <w:rsid w:val="00CE161A"/>
    <w:rsid w:val="00CE3171"/>
    <w:rsid w:val="00CF1601"/>
    <w:rsid w:val="00D0172F"/>
    <w:rsid w:val="00D0424D"/>
    <w:rsid w:val="00D068A7"/>
    <w:rsid w:val="00D161A4"/>
    <w:rsid w:val="00D17476"/>
    <w:rsid w:val="00D32086"/>
    <w:rsid w:val="00D37A3F"/>
    <w:rsid w:val="00D4431D"/>
    <w:rsid w:val="00D4667A"/>
    <w:rsid w:val="00D63A1C"/>
    <w:rsid w:val="00D7516F"/>
    <w:rsid w:val="00D8579F"/>
    <w:rsid w:val="00D95F8E"/>
    <w:rsid w:val="00DA0590"/>
    <w:rsid w:val="00DB39C2"/>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2035"/>
    <w:rsid w:val="00E97830"/>
    <w:rsid w:val="00EA7495"/>
    <w:rsid w:val="00ED10E1"/>
    <w:rsid w:val="00EE643C"/>
    <w:rsid w:val="00EF0683"/>
    <w:rsid w:val="00EF07D8"/>
    <w:rsid w:val="00EF69D2"/>
    <w:rsid w:val="00EF766E"/>
    <w:rsid w:val="00F0070C"/>
    <w:rsid w:val="00F00EB7"/>
    <w:rsid w:val="00F36AB6"/>
    <w:rsid w:val="00F37A09"/>
    <w:rsid w:val="00F409CE"/>
    <w:rsid w:val="00F4379D"/>
    <w:rsid w:val="00F50D2D"/>
    <w:rsid w:val="00F56C8B"/>
    <w:rsid w:val="00F57825"/>
    <w:rsid w:val="00F66810"/>
    <w:rsid w:val="00F846D9"/>
    <w:rsid w:val="00F84DF4"/>
    <w:rsid w:val="00F85C97"/>
    <w:rsid w:val="00FA73B8"/>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885CA4"/>
    <w:pPr>
      <w:numPr>
        <w:numId w:val="1"/>
      </w:numPr>
      <w:tabs>
        <w:tab w:val="left" w:pos="1166"/>
      </w:tabs>
      <w:spacing w:before="480" w:after="480" w:line="480" w:lineRule="auto"/>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4D0230"/>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D023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D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2021-02-28T20:10:00Z</dcterms:created>
  <dcterms:modified xsi:type="dcterms:W3CDTF">2021-03-01T18:36:00Z</dcterms:modified>
</cp:coreProperties>
</file>