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BE" w:rsidRPr="006248BE" w:rsidRDefault="006248BE" w:rsidP="004C5346">
      <w:pPr>
        <w:tabs>
          <w:tab w:val="center" w:pos="4680"/>
          <w:tab w:val="right" w:pos="9360"/>
        </w:tabs>
        <w:jc w:val="center"/>
        <w:rPr>
          <w:rFonts w:eastAsia="Calibri"/>
          <w:szCs w:val="24"/>
          <w:lang w:eastAsia="en-US"/>
        </w:rPr>
      </w:pPr>
      <w:r w:rsidRPr="006248BE">
        <w:rPr>
          <w:rFonts w:eastAsia="Calibri"/>
          <w:szCs w:val="24"/>
          <w:lang w:eastAsia="en-US"/>
        </w:rPr>
        <w:ptab w:relativeTo="margin" w:alignment="center" w:leader="none"/>
      </w:r>
      <w:r w:rsidRPr="006248BE">
        <w:rPr>
          <w:rFonts w:eastAsia="Calibri"/>
          <w:szCs w:val="24"/>
          <w:lang w:eastAsia="en-US"/>
        </w:rPr>
        <w:t xml:space="preserve"> </w:t>
      </w:r>
      <w:bookmarkStart w:id="0" w:name="_GoBack"/>
      <w:r w:rsidRPr="006248BE">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7" o:title=""/>
          </v:shape>
          <o:OLEObject Type="Embed" ProgID="Presentations.Drawing.13" ShapeID="_x0000_i1025" DrawAspect="Content" ObjectID="_1676112400" r:id="rId8"/>
        </w:object>
      </w:r>
      <w:bookmarkEnd w:id="0"/>
      <w:r w:rsidRPr="006248BE">
        <w:rPr>
          <w:rFonts w:eastAsia="Calibri"/>
          <w:szCs w:val="24"/>
          <w:lang w:eastAsia="en-US"/>
        </w:rPr>
        <w:t xml:space="preserve"> </w:t>
      </w:r>
      <w:r w:rsidRPr="006248BE">
        <w:rPr>
          <w:rFonts w:eastAsia="Calibri"/>
          <w:szCs w:val="24"/>
          <w:lang w:eastAsia="en-US"/>
        </w:rPr>
        <w:ptab w:relativeTo="margin" w:alignment="right" w:leader="none"/>
      </w:r>
    </w:p>
    <w:p w:rsidR="006248BE" w:rsidRPr="006248BE" w:rsidRDefault="006248BE" w:rsidP="006248BE">
      <w:pPr>
        <w:tabs>
          <w:tab w:val="center" w:pos="4680"/>
          <w:tab w:val="right" w:pos="9360"/>
        </w:tabs>
        <w:rPr>
          <w:rFonts w:eastAsia="Calibri"/>
          <w:szCs w:val="24"/>
          <w:lang w:eastAsia="en-US"/>
        </w:rPr>
      </w:pPr>
    </w:p>
    <w:p w:rsidR="006248BE" w:rsidRPr="006248BE" w:rsidRDefault="006248BE" w:rsidP="006248BE">
      <w:pPr>
        <w:jc w:val="center"/>
        <w:rPr>
          <w:rFonts w:eastAsia="Calibri"/>
          <w:b/>
          <w:szCs w:val="24"/>
          <w:lang w:eastAsia="en-US"/>
        </w:rPr>
      </w:pPr>
      <w:r w:rsidRPr="006248BE">
        <w:rPr>
          <w:rFonts w:eastAsia="Calibri"/>
          <w:b/>
          <w:szCs w:val="24"/>
          <w:lang w:eastAsia="en-US"/>
        </w:rPr>
        <w:t>SUPREME COURT OF CANADA</w:t>
      </w:r>
    </w:p>
    <w:p w:rsidR="006248BE" w:rsidRPr="006248BE" w:rsidRDefault="006248BE" w:rsidP="006248BE">
      <w:pPr>
        <w:rPr>
          <w:rFonts w:eastAsia="Calibri"/>
          <w:szCs w:val="24"/>
          <w:lang w:eastAsia="en-US"/>
        </w:rPr>
      </w:pPr>
    </w:p>
    <w:tbl>
      <w:tblPr>
        <w:tblStyle w:val="TableGrid1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6"/>
        <w:gridCol w:w="3387"/>
      </w:tblGrid>
      <w:tr w:rsidR="006248BE" w:rsidRPr="006248BE" w:rsidTr="00FD0877">
        <w:tc>
          <w:tcPr>
            <w:tcW w:w="2112" w:type="pct"/>
            <w:tcMar>
              <w:top w:w="284" w:type="dxa"/>
            </w:tcMar>
          </w:tcPr>
          <w:p w:rsidR="006248BE" w:rsidRPr="006248BE" w:rsidRDefault="006248BE" w:rsidP="006248BE">
            <w:pPr>
              <w:spacing w:before="100" w:beforeAutospacing="1"/>
              <w:rPr>
                <w:rFonts w:eastAsia="Calibri"/>
              </w:rPr>
            </w:pPr>
            <w:r w:rsidRPr="006248BE">
              <w:rPr>
                <w:b/>
                <w:smallCaps/>
              </w:rPr>
              <w:t>Citation:</w:t>
            </w:r>
            <w:r w:rsidRPr="006248BE">
              <w:t xml:space="preserve"> </w:t>
            </w:r>
            <w:r w:rsidRPr="006248BE">
              <w:rPr>
                <w:rFonts w:eastAsia="Calibri"/>
              </w:rPr>
              <w:t>Bessette</w:t>
            </w:r>
            <w:r w:rsidRPr="006248BE">
              <w:rPr>
                <w:b/>
              </w:rPr>
              <w:t xml:space="preserve"> </w:t>
            </w:r>
            <w:r w:rsidRPr="006248BE">
              <w:rPr>
                <w:i/>
              </w:rPr>
              <w:t>v.</w:t>
            </w:r>
            <w:r w:rsidRPr="006248BE">
              <w:rPr>
                <w:b/>
              </w:rPr>
              <w:t xml:space="preserve"> </w:t>
            </w:r>
            <w:r w:rsidRPr="006248BE">
              <w:rPr>
                <w:rFonts w:eastAsia="Calibri"/>
              </w:rPr>
              <w:t>British Columbia (Attorney General), 2019 SCC 31, [2019] 2 S.C.R. 535</w:t>
            </w:r>
          </w:p>
        </w:tc>
        <w:tc>
          <w:tcPr>
            <w:tcW w:w="986" w:type="pct"/>
          </w:tcPr>
          <w:p w:rsidR="006248BE" w:rsidRPr="006248BE" w:rsidRDefault="006248BE" w:rsidP="006248BE">
            <w:pPr>
              <w:rPr>
                <w:b/>
                <w:smallCaps/>
              </w:rPr>
            </w:pPr>
          </w:p>
        </w:tc>
        <w:tc>
          <w:tcPr>
            <w:tcW w:w="1902" w:type="pct"/>
            <w:tcMar>
              <w:top w:w="284" w:type="dxa"/>
            </w:tcMar>
          </w:tcPr>
          <w:p w:rsidR="006248BE" w:rsidRPr="006248BE" w:rsidRDefault="006248BE" w:rsidP="006248BE">
            <w:r w:rsidRPr="006248BE">
              <w:rPr>
                <w:b/>
                <w:smallCaps/>
              </w:rPr>
              <w:t>Appeal Heard:</w:t>
            </w:r>
            <w:r w:rsidRPr="006248BE">
              <w:t xml:space="preserve"> November 15, 2018</w:t>
            </w:r>
          </w:p>
          <w:p w:rsidR="006248BE" w:rsidRPr="006248BE" w:rsidRDefault="006248BE" w:rsidP="006248BE">
            <w:r w:rsidRPr="006248BE">
              <w:rPr>
                <w:b/>
                <w:smallCaps/>
              </w:rPr>
              <w:t>Judgment Rendered:</w:t>
            </w:r>
            <w:r w:rsidRPr="006248BE">
              <w:t xml:space="preserve"> May 16, 2019</w:t>
            </w:r>
          </w:p>
          <w:p w:rsidR="006248BE" w:rsidRPr="006248BE" w:rsidRDefault="006248BE" w:rsidP="006248BE">
            <w:r w:rsidRPr="006248BE">
              <w:rPr>
                <w:b/>
                <w:smallCaps/>
              </w:rPr>
              <w:t>Docket:</w:t>
            </w:r>
            <w:r w:rsidRPr="006248BE">
              <w:t xml:space="preserve"> 37790</w:t>
            </w:r>
          </w:p>
        </w:tc>
      </w:tr>
    </w:tbl>
    <w:p w:rsidR="006248BE" w:rsidRPr="006248BE" w:rsidRDefault="006248BE" w:rsidP="006248BE">
      <w:pPr>
        <w:rPr>
          <w:rFonts w:eastAsia="Calibri"/>
          <w:szCs w:val="24"/>
          <w:lang w:eastAsia="en-US"/>
        </w:rPr>
      </w:pPr>
    </w:p>
    <w:p w:rsidR="006248BE" w:rsidRPr="006248BE" w:rsidRDefault="006248BE" w:rsidP="006248BE">
      <w:pPr>
        <w:rPr>
          <w:rFonts w:eastAsia="Calibri"/>
          <w:b/>
          <w:smallCaps/>
          <w:szCs w:val="24"/>
          <w:lang w:eastAsia="en-US"/>
        </w:rPr>
      </w:pPr>
      <w:r w:rsidRPr="006248BE">
        <w:rPr>
          <w:rFonts w:eastAsia="Calibri"/>
          <w:b/>
          <w:smallCaps/>
          <w:szCs w:val="24"/>
          <w:lang w:eastAsia="en-US"/>
        </w:rPr>
        <w:t>Between:</w:t>
      </w:r>
    </w:p>
    <w:p w:rsidR="006248BE" w:rsidRPr="006248BE" w:rsidRDefault="006248BE" w:rsidP="006248BE">
      <w:pPr>
        <w:jc w:val="center"/>
        <w:rPr>
          <w:rFonts w:eastAsia="Calibri"/>
          <w:b/>
          <w:szCs w:val="24"/>
          <w:lang w:eastAsia="en-US"/>
        </w:rPr>
      </w:pPr>
      <w:r w:rsidRPr="006248BE">
        <w:rPr>
          <w:rFonts w:eastAsia="Calibri"/>
          <w:b/>
          <w:szCs w:val="24"/>
          <w:lang w:eastAsia="en-US"/>
        </w:rPr>
        <w:t>Joseph Roy Éric Bessette</w:t>
      </w:r>
    </w:p>
    <w:p w:rsidR="006248BE" w:rsidRPr="006248BE" w:rsidRDefault="006248BE" w:rsidP="006248BE">
      <w:pPr>
        <w:jc w:val="center"/>
        <w:rPr>
          <w:rFonts w:eastAsia="Calibri"/>
          <w:szCs w:val="24"/>
          <w:lang w:eastAsia="en-US"/>
        </w:rPr>
      </w:pPr>
      <w:r w:rsidRPr="006248BE">
        <w:rPr>
          <w:rFonts w:eastAsia="Calibri"/>
          <w:szCs w:val="24"/>
          <w:lang w:eastAsia="en-US"/>
        </w:rPr>
        <w:t>Appellant</w:t>
      </w:r>
    </w:p>
    <w:p w:rsidR="006248BE" w:rsidRPr="006248BE" w:rsidRDefault="006248BE" w:rsidP="006248BE">
      <w:pPr>
        <w:rPr>
          <w:rFonts w:eastAsia="Calibri"/>
          <w:szCs w:val="24"/>
          <w:lang w:eastAsia="en-US"/>
        </w:rPr>
      </w:pPr>
    </w:p>
    <w:p w:rsidR="006248BE" w:rsidRPr="006248BE" w:rsidRDefault="006248BE" w:rsidP="006248BE">
      <w:pPr>
        <w:jc w:val="center"/>
        <w:rPr>
          <w:rFonts w:eastAsia="Calibri"/>
          <w:szCs w:val="24"/>
          <w:lang w:eastAsia="en-US"/>
        </w:rPr>
      </w:pPr>
      <w:r w:rsidRPr="006248BE">
        <w:rPr>
          <w:rFonts w:eastAsia="Calibri"/>
          <w:szCs w:val="24"/>
          <w:lang w:eastAsia="en-US"/>
        </w:rPr>
        <w:t>and</w:t>
      </w:r>
    </w:p>
    <w:p w:rsidR="006248BE" w:rsidRPr="006248BE" w:rsidRDefault="006248BE" w:rsidP="006248BE">
      <w:pPr>
        <w:rPr>
          <w:rFonts w:eastAsia="Calibri"/>
          <w:szCs w:val="24"/>
          <w:lang w:eastAsia="en-US"/>
        </w:rPr>
      </w:pPr>
    </w:p>
    <w:p w:rsidR="006248BE" w:rsidRPr="006248BE" w:rsidRDefault="006248BE" w:rsidP="006248BE">
      <w:pPr>
        <w:jc w:val="center"/>
        <w:rPr>
          <w:rFonts w:eastAsia="Calibri"/>
          <w:b/>
          <w:szCs w:val="24"/>
          <w:lang w:eastAsia="en-US"/>
        </w:rPr>
      </w:pPr>
      <w:r w:rsidRPr="006248BE">
        <w:rPr>
          <w:rFonts w:eastAsia="Calibri"/>
          <w:b/>
          <w:szCs w:val="24"/>
          <w:lang w:eastAsia="en-US"/>
        </w:rPr>
        <w:t>Attorney General of British Columbia</w:t>
      </w:r>
    </w:p>
    <w:p w:rsidR="006248BE" w:rsidRPr="006248BE" w:rsidRDefault="006248BE" w:rsidP="006248BE">
      <w:pPr>
        <w:jc w:val="center"/>
        <w:rPr>
          <w:rFonts w:eastAsia="Calibri"/>
          <w:szCs w:val="24"/>
          <w:lang w:eastAsia="en-US"/>
        </w:rPr>
      </w:pPr>
      <w:r w:rsidRPr="006248BE">
        <w:rPr>
          <w:rFonts w:eastAsia="Calibri"/>
          <w:szCs w:val="24"/>
          <w:lang w:eastAsia="en-US"/>
        </w:rPr>
        <w:t>Respondent</w:t>
      </w:r>
    </w:p>
    <w:p w:rsidR="006248BE" w:rsidRPr="006248BE" w:rsidRDefault="006248BE" w:rsidP="006248BE">
      <w:pPr>
        <w:rPr>
          <w:rFonts w:eastAsia="Calibri"/>
          <w:szCs w:val="24"/>
          <w:lang w:eastAsia="en-US"/>
        </w:rPr>
      </w:pPr>
    </w:p>
    <w:p w:rsidR="006248BE" w:rsidRPr="006248BE" w:rsidRDefault="006248BE" w:rsidP="006248BE">
      <w:pPr>
        <w:jc w:val="center"/>
        <w:rPr>
          <w:rFonts w:eastAsia="Calibri"/>
          <w:szCs w:val="24"/>
          <w:lang w:eastAsia="en-US"/>
        </w:rPr>
      </w:pPr>
      <w:r w:rsidRPr="006248BE">
        <w:rPr>
          <w:rFonts w:eastAsia="Calibri"/>
          <w:szCs w:val="24"/>
          <w:lang w:eastAsia="en-US"/>
        </w:rPr>
        <w:t>- and -</w:t>
      </w:r>
    </w:p>
    <w:p w:rsidR="006248BE" w:rsidRPr="006248BE" w:rsidRDefault="006248BE" w:rsidP="006248BE">
      <w:pPr>
        <w:rPr>
          <w:rFonts w:eastAsia="Calibri"/>
          <w:szCs w:val="24"/>
          <w:lang w:eastAsia="en-US"/>
        </w:rPr>
      </w:pPr>
    </w:p>
    <w:p w:rsidR="006248BE" w:rsidRPr="006248BE" w:rsidRDefault="006248BE" w:rsidP="006248BE">
      <w:pPr>
        <w:jc w:val="center"/>
        <w:rPr>
          <w:rFonts w:eastAsia="Calibri"/>
          <w:b/>
          <w:szCs w:val="24"/>
          <w:lang w:val="fr-CA" w:eastAsia="en-US"/>
        </w:rPr>
      </w:pPr>
      <w:r w:rsidRPr="006248BE">
        <w:rPr>
          <w:rFonts w:eastAsia="Calibri"/>
          <w:b/>
          <w:szCs w:val="24"/>
          <w:lang w:val="fr-CA" w:eastAsia="en-US"/>
        </w:rPr>
        <w:t>Commissioner of Official Languages of Canada and Fédération des associations de juristes d’expression française de common law inc.</w:t>
      </w:r>
    </w:p>
    <w:p w:rsidR="006248BE" w:rsidRPr="006248BE" w:rsidRDefault="006248BE" w:rsidP="006248BE">
      <w:pPr>
        <w:jc w:val="center"/>
        <w:rPr>
          <w:rFonts w:eastAsia="Calibri"/>
          <w:szCs w:val="24"/>
          <w:lang w:eastAsia="en-US"/>
        </w:rPr>
      </w:pPr>
      <w:r w:rsidRPr="006248BE">
        <w:rPr>
          <w:rFonts w:eastAsia="Calibri"/>
          <w:szCs w:val="24"/>
          <w:lang w:eastAsia="en-US"/>
        </w:rPr>
        <w:t>Interveners</w:t>
      </w:r>
    </w:p>
    <w:p w:rsidR="006248BE" w:rsidRPr="006248BE" w:rsidRDefault="006248BE" w:rsidP="006248BE">
      <w:pPr>
        <w:rPr>
          <w:rFonts w:eastAsia="Calibri"/>
          <w:szCs w:val="24"/>
          <w:lang w:eastAsia="en-US"/>
        </w:rPr>
      </w:pPr>
    </w:p>
    <w:p w:rsidR="006248BE" w:rsidRPr="006248BE" w:rsidRDefault="006248BE" w:rsidP="006248BE">
      <w:pPr>
        <w:rPr>
          <w:rFonts w:eastAsia="Calibri"/>
          <w:szCs w:val="24"/>
          <w:lang w:eastAsia="en-US"/>
        </w:rPr>
      </w:pPr>
    </w:p>
    <w:p w:rsidR="006248BE" w:rsidRPr="006248BE" w:rsidRDefault="006248BE" w:rsidP="006248BE">
      <w:pPr>
        <w:rPr>
          <w:rFonts w:eastAsia="Calibri"/>
          <w:szCs w:val="24"/>
          <w:lang w:eastAsia="en-US"/>
        </w:rPr>
      </w:pPr>
    </w:p>
    <w:p w:rsidR="006248BE" w:rsidRPr="006248BE" w:rsidRDefault="006248BE" w:rsidP="006248BE">
      <w:pPr>
        <w:rPr>
          <w:rFonts w:eastAsia="Calibri"/>
          <w:szCs w:val="24"/>
          <w:lang w:eastAsia="en-US"/>
        </w:rPr>
      </w:pPr>
      <w:r w:rsidRPr="006248BE">
        <w:rPr>
          <w:rFonts w:eastAsia="Calibri"/>
          <w:b/>
          <w:smallCaps/>
          <w:szCs w:val="24"/>
          <w:lang w:eastAsia="en-US"/>
        </w:rPr>
        <w:t>Coram:</w:t>
      </w:r>
      <w:r w:rsidRPr="006248BE">
        <w:rPr>
          <w:rFonts w:eastAsia="Calibri"/>
          <w:szCs w:val="24"/>
          <w:lang w:eastAsia="en-US"/>
        </w:rPr>
        <w:t xml:space="preserve"> Wagner C.J. and Abella, Moldaver, Karakatsanis, Gascon, Côté, Brown, Rowe and Martin JJ.</w:t>
      </w:r>
    </w:p>
    <w:p w:rsidR="006248BE" w:rsidRPr="006248BE" w:rsidRDefault="006248BE" w:rsidP="006248BE">
      <w:pPr>
        <w:rPr>
          <w:rFonts w:eastAsia="Calibr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248BE" w:rsidRPr="006248BE" w:rsidTr="00FD0877">
        <w:trPr>
          <w:cantSplit/>
        </w:trPr>
        <w:tc>
          <w:tcPr>
            <w:tcW w:w="3618" w:type="dxa"/>
          </w:tcPr>
          <w:p w:rsidR="006248BE" w:rsidRPr="006248BE" w:rsidRDefault="006248BE" w:rsidP="006248BE">
            <w:pPr>
              <w:rPr>
                <w:rFonts w:eastAsia="Calibri"/>
                <w:szCs w:val="24"/>
                <w:lang w:eastAsia="en-US"/>
              </w:rPr>
            </w:pPr>
            <w:r w:rsidRPr="006248BE">
              <w:rPr>
                <w:rFonts w:eastAsia="Calibri"/>
                <w:b/>
                <w:smallCaps/>
                <w:szCs w:val="24"/>
                <w:lang w:eastAsia="en-US"/>
              </w:rPr>
              <w:t>Reasons for Judgment:</w:t>
            </w:r>
            <w:r w:rsidRPr="006248BE">
              <w:rPr>
                <w:rFonts w:eastAsia="Calibri"/>
                <w:szCs w:val="24"/>
                <w:lang w:eastAsia="en-US"/>
              </w:rPr>
              <w:t xml:space="preserve"> </w:t>
            </w:r>
          </w:p>
          <w:p w:rsidR="006248BE" w:rsidRPr="006248BE" w:rsidRDefault="006248BE" w:rsidP="006248BE">
            <w:pPr>
              <w:rPr>
                <w:rFonts w:eastAsia="Calibri"/>
                <w:szCs w:val="24"/>
                <w:lang w:eastAsia="en-US"/>
              </w:rPr>
            </w:pPr>
            <w:r w:rsidRPr="006248BE">
              <w:rPr>
                <w:rFonts w:eastAsia="Calibri"/>
                <w:szCs w:val="24"/>
                <w:lang w:eastAsia="en-US"/>
              </w:rPr>
              <w:t>(paras. 1 to 97)</w:t>
            </w:r>
          </w:p>
        </w:tc>
        <w:tc>
          <w:tcPr>
            <w:tcW w:w="5958" w:type="dxa"/>
          </w:tcPr>
          <w:p w:rsidR="006248BE" w:rsidRPr="006248BE" w:rsidRDefault="006248BE" w:rsidP="006248BE">
            <w:pPr>
              <w:rPr>
                <w:rFonts w:eastAsia="Calibri"/>
                <w:szCs w:val="24"/>
                <w:lang w:eastAsia="en-US"/>
              </w:rPr>
            </w:pPr>
            <w:r w:rsidRPr="006248BE">
              <w:rPr>
                <w:rFonts w:eastAsia="Calibri"/>
                <w:szCs w:val="24"/>
                <w:lang w:eastAsia="en-US"/>
              </w:rPr>
              <w:t>Côté and Martin JJ. (Wagner C.J. and Abella, Moldaver, Karakatsanis, Gascon, Brown and Rowe JJ. concurring)</w:t>
            </w:r>
          </w:p>
        </w:tc>
      </w:tr>
    </w:tbl>
    <w:p w:rsidR="006248BE" w:rsidRPr="006248BE" w:rsidRDefault="006248BE" w:rsidP="006248BE">
      <w:pPr>
        <w:rPr>
          <w:rFonts w:eastAsia="Calibri"/>
          <w:szCs w:val="24"/>
          <w:lang w:eastAsia="en-US"/>
        </w:rPr>
      </w:pPr>
    </w:p>
    <w:p w:rsidR="006248BE" w:rsidRPr="006248BE" w:rsidRDefault="006248BE" w:rsidP="006248BE">
      <w:pPr>
        <w:rPr>
          <w:rFonts w:eastAsia="Calibri"/>
          <w:szCs w:val="24"/>
          <w:lang w:eastAsia="en-US"/>
        </w:rPr>
      </w:pPr>
      <w:r w:rsidRPr="006248BE">
        <w:rPr>
          <w:rFonts w:eastAsia="Calibri"/>
          <w:noProof/>
          <w:szCs w:val="24"/>
          <w:lang w:val="en-US" w:eastAsia="en-US"/>
        </w:rPr>
        <mc:AlternateContent>
          <mc:Choice Requires="wps">
            <w:drawing>
              <wp:anchor distT="0" distB="0" distL="114300" distR="114300" simplePos="0" relativeHeight="251659264" behindDoc="0" locked="0" layoutInCell="1" allowOverlap="1" wp14:anchorId="68BDCA02" wp14:editId="53FB8D9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C1CD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248BE" w:rsidRPr="006248BE" w:rsidRDefault="006248BE" w:rsidP="006248BE">
      <w:pPr>
        <w:rPr>
          <w:rFonts w:eastAsia="Calibri"/>
          <w:szCs w:val="24"/>
          <w:lang w:eastAsia="en-US"/>
        </w:rPr>
      </w:pPr>
    </w:p>
    <w:p w:rsidR="00217A0C" w:rsidRDefault="00217A0C" w:rsidP="00C526E4">
      <w:pPr>
        <w:pStyle w:val="SCCLsocLastPartyInRole"/>
        <w:rPr>
          <w:rStyle w:val="SCCRespondentForIndexChar"/>
        </w:rPr>
      </w:pPr>
      <w:r>
        <w:rPr>
          <w:rStyle w:val="SCCAppellantForIndexChar"/>
        </w:rPr>
        <w:t>Bessette</w:t>
      </w:r>
      <w:r w:rsidRPr="00426659">
        <w:t xml:space="preserve"> </w:t>
      </w:r>
      <w:r w:rsidRPr="00217A0C">
        <w:rPr>
          <w:b w:val="0"/>
          <w:i/>
        </w:rPr>
        <w:t>v.</w:t>
      </w:r>
      <w:r w:rsidRPr="00426659">
        <w:t xml:space="preserve"> </w:t>
      </w:r>
      <w:r>
        <w:rPr>
          <w:rStyle w:val="SCCRespondentForIndexChar"/>
        </w:rPr>
        <w:t>British Columbia (Attorney General), 2019 SCC 31, [2019] 2 S.C.R. 535</w:t>
      </w:r>
    </w:p>
    <w:p w:rsidR="00C526E4" w:rsidRPr="00217A0C" w:rsidRDefault="00C526E4" w:rsidP="00C526E4">
      <w:pPr>
        <w:pStyle w:val="SCCLsocLastPartyInRole"/>
        <w:rPr>
          <w:lang w:val="fr-CA"/>
        </w:rPr>
      </w:pPr>
      <w:r w:rsidRPr="00217A0C">
        <w:rPr>
          <w:lang w:val="fr-CA"/>
        </w:rPr>
        <w:t>Joseph Roy Éric Bessette</w:t>
      </w:r>
      <w:r w:rsidRPr="00217A0C">
        <w:rPr>
          <w:rStyle w:val="SCCLsocPartyRole"/>
          <w:lang w:val="fr-CA"/>
        </w:rPr>
        <w:tab/>
        <w:t>Appellant</w:t>
      </w:r>
    </w:p>
    <w:p w:rsidR="00C526E4" w:rsidRPr="00C526E4" w:rsidRDefault="00C526E4" w:rsidP="00C526E4">
      <w:pPr>
        <w:pStyle w:val="SCCLsocVersus"/>
        <w:rPr>
          <w:lang w:val="fr-CA"/>
        </w:rPr>
      </w:pPr>
      <w:r w:rsidRPr="00C526E4">
        <w:rPr>
          <w:lang w:val="fr-CA"/>
        </w:rPr>
        <w:t>v.</w:t>
      </w:r>
    </w:p>
    <w:p w:rsidR="00C526E4" w:rsidRDefault="00C526E4" w:rsidP="00C526E4">
      <w:pPr>
        <w:pStyle w:val="SCCLsocLastPartyInRole"/>
      </w:pPr>
      <w:r>
        <w:lastRenderedPageBreak/>
        <w:t>Attorney General of British Columbia</w:t>
      </w:r>
      <w:r>
        <w:rPr>
          <w:rStyle w:val="SCCLsocPartyRole"/>
        </w:rPr>
        <w:tab/>
        <w:t>Respondent</w:t>
      </w:r>
    </w:p>
    <w:p w:rsidR="00C526E4" w:rsidRDefault="00C526E4" w:rsidP="00C526E4">
      <w:pPr>
        <w:pStyle w:val="SCCLsocOtherPartySeparator"/>
      </w:pPr>
      <w:r>
        <w:t>and</w:t>
      </w:r>
    </w:p>
    <w:p w:rsidR="00C526E4" w:rsidRDefault="00C526E4" w:rsidP="00C526E4">
      <w:pPr>
        <w:pStyle w:val="SCCLsocParty"/>
      </w:pPr>
      <w:r>
        <w:t>Commissioner of Official Languages of Canada and</w:t>
      </w:r>
    </w:p>
    <w:p w:rsidR="00C526E4" w:rsidRDefault="00C526E4" w:rsidP="00C526E4">
      <w:pPr>
        <w:pStyle w:val="SCCLsocLastPartyInRole"/>
        <w:spacing w:after="0"/>
        <w:rPr>
          <w:lang w:val="fr-CA"/>
        </w:rPr>
      </w:pPr>
      <w:r w:rsidRPr="000952EF">
        <w:rPr>
          <w:lang w:val="fr-CA"/>
        </w:rPr>
        <w:t>Fédération des associations de juristes d</w:t>
      </w:r>
      <w:r>
        <w:rPr>
          <w:lang w:val="fr-CA"/>
        </w:rPr>
        <w:t>’expression</w:t>
      </w:r>
    </w:p>
    <w:p w:rsidR="00C526E4" w:rsidRPr="002A5524" w:rsidRDefault="00C526E4" w:rsidP="00C526E4">
      <w:pPr>
        <w:pStyle w:val="SCCLsocLastPartyInRole"/>
        <w:rPr>
          <w:lang w:val="en-US"/>
        </w:rPr>
      </w:pPr>
      <w:r w:rsidRPr="000952EF">
        <w:rPr>
          <w:lang w:val="fr-CA"/>
        </w:rPr>
        <w:t>française de common law inc.</w:t>
      </w:r>
      <w:r w:rsidRPr="00EF63F8">
        <w:rPr>
          <w:rStyle w:val="SCCLsocPartyRole"/>
          <w:lang w:val="fr-CA"/>
        </w:rPr>
        <w:tab/>
      </w:r>
      <w:r w:rsidRPr="002A5524">
        <w:rPr>
          <w:rStyle w:val="SCCLsocPartyRole"/>
          <w:lang w:val="en-US"/>
        </w:rPr>
        <w:t>Interveners</w:t>
      </w:r>
    </w:p>
    <w:p w:rsidR="00C526E4" w:rsidRPr="00426659" w:rsidRDefault="00C526E4" w:rsidP="00C526E4">
      <w:pPr>
        <w:spacing w:after="720"/>
        <w:jc w:val="both"/>
        <w:rPr>
          <w:b/>
        </w:rPr>
      </w:pPr>
      <w:r w:rsidRPr="00426659">
        <w:rPr>
          <w:b/>
        </w:rPr>
        <w:t>Indexed as:</w:t>
      </w:r>
      <w:r>
        <w:rPr>
          <w:b/>
        </w:rPr>
        <w:t xml:space="preserve"> </w:t>
      </w:r>
      <w:r>
        <w:rPr>
          <w:rStyle w:val="SCCAppellantForIndexChar"/>
        </w:rPr>
        <w:t>Bessette</w:t>
      </w:r>
      <w:r w:rsidRPr="00426659">
        <w:rPr>
          <w:b/>
        </w:rPr>
        <w:t xml:space="preserve"> </w:t>
      </w:r>
      <w:r w:rsidRPr="00426659">
        <w:rPr>
          <w:b/>
          <w:i/>
        </w:rPr>
        <w:t>v.</w:t>
      </w:r>
      <w:r w:rsidRPr="00426659">
        <w:rPr>
          <w:b/>
        </w:rPr>
        <w:t xml:space="preserve"> </w:t>
      </w:r>
      <w:r>
        <w:rPr>
          <w:rStyle w:val="SCCRespondentForIndexChar"/>
        </w:rPr>
        <w:t>British Columbia (Attorney General)</w:t>
      </w:r>
    </w:p>
    <w:p w:rsidR="00C526E4" w:rsidRPr="00C02092" w:rsidRDefault="00C526E4" w:rsidP="00C526E4">
      <w:pPr>
        <w:pStyle w:val="SCCSystemYear"/>
        <w:spacing w:after="720"/>
        <w:jc w:val="both"/>
      </w:pPr>
      <w:r>
        <w:t xml:space="preserve">2019 </w:t>
      </w:r>
      <w:r w:rsidRPr="00C02092">
        <w:t>SCC </w:t>
      </w:r>
      <w:r>
        <w:t>31</w:t>
      </w:r>
    </w:p>
    <w:p w:rsidR="00C526E4" w:rsidRDefault="00C526E4" w:rsidP="00C526E4">
      <w:pPr>
        <w:spacing w:after="720"/>
        <w:jc w:val="both"/>
      </w:pPr>
      <w:r>
        <w:t>File No.:</w:t>
      </w:r>
      <w:r w:rsidRPr="001426A9">
        <w:t xml:space="preserve"> </w:t>
      </w:r>
      <w:r>
        <w:t>37790</w:t>
      </w:r>
      <w:r w:rsidRPr="001426A9">
        <w:t>.</w:t>
      </w:r>
    </w:p>
    <w:p w:rsidR="00C526E4" w:rsidRDefault="00C526E4" w:rsidP="00C526E4">
      <w:pPr>
        <w:spacing w:after="720"/>
        <w:jc w:val="both"/>
      </w:pPr>
      <w:r>
        <w:t>2018: November 15</w:t>
      </w:r>
      <w:r w:rsidRPr="001426A9">
        <w:t xml:space="preserve">; </w:t>
      </w:r>
      <w:r>
        <w:t>2019: May </w:t>
      </w:r>
      <w:r w:rsidRPr="00076608">
        <w:t>16.</w:t>
      </w:r>
    </w:p>
    <w:p w:rsidR="00C526E4" w:rsidRDefault="00C526E4" w:rsidP="00C526E4">
      <w:pPr>
        <w:spacing w:after="720"/>
        <w:jc w:val="both"/>
      </w:pPr>
      <w:r>
        <w:t>Present:</w:t>
      </w:r>
      <w:r w:rsidRPr="001426A9">
        <w:t xml:space="preserve"> </w:t>
      </w:r>
      <w:r>
        <w:t>Wagner C.J. and Abella, Moldaver, Karakatsanis, Gascon, Côté, Brown, Rowe and Martin JJ.</w:t>
      </w:r>
    </w:p>
    <w:p w:rsidR="00C526E4" w:rsidRDefault="00C526E4" w:rsidP="00C526E4">
      <w:pPr>
        <w:pStyle w:val="SCCLowerCourtNameLowercase"/>
        <w:spacing w:after="720" w:line="240" w:lineRule="auto"/>
      </w:pPr>
      <w:r>
        <w:t>on appeal from the court of appeal for british columbia</w:t>
      </w:r>
    </w:p>
    <w:p w:rsidR="00C526E4" w:rsidRPr="001D7F1A" w:rsidRDefault="00C526E4" w:rsidP="00C526E4">
      <w:pPr>
        <w:pStyle w:val="SCCNormalDoubleSpacing"/>
      </w:pPr>
    </w:p>
    <w:p w:rsidR="00C526E4" w:rsidRPr="008E76B2" w:rsidRDefault="00C526E4" w:rsidP="00C526E4">
      <w:pPr>
        <w:pStyle w:val="SCCNormalDoubleSpacing"/>
        <w:spacing w:after="480"/>
        <w:rPr>
          <w:i/>
          <w:iCs/>
          <w:lang w:val="en"/>
        </w:rPr>
      </w:pPr>
      <w:r w:rsidRPr="00583EDE">
        <w:tab/>
      </w:r>
      <w:r>
        <w:rPr>
          <w:i/>
          <w:iCs/>
          <w:lang w:val="en"/>
        </w:rPr>
        <w:t>Provincial offences — Trial — Language of accused — Right to be tried by provincial court judge who speaks official language of Canada that is language of accused — Accused charged with provincial driving offence in British Columbia — Provincial court judge dismissing application by accused for trial in French — Whether right to be tried by provincial court judge who speaks official language that is language of accused under Crimin</w:t>
      </w:r>
      <w:r w:rsidRPr="00D52734">
        <w:rPr>
          <w:i/>
          <w:iCs/>
          <w:lang w:val="en"/>
        </w:rPr>
        <w:t xml:space="preserve">al Code extends </w:t>
      </w:r>
      <w:r w:rsidRPr="00D52734">
        <w:rPr>
          <w:i/>
        </w:rPr>
        <w:t>to persons accused of</w:t>
      </w:r>
      <w:r>
        <w:rPr>
          <w:i/>
        </w:rPr>
        <w:t xml:space="preserve"> certain </w:t>
      </w:r>
      <w:r>
        <w:rPr>
          <w:i/>
        </w:rPr>
        <w:lastRenderedPageBreak/>
        <w:t xml:space="preserve">provincial offences in British Columbia </w:t>
      </w:r>
      <w:r>
        <w:rPr>
          <w:i/>
          <w:iCs/>
          <w:lang w:val="en"/>
        </w:rPr>
        <w:t>—</w:t>
      </w:r>
      <w:r>
        <w:rPr>
          <w:i/>
        </w:rPr>
        <w:t xml:space="preserve"> </w:t>
      </w:r>
      <w:r w:rsidRPr="00645899">
        <w:rPr>
          <w:i/>
          <w:lang w:val="en"/>
        </w:rPr>
        <w:t>Offence Act, R</w:t>
      </w:r>
      <w:r>
        <w:rPr>
          <w:i/>
          <w:lang w:val="en"/>
        </w:rPr>
        <w:t>.</w:t>
      </w:r>
      <w:r w:rsidRPr="00645899">
        <w:rPr>
          <w:i/>
          <w:lang w:val="en"/>
        </w:rPr>
        <w:t>S</w:t>
      </w:r>
      <w:r>
        <w:rPr>
          <w:i/>
          <w:lang w:val="en"/>
        </w:rPr>
        <w:t>.</w:t>
      </w:r>
      <w:r w:rsidRPr="00645899">
        <w:rPr>
          <w:i/>
          <w:lang w:val="en"/>
        </w:rPr>
        <w:t>B</w:t>
      </w:r>
      <w:r>
        <w:rPr>
          <w:i/>
          <w:lang w:val="en"/>
        </w:rPr>
        <w:t>.</w:t>
      </w:r>
      <w:r w:rsidRPr="00645899">
        <w:rPr>
          <w:i/>
          <w:lang w:val="en"/>
        </w:rPr>
        <w:t>C</w:t>
      </w:r>
      <w:r>
        <w:rPr>
          <w:i/>
          <w:lang w:val="en"/>
        </w:rPr>
        <w:t>.</w:t>
      </w:r>
      <w:r w:rsidRPr="00645899">
        <w:rPr>
          <w:i/>
          <w:lang w:val="en"/>
        </w:rPr>
        <w:t xml:space="preserve"> 1996, c</w:t>
      </w:r>
      <w:r>
        <w:rPr>
          <w:i/>
          <w:lang w:val="en"/>
        </w:rPr>
        <w:t>. </w:t>
      </w:r>
      <w:r w:rsidRPr="00645899">
        <w:rPr>
          <w:i/>
          <w:lang w:val="en"/>
        </w:rPr>
        <w:t>338</w:t>
      </w:r>
      <w:r>
        <w:rPr>
          <w:i/>
          <w:lang w:val="en"/>
        </w:rPr>
        <w:t xml:space="preserve">, s. 133 </w:t>
      </w:r>
      <w:r>
        <w:rPr>
          <w:i/>
          <w:iCs/>
          <w:lang w:val="en"/>
        </w:rPr>
        <w:t>—</w:t>
      </w:r>
      <w:r>
        <w:rPr>
          <w:i/>
        </w:rPr>
        <w:t xml:space="preserve"> Criminal </w:t>
      </w:r>
      <w:r w:rsidRPr="00645899">
        <w:rPr>
          <w:i/>
        </w:rPr>
        <w:t xml:space="preserve">Code, </w:t>
      </w:r>
      <w:r>
        <w:rPr>
          <w:i/>
          <w:lang w:val="en"/>
        </w:rPr>
        <w:t>R.S.C. 1985, c. C</w:t>
      </w:r>
      <w:r>
        <w:rPr>
          <w:i/>
          <w:lang w:val="en"/>
        </w:rPr>
        <w:noBreakHyphen/>
        <w:t>46, s. </w:t>
      </w:r>
      <w:r w:rsidRPr="00645899">
        <w:rPr>
          <w:i/>
          <w:lang w:val="en"/>
        </w:rPr>
        <w:t>530.</w:t>
      </w:r>
    </w:p>
    <w:p w:rsidR="00C526E4" w:rsidRPr="008B5B47" w:rsidRDefault="00C526E4" w:rsidP="00C526E4">
      <w:pPr>
        <w:pStyle w:val="SCCNormalDoubleSpacing"/>
        <w:spacing w:after="480"/>
        <w:rPr>
          <w:i/>
          <w:iCs/>
          <w:lang w:val="en"/>
        </w:rPr>
      </w:pPr>
      <w:r>
        <w:rPr>
          <w:i/>
        </w:rPr>
        <w:tab/>
      </w:r>
      <w:r>
        <w:rPr>
          <w:i/>
          <w:iCs/>
          <w:lang w:val="en"/>
        </w:rPr>
        <w:t>Prerogative writs — Certiorari — Availability of remedy — Adequate alternative remedy — Superior court dismissing petition by accused for cert</w:t>
      </w:r>
      <w:r w:rsidRPr="00F721D3">
        <w:rPr>
          <w:i/>
          <w:iCs/>
          <w:lang w:val="en"/>
        </w:rPr>
        <w:t xml:space="preserve">iorari to quash </w:t>
      </w:r>
      <w:r w:rsidRPr="00F721D3">
        <w:rPr>
          <w:i/>
          <w:lang w:val="en-US"/>
        </w:rPr>
        <w:t xml:space="preserve">order of provincial court judge dismissing </w:t>
      </w:r>
      <w:r>
        <w:rPr>
          <w:i/>
          <w:lang w:val="en-US"/>
        </w:rPr>
        <w:t>application</w:t>
      </w:r>
      <w:r w:rsidRPr="00F721D3">
        <w:rPr>
          <w:i/>
          <w:lang w:val="en-US"/>
        </w:rPr>
        <w:t xml:space="preserve"> for</w:t>
      </w:r>
      <w:r>
        <w:rPr>
          <w:i/>
          <w:lang w:val="en-US"/>
        </w:rPr>
        <w:t xml:space="preserve"> </w:t>
      </w:r>
      <w:r w:rsidRPr="00F721D3">
        <w:rPr>
          <w:i/>
          <w:lang w:val="en-US"/>
        </w:rPr>
        <w:t xml:space="preserve">trial in French </w:t>
      </w:r>
      <w:r w:rsidRPr="00F721D3">
        <w:rPr>
          <w:i/>
          <w:iCs/>
          <w:lang w:val="en"/>
        </w:rPr>
        <w:t>—</w:t>
      </w:r>
      <w:r>
        <w:rPr>
          <w:i/>
          <w:iCs/>
          <w:lang w:val="en"/>
        </w:rPr>
        <w:t xml:space="preserve"> Whether determination of whether accused has right to trial in French amounts to jurisdictional issue giving rise to certiorari — Whether appeal following conviction by English</w:t>
      </w:r>
      <w:r>
        <w:rPr>
          <w:i/>
          <w:iCs/>
          <w:lang w:val="en"/>
        </w:rPr>
        <w:noBreakHyphen/>
        <w:t>speaking court constitutes adequate alternative remedy to certiorari.</w:t>
      </w:r>
    </w:p>
    <w:p w:rsidR="00C526E4" w:rsidRPr="00DA0B82" w:rsidRDefault="00C526E4" w:rsidP="00C526E4">
      <w:pPr>
        <w:pStyle w:val="ParaNoNdepar-AltN"/>
        <w:numPr>
          <w:ilvl w:val="0"/>
          <w:numId w:val="0"/>
        </w:numPr>
        <w:tabs>
          <w:tab w:val="left" w:pos="1170"/>
        </w:tabs>
      </w:pPr>
      <w:r>
        <w:tab/>
        <w:t xml:space="preserve">The accused </w:t>
      </w:r>
      <w:r w:rsidRPr="00324717">
        <w:rPr>
          <w:rFonts w:cs="Times New Roman"/>
        </w:rPr>
        <w:t xml:space="preserve">was charged with </w:t>
      </w:r>
      <w:r>
        <w:t xml:space="preserve">a provincial driving offence in British Columbia. He </w:t>
      </w:r>
      <w:r w:rsidRPr="00324717">
        <w:rPr>
          <w:rFonts w:cs="Times New Roman"/>
        </w:rPr>
        <w:t>made an application to be</w:t>
      </w:r>
      <w:r>
        <w:rPr>
          <w:rFonts w:cs="Times New Roman"/>
        </w:rPr>
        <w:t xml:space="preserve"> tried in French, relying on s. </w:t>
      </w:r>
      <w:r w:rsidRPr="00324717">
        <w:rPr>
          <w:rFonts w:cs="Times New Roman"/>
        </w:rPr>
        <w:t xml:space="preserve">530 of the </w:t>
      </w:r>
      <w:r w:rsidRPr="00324717">
        <w:rPr>
          <w:rFonts w:cs="Times New Roman"/>
          <w:i/>
        </w:rPr>
        <w:t>Criminal Code</w:t>
      </w:r>
      <w:r w:rsidRPr="00BA661E">
        <w:t>,</w:t>
      </w:r>
      <w:r>
        <w:rPr>
          <w:i/>
        </w:rPr>
        <w:t xml:space="preserve"> </w:t>
      </w:r>
      <w:r>
        <w:t xml:space="preserve">which </w:t>
      </w:r>
      <w:r>
        <w:rPr>
          <w:rFonts w:cs="Times New Roman"/>
        </w:rPr>
        <w:t xml:space="preserve">grants an accused the right to be tried </w:t>
      </w:r>
      <w:r>
        <w:t>by a provincial court judge who speaks the official language of Canada that is the language of the accused</w:t>
      </w:r>
      <w:r w:rsidRPr="00324717">
        <w:rPr>
          <w:rFonts w:cs="Times New Roman"/>
          <w:bCs/>
          <w:lang w:val="en-US"/>
        </w:rPr>
        <w:t>.</w:t>
      </w:r>
      <w:r>
        <w:rPr>
          <w:bCs/>
          <w:lang w:val="en-US"/>
        </w:rPr>
        <w:t xml:space="preserve"> </w:t>
      </w:r>
      <w:r w:rsidRPr="00324717">
        <w:rPr>
          <w:rFonts w:cs="Times New Roman"/>
        </w:rPr>
        <w:t xml:space="preserve">The Crown contested </w:t>
      </w:r>
      <w:r>
        <w:t xml:space="preserve">the accused’s </w:t>
      </w:r>
      <w:r w:rsidRPr="00324717">
        <w:rPr>
          <w:rFonts w:cs="Times New Roman"/>
        </w:rPr>
        <w:t xml:space="preserve">application, arguing that English is the </w:t>
      </w:r>
      <w:r>
        <w:t xml:space="preserve">only </w:t>
      </w:r>
      <w:r w:rsidRPr="00324717">
        <w:rPr>
          <w:rFonts w:cs="Times New Roman"/>
        </w:rPr>
        <w:t>language of provincial offence prosecutions</w:t>
      </w:r>
      <w:r>
        <w:rPr>
          <w:rFonts w:cs="Times New Roman"/>
        </w:rPr>
        <w:t xml:space="preserve"> in British Columbia according to </w:t>
      </w:r>
      <w:r>
        <w:rPr>
          <w:lang w:val="en"/>
        </w:rPr>
        <w:t>an old English statute received into the co</w:t>
      </w:r>
      <w:r w:rsidR="00CE4E5C">
        <w:rPr>
          <w:lang w:val="en"/>
        </w:rPr>
        <w:t>lonial law of the province (</w:t>
      </w:r>
      <w:r>
        <w:rPr>
          <w:lang w:val="en"/>
        </w:rPr>
        <w:t>“</w:t>
      </w:r>
      <w:r>
        <w:rPr>
          <w:i/>
          <w:iCs/>
          <w:lang w:val="en"/>
        </w:rPr>
        <w:t>1731 Act</w:t>
      </w:r>
      <w:r>
        <w:rPr>
          <w:lang w:val="en"/>
        </w:rPr>
        <w:t>”)</w:t>
      </w:r>
      <w:r>
        <w:t xml:space="preserve">. </w:t>
      </w:r>
      <w:r w:rsidRPr="00324717">
        <w:rPr>
          <w:rFonts w:cs="Times New Roman"/>
          <w:lang w:bidi="en-US"/>
        </w:rPr>
        <w:t xml:space="preserve">The </w:t>
      </w:r>
      <w:r w:rsidRPr="00324717">
        <w:rPr>
          <w:rFonts w:cs="Times New Roman"/>
          <w:bCs/>
          <w:lang w:val="en-US"/>
        </w:rPr>
        <w:t xml:space="preserve">provincial court </w:t>
      </w:r>
      <w:r w:rsidRPr="00324717">
        <w:rPr>
          <w:rFonts w:cs="Times New Roman"/>
          <w:lang w:bidi="en-US"/>
        </w:rPr>
        <w:t xml:space="preserve">judge accepted the Crown’s argument and dismissed </w:t>
      </w:r>
      <w:r>
        <w:t xml:space="preserve">the accused’s </w:t>
      </w:r>
      <w:r w:rsidRPr="00324717">
        <w:rPr>
          <w:rFonts w:cs="Times New Roman"/>
          <w:lang w:bidi="en-US"/>
        </w:rPr>
        <w:t>application</w:t>
      </w:r>
      <w:r>
        <w:rPr>
          <w:lang w:bidi="en-US"/>
        </w:rPr>
        <w:t xml:space="preserve">. </w:t>
      </w:r>
      <w:r>
        <w:t xml:space="preserve">The accused unsuccessfully petitioned </w:t>
      </w:r>
      <w:r w:rsidRPr="00324717">
        <w:rPr>
          <w:rFonts w:cs="Times New Roman"/>
          <w:lang w:bidi="en-US"/>
        </w:rPr>
        <w:t xml:space="preserve">the Supreme Court of British Columbia for </w:t>
      </w:r>
      <w:r w:rsidRPr="000E14FF">
        <w:rPr>
          <w:i/>
        </w:rPr>
        <w:t>certiorari</w:t>
      </w:r>
      <w:r>
        <w:t>.</w:t>
      </w:r>
      <w:r>
        <w:rPr>
          <w:lang w:bidi="en-US"/>
        </w:rPr>
        <w:t xml:space="preserve"> </w:t>
      </w:r>
      <w:r>
        <w:t xml:space="preserve">The court found that the petition was premature, as </w:t>
      </w:r>
      <w:r w:rsidRPr="00324717">
        <w:rPr>
          <w:rFonts w:cs="Times New Roman"/>
        </w:rPr>
        <w:t xml:space="preserve">an appeal </w:t>
      </w:r>
      <w:r>
        <w:rPr>
          <w:rFonts w:cs="Times New Roman"/>
        </w:rPr>
        <w:t xml:space="preserve">following conviction </w:t>
      </w:r>
      <w:r w:rsidRPr="00324717">
        <w:rPr>
          <w:rFonts w:cs="Times New Roman"/>
        </w:rPr>
        <w:t xml:space="preserve">represented an adequate alternative remedy to </w:t>
      </w:r>
      <w:r w:rsidRPr="00324717">
        <w:rPr>
          <w:rFonts w:cs="Times New Roman"/>
          <w:i/>
        </w:rPr>
        <w:t>certiorari</w:t>
      </w:r>
      <w:r>
        <w:rPr>
          <w:rFonts w:cs="Times New Roman"/>
          <w:i/>
        </w:rPr>
        <w:t xml:space="preserve">. </w:t>
      </w:r>
      <w:r>
        <w:t xml:space="preserve">The Court of Appeal dismissed the accused’s appeal, holding that the </w:t>
      </w:r>
      <w:r w:rsidRPr="00324717">
        <w:rPr>
          <w:rFonts w:cs="Times New Roman"/>
        </w:rPr>
        <w:t xml:space="preserve">decision </w:t>
      </w:r>
      <w:r>
        <w:t xml:space="preserve">to refuse to engage in </w:t>
      </w:r>
      <w:r w:rsidRPr="00C124FA">
        <w:rPr>
          <w:i/>
        </w:rPr>
        <w:t>certiorari</w:t>
      </w:r>
      <w:r>
        <w:rPr>
          <w:i/>
        </w:rPr>
        <w:t xml:space="preserve"> </w:t>
      </w:r>
      <w:r w:rsidRPr="00DA3680">
        <w:t>review</w:t>
      </w:r>
      <w:r>
        <w:t xml:space="preserve"> </w:t>
      </w:r>
      <w:r w:rsidRPr="00324717">
        <w:rPr>
          <w:rFonts w:cs="Times New Roman"/>
        </w:rPr>
        <w:t xml:space="preserve">attracted deference as it was discretionary </w:t>
      </w:r>
      <w:r>
        <w:t>in nature.</w:t>
      </w:r>
    </w:p>
    <w:p w:rsidR="00C526E4" w:rsidRDefault="00C526E4" w:rsidP="00C526E4">
      <w:pPr>
        <w:pStyle w:val="ParaNoNdepar-AltN"/>
        <w:numPr>
          <w:ilvl w:val="0"/>
          <w:numId w:val="0"/>
        </w:numPr>
        <w:tabs>
          <w:tab w:val="left" w:pos="1170"/>
        </w:tabs>
      </w:pPr>
      <w:r>
        <w:rPr>
          <w:i/>
        </w:rPr>
        <w:tab/>
      </w:r>
      <w:r w:rsidRPr="0058387B">
        <w:rPr>
          <w:i/>
        </w:rPr>
        <w:t>Held</w:t>
      </w:r>
      <w:r>
        <w:t xml:space="preserve">: </w:t>
      </w:r>
      <w:r w:rsidRPr="0058387B">
        <w:t>The appeal should be allowed</w:t>
      </w:r>
      <w:r>
        <w:t xml:space="preserve"> and the</w:t>
      </w:r>
      <w:r w:rsidRPr="00324717">
        <w:rPr>
          <w:bCs/>
        </w:rPr>
        <w:t xml:space="preserve"> order of the Provincial Court</w:t>
      </w:r>
      <w:r>
        <w:rPr>
          <w:bCs/>
        </w:rPr>
        <w:t xml:space="preserve"> quashed. The accused is </w:t>
      </w:r>
      <w:r>
        <w:t>entitled</w:t>
      </w:r>
      <w:r w:rsidRPr="00324717">
        <w:t xml:space="preserve"> to stand trial in French</w:t>
      </w:r>
      <w:r>
        <w:rPr>
          <w:bCs/>
        </w:rPr>
        <w:t>.</w:t>
      </w:r>
    </w:p>
    <w:p w:rsidR="00C526E4" w:rsidRPr="00314C39" w:rsidRDefault="00C526E4" w:rsidP="00C526E4">
      <w:pPr>
        <w:pStyle w:val="ParaNoNdepar-AltN"/>
        <w:numPr>
          <w:ilvl w:val="0"/>
          <w:numId w:val="0"/>
        </w:numPr>
        <w:tabs>
          <w:tab w:val="left" w:pos="1170"/>
        </w:tabs>
      </w:pPr>
      <w:r>
        <w:tab/>
        <w:t xml:space="preserve">The issue of </w:t>
      </w:r>
      <w:r w:rsidRPr="00314C39">
        <w:rPr>
          <w:rFonts w:eastAsiaTheme="minorHAnsi"/>
        </w:rPr>
        <w:t xml:space="preserve">whether </w:t>
      </w:r>
      <w:r>
        <w:t xml:space="preserve">the accused </w:t>
      </w:r>
      <w:r w:rsidRPr="00314C39">
        <w:rPr>
          <w:rFonts w:eastAsiaTheme="minorHAnsi"/>
        </w:rPr>
        <w:t xml:space="preserve">is entitled to be tried in French raises a jurisdictional question, and </w:t>
      </w:r>
      <w:r w:rsidRPr="00314C39">
        <w:rPr>
          <w:i/>
          <w:lang w:val="en-US"/>
        </w:rPr>
        <w:t>certiorari</w:t>
      </w:r>
      <w:r w:rsidRPr="00314C39">
        <w:rPr>
          <w:lang w:val="en-US"/>
        </w:rPr>
        <w:t xml:space="preserve"> </w:t>
      </w:r>
      <w:r>
        <w:rPr>
          <w:lang w:val="en-US"/>
        </w:rPr>
        <w:t xml:space="preserve">review </w:t>
      </w:r>
      <w:r w:rsidRPr="00314C39">
        <w:rPr>
          <w:rFonts w:eastAsiaTheme="minorHAnsi"/>
        </w:rPr>
        <w:t xml:space="preserve">is therefore available before the trial is heard. </w:t>
      </w:r>
      <w:r w:rsidRPr="00314C39">
        <w:rPr>
          <w:lang w:val="en-US"/>
        </w:rPr>
        <w:t xml:space="preserve">Superior courts generally do not intervene in ongoing criminal </w:t>
      </w:r>
      <w:r>
        <w:t>or quasi</w:t>
      </w:r>
      <w:r>
        <w:noBreakHyphen/>
        <w:t>criminal</w:t>
      </w:r>
      <w:r w:rsidRPr="00314C39">
        <w:rPr>
          <w:lang w:val="en-US"/>
        </w:rPr>
        <w:t xml:space="preserve"> proceedings in the provincial courts. </w:t>
      </w:r>
      <w:r>
        <w:t>This is because</w:t>
      </w:r>
      <w:r w:rsidRPr="00314C39">
        <w:rPr>
          <w:lang w:val="en-US"/>
        </w:rPr>
        <w:t xml:space="preserve"> criminal appeals are statutory</w:t>
      </w:r>
      <w:r>
        <w:rPr>
          <w:lang w:val="en-US"/>
        </w:rPr>
        <w:t xml:space="preserve"> and, with limited exceptions, </w:t>
      </w:r>
      <w:r w:rsidRPr="00314C39">
        <w:rPr>
          <w:lang w:val="en-US"/>
        </w:rPr>
        <w:t xml:space="preserve">there are no interlocutory appeals. </w:t>
      </w:r>
      <w:r>
        <w:t>I</w:t>
      </w:r>
      <w:r w:rsidRPr="00324717">
        <w:t>nterlocutory appeals are circumscribed in part because of concerns about judicial economy, delay, and the fragmentation of proceedings</w:t>
      </w:r>
      <w:r>
        <w:t>.</w:t>
      </w:r>
      <w:r w:rsidRPr="0058387B">
        <w:t xml:space="preserve"> </w:t>
      </w:r>
      <w:r w:rsidRPr="00314C39">
        <w:rPr>
          <w:lang w:val="en-US"/>
        </w:rPr>
        <w:t xml:space="preserve">For parties to criminal </w:t>
      </w:r>
      <w:r>
        <w:t xml:space="preserve">or quasi-criminal </w:t>
      </w:r>
      <w:r>
        <w:rPr>
          <w:lang w:val="en-US"/>
        </w:rPr>
        <w:t>proceedings, pre</w:t>
      </w:r>
      <w:r>
        <w:rPr>
          <w:lang w:val="en-US"/>
        </w:rPr>
        <w:noBreakHyphen/>
        <w:t xml:space="preserve"> or mid</w:t>
      </w:r>
      <w:r>
        <w:rPr>
          <w:lang w:val="en-US"/>
        </w:rPr>
        <w:noBreakHyphen/>
      </w:r>
      <w:r w:rsidRPr="00314C39">
        <w:rPr>
          <w:lang w:val="en-US"/>
        </w:rPr>
        <w:t xml:space="preserve">trial </w:t>
      </w:r>
      <w:r w:rsidRPr="00314C39">
        <w:rPr>
          <w:i/>
          <w:lang w:val="en-US"/>
        </w:rPr>
        <w:t>certiorari</w:t>
      </w:r>
      <w:r w:rsidRPr="00314C39">
        <w:rPr>
          <w:lang w:val="en-US"/>
        </w:rPr>
        <w:t xml:space="preserve"> is available for a</w:t>
      </w:r>
      <w:r>
        <w:rPr>
          <w:lang w:val="en-US"/>
        </w:rPr>
        <w:t>n alleged</w:t>
      </w:r>
      <w:r w:rsidRPr="00314C39">
        <w:rPr>
          <w:lang w:val="en-US"/>
        </w:rPr>
        <w:t xml:space="preserve"> jurisdictional error by a provincial court judge. </w:t>
      </w:r>
      <w:r>
        <w:rPr>
          <w:lang w:val="en-US"/>
        </w:rPr>
        <w:t>A</w:t>
      </w:r>
      <w:r w:rsidRPr="00314C39">
        <w:rPr>
          <w:lang w:val="en-US"/>
        </w:rPr>
        <w:t xml:space="preserve"> </w:t>
      </w:r>
      <w:r w:rsidRPr="00314C39">
        <w:t>juris</w:t>
      </w:r>
      <w:r>
        <w:t>dictional error occurs where a</w:t>
      </w:r>
      <w:r w:rsidRPr="00314C39">
        <w:t xml:space="preserve"> court fails to observe a mandatory</w:t>
      </w:r>
      <w:r>
        <w:t xml:space="preserve"> provision of a statute or</w:t>
      </w:r>
      <w:r w:rsidRPr="00314C39">
        <w:t xml:space="preserve"> acts in breach of the principles of natural justice. Whether the alleged error by the </w:t>
      </w:r>
      <w:r>
        <w:t>provincial court</w:t>
      </w:r>
      <w:r w:rsidRPr="00314C39">
        <w:rPr>
          <w:lang w:val="en-US"/>
        </w:rPr>
        <w:t xml:space="preserve"> </w:t>
      </w:r>
      <w:r w:rsidRPr="00314C39">
        <w:t xml:space="preserve">judge constitutes a jurisdictional error is a question of </w:t>
      </w:r>
      <w:r>
        <w:t>law reviewable for correctness.</w:t>
      </w:r>
    </w:p>
    <w:p w:rsidR="00C526E4" w:rsidRPr="000A0ED5" w:rsidRDefault="00C526E4" w:rsidP="00C526E4">
      <w:pPr>
        <w:pStyle w:val="ParaNoNdepar-AltN"/>
        <w:numPr>
          <w:ilvl w:val="0"/>
          <w:numId w:val="0"/>
        </w:numPr>
        <w:tabs>
          <w:tab w:val="left" w:pos="1170"/>
        </w:tabs>
        <w:spacing w:before="240"/>
        <w:rPr>
          <w:rFonts w:cs="Times New Roman"/>
        </w:rPr>
      </w:pPr>
      <w:r>
        <w:rPr>
          <w:rFonts w:eastAsia="Times New Roman" w:cs="Times New Roman"/>
          <w:szCs w:val="20"/>
          <w:lang w:eastAsia="en-CA"/>
        </w:rPr>
        <w:tab/>
      </w:r>
      <w:r w:rsidRPr="00DA0B82">
        <w:rPr>
          <w:rFonts w:eastAsia="Times New Roman" w:cs="Times New Roman"/>
          <w:szCs w:val="20"/>
          <w:lang w:eastAsia="en-CA"/>
        </w:rPr>
        <w:t xml:space="preserve">Section 530 of the </w:t>
      </w:r>
      <w:r w:rsidRPr="003C6F29">
        <w:rPr>
          <w:rFonts w:eastAsia="Times New Roman" w:cs="Times New Roman"/>
          <w:i/>
          <w:szCs w:val="20"/>
          <w:lang w:eastAsia="en-CA"/>
        </w:rPr>
        <w:t>Criminal Code</w:t>
      </w:r>
      <w:r w:rsidRPr="00DA0B82">
        <w:rPr>
          <w:rFonts w:eastAsia="Times New Roman" w:cs="Times New Roman"/>
          <w:szCs w:val="20"/>
          <w:lang w:eastAsia="en-CA"/>
        </w:rPr>
        <w:t xml:space="preserve"> is a mandatory statutory provision. It dictates</w:t>
      </w:r>
      <w:r>
        <w:rPr>
          <w:rFonts w:cs="Times New Roman"/>
          <w:lang w:val="en-US"/>
        </w:rPr>
        <w:t xml:space="preserve"> </w:t>
      </w:r>
      <w:r w:rsidRPr="00324717">
        <w:rPr>
          <w:rFonts w:cs="Times New Roman"/>
          <w:lang w:val="en-US"/>
        </w:rPr>
        <w:t>that the judge “shall grant” a French trial on application of the accused</w:t>
      </w:r>
      <w:r>
        <w:rPr>
          <w:rFonts w:cs="Times New Roman"/>
          <w:lang w:val="en-US"/>
        </w:rPr>
        <w:t xml:space="preserve">, </w:t>
      </w:r>
      <w:r w:rsidRPr="00324717">
        <w:rPr>
          <w:rFonts w:cs="Times New Roman"/>
          <w:lang w:val="en-US"/>
        </w:rPr>
        <w:t>provided the application is brought within</w:t>
      </w:r>
      <w:r>
        <w:rPr>
          <w:rFonts w:cs="Times New Roman"/>
          <w:lang w:val="en-US"/>
        </w:rPr>
        <w:t xml:space="preserve"> the requisite time. If</w:t>
      </w:r>
      <w:r w:rsidRPr="00EB5CED">
        <w:rPr>
          <w:rFonts w:cs="Times New Roman"/>
          <w:i/>
          <w:lang w:val="en-US"/>
        </w:rPr>
        <w:t xml:space="preserve"> </w:t>
      </w:r>
      <w:r w:rsidRPr="00EB5CED">
        <w:rPr>
          <w:rFonts w:cs="Times New Roman"/>
          <w:lang w:val="en-US"/>
        </w:rPr>
        <w:t xml:space="preserve">the provincial court judge erred </w:t>
      </w:r>
      <w:r>
        <w:rPr>
          <w:rFonts w:cs="Times New Roman"/>
          <w:lang w:val="en-US"/>
        </w:rPr>
        <w:t xml:space="preserve">in </w:t>
      </w:r>
      <w:r>
        <w:t>concluding that s. 530 does not apply to provincial offence prosecutions</w:t>
      </w:r>
      <w:r w:rsidRPr="00EB5CED">
        <w:rPr>
          <w:rFonts w:cs="Times New Roman"/>
          <w:lang w:val="en-US"/>
        </w:rPr>
        <w:t xml:space="preserve">, the effect was that </w:t>
      </w:r>
      <w:r>
        <w:t>the judge</w:t>
      </w:r>
      <w:r>
        <w:rPr>
          <w:rFonts w:cs="Times New Roman"/>
          <w:lang w:val="en-US"/>
        </w:rPr>
        <w:t xml:space="preserve"> </w:t>
      </w:r>
      <w:r w:rsidRPr="00EB5CED">
        <w:rPr>
          <w:rFonts w:cs="Times New Roman"/>
          <w:lang w:val="en-US"/>
        </w:rPr>
        <w:t xml:space="preserve">failed to observe a mandatory statutory provision and thereby </w:t>
      </w:r>
      <w:r>
        <w:rPr>
          <w:rFonts w:cs="Times New Roman"/>
          <w:lang w:val="en-US"/>
        </w:rPr>
        <w:t>lost</w:t>
      </w:r>
      <w:r w:rsidRPr="00EB5CED">
        <w:rPr>
          <w:rFonts w:cs="Times New Roman"/>
          <w:lang w:val="en-US"/>
        </w:rPr>
        <w:t xml:space="preserve"> jurisdiction</w:t>
      </w:r>
      <w:r>
        <w:rPr>
          <w:rFonts w:cs="Times New Roman"/>
          <w:lang w:val="en-US"/>
        </w:rPr>
        <w:t xml:space="preserve"> </w:t>
      </w:r>
      <w:r>
        <w:t>over the accused’s proceedings</w:t>
      </w:r>
      <w:r w:rsidRPr="00324717">
        <w:rPr>
          <w:rFonts w:cs="Times New Roman"/>
        </w:rPr>
        <w:t xml:space="preserve">. </w:t>
      </w:r>
      <w:r>
        <w:t xml:space="preserve">As the accused’s petition to the superior court alleged a jurisdictional error by the provincial court judge, </w:t>
      </w:r>
      <w:r w:rsidRPr="00334018">
        <w:rPr>
          <w:i/>
        </w:rPr>
        <w:t>certiorari</w:t>
      </w:r>
      <w:r>
        <w:t xml:space="preserve"> review by the superior court was available to the accused.</w:t>
      </w:r>
    </w:p>
    <w:p w:rsidR="00C526E4" w:rsidRDefault="00C526E4" w:rsidP="00C526E4">
      <w:pPr>
        <w:pStyle w:val="ParaNoNdepar-AltN"/>
        <w:numPr>
          <w:ilvl w:val="0"/>
          <w:numId w:val="0"/>
        </w:numPr>
        <w:tabs>
          <w:tab w:val="left" w:pos="1170"/>
        </w:tabs>
        <w:spacing w:before="240"/>
        <w:rPr>
          <w:rFonts w:cs="Times New Roman"/>
          <w:lang w:val="en-US"/>
        </w:rPr>
      </w:pPr>
      <w:r>
        <w:rPr>
          <w:rFonts w:eastAsiaTheme="minorHAnsi" w:cs="Times New Roman"/>
        </w:rPr>
        <w:tab/>
        <w:t>S</w:t>
      </w:r>
      <w:r w:rsidRPr="00314C39">
        <w:rPr>
          <w:rFonts w:eastAsiaTheme="minorHAnsi" w:cs="Times New Roman"/>
        </w:rPr>
        <w:t>uperior</w:t>
      </w:r>
      <w:r w:rsidRPr="00314C39">
        <w:rPr>
          <w:rFonts w:eastAsiaTheme="minorHAnsi" w:cs="Times New Roman"/>
          <w:b/>
        </w:rPr>
        <w:t xml:space="preserve"> </w:t>
      </w:r>
      <w:r w:rsidRPr="00314C39">
        <w:rPr>
          <w:rFonts w:eastAsiaTheme="minorHAnsi" w:cs="Times New Roman"/>
        </w:rPr>
        <w:t xml:space="preserve">courts retain a residual discretion to refuse </w:t>
      </w:r>
      <w:r w:rsidRPr="00314C39">
        <w:rPr>
          <w:rFonts w:cs="Times New Roman"/>
          <w:i/>
          <w:lang w:val="en-US"/>
        </w:rPr>
        <w:t>certiorari</w:t>
      </w:r>
      <w:r>
        <w:rPr>
          <w:rFonts w:cs="Times New Roman"/>
          <w:i/>
          <w:lang w:val="en-US"/>
        </w:rPr>
        <w:t xml:space="preserve"> </w:t>
      </w:r>
      <w:r w:rsidRPr="00582700">
        <w:rPr>
          <w:rFonts w:cs="Times New Roman"/>
          <w:lang w:val="en-US"/>
        </w:rPr>
        <w:t>review</w:t>
      </w:r>
      <w:r w:rsidRPr="00314C39">
        <w:rPr>
          <w:rFonts w:cs="Times New Roman"/>
          <w:lang w:val="en-US"/>
        </w:rPr>
        <w:t xml:space="preserve">, even in the face of alleged jurisdictional errors. </w:t>
      </w:r>
      <w:r w:rsidRPr="00314C39">
        <w:rPr>
          <w:rFonts w:cs="Times New Roman"/>
        </w:rPr>
        <w:t xml:space="preserve">One of the discretionary grounds for refusing </w:t>
      </w:r>
      <w:r w:rsidRPr="00EB5CED">
        <w:rPr>
          <w:rFonts w:cs="Times New Roman"/>
        </w:rPr>
        <w:t xml:space="preserve">to </w:t>
      </w:r>
      <w:r>
        <w:rPr>
          <w:rFonts w:cs="Times New Roman"/>
        </w:rPr>
        <w:t>engage in</w:t>
      </w:r>
      <w:r w:rsidRPr="00EB5CED">
        <w:rPr>
          <w:rFonts w:cs="Times New Roman"/>
        </w:rPr>
        <w:t xml:space="preserve"> </w:t>
      </w:r>
      <w:r w:rsidRPr="00EB5CED">
        <w:rPr>
          <w:rFonts w:cs="Times New Roman"/>
          <w:i/>
        </w:rPr>
        <w:t>certiorari</w:t>
      </w:r>
      <w:r>
        <w:rPr>
          <w:rFonts w:cs="Times New Roman"/>
        </w:rPr>
        <w:t xml:space="preserve"> review</w:t>
      </w:r>
      <w:r w:rsidRPr="00EB5CED">
        <w:rPr>
          <w:rFonts w:cs="Times New Roman"/>
          <w:i/>
        </w:rPr>
        <w:t xml:space="preserve"> </w:t>
      </w:r>
      <w:r w:rsidRPr="00314C39">
        <w:rPr>
          <w:rFonts w:cs="Times New Roman"/>
        </w:rPr>
        <w:t xml:space="preserve">is the existence of an adequate alternative remedy. Because </w:t>
      </w:r>
      <w:r w:rsidRPr="00314C39">
        <w:rPr>
          <w:rFonts w:cs="Times New Roman"/>
          <w:i/>
        </w:rPr>
        <w:t xml:space="preserve">certiorari </w:t>
      </w:r>
      <w:r w:rsidRPr="00DA3680">
        <w:rPr>
          <w:rFonts w:cs="Times New Roman"/>
        </w:rPr>
        <w:t>review</w:t>
      </w:r>
      <w:r>
        <w:rPr>
          <w:rFonts w:cs="Times New Roman"/>
          <w:i/>
        </w:rPr>
        <w:t xml:space="preserve"> </w:t>
      </w:r>
      <w:r w:rsidRPr="00314C39">
        <w:rPr>
          <w:rFonts w:cs="Times New Roman"/>
        </w:rPr>
        <w:t xml:space="preserve">is a discretionary remedy, the court’s decision not to </w:t>
      </w:r>
      <w:r>
        <w:rPr>
          <w:rFonts w:cs="Times New Roman"/>
        </w:rPr>
        <w:t>undertake</w:t>
      </w:r>
      <w:r w:rsidRPr="00314C39">
        <w:rPr>
          <w:rFonts w:cs="Times New Roman"/>
        </w:rPr>
        <w:t xml:space="preserve"> it is entitled to deference on appeal. To interfere with the judge’s decision, the appellate court must be satisfied that the decision fails to give weight to all relevant considerations</w:t>
      </w:r>
      <w:r w:rsidRPr="00314C39">
        <w:rPr>
          <w:rFonts w:cs="Times New Roman"/>
          <w:lang w:val="en-US"/>
        </w:rPr>
        <w:t xml:space="preserve">, rests on an error in </w:t>
      </w:r>
      <w:r>
        <w:rPr>
          <w:rFonts w:cs="Times New Roman"/>
          <w:lang w:val="en-US"/>
        </w:rPr>
        <w:t>principle, or is plainly wrong.</w:t>
      </w:r>
    </w:p>
    <w:p w:rsidR="00C526E4" w:rsidRDefault="00C526E4" w:rsidP="00C526E4">
      <w:pPr>
        <w:pStyle w:val="ParaNoNdepar-AltN"/>
        <w:numPr>
          <w:ilvl w:val="0"/>
          <w:numId w:val="0"/>
        </w:numPr>
        <w:tabs>
          <w:tab w:val="left" w:pos="1170"/>
        </w:tabs>
        <w:spacing w:before="240"/>
        <w:rPr>
          <w:rFonts w:cs="Times New Roman"/>
          <w:lang w:val="en-US"/>
        </w:rPr>
      </w:pPr>
      <w:r>
        <w:rPr>
          <w:lang w:val="en-US"/>
        </w:rPr>
        <w:tab/>
      </w:r>
      <w:r>
        <w:t xml:space="preserve">In the instant case, </w:t>
      </w:r>
      <w:r>
        <w:rPr>
          <w:rFonts w:cs="Times New Roman"/>
        </w:rPr>
        <w:t>t</w:t>
      </w:r>
      <w:r w:rsidRPr="00314C39">
        <w:rPr>
          <w:rFonts w:cs="Times New Roman"/>
        </w:rPr>
        <w:t>he superior court judge erred in e</w:t>
      </w:r>
      <w:r>
        <w:rPr>
          <w:rFonts w:cs="Times New Roman"/>
        </w:rPr>
        <w:t xml:space="preserve">xercising his discretion not </w:t>
      </w:r>
      <w:r w:rsidRPr="00EB5CED">
        <w:rPr>
          <w:rFonts w:cs="Times New Roman"/>
        </w:rPr>
        <w:t xml:space="preserve">to </w:t>
      </w:r>
      <w:r>
        <w:rPr>
          <w:rFonts w:cs="Times New Roman"/>
        </w:rPr>
        <w:t>engage in</w:t>
      </w:r>
      <w:r w:rsidRPr="00EB5CED">
        <w:rPr>
          <w:rFonts w:cs="Times New Roman"/>
        </w:rPr>
        <w:t xml:space="preserve"> </w:t>
      </w:r>
      <w:r w:rsidRPr="00EB5CED">
        <w:rPr>
          <w:rFonts w:cs="Times New Roman"/>
          <w:i/>
        </w:rPr>
        <w:t>certiorari</w:t>
      </w:r>
      <w:r w:rsidRPr="00EB5CED">
        <w:rPr>
          <w:rFonts w:cs="Times New Roman"/>
        </w:rPr>
        <w:t xml:space="preserve"> </w:t>
      </w:r>
      <w:r>
        <w:rPr>
          <w:rFonts w:cs="Times New Roman"/>
        </w:rPr>
        <w:t>review</w:t>
      </w:r>
      <w:r w:rsidRPr="00314C39">
        <w:rPr>
          <w:rFonts w:cs="Times New Roman"/>
        </w:rPr>
        <w:t xml:space="preserve"> and consider the substantive issues raised in the accused’s</w:t>
      </w:r>
      <w:r>
        <w:rPr>
          <w:rFonts w:cs="Times New Roman"/>
        </w:rPr>
        <w:t xml:space="preserve"> </w:t>
      </w:r>
      <w:r w:rsidRPr="00314C39">
        <w:rPr>
          <w:rFonts w:cs="Times New Roman"/>
        </w:rPr>
        <w:t xml:space="preserve">petition. Had </w:t>
      </w:r>
      <w:r>
        <w:t xml:space="preserve">he properly </w:t>
      </w:r>
      <w:r w:rsidRPr="00314C39">
        <w:rPr>
          <w:rFonts w:cs="Times New Roman"/>
        </w:rPr>
        <w:t xml:space="preserve">recognized the jurisdictional nature of the dispute, the impact of his decision on </w:t>
      </w:r>
      <w:r>
        <w:t xml:space="preserve">the accused’s </w:t>
      </w:r>
      <w:r w:rsidRPr="00314C39">
        <w:rPr>
          <w:rFonts w:cs="Times New Roman"/>
        </w:rPr>
        <w:t xml:space="preserve">language rights, and the desirability of deciding the language of trial question before the start of the trial, he </w:t>
      </w:r>
      <w:r>
        <w:t>should</w:t>
      </w:r>
      <w:r w:rsidRPr="00314C39">
        <w:rPr>
          <w:rFonts w:cs="Times New Roman"/>
        </w:rPr>
        <w:t xml:space="preserve"> have concluded that an appeal from conviction would not represent an adequate alternative remedy to </w:t>
      </w:r>
      <w:r w:rsidRPr="00314C39">
        <w:rPr>
          <w:rFonts w:cs="Times New Roman"/>
          <w:i/>
        </w:rPr>
        <w:t>certiorari</w:t>
      </w:r>
      <w:r>
        <w:rPr>
          <w:rFonts w:cs="Times New Roman"/>
          <w:i/>
        </w:rPr>
        <w:t xml:space="preserve"> </w:t>
      </w:r>
      <w:r>
        <w:rPr>
          <w:rFonts w:cs="Times New Roman"/>
        </w:rPr>
        <w:t>review</w:t>
      </w:r>
      <w:r w:rsidRPr="00314C39">
        <w:rPr>
          <w:rFonts w:cs="Times New Roman"/>
        </w:rPr>
        <w:t xml:space="preserve">. </w:t>
      </w:r>
      <w:r>
        <w:t>As t</w:t>
      </w:r>
      <w:r w:rsidRPr="00314C39">
        <w:rPr>
          <w:rFonts w:cs="Times New Roman"/>
        </w:rPr>
        <w:t xml:space="preserve">he violation of the accused’s </w:t>
      </w:r>
      <w:r>
        <w:t xml:space="preserve">trial language right </w:t>
      </w:r>
      <w:r w:rsidRPr="00314C39">
        <w:rPr>
          <w:rFonts w:cs="Times New Roman"/>
        </w:rPr>
        <w:t>is a harm in itself, an appeal follo</w:t>
      </w:r>
      <w:r>
        <w:rPr>
          <w:rFonts w:cs="Times New Roman"/>
        </w:rPr>
        <w:t>wing a conviction by an English</w:t>
      </w:r>
      <w:r>
        <w:rPr>
          <w:rFonts w:cs="Times New Roman"/>
        </w:rPr>
        <w:noBreakHyphen/>
      </w:r>
      <w:r w:rsidRPr="00314C39">
        <w:rPr>
          <w:rFonts w:cs="Times New Roman"/>
        </w:rPr>
        <w:t xml:space="preserve">speaking court cannot represent an adequate alternative remedy to deciding, before the trial has taken place, whether </w:t>
      </w:r>
      <w:r>
        <w:t xml:space="preserve">the accused is in fact </w:t>
      </w:r>
      <w:r w:rsidRPr="00314C39">
        <w:rPr>
          <w:rFonts w:cs="Times New Roman"/>
        </w:rPr>
        <w:t xml:space="preserve">entitled to this fundamental right. </w:t>
      </w:r>
      <w:r>
        <w:rPr>
          <w:rFonts w:cs="Times New Roman"/>
        </w:rPr>
        <w:t>H</w:t>
      </w:r>
      <w:r w:rsidRPr="00314C39">
        <w:rPr>
          <w:rFonts w:cs="Times New Roman"/>
        </w:rPr>
        <w:t xml:space="preserve">ad </w:t>
      </w:r>
      <w:r>
        <w:t xml:space="preserve">the accused </w:t>
      </w:r>
      <w:r w:rsidRPr="00314C39">
        <w:rPr>
          <w:rFonts w:cs="Times New Roman"/>
        </w:rPr>
        <w:t>been acquitted after an English trial, he would have had no</w:t>
      </w:r>
      <w:r w:rsidRPr="00314C39">
        <w:rPr>
          <w:rFonts w:cs="Times New Roman"/>
          <w:i/>
        </w:rPr>
        <w:t xml:space="preserve"> </w:t>
      </w:r>
      <w:r w:rsidRPr="00314C39">
        <w:rPr>
          <w:rFonts w:cs="Times New Roman"/>
        </w:rPr>
        <w:t xml:space="preserve">opportunity to have his </w:t>
      </w:r>
      <w:r>
        <w:rPr>
          <w:rFonts w:cs="Times New Roman"/>
        </w:rPr>
        <w:t xml:space="preserve">claimed </w:t>
      </w:r>
      <w:r w:rsidRPr="00314C39">
        <w:rPr>
          <w:rFonts w:cs="Times New Roman"/>
        </w:rPr>
        <w:t xml:space="preserve">language rights vindicated, </w:t>
      </w:r>
      <w:r>
        <w:t xml:space="preserve">as there is no </w:t>
      </w:r>
      <w:r w:rsidRPr="00314C39">
        <w:rPr>
          <w:rFonts w:cs="Times New Roman"/>
        </w:rPr>
        <w:t xml:space="preserve">right to appeal an acquittal under the </w:t>
      </w:r>
      <w:r w:rsidRPr="00314C39">
        <w:rPr>
          <w:rFonts w:cs="Times New Roman"/>
          <w:i/>
        </w:rPr>
        <w:t>Offence Act</w:t>
      </w:r>
      <w:r w:rsidRPr="00314C39">
        <w:rPr>
          <w:rFonts w:cs="Times New Roman"/>
        </w:rPr>
        <w:t xml:space="preserve">. </w:t>
      </w:r>
      <w:r>
        <w:rPr>
          <w:rFonts w:cs="Times New Roman"/>
        </w:rPr>
        <w:t>P</w:t>
      </w:r>
      <w:r w:rsidRPr="00324717">
        <w:rPr>
          <w:rFonts w:cs="Times New Roman"/>
        </w:rPr>
        <w:t xml:space="preserve">utting the accused through a trial which may well be a nullity </w:t>
      </w:r>
      <w:r>
        <w:t xml:space="preserve">also </w:t>
      </w:r>
      <w:r w:rsidRPr="00324717">
        <w:rPr>
          <w:rFonts w:cs="Times New Roman"/>
        </w:rPr>
        <w:t>risks putting the accused to undue legal expense</w:t>
      </w:r>
      <w:r>
        <w:rPr>
          <w:rFonts w:cs="Times New Roman"/>
        </w:rPr>
        <w:t xml:space="preserve"> </w:t>
      </w:r>
      <w:r>
        <w:t>as it gives rise to a potential ground of appeal and the prospect of the appeal court having to order a new trial</w:t>
      </w:r>
      <w:r w:rsidRPr="00324717">
        <w:rPr>
          <w:rFonts w:cs="Times New Roman"/>
        </w:rPr>
        <w:t xml:space="preserve">. </w:t>
      </w:r>
      <w:r>
        <w:t xml:space="preserve">As </w:t>
      </w:r>
      <w:r w:rsidRPr="00324717">
        <w:rPr>
          <w:rFonts w:cs="Times New Roman"/>
        </w:rPr>
        <w:t xml:space="preserve">there was no basis for the superior court to exercise its discretion to decline </w:t>
      </w:r>
      <w:r w:rsidRPr="00324717">
        <w:rPr>
          <w:rFonts w:cs="Times New Roman"/>
          <w:i/>
        </w:rPr>
        <w:t>certiorari</w:t>
      </w:r>
      <w:r>
        <w:rPr>
          <w:rFonts w:cs="Times New Roman"/>
          <w:i/>
        </w:rPr>
        <w:t xml:space="preserve"> </w:t>
      </w:r>
      <w:r>
        <w:rPr>
          <w:rFonts w:cs="Times New Roman"/>
        </w:rPr>
        <w:t>review</w:t>
      </w:r>
      <w:r w:rsidRPr="00F35F62">
        <w:rPr>
          <w:rFonts w:cs="Times New Roman"/>
        </w:rPr>
        <w:t xml:space="preserve">, </w:t>
      </w:r>
      <w:r>
        <w:t xml:space="preserve">it </w:t>
      </w:r>
      <w:r w:rsidRPr="00324717">
        <w:rPr>
          <w:rFonts w:cs="Times New Roman"/>
        </w:rPr>
        <w:t xml:space="preserve">ought to have decided the merits of </w:t>
      </w:r>
      <w:r>
        <w:t xml:space="preserve">the accused’s </w:t>
      </w:r>
      <w:r w:rsidRPr="00324717">
        <w:rPr>
          <w:rFonts w:cs="Times New Roman"/>
        </w:rPr>
        <w:t>petition.</w:t>
      </w:r>
    </w:p>
    <w:p w:rsidR="00C526E4" w:rsidRPr="00DA0B82" w:rsidRDefault="00C526E4" w:rsidP="00C526E4">
      <w:pPr>
        <w:pStyle w:val="ParaNoNdepar-AltN"/>
        <w:numPr>
          <w:ilvl w:val="0"/>
          <w:numId w:val="0"/>
        </w:numPr>
        <w:tabs>
          <w:tab w:val="left" w:pos="1170"/>
        </w:tabs>
        <w:spacing w:before="240"/>
        <w:rPr>
          <w:rFonts w:cs="Times New Roman"/>
          <w:lang w:val="en-US"/>
        </w:rPr>
      </w:pPr>
      <w:r>
        <w:rPr>
          <w:rFonts w:cs="Times New Roman"/>
        </w:rPr>
        <w:tab/>
        <w:t xml:space="preserve">Section 530 </w:t>
      </w:r>
      <w:r>
        <w:t xml:space="preserve">of the </w:t>
      </w:r>
      <w:r>
        <w:rPr>
          <w:i/>
        </w:rPr>
        <w:t>Criminal Code</w:t>
      </w:r>
      <w:r>
        <w:t xml:space="preserve"> </w:t>
      </w:r>
      <w:r>
        <w:rPr>
          <w:rFonts w:cs="Times New Roman"/>
        </w:rPr>
        <w:t xml:space="preserve">applies to </w:t>
      </w:r>
      <w:r>
        <w:t>the accused’s prosecution. Section</w:t>
      </w:r>
      <w:r>
        <w:rPr>
          <w:rFonts w:cs="Times New Roman"/>
        </w:rPr>
        <w:t xml:space="preserve"> 133 of </w:t>
      </w:r>
      <w:r>
        <w:t xml:space="preserve">British Columbia’s </w:t>
      </w:r>
      <w:r>
        <w:rPr>
          <w:rFonts w:cs="Times New Roman"/>
          <w:i/>
        </w:rPr>
        <w:t xml:space="preserve">Offence Act </w:t>
      </w:r>
      <w:r>
        <w:rPr>
          <w:rFonts w:cs="Times New Roman"/>
        </w:rPr>
        <w:t xml:space="preserve">incorporates s. 530 of the </w:t>
      </w:r>
      <w:r>
        <w:rPr>
          <w:rFonts w:cs="Times New Roman"/>
          <w:i/>
        </w:rPr>
        <w:t xml:space="preserve">Criminal Code </w:t>
      </w:r>
      <w:r>
        <w:rPr>
          <w:rFonts w:cs="Times New Roman"/>
        </w:rPr>
        <w:t xml:space="preserve">without heed to the </w:t>
      </w:r>
      <w:r>
        <w:rPr>
          <w:rFonts w:cs="Times New Roman"/>
          <w:i/>
        </w:rPr>
        <w:t xml:space="preserve">1731 Act. </w:t>
      </w:r>
      <w:r>
        <w:rPr>
          <w:rFonts w:cs="Times New Roman"/>
        </w:rPr>
        <w:t xml:space="preserve">Because the </w:t>
      </w:r>
      <w:r>
        <w:rPr>
          <w:rFonts w:cs="Times New Roman"/>
          <w:i/>
        </w:rPr>
        <w:t>Offence Act</w:t>
      </w:r>
      <w:r>
        <w:rPr>
          <w:i/>
        </w:rPr>
        <w:t xml:space="preserve"> </w:t>
      </w:r>
      <w:r>
        <w:rPr>
          <w:rFonts w:cs="Times New Roman"/>
        </w:rPr>
        <w:t xml:space="preserve">applies to proceedings under the </w:t>
      </w:r>
      <w:r>
        <w:rPr>
          <w:rFonts w:cs="Times New Roman"/>
          <w:i/>
        </w:rPr>
        <w:t>Motor Vehicle Act</w:t>
      </w:r>
      <w:r>
        <w:rPr>
          <w:rFonts w:cs="Times New Roman"/>
        </w:rPr>
        <w:t xml:space="preserve">, and neither the </w:t>
      </w:r>
      <w:r>
        <w:rPr>
          <w:rFonts w:cs="Times New Roman"/>
          <w:i/>
        </w:rPr>
        <w:t xml:space="preserve">Motor Vehicle Act </w:t>
      </w:r>
      <w:r>
        <w:rPr>
          <w:rFonts w:cs="Times New Roman"/>
        </w:rPr>
        <w:t xml:space="preserve">nor the </w:t>
      </w:r>
      <w:r>
        <w:rPr>
          <w:rFonts w:cs="Times New Roman"/>
          <w:i/>
        </w:rPr>
        <w:t xml:space="preserve">Offence Act </w:t>
      </w:r>
      <w:r>
        <w:rPr>
          <w:rFonts w:cs="Times New Roman"/>
        </w:rPr>
        <w:t xml:space="preserve">make provision for the language of trials, s. 530 of the </w:t>
      </w:r>
      <w:r>
        <w:rPr>
          <w:rFonts w:cs="Times New Roman"/>
          <w:i/>
        </w:rPr>
        <w:t>Criminal Code</w:t>
      </w:r>
      <w:r>
        <w:t xml:space="preserve"> applies </w:t>
      </w:r>
      <w:r>
        <w:rPr>
          <w:rFonts w:cs="Times New Roman"/>
        </w:rPr>
        <w:t xml:space="preserve">as if </w:t>
      </w:r>
      <w:r>
        <w:t>it</w:t>
      </w:r>
      <w:r>
        <w:rPr>
          <w:rFonts w:cs="Times New Roman"/>
        </w:rPr>
        <w:t xml:space="preserve"> were enacted in and formed part of the </w:t>
      </w:r>
      <w:r>
        <w:rPr>
          <w:rFonts w:cs="Times New Roman"/>
          <w:i/>
        </w:rPr>
        <w:t xml:space="preserve">Offence Act </w:t>
      </w:r>
      <w:r>
        <w:t xml:space="preserve">itself. </w:t>
      </w:r>
      <w:r>
        <w:rPr>
          <w:rFonts w:cs="Times New Roman"/>
        </w:rPr>
        <w:t xml:space="preserve">By virtue of its incorporation into the </w:t>
      </w:r>
      <w:r>
        <w:rPr>
          <w:rFonts w:cs="Times New Roman"/>
          <w:i/>
        </w:rPr>
        <w:t>Offence Act</w:t>
      </w:r>
      <w:r>
        <w:rPr>
          <w:rFonts w:cs="Times New Roman"/>
        </w:rPr>
        <w:t>,</w:t>
      </w:r>
      <w:r>
        <w:rPr>
          <w:rFonts w:cs="Times New Roman"/>
          <w:i/>
        </w:rPr>
        <w:t xml:space="preserve"> </w:t>
      </w:r>
      <w:r>
        <w:rPr>
          <w:rFonts w:cs="Times New Roman"/>
        </w:rPr>
        <w:t>s</w:t>
      </w:r>
      <w:r>
        <w:rPr>
          <w:rFonts w:cs="Times New Roman"/>
          <w:i/>
        </w:rPr>
        <w:t>.</w:t>
      </w:r>
      <w:r>
        <w:rPr>
          <w:rFonts w:cs="Times New Roman"/>
        </w:rPr>
        <w:t xml:space="preserve"> 530 enjoys the same status in that Act as it does in the </w:t>
      </w:r>
      <w:r>
        <w:rPr>
          <w:rFonts w:cs="Times New Roman"/>
          <w:i/>
        </w:rPr>
        <w:t>Criminal Code</w:t>
      </w:r>
      <w:r>
        <w:rPr>
          <w:rFonts w:cs="Times New Roman"/>
        </w:rPr>
        <w:t>.</w:t>
      </w:r>
      <w:r>
        <w:rPr>
          <w:rFonts w:cs="Times New Roman"/>
          <w:i/>
        </w:rPr>
        <w:t xml:space="preserve"> </w:t>
      </w:r>
      <w:r>
        <w:rPr>
          <w:rFonts w:cs="Times New Roman"/>
        </w:rPr>
        <w:t>Therefore</w:t>
      </w:r>
      <w:r>
        <w:t xml:space="preserve">, </w:t>
      </w:r>
      <w:r>
        <w:rPr>
          <w:rFonts w:cs="Times New Roman"/>
        </w:rPr>
        <w:t xml:space="preserve">s. 530 of the </w:t>
      </w:r>
      <w:r>
        <w:rPr>
          <w:rFonts w:cs="Times New Roman"/>
          <w:i/>
        </w:rPr>
        <w:t>Criminal Code</w:t>
      </w:r>
      <w:r>
        <w:rPr>
          <w:i/>
        </w:rPr>
        <w:t xml:space="preserve"> </w:t>
      </w:r>
      <w:r>
        <w:rPr>
          <w:rFonts w:cs="Times New Roman"/>
        </w:rPr>
        <w:t xml:space="preserve">implicitly repeals the </w:t>
      </w:r>
      <w:r>
        <w:rPr>
          <w:rFonts w:cs="Times New Roman"/>
          <w:i/>
        </w:rPr>
        <w:t xml:space="preserve">1731 Act </w:t>
      </w:r>
      <w:r>
        <w:rPr>
          <w:rFonts w:cs="Times New Roman"/>
        </w:rPr>
        <w:t xml:space="preserve">in respect of </w:t>
      </w:r>
      <w:r>
        <w:rPr>
          <w:rFonts w:cs="Times New Roman"/>
          <w:i/>
        </w:rPr>
        <w:t xml:space="preserve">Offence Act </w:t>
      </w:r>
      <w:r>
        <w:t>trials.</w:t>
      </w:r>
    </w:p>
    <w:p w:rsidR="00C526E4" w:rsidRPr="004731F2" w:rsidRDefault="00C526E4" w:rsidP="00C526E4">
      <w:pPr>
        <w:pStyle w:val="ParaNoNdepar-AltN"/>
        <w:numPr>
          <w:ilvl w:val="0"/>
          <w:numId w:val="0"/>
        </w:numPr>
        <w:tabs>
          <w:tab w:val="left" w:pos="1166"/>
        </w:tabs>
        <w:rPr>
          <w:rFonts w:cs="Times New Roman"/>
        </w:rPr>
      </w:pPr>
      <w:r>
        <w:tab/>
        <w:t>T</w:t>
      </w:r>
      <w:r>
        <w:rPr>
          <w:rFonts w:cs="Times New Roman"/>
        </w:rPr>
        <w:t xml:space="preserve">he wording of ss. 3(1) and 133 </w:t>
      </w:r>
      <w:r>
        <w:t xml:space="preserve">of the </w:t>
      </w:r>
      <w:r>
        <w:rPr>
          <w:i/>
        </w:rPr>
        <w:t>Offence Act</w:t>
      </w:r>
      <w:r>
        <w:t xml:space="preserve"> </w:t>
      </w:r>
      <w:r>
        <w:rPr>
          <w:rFonts w:cs="Times New Roman"/>
        </w:rPr>
        <w:t>cannot reasonably be read as prioritizing other, more removed legislation</w:t>
      </w:r>
      <w:r>
        <w:t xml:space="preserve">, such as the </w:t>
      </w:r>
      <w:r>
        <w:rPr>
          <w:i/>
        </w:rPr>
        <w:t>1731 Act</w:t>
      </w:r>
      <w:r>
        <w:rPr>
          <w:rFonts w:cs="Times New Roman"/>
        </w:rPr>
        <w:t xml:space="preserve">. </w:t>
      </w:r>
      <w:r>
        <w:t xml:space="preserve">These two provisions </w:t>
      </w:r>
      <w:r>
        <w:rPr>
          <w:rFonts w:cs="Times New Roman"/>
        </w:rPr>
        <w:t>have clear functions</w:t>
      </w:r>
      <w:r>
        <w:t xml:space="preserve">. Section 3(1) </w:t>
      </w:r>
      <w:r>
        <w:rPr>
          <w:rFonts w:cs="Times New Roman"/>
        </w:rPr>
        <w:t xml:space="preserve">sets the scope of the </w:t>
      </w:r>
      <w:r>
        <w:rPr>
          <w:rFonts w:cs="Times New Roman"/>
          <w:i/>
        </w:rPr>
        <w:t xml:space="preserve">Offence Act </w:t>
      </w:r>
      <w:r>
        <w:t>as applying to “</w:t>
      </w:r>
      <w:r>
        <w:rPr>
          <w:rFonts w:cs="Times New Roman"/>
        </w:rPr>
        <w:t>proceedings</w:t>
      </w:r>
      <w:r>
        <w:t>”, “[e]</w:t>
      </w:r>
      <w:r>
        <w:rPr>
          <w:rFonts w:cs="Times New Roman"/>
        </w:rPr>
        <w:t>xcept where otherwise provided by law</w:t>
      </w:r>
      <w:r>
        <w:t xml:space="preserve">”. The terms </w:t>
      </w:r>
      <w:r>
        <w:rPr>
          <w:rFonts w:cs="Times New Roman"/>
        </w:rPr>
        <w:t>“</w:t>
      </w:r>
      <w:r>
        <w:t>[e]</w:t>
      </w:r>
      <w:r>
        <w:rPr>
          <w:rFonts w:cs="Times New Roman"/>
        </w:rPr>
        <w:t xml:space="preserve">xcept where otherwise provided by law” </w:t>
      </w:r>
      <w:r>
        <w:t xml:space="preserve">refer to situations where other, more </w:t>
      </w:r>
      <w:r>
        <w:rPr>
          <w:rFonts w:cs="Times New Roman"/>
        </w:rPr>
        <w:t xml:space="preserve">particularized legislation displaces the application of the </w:t>
      </w:r>
      <w:r>
        <w:rPr>
          <w:rFonts w:cs="Times New Roman"/>
          <w:i/>
        </w:rPr>
        <w:t>Offence Act</w:t>
      </w:r>
      <w:r>
        <w:rPr>
          <w:rFonts w:cs="Times New Roman"/>
        </w:rPr>
        <w:t xml:space="preserve">. </w:t>
      </w:r>
      <w:r>
        <w:t xml:space="preserve">They </w:t>
      </w:r>
      <w:r>
        <w:rPr>
          <w:rFonts w:cs="Times New Roman"/>
        </w:rPr>
        <w:t>do not mean that a particular</w:t>
      </w:r>
      <w:r>
        <w:rPr>
          <w:rFonts w:cs="Times New Roman"/>
          <w:i/>
        </w:rPr>
        <w:t xml:space="preserve"> </w:t>
      </w:r>
      <w:r>
        <w:rPr>
          <w:rFonts w:cs="Times New Roman"/>
        </w:rPr>
        <w:t xml:space="preserve">provision of the </w:t>
      </w:r>
      <w:r>
        <w:rPr>
          <w:rFonts w:cs="Times New Roman"/>
          <w:i/>
        </w:rPr>
        <w:t xml:space="preserve">Offence Act </w:t>
      </w:r>
      <w:r>
        <w:rPr>
          <w:rFonts w:cs="Times New Roman"/>
        </w:rPr>
        <w:t>will not apply to “proceedings” if that particular provision contradicts another law in effect in British Columbia</w:t>
      </w:r>
      <w:r>
        <w:t xml:space="preserve">. For its part, s. 133, or the incorporation provision, </w:t>
      </w:r>
      <w:r>
        <w:rPr>
          <w:rFonts w:cs="Times New Roman"/>
        </w:rPr>
        <w:t xml:space="preserve">dictates that any gaps in the </w:t>
      </w:r>
      <w:r>
        <w:rPr>
          <w:rFonts w:cs="Times New Roman"/>
          <w:i/>
        </w:rPr>
        <w:t xml:space="preserve">Offence Act </w:t>
      </w:r>
      <w:r>
        <w:rPr>
          <w:rFonts w:cs="Times New Roman"/>
        </w:rPr>
        <w:t xml:space="preserve">are to be filled with the provisions of the </w:t>
      </w:r>
      <w:r>
        <w:rPr>
          <w:rFonts w:cs="Times New Roman"/>
          <w:i/>
        </w:rPr>
        <w:t>Criminal Code</w:t>
      </w:r>
      <w:r w:rsidRPr="00F35F62">
        <w:rPr>
          <w:rFonts w:cs="Times New Roman"/>
        </w:rPr>
        <w:t>,</w:t>
      </w:r>
      <w:r>
        <w:rPr>
          <w:rFonts w:cs="Times New Roman"/>
          <w:i/>
        </w:rPr>
        <w:t xml:space="preserve"> </w:t>
      </w:r>
      <w:r>
        <w:rPr>
          <w:rFonts w:cs="Times New Roman"/>
        </w:rPr>
        <w:t xml:space="preserve">adapted to fit the </w:t>
      </w:r>
      <w:r>
        <w:rPr>
          <w:rFonts w:cs="Times New Roman"/>
          <w:i/>
        </w:rPr>
        <w:t xml:space="preserve">Offence Act </w:t>
      </w:r>
      <w:r>
        <w:rPr>
          <w:rFonts w:cs="Times New Roman"/>
        </w:rPr>
        <w:t xml:space="preserve">context. It is only where the </w:t>
      </w:r>
      <w:r>
        <w:rPr>
          <w:rFonts w:cs="Times New Roman"/>
          <w:i/>
        </w:rPr>
        <w:t xml:space="preserve">Offence Act </w:t>
      </w:r>
      <w:r>
        <w:rPr>
          <w:rFonts w:cs="Times New Roman"/>
        </w:rPr>
        <w:t xml:space="preserve">or the particularized legislation creating the offence fully provides for a matter that incorporation of </w:t>
      </w:r>
      <w:r>
        <w:rPr>
          <w:rFonts w:cs="Times New Roman"/>
          <w:i/>
        </w:rPr>
        <w:t xml:space="preserve">Criminal Code </w:t>
      </w:r>
      <w:r>
        <w:rPr>
          <w:rFonts w:cs="Times New Roman"/>
        </w:rPr>
        <w:t xml:space="preserve">provisions is precluded. </w:t>
      </w:r>
      <w:r>
        <w:t>P</w:t>
      </w:r>
      <w:r>
        <w:rPr>
          <w:rFonts w:cs="Times New Roman"/>
        </w:rPr>
        <w:t xml:space="preserve">ut in terms of hierarchy or order of operations, ss. 3(1) and 133 of the </w:t>
      </w:r>
      <w:r>
        <w:rPr>
          <w:rFonts w:cs="Times New Roman"/>
          <w:i/>
        </w:rPr>
        <w:t>Offence Act</w:t>
      </w:r>
      <w:r>
        <w:rPr>
          <w:rFonts w:cs="Times New Roman"/>
        </w:rPr>
        <w:t xml:space="preserve"> direct </w:t>
      </w:r>
      <w:r>
        <w:t xml:space="preserve">courts to (1) look to the particularized legislation creating the offence in question (in this case, the </w:t>
      </w:r>
      <w:r>
        <w:rPr>
          <w:i/>
        </w:rPr>
        <w:t>Motor Vehicle Act</w:t>
      </w:r>
      <w:r>
        <w:t xml:space="preserve">); (2) provided the particularized legislation does not direct otherwise, apply the </w:t>
      </w:r>
      <w:r>
        <w:rPr>
          <w:i/>
        </w:rPr>
        <w:t>Offence Act</w:t>
      </w:r>
      <w:r>
        <w:t xml:space="preserve">; (3) where the </w:t>
      </w:r>
      <w:r>
        <w:rPr>
          <w:i/>
        </w:rPr>
        <w:t>Offence Act</w:t>
      </w:r>
      <w:r>
        <w:t xml:space="preserve"> is silent on the matter in question (</w:t>
      </w:r>
      <w:r w:rsidRPr="00EB5CED">
        <w:rPr>
          <w:rFonts w:cs="Times New Roman"/>
        </w:rPr>
        <w:t>or makes only p</w:t>
      </w:r>
      <w:r>
        <w:rPr>
          <w:rFonts w:cs="Times New Roman"/>
        </w:rPr>
        <w:t xml:space="preserve">artial provision for the matter), </w:t>
      </w:r>
      <w:r>
        <w:t xml:space="preserve">look to the </w:t>
      </w:r>
      <w:r>
        <w:rPr>
          <w:i/>
        </w:rPr>
        <w:t>Criminal Code</w:t>
      </w:r>
      <w:r>
        <w:t xml:space="preserve">; and (4) if the matter is not addressed in any of the preceding legislation, turn to other sources of law, including other British Columbia legislation. In this case, these steps </w:t>
      </w:r>
      <w:r>
        <w:rPr>
          <w:rFonts w:cs="Times New Roman"/>
        </w:rPr>
        <w:t xml:space="preserve">lead directly to the incorporation of s. 530 of the </w:t>
      </w:r>
      <w:r>
        <w:rPr>
          <w:rFonts w:cs="Times New Roman"/>
          <w:i/>
        </w:rPr>
        <w:t xml:space="preserve">Criminal Code </w:t>
      </w:r>
      <w:r>
        <w:rPr>
          <w:rFonts w:cs="Times New Roman"/>
        </w:rPr>
        <w:t xml:space="preserve">into the </w:t>
      </w:r>
      <w:r>
        <w:rPr>
          <w:rFonts w:cs="Times New Roman"/>
          <w:i/>
        </w:rPr>
        <w:t>Offence Act</w:t>
      </w:r>
      <w:r>
        <w:rPr>
          <w:rFonts w:cs="Times New Roman"/>
        </w:rPr>
        <w:t>.</w:t>
      </w:r>
    </w:p>
    <w:p w:rsidR="00C526E4" w:rsidRDefault="00C526E4" w:rsidP="00C526E4">
      <w:pPr>
        <w:pStyle w:val="SCCNormalDoubleSpacing"/>
        <w:spacing w:after="720" w:line="240" w:lineRule="auto"/>
        <w:rPr>
          <w:b/>
        </w:rPr>
      </w:pPr>
      <w:r w:rsidRPr="00314E01">
        <w:rPr>
          <w:b/>
        </w:rPr>
        <w:t>Cases Cited</w:t>
      </w:r>
    </w:p>
    <w:p w:rsidR="00C526E4" w:rsidRPr="00076608" w:rsidRDefault="00C526E4" w:rsidP="00C526E4">
      <w:pPr>
        <w:tabs>
          <w:tab w:val="left" w:pos="1170"/>
        </w:tabs>
        <w:spacing w:after="480" w:line="480" w:lineRule="auto"/>
        <w:jc w:val="both"/>
      </w:pPr>
      <w:r>
        <w:tab/>
      </w:r>
      <w:r w:rsidRPr="00D3279F">
        <w:rPr>
          <w:b/>
        </w:rPr>
        <w:t>Applied:</w:t>
      </w:r>
      <w:r>
        <w:t xml:space="preserve"> </w:t>
      </w:r>
      <w:r w:rsidRPr="00D3279F">
        <w:rPr>
          <w:i/>
          <w:lang w:val="en-US"/>
        </w:rPr>
        <w:t>R. v. Russell</w:t>
      </w:r>
      <w:r w:rsidRPr="00D3279F">
        <w:rPr>
          <w:lang w:val="en-US"/>
        </w:rPr>
        <w:t>, 2</w:t>
      </w:r>
      <w:r>
        <w:rPr>
          <w:lang w:val="en-US"/>
        </w:rPr>
        <w:t>001 SCC 53, [2001] 2 S.C.R. 804</w:t>
      </w:r>
      <w:r w:rsidRPr="00D3279F">
        <w:t>;</w:t>
      </w:r>
      <w:r>
        <w:t xml:space="preserve"> </w:t>
      </w:r>
      <w:r w:rsidRPr="00765E00">
        <w:rPr>
          <w:b/>
        </w:rPr>
        <w:t>distinguished:</w:t>
      </w:r>
      <w:r>
        <w:t xml:space="preserve"> </w:t>
      </w:r>
      <w:r w:rsidRPr="00840C5D">
        <w:rPr>
          <w:i/>
        </w:rPr>
        <w:t>R. v. Prince</w:t>
      </w:r>
      <w:r w:rsidRPr="00840C5D">
        <w:t>,</w:t>
      </w:r>
      <w:r w:rsidRPr="00840C5D">
        <w:rPr>
          <w:i/>
        </w:rPr>
        <w:t xml:space="preserve"> </w:t>
      </w:r>
      <w:r w:rsidRPr="00840C5D">
        <w:t>[1986] 2 S.C.R. 480</w:t>
      </w:r>
      <w:r>
        <w:t xml:space="preserve">; </w:t>
      </w:r>
      <w:r w:rsidRPr="00765E00">
        <w:rPr>
          <w:b/>
        </w:rPr>
        <w:t>considered:</w:t>
      </w:r>
      <w:r>
        <w:t xml:space="preserve"> </w:t>
      </w:r>
      <w:r w:rsidRPr="00D3279F">
        <w:rPr>
          <w:i/>
        </w:rPr>
        <w:t>Moore v. The Queen</w:t>
      </w:r>
      <w:r w:rsidRPr="00D3279F">
        <w:t>,</w:t>
      </w:r>
      <w:r w:rsidRPr="00D3279F">
        <w:rPr>
          <w:i/>
        </w:rPr>
        <w:t xml:space="preserve"> </w:t>
      </w:r>
      <w:r w:rsidRPr="00D3279F">
        <w:t>[1979] 1 S.C.R. 195</w:t>
      </w:r>
      <w:r>
        <w:t xml:space="preserve">; </w:t>
      </w:r>
      <w:r>
        <w:rPr>
          <w:b/>
        </w:rPr>
        <w:t>r</w:t>
      </w:r>
      <w:r w:rsidRPr="00D45072">
        <w:rPr>
          <w:b/>
        </w:rPr>
        <w:t>eferred to:</w:t>
      </w:r>
      <w:r w:rsidRPr="00D45072">
        <w:t xml:space="preserve"> </w:t>
      </w:r>
      <w:r w:rsidRPr="00D45072">
        <w:rPr>
          <w:i/>
          <w:lang w:bidi="en-US"/>
        </w:rPr>
        <w:t>Conseil</w:t>
      </w:r>
      <w:r w:rsidRPr="00A853B0">
        <w:rPr>
          <w:i/>
          <w:lang w:bidi="en-US"/>
        </w:rPr>
        <w:t xml:space="preserve"> scolaire francophone de la Colombie</w:t>
      </w:r>
      <w:r w:rsidRPr="00A853B0">
        <w:rPr>
          <w:i/>
          <w:lang w:bidi="en-US"/>
        </w:rPr>
        <w:noBreakHyphen/>
        <w:t>Britannique</w:t>
      </w:r>
      <w:r w:rsidRPr="00A853B0">
        <w:rPr>
          <w:i/>
          <w:iCs/>
          <w:lang w:bidi="en-US"/>
        </w:rPr>
        <w:t xml:space="preserve"> v.</w:t>
      </w:r>
      <w:r w:rsidRPr="00A853B0">
        <w:rPr>
          <w:i/>
          <w:lang w:bidi="en-US"/>
        </w:rPr>
        <w:t xml:space="preserve"> British Columbia</w:t>
      </w:r>
      <w:r w:rsidRPr="00A853B0">
        <w:rPr>
          <w:lang w:bidi="en-US"/>
        </w:rPr>
        <w:t>,</w:t>
      </w:r>
      <w:r w:rsidRPr="00A853B0">
        <w:rPr>
          <w:bCs/>
          <w:lang w:bidi="en-US"/>
        </w:rPr>
        <w:t xml:space="preserve"> </w:t>
      </w:r>
      <w:r w:rsidRPr="00A853B0">
        <w:rPr>
          <w:lang w:bidi="en-US"/>
        </w:rPr>
        <w:t xml:space="preserve">2013 SCC 42, [2013] 2 S.C.R. 774; </w:t>
      </w:r>
      <w:r w:rsidRPr="00A853B0">
        <w:rPr>
          <w:i/>
        </w:rPr>
        <w:t>R. v. Corbett</w:t>
      </w:r>
      <w:r w:rsidRPr="00A853B0">
        <w:t xml:space="preserve">, 2005 BCSC 1437, 24 M.V.R. (5th) </w:t>
      </w:r>
      <w:r>
        <w:t>310</w:t>
      </w:r>
      <w:r w:rsidRPr="00EB2D69">
        <w:t xml:space="preserve">; </w:t>
      </w:r>
      <w:r w:rsidRPr="00EB2D69">
        <w:rPr>
          <w:i/>
        </w:rPr>
        <w:t>R. v. Laflamme</w:t>
      </w:r>
      <w:r w:rsidRPr="00EB2D69">
        <w:t>, B.C.</w:t>
      </w:r>
      <w:r>
        <w:t xml:space="preserve"> Prov. Ct., No. 19739, February </w:t>
      </w:r>
      <w:r w:rsidRPr="00EB2D69">
        <w:t>17, 1997;</w:t>
      </w:r>
      <w:r>
        <w:t xml:space="preserve"> </w:t>
      </w:r>
      <w:r w:rsidRPr="0076090E">
        <w:rPr>
          <w:i/>
        </w:rPr>
        <w:t>Skogman v. The Queen</w:t>
      </w:r>
      <w:r w:rsidRPr="0076090E">
        <w:t>, [1984] 2 S.C.R. 93</w:t>
      </w:r>
      <w:r>
        <w:t xml:space="preserve">; </w:t>
      </w:r>
      <w:r w:rsidRPr="00840C5D">
        <w:rPr>
          <w:i/>
        </w:rPr>
        <w:t xml:space="preserve">R. v. Johnson </w:t>
      </w:r>
      <w:r w:rsidRPr="00840C5D">
        <w:t>(1991),</w:t>
      </w:r>
      <w:r w:rsidRPr="00840C5D">
        <w:rPr>
          <w:sz w:val="21"/>
          <w:szCs w:val="21"/>
        </w:rPr>
        <w:t xml:space="preserve"> </w:t>
      </w:r>
      <w:r w:rsidRPr="00840C5D">
        <w:t>3 O.R. (3d) 49</w:t>
      </w:r>
      <w:r>
        <w:t xml:space="preserve">; </w:t>
      </w:r>
      <w:r w:rsidRPr="00D3279F">
        <w:rPr>
          <w:i/>
          <w:lang w:val="en-US"/>
        </w:rPr>
        <w:t>R. v. Beaulac</w:t>
      </w:r>
      <w:r w:rsidRPr="00D3279F">
        <w:rPr>
          <w:lang w:val="en-US"/>
        </w:rPr>
        <w:t>,</w:t>
      </w:r>
      <w:r w:rsidRPr="00D3279F">
        <w:t xml:space="preserve"> [1999] 1 S.C.R. 768;</w:t>
      </w:r>
      <w:r w:rsidRPr="00765E00">
        <w:rPr>
          <w:i/>
          <w:lang w:val="en-US"/>
        </w:rPr>
        <w:t xml:space="preserve"> </w:t>
      </w:r>
      <w:r w:rsidRPr="00D3279F">
        <w:rPr>
          <w:i/>
          <w:lang w:val="en-US"/>
        </w:rPr>
        <w:t>R. v. Awashish</w:t>
      </w:r>
      <w:r w:rsidRPr="00D3279F">
        <w:rPr>
          <w:lang w:val="en-US"/>
        </w:rPr>
        <w:t>,</w:t>
      </w:r>
      <w:r w:rsidRPr="00D3279F">
        <w:rPr>
          <w:i/>
          <w:lang w:val="en-US"/>
        </w:rPr>
        <w:t xml:space="preserve"> </w:t>
      </w:r>
      <w:r>
        <w:rPr>
          <w:lang w:val="en-US"/>
        </w:rPr>
        <w:t>2018 SCC 45</w:t>
      </w:r>
      <w:r w:rsidR="001A67D3">
        <w:rPr>
          <w:lang w:val="en-US"/>
        </w:rPr>
        <w:t xml:space="preserve">, </w:t>
      </w:r>
      <w:r w:rsidR="001A67D3">
        <w:t>[2018</w:t>
      </w:r>
      <w:r w:rsidR="001A67D3" w:rsidRPr="00840C5D">
        <w:t>]</w:t>
      </w:r>
      <w:r w:rsidR="001A67D3">
        <w:t xml:space="preserve"> 3 S.C.R. 87</w:t>
      </w:r>
      <w:r>
        <w:rPr>
          <w:lang w:val="en-US"/>
        </w:rPr>
        <w:t>;</w:t>
      </w:r>
      <w:r w:rsidRPr="00D3279F">
        <w:t xml:space="preserve"> </w:t>
      </w:r>
      <w:r w:rsidRPr="0076090E">
        <w:rPr>
          <w:i/>
          <w:lang w:val="en-US"/>
        </w:rPr>
        <w:t>R. v. Plummer</w:t>
      </w:r>
      <w:r w:rsidRPr="0076090E">
        <w:rPr>
          <w:lang w:val="en-US"/>
        </w:rPr>
        <w:t>,</w:t>
      </w:r>
      <w:r w:rsidRPr="0076090E">
        <w:rPr>
          <w:i/>
          <w:lang w:val="en-US"/>
        </w:rPr>
        <w:t xml:space="preserve"> </w:t>
      </w:r>
      <w:r w:rsidRPr="0076090E">
        <w:rPr>
          <w:lang w:val="en-US"/>
        </w:rPr>
        <w:t>2018 BCSC 513</w:t>
      </w:r>
      <w:r w:rsidR="00F35F62">
        <w:rPr>
          <w:lang w:val="en-US"/>
        </w:rPr>
        <w:t>, 25 M.V.R. (7</w:t>
      </w:r>
      <w:r w:rsidR="00F35F62" w:rsidRPr="00F35F62">
        <w:rPr>
          <w:lang w:val="en-US"/>
        </w:rPr>
        <w:t>th</w:t>
      </w:r>
      <w:r w:rsidR="00F35F62">
        <w:rPr>
          <w:lang w:val="en-US"/>
        </w:rPr>
        <w:t>) 117</w:t>
      </w:r>
      <w:r>
        <w:rPr>
          <w:lang w:val="en-US"/>
        </w:rPr>
        <w:t xml:space="preserve">; </w:t>
      </w:r>
      <w:r w:rsidRPr="00840C5D">
        <w:rPr>
          <w:i/>
        </w:rPr>
        <w:t>Doyle v. The Queen</w:t>
      </w:r>
      <w:r w:rsidRPr="00724402">
        <w:t>,</w:t>
      </w:r>
      <w:r w:rsidRPr="00840C5D">
        <w:rPr>
          <w:i/>
        </w:rPr>
        <w:t xml:space="preserve"> </w:t>
      </w:r>
      <w:r w:rsidRPr="00840C5D">
        <w:t>[1977] 1 S.C.R. 597</w:t>
      </w:r>
      <w:r>
        <w:t xml:space="preserve">; </w:t>
      </w:r>
      <w:r w:rsidRPr="00840C5D">
        <w:rPr>
          <w:i/>
        </w:rPr>
        <w:t>R. v. Deschampl</w:t>
      </w:r>
      <w:r>
        <w:rPr>
          <w:i/>
        </w:rPr>
        <w:t>a</w:t>
      </w:r>
      <w:r w:rsidRPr="00840C5D">
        <w:rPr>
          <w:i/>
        </w:rPr>
        <w:t>in</w:t>
      </w:r>
      <w:r w:rsidRPr="00724402">
        <w:t>,</w:t>
      </w:r>
      <w:r w:rsidRPr="00840C5D">
        <w:rPr>
          <w:i/>
        </w:rPr>
        <w:t xml:space="preserve"> </w:t>
      </w:r>
      <w:r w:rsidRPr="00840C5D">
        <w:t>2004 SCC 76,</w:t>
      </w:r>
      <w:r>
        <w:t xml:space="preserve"> [2004] 3 S.C.R. 601; </w:t>
      </w:r>
      <w:r w:rsidRPr="00840C5D">
        <w:rPr>
          <w:i/>
          <w:lang w:val="en-US"/>
        </w:rPr>
        <w:t>R. v. Munkonda</w:t>
      </w:r>
      <w:r w:rsidRPr="00724402">
        <w:rPr>
          <w:lang w:val="en-US"/>
        </w:rPr>
        <w:t xml:space="preserve">, </w:t>
      </w:r>
      <w:r w:rsidRPr="00840C5D">
        <w:rPr>
          <w:lang w:val="en-US"/>
        </w:rPr>
        <w:t>2015 ONCA 309</w:t>
      </w:r>
      <w:r>
        <w:rPr>
          <w:lang w:val="en-US"/>
        </w:rPr>
        <w:t xml:space="preserve">, 126 O.R. (3d) 646; </w:t>
      </w:r>
      <w:r w:rsidRPr="00840C5D">
        <w:rPr>
          <w:i/>
        </w:rPr>
        <w:t>Strickland </w:t>
      </w:r>
      <w:r w:rsidRPr="00840C5D">
        <w:rPr>
          <w:i/>
          <w:iCs/>
        </w:rPr>
        <w:t>v.</w:t>
      </w:r>
      <w:r w:rsidRPr="00840C5D">
        <w:rPr>
          <w:i/>
        </w:rPr>
        <w:t> Canada (Attorney General)</w:t>
      </w:r>
      <w:r w:rsidRPr="00840C5D">
        <w:t>, 2015 SCC 37,</w:t>
      </w:r>
      <w:r>
        <w:t xml:space="preserve"> [2015] 2 S.C.R. 713; </w:t>
      </w:r>
      <w:r w:rsidRPr="00840C5D">
        <w:rPr>
          <w:i/>
        </w:rPr>
        <w:t xml:space="preserve">R. v. Arcand </w:t>
      </w:r>
      <w:r w:rsidRPr="00840C5D">
        <w:t>(2004),</w:t>
      </w:r>
      <w:r w:rsidRPr="00840C5D">
        <w:rPr>
          <w:i/>
        </w:rPr>
        <w:t xml:space="preserve"> </w:t>
      </w:r>
      <w:r w:rsidRPr="00840C5D">
        <w:t>73 O.R. (3d) 758</w:t>
      </w:r>
      <w:r>
        <w:t xml:space="preserve">; </w:t>
      </w:r>
      <w:r w:rsidRPr="00840C5D">
        <w:rPr>
          <w:i/>
          <w:lang w:val="en-US"/>
        </w:rPr>
        <w:t>MiningWatch Canada v. Canada (Fisheries and Oceans)</w:t>
      </w:r>
      <w:r w:rsidRPr="00840C5D">
        <w:rPr>
          <w:lang w:val="en-US"/>
        </w:rPr>
        <w:t>, 2010 SCC 2,</w:t>
      </w:r>
      <w:r>
        <w:rPr>
          <w:lang w:val="en-US"/>
        </w:rPr>
        <w:t xml:space="preserve"> [2010] 1 S.C.R. 6; </w:t>
      </w:r>
      <w:r w:rsidRPr="00840C5D">
        <w:rPr>
          <w:i/>
          <w:lang w:val="en-US"/>
        </w:rPr>
        <w:t>Cowper-Smith v. Morgan</w:t>
      </w:r>
      <w:r w:rsidRPr="00724402">
        <w:rPr>
          <w:lang w:val="en-US"/>
        </w:rPr>
        <w:t>,</w:t>
      </w:r>
      <w:r w:rsidRPr="00840C5D">
        <w:rPr>
          <w:i/>
          <w:lang w:val="en-US"/>
        </w:rPr>
        <w:t xml:space="preserve"> </w:t>
      </w:r>
      <w:r w:rsidRPr="00840C5D">
        <w:rPr>
          <w:lang w:val="en-US"/>
        </w:rPr>
        <w:t>2017 SCC 61,</w:t>
      </w:r>
      <w:r>
        <w:rPr>
          <w:lang w:val="en-US"/>
        </w:rPr>
        <w:t xml:space="preserve"> [2017] </w:t>
      </w:r>
      <w:r w:rsidR="00F35F62">
        <w:rPr>
          <w:lang w:val="en-US"/>
        </w:rPr>
        <w:t xml:space="preserve">2 </w:t>
      </w:r>
      <w:r>
        <w:rPr>
          <w:lang w:val="en-US"/>
        </w:rPr>
        <w:t xml:space="preserve">S.C.R. 754; </w:t>
      </w:r>
      <w:r w:rsidRPr="00840C5D">
        <w:rPr>
          <w:i/>
          <w:lang w:val="en-US"/>
        </w:rPr>
        <w:t>Canadian Pacific Ltd. v. Matsqui Indian Band</w:t>
      </w:r>
      <w:r w:rsidRPr="00724402">
        <w:rPr>
          <w:lang w:val="en-US"/>
        </w:rPr>
        <w:t xml:space="preserve">, </w:t>
      </w:r>
      <w:r w:rsidRPr="00840C5D">
        <w:rPr>
          <w:lang w:val="en-US"/>
        </w:rPr>
        <w:t>[1995] 1 S.C.R. 3</w:t>
      </w:r>
      <w:r>
        <w:rPr>
          <w:lang w:val="en-US"/>
        </w:rPr>
        <w:t xml:space="preserve">; </w:t>
      </w:r>
      <w:r w:rsidRPr="00840C5D">
        <w:rPr>
          <w:i/>
          <w:lang w:val="en-US"/>
        </w:rPr>
        <w:t>Mazraani v. Industrial Alliance Insurance and Financial Services Inc.</w:t>
      </w:r>
      <w:r w:rsidRPr="00840C5D">
        <w:rPr>
          <w:lang w:val="en-US"/>
        </w:rPr>
        <w:t>, 2018 SCC 50</w:t>
      </w:r>
      <w:r w:rsidR="001A67D3">
        <w:rPr>
          <w:lang w:val="en-US"/>
        </w:rPr>
        <w:t xml:space="preserve">, </w:t>
      </w:r>
      <w:r w:rsidR="001A67D3">
        <w:t>[2018</w:t>
      </w:r>
      <w:r w:rsidR="001A67D3" w:rsidRPr="00840C5D">
        <w:t>]</w:t>
      </w:r>
      <w:r w:rsidR="001A67D3">
        <w:t xml:space="preserve"> 3 S.C.R. 261</w:t>
      </w:r>
      <w:r>
        <w:rPr>
          <w:lang w:val="en-US"/>
        </w:rPr>
        <w:t xml:space="preserve">; </w:t>
      </w:r>
      <w:r w:rsidRPr="00840C5D">
        <w:rPr>
          <w:i/>
          <w:iCs/>
          <w:lang w:val="en"/>
        </w:rPr>
        <w:t>Bell</w:t>
      </w:r>
      <w:r>
        <w:rPr>
          <w:i/>
          <w:iCs/>
          <w:lang w:val="en"/>
        </w:rPr>
        <w:t xml:space="preserve"> Express</w:t>
      </w:r>
      <w:r w:rsidRPr="00840C5D">
        <w:rPr>
          <w:i/>
          <w:iCs/>
          <w:lang w:val="en"/>
        </w:rPr>
        <w:t>Vu Limited Partnership v. Rex</w:t>
      </w:r>
      <w:r w:rsidRPr="00840C5D">
        <w:rPr>
          <w:lang w:val="en"/>
        </w:rPr>
        <w:t xml:space="preserve">, </w:t>
      </w:r>
      <w:r w:rsidRPr="00840C5D">
        <w:rPr>
          <w:rStyle w:val="reflex3-alt"/>
          <w:lang w:val="en"/>
        </w:rPr>
        <w:t>2002 SCC 42</w:t>
      </w:r>
      <w:r w:rsidRPr="00840C5D">
        <w:rPr>
          <w:rStyle w:val="reflex3-block"/>
          <w:lang w:val="en"/>
        </w:rPr>
        <w:t xml:space="preserve">, </w:t>
      </w:r>
      <w:r w:rsidRPr="00840C5D">
        <w:rPr>
          <w:rStyle w:val="reflex3-alt"/>
          <w:lang w:val="en"/>
        </w:rPr>
        <w:t>[2002] 2 S.C.R. 559</w:t>
      </w:r>
      <w:r>
        <w:rPr>
          <w:rStyle w:val="reflex3-alt"/>
          <w:lang w:val="en"/>
        </w:rPr>
        <w:t xml:space="preserve">; </w:t>
      </w:r>
      <w:r w:rsidRPr="00840C5D">
        <w:rPr>
          <w:i/>
          <w:lang w:val="en"/>
        </w:rPr>
        <w:t>Canada (Attorney General) v. Thouin</w:t>
      </w:r>
      <w:r w:rsidRPr="00840C5D">
        <w:rPr>
          <w:lang w:val="en"/>
        </w:rPr>
        <w:t>, 2</w:t>
      </w:r>
      <w:r>
        <w:rPr>
          <w:lang w:val="en"/>
        </w:rPr>
        <w:t>017 SCC 46, [2017] 2 S.C.R. 184</w:t>
      </w:r>
      <w:r w:rsidRPr="00840C5D">
        <w:rPr>
          <w:lang w:val="en"/>
        </w:rPr>
        <w:t xml:space="preserve">; </w:t>
      </w:r>
      <w:r w:rsidRPr="00840C5D">
        <w:rPr>
          <w:i/>
          <w:iCs/>
          <w:lang w:val="en"/>
        </w:rPr>
        <w:t>Canadian Broadcasting Corp. v. SODRAC 2003 Inc.</w:t>
      </w:r>
      <w:r w:rsidRPr="00840C5D">
        <w:rPr>
          <w:lang w:val="en"/>
        </w:rPr>
        <w:t>, 2</w:t>
      </w:r>
      <w:r>
        <w:rPr>
          <w:lang w:val="en"/>
        </w:rPr>
        <w:t>015 SCC 57, [2015] 3 S.C.R. 615</w:t>
      </w:r>
      <w:r w:rsidRPr="00840C5D">
        <w:rPr>
          <w:lang w:val="en"/>
        </w:rPr>
        <w:t xml:space="preserve">; </w:t>
      </w:r>
      <w:r w:rsidRPr="00840C5D">
        <w:rPr>
          <w:i/>
          <w:iCs/>
          <w:lang w:val="en"/>
        </w:rPr>
        <w:t>R. v. Steele</w:t>
      </w:r>
      <w:r w:rsidRPr="00840C5D">
        <w:rPr>
          <w:lang w:val="en"/>
        </w:rPr>
        <w:t xml:space="preserve">, </w:t>
      </w:r>
      <w:r w:rsidRPr="00840C5D">
        <w:rPr>
          <w:rStyle w:val="reflex3-alt"/>
          <w:lang w:val="en"/>
        </w:rPr>
        <w:t>2014 SCC 61</w:t>
      </w:r>
      <w:r w:rsidRPr="00840C5D">
        <w:rPr>
          <w:rStyle w:val="reflex3-block"/>
          <w:lang w:val="en"/>
        </w:rPr>
        <w:t xml:space="preserve">, </w:t>
      </w:r>
      <w:r w:rsidRPr="00840C5D">
        <w:rPr>
          <w:rStyle w:val="reflex3-alt"/>
          <w:lang w:val="en"/>
        </w:rPr>
        <w:t>[2014] 3 S.C.R. 138</w:t>
      </w:r>
      <w:r>
        <w:rPr>
          <w:rStyle w:val="reflex3-alt"/>
          <w:lang w:val="en"/>
        </w:rPr>
        <w:t xml:space="preserve">; </w:t>
      </w:r>
      <w:r w:rsidRPr="00840C5D">
        <w:rPr>
          <w:i/>
        </w:rPr>
        <w:t>Anderson v. Victoria (City)</w:t>
      </w:r>
      <w:r w:rsidRPr="00840C5D">
        <w:t>,</w:t>
      </w:r>
      <w:r w:rsidRPr="00840C5D">
        <w:rPr>
          <w:i/>
        </w:rPr>
        <w:t xml:space="preserve"> </w:t>
      </w:r>
      <w:r w:rsidRPr="00840C5D">
        <w:t>2002 BCSC 1466</w:t>
      </w:r>
      <w:r>
        <w:t xml:space="preserve">, 9 B.C.L.R. (4th) 75; </w:t>
      </w:r>
      <w:r w:rsidRPr="00840C5D">
        <w:rPr>
          <w:i/>
        </w:rPr>
        <w:t>Central Okanagan (Regional District) v. Ushko</w:t>
      </w:r>
      <w:r w:rsidRPr="00F53907">
        <w:t>,</w:t>
      </w:r>
      <w:r w:rsidRPr="00840C5D">
        <w:rPr>
          <w:i/>
        </w:rPr>
        <w:t xml:space="preserve"> </w:t>
      </w:r>
      <w:r w:rsidRPr="00840C5D">
        <w:t>[1998] B</w:t>
      </w:r>
      <w:r>
        <w:t>.</w:t>
      </w:r>
      <w:r w:rsidRPr="00840C5D">
        <w:t>C</w:t>
      </w:r>
      <w:r>
        <w:t>.</w:t>
      </w:r>
      <w:r w:rsidRPr="00840C5D">
        <w:t>J</w:t>
      </w:r>
      <w:r>
        <w:t>.</w:t>
      </w:r>
      <w:r w:rsidRPr="00840C5D">
        <w:t xml:space="preserve"> No. 2123</w:t>
      </w:r>
      <w:r w:rsidR="001F38F2">
        <w:t xml:space="preserve"> (QL)</w:t>
      </w:r>
      <w:r w:rsidRPr="00840C5D">
        <w:t xml:space="preserve">; </w:t>
      </w:r>
      <w:r w:rsidRPr="00840C5D">
        <w:rPr>
          <w:i/>
        </w:rPr>
        <w:t>Vancouver (City) v. Wiseberg</w:t>
      </w:r>
      <w:r>
        <w:t>, 2005 BCSC 1377</w:t>
      </w:r>
      <w:r w:rsidRPr="00F53907">
        <w:rPr>
          <w:lang w:val="en-US"/>
        </w:rPr>
        <w:t xml:space="preserve">; </w:t>
      </w:r>
      <w:r w:rsidRPr="00F53907">
        <w:rPr>
          <w:i/>
          <w:lang w:val="en-US"/>
        </w:rPr>
        <w:t>R. v. Ambrosi</w:t>
      </w:r>
      <w:r w:rsidRPr="00F53907">
        <w:rPr>
          <w:lang w:val="en-US"/>
        </w:rPr>
        <w:t>,</w:t>
      </w:r>
      <w:r w:rsidRPr="00F53907">
        <w:rPr>
          <w:i/>
          <w:lang w:val="en-US"/>
        </w:rPr>
        <w:t xml:space="preserve"> </w:t>
      </w:r>
      <w:r>
        <w:rPr>
          <w:lang w:val="en-US"/>
        </w:rPr>
        <w:t>2012 BCSC 409</w:t>
      </w:r>
      <w:r w:rsidRPr="00F53907">
        <w:rPr>
          <w:lang w:val="en-US"/>
        </w:rPr>
        <w:t xml:space="preserve">; </w:t>
      </w:r>
      <w:r w:rsidRPr="00F53907">
        <w:rPr>
          <w:i/>
          <w:lang w:val="en-US"/>
        </w:rPr>
        <w:t>R. v. 0721464 B.C.</w:t>
      </w:r>
      <w:r>
        <w:rPr>
          <w:i/>
          <w:lang w:val="en-US"/>
        </w:rPr>
        <w:t xml:space="preserve"> Ltd.</w:t>
      </w:r>
      <w:r w:rsidRPr="00F53907">
        <w:rPr>
          <w:lang w:val="en-US"/>
        </w:rPr>
        <w:t>,</w:t>
      </w:r>
      <w:r w:rsidRPr="00F53907">
        <w:rPr>
          <w:i/>
          <w:lang w:val="en-US"/>
        </w:rPr>
        <w:t xml:space="preserve"> </w:t>
      </w:r>
      <w:r>
        <w:rPr>
          <w:lang w:val="en-US"/>
        </w:rPr>
        <w:t xml:space="preserve">2011 BCPC 90; </w:t>
      </w:r>
      <w:r w:rsidRPr="00840C5D">
        <w:rPr>
          <w:i/>
        </w:rPr>
        <w:t xml:space="preserve">Samograd v. Collison </w:t>
      </w:r>
      <w:r w:rsidRPr="00840C5D">
        <w:t>(1995), 17 B.C.L.R. (3d) 51</w:t>
      </w:r>
      <w:r>
        <w:t xml:space="preserve">; </w:t>
      </w:r>
      <w:r w:rsidRPr="00B71F3A">
        <w:rPr>
          <w:i/>
        </w:rPr>
        <w:t xml:space="preserve">Application to Destroy the Dog </w:t>
      </w:r>
      <w:r w:rsidR="00A21CF5">
        <w:rPr>
          <w:i/>
        </w:rPr>
        <w:t>“</w:t>
      </w:r>
      <w:r w:rsidRPr="00B71F3A">
        <w:rPr>
          <w:i/>
        </w:rPr>
        <w:t>Tuppence</w:t>
      </w:r>
      <w:r w:rsidR="00A21CF5">
        <w:rPr>
          <w:i/>
        </w:rPr>
        <w:t>”</w:t>
      </w:r>
      <w:r w:rsidRPr="002A5524">
        <w:t>,</w:t>
      </w:r>
      <w:r w:rsidRPr="00B71F3A">
        <w:rPr>
          <w:i/>
        </w:rPr>
        <w:t xml:space="preserve"> </w:t>
      </w:r>
      <w:r w:rsidRPr="00B71F3A">
        <w:t>2004 BCPC 27</w:t>
      </w:r>
      <w:r>
        <w:t xml:space="preserve">; </w:t>
      </w:r>
      <w:r w:rsidRPr="00B71F3A">
        <w:rPr>
          <w:i/>
        </w:rPr>
        <w:t>Little v. Peers</w:t>
      </w:r>
      <w:r>
        <w:t xml:space="preserve"> (</w:t>
      </w:r>
      <w:r w:rsidRPr="00B71F3A">
        <w:t>1988</w:t>
      </w:r>
      <w:r>
        <w:t xml:space="preserve">), 22 B.C.L.R. (2d) 224; </w:t>
      </w:r>
      <w:r w:rsidRPr="00B71F3A">
        <w:rPr>
          <w:i/>
        </w:rPr>
        <w:t>R. v. Singh</w:t>
      </w:r>
      <w:r w:rsidRPr="00735768">
        <w:t xml:space="preserve">, </w:t>
      </w:r>
      <w:r w:rsidRPr="00B71F3A">
        <w:t>2001 BCCA 79</w:t>
      </w:r>
      <w:r>
        <w:t xml:space="preserve">, 149 B.C.A.C. 215; </w:t>
      </w:r>
      <w:r w:rsidRPr="00B71F3A">
        <w:rPr>
          <w:i/>
        </w:rPr>
        <w:t>Commissioner of Official Language</w:t>
      </w:r>
      <w:r>
        <w:rPr>
          <w:i/>
        </w:rPr>
        <w:t>s (Can.</w:t>
      </w:r>
      <w:r w:rsidRPr="00B71F3A">
        <w:rPr>
          <w:i/>
        </w:rPr>
        <w:t>) v. Canada (</w:t>
      </w:r>
      <w:r>
        <w:rPr>
          <w:i/>
        </w:rPr>
        <w:t>Minister</w:t>
      </w:r>
      <w:r w:rsidRPr="00B71F3A">
        <w:rPr>
          <w:i/>
        </w:rPr>
        <w:t xml:space="preserve"> of Justice)</w:t>
      </w:r>
      <w:r w:rsidRPr="003F396D">
        <w:t>,</w:t>
      </w:r>
      <w:r w:rsidRPr="00B71F3A">
        <w:rPr>
          <w:i/>
        </w:rPr>
        <w:t xml:space="preserve"> </w:t>
      </w:r>
      <w:r w:rsidRPr="00B71F3A">
        <w:t>2001 FCT 239</w:t>
      </w:r>
      <w:r>
        <w:t xml:space="preserve">, 194 F.T.R. 181; </w:t>
      </w:r>
      <w:r w:rsidRPr="00B71F3A">
        <w:rPr>
          <w:i/>
        </w:rPr>
        <w:t>R. v. Trow</w:t>
      </w:r>
      <w:r>
        <w:t xml:space="preserve"> (</w:t>
      </w:r>
      <w:r w:rsidRPr="00B71F3A">
        <w:t>1977</w:t>
      </w:r>
      <w:r>
        <w:t xml:space="preserve">), 5 B.C.L.R. 133; </w:t>
      </w:r>
      <w:r>
        <w:rPr>
          <w:rStyle w:val="Emphasis"/>
        </w:rPr>
        <w:t>R. v. M. (C.A.)</w:t>
      </w:r>
      <w:r w:rsidRPr="00B71F3A">
        <w:rPr>
          <w:rStyle w:val="reflex3-block"/>
        </w:rPr>
        <w:t xml:space="preserve">, </w:t>
      </w:r>
      <w:r w:rsidRPr="00B71F3A">
        <w:rPr>
          <w:rStyle w:val="reflex3-alt"/>
        </w:rPr>
        <w:t>[1996] 1 S.C.R. 500</w:t>
      </w:r>
      <w:r w:rsidRPr="00B71F3A">
        <w:rPr>
          <w:rStyle w:val="reflex3-block"/>
        </w:rPr>
        <w:t xml:space="preserve">; </w:t>
      </w:r>
      <w:r w:rsidRPr="00B71F3A">
        <w:rPr>
          <w:rStyle w:val="Emphasis"/>
        </w:rPr>
        <w:t>R. v. 974649 Ontario Inc.</w:t>
      </w:r>
      <w:r w:rsidRPr="00B71F3A">
        <w:t xml:space="preserve">, </w:t>
      </w:r>
      <w:r>
        <w:t xml:space="preserve">2001 SCC 81, </w:t>
      </w:r>
      <w:r w:rsidRPr="00B71F3A">
        <w:rPr>
          <w:rStyle w:val="reflex3-alt"/>
        </w:rPr>
        <w:t>[2001] 3 S.C.R. 575</w:t>
      </w:r>
      <w:r>
        <w:rPr>
          <w:rStyle w:val="reflex3-alt"/>
        </w:rPr>
        <w:t xml:space="preserve">; </w:t>
      </w:r>
      <w:r w:rsidRPr="00B71F3A">
        <w:rPr>
          <w:rStyle w:val="reflex3-alt"/>
          <w:i/>
        </w:rPr>
        <w:t>R. v. Curragh Inc.</w:t>
      </w:r>
      <w:r w:rsidRPr="007E2C11">
        <w:rPr>
          <w:rStyle w:val="reflex3-alt"/>
        </w:rPr>
        <w:t>,</w:t>
      </w:r>
      <w:r w:rsidRPr="00B71F3A">
        <w:rPr>
          <w:rStyle w:val="reflex3-alt"/>
          <w:i/>
        </w:rPr>
        <w:t xml:space="preserve"> </w:t>
      </w:r>
      <w:r w:rsidRPr="00B71F3A">
        <w:rPr>
          <w:rStyle w:val="reflex3-alt"/>
        </w:rPr>
        <w:t>[1997] 1 S.C.R. 537</w:t>
      </w:r>
      <w:r>
        <w:rPr>
          <w:rStyle w:val="reflex3-alt"/>
        </w:rPr>
        <w:t>.</w:t>
      </w:r>
    </w:p>
    <w:p w:rsidR="00C526E4" w:rsidRDefault="00C526E4" w:rsidP="00C526E4">
      <w:pPr>
        <w:pStyle w:val="SCCNormalDoubleSpacing"/>
        <w:spacing w:after="720" w:line="240" w:lineRule="auto"/>
      </w:pPr>
      <w:r w:rsidRPr="00314E01">
        <w:rPr>
          <w:b/>
        </w:rPr>
        <w:t>Statutes and Regulations Cite</w:t>
      </w:r>
      <w:r>
        <w:rPr>
          <w:b/>
        </w:rPr>
        <w:t>d</w:t>
      </w:r>
    </w:p>
    <w:p w:rsidR="00C526E4" w:rsidRDefault="00C526E4" w:rsidP="00C526E4">
      <w:pPr>
        <w:pStyle w:val="SCCNormalDoubleSpacing"/>
        <w:spacing w:after="240" w:line="240" w:lineRule="auto"/>
        <w:ind w:left="547" w:hanging="547"/>
      </w:pPr>
      <w:r w:rsidRPr="0076090E">
        <w:rPr>
          <w:i/>
        </w:rPr>
        <w:t>Act for consolidating in One Act certain Provisions usually contained in Acts for regulating the Police of</w:t>
      </w:r>
      <w:r w:rsidRPr="0076090E">
        <w:t xml:space="preserve"> </w:t>
      </w:r>
      <w:r w:rsidRPr="0076090E">
        <w:rPr>
          <w:i/>
        </w:rPr>
        <w:t>Towns</w:t>
      </w:r>
      <w:r>
        <w:t xml:space="preserve"> (U.K.), </w:t>
      </w:r>
      <w:r w:rsidR="006700C1">
        <w:t>18</w:t>
      </w:r>
      <w:r>
        <w:t>47, 10 &amp; 11 Vict., c. </w:t>
      </w:r>
      <w:r w:rsidRPr="0076090E">
        <w:t>89</w:t>
      </w:r>
      <w:r>
        <w:t>.</w:t>
      </w:r>
    </w:p>
    <w:p w:rsidR="00C526E4" w:rsidRDefault="00C526E4" w:rsidP="00C526E4">
      <w:pPr>
        <w:pStyle w:val="SCCNormalDoubleSpacing"/>
        <w:spacing w:after="240" w:line="240" w:lineRule="auto"/>
        <w:ind w:left="547" w:hanging="547"/>
      </w:pPr>
      <w:r w:rsidRPr="00C81675">
        <w:rPr>
          <w:i/>
        </w:rPr>
        <w:t xml:space="preserve">Act for further improving the Police in and near the Metropolis </w:t>
      </w:r>
      <w:r w:rsidRPr="00C81675">
        <w:t>(U.K.), 1839, 2 &amp; 3 Vict., c.</w:t>
      </w:r>
      <w:r>
        <w:t> </w:t>
      </w:r>
      <w:r w:rsidRPr="00C81675">
        <w:t>47.</w:t>
      </w:r>
    </w:p>
    <w:p w:rsidR="00C526E4" w:rsidRPr="00C81675" w:rsidRDefault="00C526E4" w:rsidP="00C526E4">
      <w:pPr>
        <w:pStyle w:val="SCCNormalDoubleSpacing"/>
        <w:spacing w:after="240" w:line="240" w:lineRule="auto"/>
        <w:ind w:left="547" w:hanging="547"/>
      </w:pPr>
      <w:r w:rsidRPr="00C81675">
        <w:rPr>
          <w:i/>
        </w:rPr>
        <w:t xml:space="preserve">Act for the Establishment of County </w:t>
      </w:r>
      <w:r>
        <w:rPr>
          <w:i/>
        </w:rPr>
        <w:t>and District Constables by the A</w:t>
      </w:r>
      <w:r w:rsidRPr="00C81675">
        <w:rPr>
          <w:i/>
        </w:rPr>
        <w:t>uthority of Justice</w:t>
      </w:r>
      <w:r w:rsidR="002639B7">
        <w:rPr>
          <w:i/>
        </w:rPr>
        <w:t>s</w:t>
      </w:r>
      <w:r w:rsidRPr="00C81675">
        <w:rPr>
          <w:i/>
        </w:rPr>
        <w:t xml:space="preserve"> of the Peace </w:t>
      </w:r>
      <w:r w:rsidRPr="00C81675">
        <w:t>(U.K.), 1839, 2 &amp; 3 Vict., c.</w:t>
      </w:r>
      <w:r>
        <w:t> </w:t>
      </w:r>
      <w:r w:rsidRPr="00C81675">
        <w:t>93.</w:t>
      </w:r>
    </w:p>
    <w:p w:rsidR="00D452FA" w:rsidRDefault="00D452FA" w:rsidP="00D452FA">
      <w:pPr>
        <w:pStyle w:val="SCCNormalDoubleSpacing"/>
        <w:spacing w:after="240" w:line="240" w:lineRule="auto"/>
        <w:ind w:left="547" w:hanging="547"/>
      </w:pPr>
      <w:r w:rsidRPr="00D452FA">
        <w:rPr>
          <w:i/>
          <w:lang w:val="en-US"/>
        </w:rPr>
        <w:t>Act respecting Summary Proceedings before Justices of Peace (Summary Convictions Act)</w:t>
      </w:r>
      <w:r w:rsidRPr="00D452FA">
        <w:rPr>
          <w:lang w:val="en-US"/>
        </w:rPr>
        <w:t>,</w:t>
      </w:r>
      <w:r w:rsidRPr="00D452FA">
        <w:rPr>
          <w:i/>
          <w:lang w:val="en-US"/>
        </w:rPr>
        <w:t xml:space="preserve"> </w:t>
      </w:r>
      <w:r w:rsidR="001F38F2">
        <w:rPr>
          <w:lang w:val="en-US"/>
        </w:rPr>
        <w:t>R.S.B.C. 1948</w:t>
      </w:r>
      <w:r w:rsidRPr="00D452FA">
        <w:rPr>
          <w:lang w:val="en-US"/>
        </w:rPr>
        <w:t>, c. 317</w:t>
      </w:r>
      <w:r>
        <w:rPr>
          <w:lang w:val="en-US"/>
        </w:rPr>
        <w:t xml:space="preserve">, </w:t>
      </w:r>
      <w:r>
        <w:t>s. 4(1).</w:t>
      </w:r>
    </w:p>
    <w:p w:rsidR="00C526E4" w:rsidRDefault="00C526E4" w:rsidP="00C526E4">
      <w:pPr>
        <w:pStyle w:val="SCCNormalDoubleSpacing"/>
        <w:spacing w:after="240" w:line="240" w:lineRule="auto"/>
        <w:ind w:left="540" w:hanging="540"/>
      </w:pPr>
      <w:r w:rsidRPr="00B71F3A">
        <w:rPr>
          <w:i/>
        </w:rPr>
        <w:t>Act respecting Summary Proceedings (Summary Convictions Act, 1955)</w:t>
      </w:r>
      <w:r w:rsidRPr="00D82807">
        <w:t>,</w:t>
      </w:r>
      <w:r w:rsidRPr="00B71F3A">
        <w:rPr>
          <w:i/>
        </w:rPr>
        <w:t xml:space="preserve"> </w:t>
      </w:r>
      <w:r>
        <w:t>S.B.C. 1955, c. 71, s. </w:t>
      </w:r>
      <w:r w:rsidRPr="00B71F3A">
        <w:t>102</w:t>
      </w:r>
      <w:r>
        <w:t>.</w:t>
      </w:r>
    </w:p>
    <w:p w:rsidR="00C526E4" w:rsidRPr="00D82807" w:rsidRDefault="00C526E4" w:rsidP="00C526E4">
      <w:pPr>
        <w:pStyle w:val="SCCNormalDoubleSpacing"/>
        <w:spacing w:after="240" w:line="240" w:lineRule="auto"/>
        <w:ind w:left="547" w:hanging="547"/>
        <w:rPr>
          <w:i/>
          <w:lang w:val="en-US"/>
        </w:rPr>
      </w:pPr>
      <w:r w:rsidRPr="00C81675">
        <w:rPr>
          <w:i/>
          <w:iCs/>
        </w:rPr>
        <w:t>Act that all Proceedings in</w:t>
      </w:r>
      <w:r>
        <w:rPr>
          <w:i/>
          <w:iCs/>
        </w:rPr>
        <w:t xml:space="preserve"> Courts of Justice within that P</w:t>
      </w:r>
      <w:r w:rsidRPr="00C81675">
        <w:rPr>
          <w:i/>
          <w:iCs/>
        </w:rPr>
        <w:t xml:space="preserve">art of Great Britain called England, and in the Court of Exchequer in Scotland, shall be in the English Language </w:t>
      </w:r>
      <w:r w:rsidRPr="00C81675">
        <w:rPr>
          <w:iCs/>
        </w:rPr>
        <w:t>(G.B.)</w:t>
      </w:r>
      <w:r w:rsidRPr="00C81675">
        <w:t>, 1731, 4 Geo. </w:t>
      </w:r>
      <w:r>
        <w:rPr>
          <w:lang w:val="en-US"/>
        </w:rPr>
        <w:t>II, c. </w:t>
      </w:r>
      <w:r w:rsidRPr="00D82807">
        <w:rPr>
          <w:lang w:val="en-US"/>
        </w:rPr>
        <w:t>26, preamble.</w:t>
      </w:r>
    </w:p>
    <w:p w:rsidR="00C526E4" w:rsidRPr="00C81675" w:rsidRDefault="00C526E4" w:rsidP="00C526E4">
      <w:pPr>
        <w:pStyle w:val="SCCNormalDoubleSpacing"/>
        <w:spacing w:after="240" w:line="240" w:lineRule="auto"/>
        <w:ind w:left="540" w:hanging="540"/>
      </w:pPr>
      <w:r w:rsidRPr="00C81675">
        <w:rPr>
          <w:i/>
        </w:rPr>
        <w:t xml:space="preserve">Act to amend the Act for the Establishment of County and District Constables </w:t>
      </w:r>
      <w:r w:rsidRPr="00C81675">
        <w:t>(U.K.), 1840</w:t>
      </w:r>
      <w:r>
        <w:t>, 3 &amp; 4 Vict</w:t>
      </w:r>
      <w:r w:rsidR="00924E61">
        <w:t>.</w:t>
      </w:r>
      <w:r>
        <w:t>, c. </w:t>
      </w:r>
      <w:r w:rsidRPr="00C81675">
        <w:t>88.</w:t>
      </w:r>
    </w:p>
    <w:p w:rsidR="00C526E4" w:rsidRPr="00CD7708" w:rsidRDefault="00C526E4" w:rsidP="00C526E4">
      <w:pPr>
        <w:pStyle w:val="SCCNormalDoubleSpacing"/>
        <w:spacing w:after="240" w:line="240" w:lineRule="auto"/>
        <w:ind w:left="540" w:hanging="540"/>
      </w:pPr>
      <w:r w:rsidRPr="00CD7708">
        <w:rPr>
          <w:i/>
        </w:rPr>
        <w:t xml:space="preserve">Act to amend the Acts relating to the Metropolitan Police </w:t>
      </w:r>
      <w:r w:rsidRPr="00CD7708">
        <w:t>(U.K.), 1856, 19 Vict., c. 2.</w:t>
      </w:r>
    </w:p>
    <w:p w:rsidR="00C526E4" w:rsidRPr="00CD7708" w:rsidRDefault="00C526E4" w:rsidP="00C526E4">
      <w:pPr>
        <w:pStyle w:val="SCCNormalDoubleSpacing"/>
        <w:spacing w:after="240" w:line="240" w:lineRule="auto"/>
        <w:ind w:left="540" w:hanging="540"/>
      </w:pPr>
      <w:r w:rsidRPr="00CD7708">
        <w:rPr>
          <w:i/>
        </w:rPr>
        <w:t xml:space="preserve">Act to provide for the Regulation of Municipal Corporations in England and Wales </w:t>
      </w:r>
      <w:r w:rsidRPr="00CD7708">
        <w:t>(U.K.), 1835, 5 &amp; 6 Will IV, c.</w:t>
      </w:r>
      <w:r>
        <w:t> </w:t>
      </w:r>
      <w:r w:rsidRPr="00CD7708">
        <w:t>76.</w:t>
      </w:r>
    </w:p>
    <w:p w:rsidR="00C526E4" w:rsidRDefault="00C526E4" w:rsidP="00C526E4">
      <w:pPr>
        <w:pStyle w:val="SCCNormalDoubleSpacing"/>
        <w:spacing w:after="240" w:line="240" w:lineRule="auto"/>
        <w:ind w:left="540" w:hanging="540"/>
      </w:pPr>
      <w:r w:rsidRPr="00CD7708">
        <w:rPr>
          <w:i/>
        </w:rPr>
        <w:t xml:space="preserve">Act to render more effectual the Police in Counties and Boroughs in England and Wales </w:t>
      </w:r>
      <w:r w:rsidRPr="00CD7708">
        <w:t>(U.K.), 1856, 19 &amp; 20 Vict., c.</w:t>
      </w:r>
      <w:r>
        <w:t> </w:t>
      </w:r>
      <w:r w:rsidRPr="00CD7708">
        <w:t>69.</w:t>
      </w:r>
    </w:p>
    <w:p w:rsidR="00C526E4" w:rsidRDefault="00C526E4" w:rsidP="00C526E4">
      <w:pPr>
        <w:pStyle w:val="SCCNormalDoubleSpacing"/>
        <w:spacing w:after="240" w:line="240" w:lineRule="auto"/>
        <w:ind w:left="540" w:hanging="540"/>
      </w:pPr>
      <w:r w:rsidRPr="00B71F3A">
        <w:rPr>
          <w:i/>
        </w:rPr>
        <w:t>Application of Provincial Laws Regulations</w:t>
      </w:r>
      <w:r w:rsidRPr="00163102">
        <w:t>,</w:t>
      </w:r>
      <w:r w:rsidRPr="00B71F3A">
        <w:rPr>
          <w:i/>
        </w:rPr>
        <w:t xml:space="preserve"> </w:t>
      </w:r>
      <w:r>
        <w:t>SOR/96</w:t>
      </w:r>
      <w:r>
        <w:noBreakHyphen/>
        <w:t>312, Part </w:t>
      </w:r>
      <w:r w:rsidRPr="00B71F3A">
        <w:t>VIII</w:t>
      </w:r>
      <w:r>
        <w:t>, s. 3.</w:t>
      </w:r>
    </w:p>
    <w:p w:rsidR="00C526E4" w:rsidRDefault="00C526E4" w:rsidP="00C526E4">
      <w:pPr>
        <w:pStyle w:val="SCCNormalDoubleSpacing"/>
        <w:spacing w:after="240" w:line="240" w:lineRule="auto"/>
        <w:ind w:left="540" w:hanging="540"/>
        <w:rPr>
          <w:szCs w:val="24"/>
          <w:lang w:val="en"/>
        </w:rPr>
      </w:pPr>
      <w:r>
        <w:rPr>
          <w:i/>
          <w:szCs w:val="24"/>
          <w:lang w:val="en"/>
        </w:rPr>
        <w:t>Armoured Vehicle and After</w:t>
      </w:r>
      <w:r>
        <w:rPr>
          <w:i/>
          <w:szCs w:val="24"/>
          <w:lang w:val="en"/>
        </w:rPr>
        <w:noBreakHyphen/>
      </w:r>
      <w:r w:rsidRPr="00840C5D">
        <w:rPr>
          <w:i/>
          <w:szCs w:val="24"/>
          <w:lang w:val="en"/>
        </w:rPr>
        <w:t>Market Compartment Control Act</w:t>
      </w:r>
      <w:r>
        <w:rPr>
          <w:szCs w:val="24"/>
          <w:lang w:val="en"/>
        </w:rPr>
        <w:t>, S.B.C. 2010, c. 8, s. </w:t>
      </w:r>
      <w:r w:rsidRPr="00840C5D">
        <w:rPr>
          <w:szCs w:val="24"/>
          <w:lang w:val="en"/>
        </w:rPr>
        <w:t>12(9)</w:t>
      </w:r>
      <w:r>
        <w:rPr>
          <w:szCs w:val="24"/>
          <w:lang w:val="en"/>
        </w:rPr>
        <w:t>.</w:t>
      </w:r>
    </w:p>
    <w:p w:rsidR="00C526E4" w:rsidRPr="00172531" w:rsidRDefault="00C526E4" w:rsidP="00C526E4">
      <w:pPr>
        <w:pStyle w:val="SCCNormalDoubleSpacing"/>
        <w:spacing w:after="240" w:line="240" w:lineRule="auto"/>
        <w:ind w:left="547" w:hanging="547"/>
        <w:rPr>
          <w:lang w:val="en-US"/>
        </w:rPr>
      </w:pPr>
      <w:r>
        <w:rPr>
          <w:i/>
          <w:lang w:val="en-US"/>
        </w:rPr>
        <w:t>Canadian Charter of Rights and Freedoms</w:t>
      </w:r>
      <w:r>
        <w:rPr>
          <w:lang w:val="en-US"/>
        </w:rPr>
        <w:t>.</w:t>
      </w:r>
    </w:p>
    <w:p w:rsidR="00C526E4" w:rsidRDefault="00C526E4" w:rsidP="00C526E4">
      <w:pPr>
        <w:pStyle w:val="SCCNormalDoubleSpacing"/>
        <w:spacing w:after="240" w:line="240" w:lineRule="auto"/>
        <w:ind w:left="540" w:hanging="540"/>
      </w:pPr>
      <w:r w:rsidRPr="00B71F3A">
        <w:rPr>
          <w:i/>
        </w:rPr>
        <w:t>Contr</w:t>
      </w:r>
      <w:r>
        <w:rPr>
          <w:i/>
        </w:rPr>
        <w:t>aventions Act</w:t>
      </w:r>
      <w:r>
        <w:t>, S.C. 1992, c. 47.</w:t>
      </w:r>
    </w:p>
    <w:p w:rsidR="00C526E4" w:rsidRPr="00705CAC" w:rsidRDefault="00C526E4" w:rsidP="00C526E4">
      <w:pPr>
        <w:pStyle w:val="SCCNormalDoubleSpacing"/>
        <w:spacing w:after="240" w:line="240" w:lineRule="auto"/>
        <w:ind w:left="540" w:hanging="540"/>
        <w:rPr>
          <w:lang w:val="en-US"/>
        </w:rPr>
      </w:pPr>
      <w:r w:rsidRPr="00705CAC">
        <w:rPr>
          <w:i/>
          <w:lang w:val="en-US"/>
        </w:rPr>
        <w:t>Criminal Code</w:t>
      </w:r>
      <w:r w:rsidRPr="00705CAC">
        <w:rPr>
          <w:lang w:val="en-US"/>
        </w:rPr>
        <w:t>, R.S.C. 1985, c. C</w:t>
      </w:r>
      <w:r w:rsidRPr="00705CAC">
        <w:rPr>
          <w:lang w:val="en-US"/>
        </w:rPr>
        <w:noBreakHyphen/>
        <w:t>46, ss. 450(2), 530, 810, 849(3).</w:t>
      </w:r>
    </w:p>
    <w:p w:rsidR="00C526E4" w:rsidRDefault="00C526E4" w:rsidP="00C526E4">
      <w:pPr>
        <w:pStyle w:val="SCCNormalDoubleSpacing"/>
        <w:spacing w:after="240" w:line="240" w:lineRule="auto"/>
        <w:ind w:left="540" w:hanging="540"/>
      </w:pPr>
      <w:r w:rsidRPr="00840C5D">
        <w:rPr>
          <w:i/>
        </w:rPr>
        <w:t>Freedom of Information and Protection of Privacy Act</w:t>
      </w:r>
      <w:r>
        <w:t>, R.S.B.C. 1996, c. 165, s. </w:t>
      </w:r>
      <w:r w:rsidRPr="00840C5D">
        <w:t>74(3)</w:t>
      </w:r>
      <w:r>
        <w:t>.</w:t>
      </w:r>
    </w:p>
    <w:p w:rsidR="00C526E4" w:rsidRPr="002A5524" w:rsidRDefault="00C526E4" w:rsidP="00C526E4">
      <w:pPr>
        <w:pStyle w:val="SCCNormalDoubleSpacing"/>
        <w:spacing w:after="240" w:line="240" w:lineRule="auto"/>
        <w:ind w:left="540" w:hanging="540"/>
        <w:rPr>
          <w:lang w:val="en-US"/>
        </w:rPr>
      </w:pPr>
      <w:r w:rsidRPr="00840C5D">
        <w:rPr>
          <w:i/>
        </w:rPr>
        <w:t>Interpretation Act</w:t>
      </w:r>
      <w:r w:rsidRPr="00A853B0">
        <w:t>,</w:t>
      </w:r>
      <w:r w:rsidRPr="00840C5D">
        <w:rPr>
          <w:i/>
          <w:szCs w:val="24"/>
        </w:rPr>
        <w:t xml:space="preserve"> </w:t>
      </w:r>
      <w:r>
        <w:t>R.S.B.C. 1996, c. </w:t>
      </w:r>
      <w:r w:rsidRPr="00840C5D">
        <w:t>238,</w:t>
      </w:r>
      <w:r w:rsidRPr="00840C5D">
        <w:rPr>
          <w:i/>
        </w:rPr>
        <w:t xml:space="preserve"> </w:t>
      </w:r>
      <w:r w:rsidRPr="00840C5D">
        <w:t>s</w:t>
      </w:r>
      <w:r>
        <w:t>s. </w:t>
      </w:r>
      <w:r w:rsidRPr="00840C5D">
        <w:t>1</w:t>
      </w:r>
      <w:r>
        <w:t xml:space="preserve"> “enactment”, 32, 44.</w:t>
      </w:r>
    </w:p>
    <w:p w:rsidR="00C526E4" w:rsidRDefault="00C526E4" w:rsidP="00C526E4">
      <w:pPr>
        <w:pStyle w:val="SCCNormalDoubleSpacing"/>
        <w:spacing w:after="240" w:line="240" w:lineRule="auto"/>
        <w:ind w:left="540" w:hanging="540"/>
        <w:rPr>
          <w:lang w:val="en-US"/>
        </w:rPr>
      </w:pPr>
      <w:r w:rsidRPr="00840C5D">
        <w:rPr>
          <w:i/>
          <w:lang w:val="en-US"/>
        </w:rPr>
        <w:t>Interpretation Act</w:t>
      </w:r>
      <w:r w:rsidRPr="00724402">
        <w:rPr>
          <w:lang w:val="en-US"/>
        </w:rPr>
        <w:t>,</w:t>
      </w:r>
      <w:r w:rsidRPr="00840C5D">
        <w:rPr>
          <w:i/>
          <w:lang w:val="en-US"/>
        </w:rPr>
        <w:t xml:space="preserve"> </w:t>
      </w:r>
      <w:r>
        <w:rPr>
          <w:lang w:val="en-US"/>
        </w:rPr>
        <w:t>R.S.C. 1985, c. I</w:t>
      </w:r>
      <w:r>
        <w:rPr>
          <w:lang w:val="en-US"/>
        </w:rPr>
        <w:noBreakHyphen/>
        <w:t>21, s. </w:t>
      </w:r>
      <w:r w:rsidRPr="00840C5D">
        <w:rPr>
          <w:lang w:val="en-US"/>
        </w:rPr>
        <w:t>11</w:t>
      </w:r>
      <w:r>
        <w:rPr>
          <w:lang w:val="en-US"/>
        </w:rPr>
        <w:t>.</w:t>
      </w:r>
    </w:p>
    <w:p w:rsidR="00C526E4" w:rsidRDefault="00C526E4" w:rsidP="00C526E4">
      <w:pPr>
        <w:spacing w:after="240"/>
      </w:pPr>
      <w:r w:rsidRPr="003A74FF">
        <w:rPr>
          <w:i/>
          <w:iCs/>
        </w:rPr>
        <w:t>Judicial Review Procedure Act</w:t>
      </w:r>
      <w:r w:rsidRPr="00B96F77">
        <w:rPr>
          <w:iCs/>
        </w:rPr>
        <w:t>,</w:t>
      </w:r>
      <w:r w:rsidRPr="003A74FF">
        <w:rPr>
          <w:i/>
          <w:iCs/>
        </w:rPr>
        <w:t xml:space="preserve"> </w:t>
      </w:r>
      <w:r>
        <w:t>R.S.B.C. 1996, c. 241, s. </w:t>
      </w:r>
      <w:r w:rsidRPr="003A74FF">
        <w:t>2(1)</w:t>
      </w:r>
      <w:r>
        <w:t>.</w:t>
      </w:r>
    </w:p>
    <w:p w:rsidR="00C526E4" w:rsidRDefault="00C526E4" w:rsidP="00C526E4">
      <w:pPr>
        <w:pStyle w:val="SCCNormalDoubleSpacing"/>
        <w:spacing w:after="240" w:line="240" w:lineRule="auto"/>
        <w:ind w:left="547" w:hanging="547"/>
      </w:pPr>
      <w:r w:rsidRPr="00B71F3A">
        <w:rPr>
          <w:i/>
        </w:rPr>
        <w:t>Justices of the Peace Act</w:t>
      </w:r>
      <w:r w:rsidR="009B7DF6">
        <w:rPr>
          <w:i/>
        </w:rPr>
        <w:t xml:space="preserve"> 1361</w:t>
      </w:r>
      <w:r w:rsidR="001E73C7">
        <w:t xml:space="preserve"> (Eng.</w:t>
      </w:r>
      <w:r w:rsidRPr="0032318D">
        <w:t xml:space="preserve">), 1361, </w:t>
      </w:r>
      <w:r w:rsidRPr="00B71F3A">
        <w:t>34 Edw</w:t>
      </w:r>
      <w:r>
        <w:t>. 3</w:t>
      </w:r>
      <w:r w:rsidRPr="00B71F3A">
        <w:t>, c</w:t>
      </w:r>
      <w:r>
        <w:t>. </w:t>
      </w:r>
      <w:r w:rsidRPr="00B71F3A">
        <w:t>1</w:t>
      </w:r>
      <w:r>
        <w:t>.</w:t>
      </w:r>
    </w:p>
    <w:p w:rsidR="00C526E4" w:rsidRDefault="00C526E4" w:rsidP="00C526E4">
      <w:pPr>
        <w:pStyle w:val="SCCNormalDoubleSpacing"/>
        <w:spacing w:after="240" w:line="240" w:lineRule="auto"/>
        <w:ind w:left="540" w:hanging="540"/>
        <w:rPr>
          <w:lang w:bidi="en-US"/>
        </w:rPr>
      </w:pPr>
      <w:r w:rsidRPr="00840C5D">
        <w:rPr>
          <w:i/>
          <w:lang w:bidi="en-US"/>
        </w:rPr>
        <w:t>Law and Equity Act</w:t>
      </w:r>
      <w:r w:rsidRPr="006E0A76">
        <w:rPr>
          <w:lang w:bidi="en-US"/>
        </w:rPr>
        <w:t>,</w:t>
      </w:r>
      <w:r w:rsidRPr="00840C5D">
        <w:rPr>
          <w:i/>
          <w:lang w:bidi="en-US"/>
        </w:rPr>
        <w:t xml:space="preserve"> </w:t>
      </w:r>
      <w:r>
        <w:rPr>
          <w:lang w:bidi="en-US"/>
        </w:rPr>
        <w:t>R.S.B.C. 1996, c. </w:t>
      </w:r>
      <w:r w:rsidRPr="00840C5D">
        <w:rPr>
          <w:lang w:bidi="en-US"/>
        </w:rPr>
        <w:t>253</w:t>
      </w:r>
      <w:r>
        <w:rPr>
          <w:lang w:bidi="en-US"/>
        </w:rPr>
        <w:t>, s. 2.</w:t>
      </w:r>
    </w:p>
    <w:p w:rsidR="00C526E4" w:rsidRDefault="00C526E4" w:rsidP="00C526E4">
      <w:pPr>
        <w:pStyle w:val="SCCNormalDoubleSpacing"/>
        <w:spacing w:after="240" w:line="240" w:lineRule="auto"/>
        <w:ind w:left="540" w:hanging="540"/>
        <w:rPr>
          <w:szCs w:val="24"/>
          <w:lang w:val="en"/>
        </w:rPr>
      </w:pPr>
      <w:r w:rsidRPr="00840C5D">
        <w:rPr>
          <w:i/>
          <w:szCs w:val="24"/>
          <w:lang w:val="en"/>
        </w:rPr>
        <w:t>Legal Profession Act</w:t>
      </w:r>
      <w:r>
        <w:rPr>
          <w:szCs w:val="24"/>
          <w:lang w:val="en"/>
        </w:rPr>
        <w:t>, S.B.C. 1998, c. </w:t>
      </w:r>
      <w:r w:rsidRPr="00840C5D">
        <w:rPr>
          <w:szCs w:val="24"/>
          <w:lang w:val="en"/>
        </w:rPr>
        <w:t>9, s. 85(4).</w:t>
      </w:r>
    </w:p>
    <w:p w:rsidR="00C526E4" w:rsidRPr="00FF75B7" w:rsidRDefault="00C526E4" w:rsidP="00C526E4">
      <w:pPr>
        <w:pStyle w:val="SCCNormalDoubleSpacing"/>
        <w:spacing w:after="240" w:line="240" w:lineRule="auto"/>
        <w:ind w:left="540" w:hanging="540"/>
        <w:rPr>
          <w:lang w:val="en-US"/>
        </w:rPr>
      </w:pPr>
      <w:r w:rsidRPr="00840C5D">
        <w:rPr>
          <w:i/>
        </w:rPr>
        <w:t>Motor Vehicle Act</w:t>
      </w:r>
      <w:r w:rsidRPr="00FF75B7">
        <w:t>,</w:t>
      </w:r>
      <w:r w:rsidRPr="00840C5D">
        <w:rPr>
          <w:i/>
        </w:rPr>
        <w:t xml:space="preserve"> </w:t>
      </w:r>
      <w:r w:rsidRPr="00840C5D">
        <w:t xml:space="preserve">R.S.B.C. </w:t>
      </w:r>
      <w:r>
        <w:t>1996, c. 318, s. 95(1).</w:t>
      </w:r>
    </w:p>
    <w:p w:rsidR="00C526E4" w:rsidRDefault="00C526E4" w:rsidP="00C526E4">
      <w:pPr>
        <w:pStyle w:val="SCCNormalDoubleSpacing"/>
        <w:spacing w:after="240" w:line="240" w:lineRule="auto"/>
        <w:ind w:left="547" w:hanging="547"/>
      </w:pPr>
      <w:r w:rsidRPr="00840C5D">
        <w:rPr>
          <w:i/>
        </w:rPr>
        <w:t>Offence Act</w:t>
      </w:r>
      <w:r>
        <w:t>, R.S.B.C. 1996, c. </w:t>
      </w:r>
      <w:r w:rsidRPr="00840C5D">
        <w:t>338,</w:t>
      </w:r>
      <w:r>
        <w:t xml:space="preserve"> ss. 1 “proceedings”, 2, 3(1), 5, 102, 109, 132(2)(a.4), 133.</w:t>
      </w:r>
    </w:p>
    <w:p w:rsidR="00C526E4" w:rsidRDefault="00C526E4" w:rsidP="00C526E4">
      <w:pPr>
        <w:pStyle w:val="SCCNormalDoubleSpacing"/>
        <w:spacing w:after="240" w:line="240" w:lineRule="auto"/>
        <w:ind w:left="540" w:hanging="540"/>
      </w:pPr>
      <w:r w:rsidRPr="00840C5D">
        <w:rPr>
          <w:i/>
        </w:rPr>
        <w:t>Summary Convictions Act</w:t>
      </w:r>
      <w:r w:rsidR="002639B7">
        <w:t>, R.S.B.C. 1960, c. 373, ss.</w:t>
      </w:r>
      <w:r>
        <w:t xml:space="preserve"> 101, 102.</w:t>
      </w:r>
    </w:p>
    <w:p w:rsidR="00C526E4" w:rsidRDefault="00C526E4" w:rsidP="00C526E4">
      <w:pPr>
        <w:pStyle w:val="SCCNormalDoubleSpacing"/>
        <w:spacing w:after="720" w:line="240" w:lineRule="auto"/>
        <w:ind w:left="547" w:hanging="547"/>
        <w:rPr>
          <w:szCs w:val="24"/>
          <w:lang w:val="en"/>
        </w:rPr>
      </w:pPr>
      <w:r w:rsidRPr="00840C5D">
        <w:rPr>
          <w:i/>
          <w:szCs w:val="24"/>
          <w:lang w:val="en"/>
        </w:rPr>
        <w:t>Voluntary Blood Donations Act</w:t>
      </w:r>
      <w:r>
        <w:rPr>
          <w:szCs w:val="24"/>
          <w:lang w:val="en"/>
        </w:rPr>
        <w:t>, S.B.C. 2018, c. 30, s. </w:t>
      </w:r>
      <w:r w:rsidRPr="00840C5D">
        <w:rPr>
          <w:szCs w:val="24"/>
          <w:lang w:val="en"/>
        </w:rPr>
        <w:t>21(1)</w:t>
      </w:r>
      <w:r>
        <w:rPr>
          <w:szCs w:val="24"/>
          <w:lang w:val="en"/>
        </w:rPr>
        <w:t>.</w:t>
      </w:r>
    </w:p>
    <w:p w:rsidR="00C526E4" w:rsidRDefault="00C526E4" w:rsidP="00C526E4">
      <w:pPr>
        <w:pStyle w:val="SCCNormalDoubleSpacing"/>
        <w:spacing w:after="720" w:line="240" w:lineRule="auto"/>
        <w:rPr>
          <w:b/>
        </w:rPr>
      </w:pPr>
      <w:r w:rsidRPr="00314E01">
        <w:rPr>
          <w:b/>
        </w:rPr>
        <w:t>Authors Cited</w:t>
      </w:r>
    </w:p>
    <w:p w:rsidR="00C526E4" w:rsidRDefault="00C526E4" w:rsidP="00C526E4">
      <w:pPr>
        <w:pStyle w:val="SCCNormalDoubleSpacing"/>
        <w:spacing w:after="240" w:line="240" w:lineRule="auto"/>
        <w:ind w:left="547" w:hanging="547"/>
      </w:pPr>
      <w:r w:rsidRPr="00567EA8">
        <w:rPr>
          <w:i/>
        </w:rPr>
        <w:t>Black’s Law Dictionary</w:t>
      </w:r>
      <w:r w:rsidRPr="00567EA8">
        <w:t>, 6th ed.</w:t>
      </w:r>
      <w:r>
        <w:t xml:space="preserve"> by Henry Campbell Black, St</w:t>
      </w:r>
      <w:r>
        <w:noBreakHyphen/>
        <w:t>Paul, Minn.: West Publishing Co.,</w:t>
      </w:r>
      <w:r w:rsidRPr="00567EA8">
        <w:t xml:space="preserve"> 1990</w:t>
      </w:r>
      <w:r>
        <w:t>.</w:t>
      </w:r>
    </w:p>
    <w:p w:rsidR="00C526E4" w:rsidRDefault="00C526E4" w:rsidP="00C526E4">
      <w:pPr>
        <w:pStyle w:val="SCCNormalDoubleSpacing"/>
        <w:spacing w:after="720" w:line="240" w:lineRule="auto"/>
        <w:ind w:left="547" w:hanging="547"/>
      </w:pPr>
      <w:r>
        <w:rPr>
          <w:lang w:val="en"/>
        </w:rPr>
        <w:t>British Columbia. </w:t>
      </w:r>
      <w:r w:rsidR="002639B7">
        <w:rPr>
          <w:lang w:val="en"/>
        </w:rPr>
        <w:t>Legislative Assembly.</w:t>
      </w:r>
      <w:r>
        <w:rPr>
          <w:lang w:val="en"/>
        </w:rPr>
        <w:t xml:space="preserve"> </w:t>
      </w:r>
      <w:r w:rsidR="002639B7" w:rsidRPr="002639B7">
        <w:rPr>
          <w:i/>
          <w:lang w:val="en"/>
        </w:rPr>
        <w:t>Official Report of</w:t>
      </w:r>
      <w:r w:rsidR="002639B7">
        <w:rPr>
          <w:lang w:val="en"/>
        </w:rPr>
        <w:t xml:space="preserve"> </w:t>
      </w:r>
      <w:r>
        <w:rPr>
          <w:i/>
          <w:iCs/>
          <w:lang w:val="en"/>
        </w:rPr>
        <w:t>Debates of the Legislative Assembly</w:t>
      </w:r>
      <w:r>
        <w:rPr>
          <w:lang w:val="en"/>
        </w:rPr>
        <w:t>, 2nd Sess., 29th Parl., March 10, 1971, p. 646</w:t>
      </w:r>
      <w:r>
        <w:t>.</w:t>
      </w:r>
    </w:p>
    <w:p w:rsidR="00C526E4" w:rsidRPr="000952EF" w:rsidRDefault="00C526E4" w:rsidP="00C526E4">
      <w:pPr>
        <w:pStyle w:val="SCCNormalDoubleSpacing"/>
        <w:spacing w:after="480"/>
      </w:pPr>
      <w:r>
        <w:tab/>
      </w:r>
      <w:r w:rsidRPr="001426A9">
        <w:t xml:space="preserve">APPEAL from a judgment of the </w:t>
      </w:r>
      <w:r>
        <w:t xml:space="preserve">British Columbia Court of Appeal (Saunders, Goepel and Fenlon JJ.A.), </w:t>
      </w:r>
      <w:r w:rsidRPr="000952EF">
        <w:t>2017 BCCA 264, 351 C.C.C. (3d) 448, [2017] B.C.J. No. 1358 (QL),</w:t>
      </w:r>
      <w:r>
        <w:t xml:space="preserve"> 2017 CarswellBC 1871 (WL Can</w:t>
      </w:r>
      <w:r w:rsidRPr="000A1C1B">
        <w:t xml:space="preserve">.), affirming a decision of Blok J., 2016 BCSC 2416, 372 C.R.R. (2d) 54, [2016] B.C.J. No. 2727 (QL), 2016 CarswellBC 3656 (WL Can.), </w:t>
      </w:r>
      <w:r>
        <w:rPr>
          <w:lang w:val="en"/>
        </w:rPr>
        <w:t>dismissing</w:t>
      </w:r>
      <w:r w:rsidRPr="000A1C1B">
        <w:rPr>
          <w:lang w:val="en"/>
        </w:rPr>
        <w:t xml:space="preserve"> an applicatio</w:t>
      </w:r>
      <w:r>
        <w:rPr>
          <w:lang w:val="en"/>
        </w:rPr>
        <w:t xml:space="preserve">n for </w:t>
      </w:r>
      <w:r>
        <w:rPr>
          <w:i/>
          <w:iCs/>
          <w:lang w:val="en"/>
        </w:rPr>
        <w:t xml:space="preserve">certiorari </w:t>
      </w:r>
      <w:r>
        <w:rPr>
          <w:lang w:val="en"/>
        </w:rPr>
        <w:t xml:space="preserve">against a decision </w:t>
      </w:r>
      <w:r>
        <w:t xml:space="preserve">of </w:t>
      </w:r>
      <w:r w:rsidRPr="00D010C4">
        <w:t>Gulbransen Prov. Ct. J.,</w:t>
      </w:r>
      <w:r w:rsidRPr="000952EF">
        <w:t xml:space="preserve"> 2015 BCPC 230, [2015] B.C.J. No. 1837 (QL), 2015 CarswellBC 2440</w:t>
      </w:r>
      <w:r>
        <w:t xml:space="preserve"> </w:t>
      </w:r>
      <w:r w:rsidRPr="000952EF">
        <w:t>(WL Can.).</w:t>
      </w:r>
      <w:r>
        <w:t xml:space="preserve"> Appeal allowed.</w:t>
      </w:r>
    </w:p>
    <w:p w:rsidR="00C526E4" w:rsidRPr="00B03203" w:rsidRDefault="00C526E4" w:rsidP="00C526E4">
      <w:pPr>
        <w:pStyle w:val="SCCNormalDoubleSpacing"/>
        <w:spacing w:after="480"/>
      </w:pPr>
      <w:r>
        <w:rPr>
          <w:rStyle w:val="SCCCounselNameChar"/>
        </w:rPr>
        <w:tab/>
        <w:t>Jennifer Klinck</w:t>
      </w:r>
      <w:r>
        <w:rPr>
          <w:rStyle w:val="SCCCounselSeparatorChar"/>
        </w:rPr>
        <w:t xml:space="preserve">, </w:t>
      </w:r>
      <w:r w:rsidRPr="00B03203">
        <w:rPr>
          <w:rStyle w:val="SCCCounselNameChar"/>
        </w:rPr>
        <w:t>Sara Scott</w:t>
      </w:r>
      <w:r w:rsidRPr="001F38F2">
        <w:rPr>
          <w:rStyle w:val="SCCCounselNameChar"/>
          <w:i w:val="0"/>
        </w:rPr>
        <w:t>,</w:t>
      </w:r>
      <w:r w:rsidRPr="0048538C">
        <w:rPr>
          <w:rStyle w:val="SCCCounselNameChar"/>
        </w:rPr>
        <w:t xml:space="preserve"> </w:t>
      </w:r>
      <w:r w:rsidRPr="00B03203">
        <w:rPr>
          <w:rStyle w:val="SCCCounselNameChar"/>
        </w:rPr>
        <w:t xml:space="preserve">Darius Bossé </w:t>
      </w:r>
      <w:r w:rsidRPr="00B03203">
        <w:rPr>
          <w:rStyle w:val="SCCCounselSeparatorChar"/>
        </w:rPr>
        <w:t xml:space="preserve">and </w:t>
      </w:r>
      <w:r w:rsidRPr="00B03203">
        <w:rPr>
          <w:rStyle w:val="SCCCounselNameChar"/>
        </w:rPr>
        <w:t>Casey Leggett</w:t>
      </w:r>
      <w:r w:rsidRPr="00B03203">
        <w:rPr>
          <w:rStyle w:val="SCCCounselPartyRoleChar"/>
        </w:rPr>
        <w:t>, for the appellant.</w:t>
      </w:r>
    </w:p>
    <w:p w:rsidR="00C526E4" w:rsidRDefault="00C526E4" w:rsidP="00C526E4">
      <w:pPr>
        <w:pStyle w:val="SCCNormalDoubleSpacing"/>
        <w:spacing w:after="480"/>
      </w:pPr>
      <w:r w:rsidRPr="00B03203">
        <w:rPr>
          <w:rStyle w:val="SCCCounselNameChar"/>
        </w:rPr>
        <w:tab/>
        <w:t xml:space="preserve">Rodney G. Garson </w:t>
      </w:r>
      <w:r w:rsidRPr="001F38F2">
        <w:rPr>
          <w:rStyle w:val="SCCCounselNameChar"/>
          <w:i w:val="0"/>
        </w:rPr>
        <w:t>and</w:t>
      </w:r>
      <w:r w:rsidRPr="00B03203">
        <w:rPr>
          <w:rStyle w:val="SCCCounselNameChar"/>
        </w:rPr>
        <w:t xml:space="preserve"> Rome Carot</w:t>
      </w:r>
      <w:r w:rsidRPr="00B03203">
        <w:rPr>
          <w:rStyle w:val="SCCCounselPartyRoleChar"/>
        </w:rPr>
        <w:t>, for the respondent</w:t>
      </w:r>
      <w:r>
        <w:rPr>
          <w:rStyle w:val="SCCCounselPartyRoleChar"/>
        </w:rPr>
        <w:t>.</w:t>
      </w:r>
    </w:p>
    <w:p w:rsidR="00C526E4" w:rsidRDefault="00C526E4" w:rsidP="00C526E4">
      <w:pPr>
        <w:pStyle w:val="SCCNormalDoubleSpacing"/>
        <w:spacing w:after="480"/>
      </w:pPr>
      <w:r>
        <w:rPr>
          <w:rStyle w:val="SCCCounselNameChar"/>
        </w:rPr>
        <w:tab/>
        <w:t>Isabelle Bousquet</w:t>
      </w:r>
      <w:r>
        <w:rPr>
          <w:rStyle w:val="SCCCounselSeparatorChar"/>
        </w:rPr>
        <w:t xml:space="preserve"> and </w:t>
      </w:r>
      <w:r>
        <w:rPr>
          <w:rStyle w:val="SCCCounselNameChar"/>
        </w:rPr>
        <w:t>Élie Ducharme</w:t>
      </w:r>
      <w:r>
        <w:rPr>
          <w:rStyle w:val="SCCCounselPartyRoleChar"/>
        </w:rPr>
        <w:t>, for the intervener the Commissioner of Official Languages of Canada.</w:t>
      </w:r>
    </w:p>
    <w:p w:rsidR="00C526E4" w:rsidRDefault="00C526E4" w:rsidP="00C526E4">
      <w:pPr>
        <w:pStyle w:val="SCCNormalDoubleSpacing"/>
        <w:spacing w:after="480"/>
        <w:rPr>
          <w:rStyle w:val="SCCCounselPartyRoleChar"/>
          <w:lang w:val="fr-CA"/>
        </w:rPr>
      </w:pPr>
      <w:r>
        <w:rPr>
          <w:rStyle w:val="SCCCounselNameChar"/>
        </w:rPr>
        <w:tab/>
      </w:r>
      <w:r w:rsidRPr="000952EF">
        <w:rPr>
          <w:rStyle w:val="SCCCounselNameChar"/>
          <w:lang w:val="fr-CA"/>
        </w:rPr>
        <w:t>Francis Lamer</w:t>
      </w:r>
      <w:r w:rsidRPr="000952EF">
        <w:rPr>
          <w:rStyle w:val="SCCCounselPartyRoleChar"/>
          <w:lang w:val="fr-CA"/>
        </w:rPr>
        <w:t>, for the intervener Fédération des associations de juristes d</w:t>
      </w:r>
      <w:r>
        <w:rPr>
          <w:rStyle w:val="SCCCounselPartyRoleChar"/>
          <w:lang w:val="fr-CA"/>
        </w:rPr>
        <w:t>’</w:t>
      </w:r>
      <w:r w:rsidRPr="000952EF">
        <w:rPr>
          <w:rStyle w:val="SCCCounselPartyRoleChar"/>
          <w:lang w:val="fr-CA"/>
        </w:rPr>
        <w:t>expressi</w:t>
      </w:r>
      <w:r>
        <w:rPr>
          <w:rStyle w:val="SCCCounselPartyRoleChar"/>
          <w:lang w:val="fr-CA"/>
        </w:rPr>
        <w:t>on française de common law inc.</w:t>
      </w:r>
    </w:p>
    <w:p w:rsidR="00C526E4" w:rsidRPr="001806B8" w:rsidRDefault="00C526E4" w:rsidP="00924E61">
      <w:pPr>
        <w:spacing w:after="720" w:line="480" w:lineRule="auto"/>
        <w:ind w:firstLine="1166"/>
      </w:pPr>
      <w:r w:rsidRPr="001806B8">
        <w:t>The judgment of the Court was delivered by</w:t>
      </w:r>
    </w:p>
    <w:p w:rsidR="00C526E4" w:rsidRPr="00A25AE2" w:rsidRDefault="00C526E4" w:rsidP="00C526E4">
      <w:pPr>
        <w:pStyle w:val="JudgeJuge"/>
      </w:pPr>
      <w:r w:rsidRPr="00A25AE2">
        <w:tab/>
        <w:t xml:space="preserve">Côté and Martin JJ.  — </w:t>
      </w:r>
    </w:p>
    <w:p w:rsidR="00C526E4" w:rsidRPr="00A25AE2" w:rsidRDefault="00C526E4" w:rsidP="00C526E4">
      <w:pPr>
        <w:pStyle w:val="Title1LevelTitre1Niveau-AltL"/>
        <w:rPr>
          <w:rFonts w:cs="Times New Roman"/>
        </w:rPr>
      </w:pPr>
      <w:r w:rsidRPr="00A25AE2">
        <w:rPr>
          <w:rFonts w:cs="Times New Roman"/>
        </w:rPr>
        <w:t>Overview</w:t>
      </w:r>
    </w:p>
    <w:p w:rsidR="00C526E4" w:rsidRPr="00A25AE2" w:rsidRDefault="00C526E4" w:rsidP="00C526E4">
      <w:pPr>
        <w:pStyle w:val="ParaNoNdepar-AltN"/>
        <w:rPr>
          <w:rFonts w:cs="Times New Roman"/>
        </w:rPr>
      </w:pPr>
      <w:r w:rsidRPr="00A25AE2">
        <w:rPr>
          <w:rFonts w:cs="Times New Roman"/>
        </w:rPr>
        <w:t xml:space="preserve">Mr. Bessette was charged with a provincial driving offence in British Columbia. Before the start of his trial in Provincial Court, he asked to be tried in French. Were he being prosecuted for a </w:t>
      </w:r>
      <w:r w:rsidRPr="00A25AE2">
        <w:rPr>
          <w:rFonts w:cs="Times New Roman"/>
          <w:i/>
        </w:rPr>
        <w:t>criminal</w:t>
      </w:r>
      <w:r w:rsidRPr="00A25AE2">
        <w:rPr>
          <w:rFonts w:cs="Times New Roman"/>
        </w:rPr>
        <w:t xml:space="preserve"> offence in the very same court, the </w:t>
      </w:r>
      <w:r w:rsidRPr="00A25AE2">
        <w:rPr>
          <w:rFonts w:cs="Times New Roman"/>
          <w:i/>
        </w:rPr>
        <w:t>Criminal Code</w:t>
      </w:r>
      <w:r w:rsidRPr="00A25AE2">
        <w:rPr>
          <w:rFonts w:cs="Times New Roman"/>
        </w:rPr>
        <w:t>, R.S.C. 1985, c. C-46,</w:t>
      </w:r>
      <w:r w:rsidRPr="00A25AE2">
        <w:rPr>
          <w:rFonts w:cs="Times New Roman"/>
          <w:i/>
        </w:rPr>
        <w:t xml:space="preserve"> </w:t>
      </w:r>
      <w:r w:rsidRPr="00A25AE2">
        <w:rPr>
          <w:rFonts w:cs="Times New Roman"/>
        </w:rPr>
        <w:t xml:space="preserve">would unquestionably have given him the option of being tried in English or French. This appeal asks whether the </w:t>
      </w:r>
      <w:r w:rsidRPr="00A25AE2">
        <w:rPr>
          <w:rFonts w:cs="Times New Roman"/>
          <w:i/>
        </w:rPr>
        <w:t xml:space="preserve">Criminal Code </w:t>
      </w:r>
      <w:r w:rsidRPr="00A25AE2">
        <w:rPr>
          <w:rFonts w:cs="Times New Roman"/>
        </w:rPr>
        <w:t xml:space="preserve">provision for trials in either official language of Canada extends to persons accused of certain provincial offences in British Columbia. </w:t>
      </w:r>
    </w:p>
    <w:p w:rsidR="00C526E4" w:rsidRPr="00A25AE2" w:rsidRDefault="00C526E4" w:rsidP="00C526E4">
      <w:pPr>
        <w:pStyle w:val="ParaNoNdepar-AltN"/>
        <w:spacing w:before="240"/>
        <w:rPr>
          <w:rFonts w:cs="Times New Roman"/>
        </w:rPr>
      </w:pPr>
      <w:r w:rsidRPr="00A25AE2">
        <w:rPr>
          <w:rFonts w:cs="Times New Roman"/>
        </w:rPr>
        <w:t xml:space="preserve">Based on a principled interpretation of the relevant statutory provisions, we conclude that accused persons in Mr. Bessette’s position are entitled to be tried in either official language. We are also of the view that this important question merited proper consideration at the outset of the trial. As such, the provincial court judge’s decision not to honour Mr. Bessette’s request for a trial in French was immediately reviewable by the superior court on a petition for </w:t>
      </w:r>
      <w:r w:rsidRPr="00A25AE2">
        <w:rPr>
          <w:rFonts w:cs="Times New Roman"/>
          <w:i/>
        </w:rPr>
        <w:t>certiorari</w:t>
      </w:r>
      <w:r w:rsidRPr="00A25AE2">
        <w:rPr>
          <w:rFonts w:cs="Times New Roman"/>
        </w:rPr>
        <w:t xml:space="preserve">. </w:t>
      </w:r>
    </w:p>
    <w:p w:rsidR="00C526E4" w:rsidRPr="00A25AE2" w:rsidRDefault="00C526E4" w:rsidP="00C526E4">
      <w:pPr>
        <w:pStyle w:val="ParaNoNdepar-AltN"/>
        <w:rPr>
          <w:rFonts w:cs="Times New Roman"/>
        </w:rPr>
      </w:pPr>
      <w:r w:rsidRPr="00A25AE2">
        <w:rPr>
          <w:rFonts w:cs="Times New Roman"/>
        </w:rPr>
        <w:t>W</w:t>
      </w:r>
      <w:r w:rsidRPr="00A25AE2">
        <w:rPr>
          <w:rFonts w:cs="Times New Roman"/>
          <w:bCs/>
        </w:rPr>
        <w:t>e would therefore allow the appeal, quash the order of the Provincial Court, and order that Mr. Bessette is entitled to be tried in French.</w:t>
      </w:r>
    </w:p>
    <w:p w:rsidR="00C526E4" w:rsidRPr="00A25AE2" w:rsidRDefault="00C526E4" w:rsidP="00C526E4">
      <w:pPr>
        <w:pStyle w:val="Title1LevelTitre1Niveau-AltL"/>
        <w:rPr>
          <w:rFonts w:cs="Times New Roman"/>
        </w:rPr>
      </w:pPr>
      <w:r w:rsidRPr="00A25AE2">
        <w:rPr>
          <w:rFonts w:cs="Times New Roman"/>
        </w:rPr>
        <w:t>Context</w:t>
      </w:r>
    </w:p>
    <w:p w:rsidR="00C526E4" w:rsidRPr="00A25AE2" w:rsidRDefault="00C526E4" w:rsidP="00C526E4">
      <w:pPr>
        <w:pStyle w:val="Title2LevelTitre2Niveau"/>
        <w:rPr>
          <w:rFonts w:cs="Times New Roman"/>
        </w:rPr>
      </w:pPr>
      <w:r w:rsidRPr="00A25AE2">
        <w:rPr>
          <w:rFonts w:cs="Times New Roman"/>
        </w:rPr>
        <w:t>Facts</w:t>
      </w:r>
    </w:p>
    <w:p w:rsidR="00C526E4" w:rsidRPr="00A25AE2" w:rsidRDefault="00C526E4" w:rsidP="00C526E4">
      <w:pPr>
        <w:pStyle w:val="ParaNoNdepar-AltN"/>
        <w:rPr>
          <w:rFonts w:cs="Times New Roman"/>
        </w:rPr>
      </w:pPr>
      <w:r w:rsidRPr="00A25AE2">
        <w:rPr>
          <w:rFonts w:cs="Times New Roman"/>
        </w:rPr>
        <w:t xml:space="preserve">The appellant, Mr. Bessette, was charged with “driving while prohibited”, an offence under s. 95(1) of British Columbia’s </w:t>
      </w:r>
      <w:r w:rsidRPr="00A25AE2">
        <w:rPr>
          <w:rFonts w:cs="Times New Roman"/>
          <w:i/>
        </w:rPr>
        <w:t>Motor Vehicle Act</w:t>
      </w:r>
      <w:r w:rsidRPr="00A25AE2">
        <w:rPr>
          <w:rFonts w:cs="Times New Roman"/>
        </w:rPr>
        <w:t>,</w:t>
      </w:r>
      <w:r w:rsidRPr="00A25AE2">
        <w:rPr>
          <w:rFonts w:cs="Times New Roman"/>
          <w:i/>
        </w:rPr>
        <w:t xml:space="preserve"> </w:t>
      </w:r>
      <w:r w:rsidRPr="00A25AE2">
        <w:rPr>
          <w:rFonts w:cs="Times New Roman"/>
        </w:rPr>
        <w:t xml:space="preserve">R.S.B.C. 1996, c. 318. </w:t>
      </w:r>
    </w:p>
    <w:p w:rsidR="00C526E4" w:rsidRPr="00A25AE2" w:rsidRDefault="00C526E4" w:rsidP="00C526E4">
      <w:pPr>
        <w:pStyle w:val="ParaNoNdepar-AltN"/>
        <w:rPr>
          <w:rFonts w:cs="Times New Roman"/>
        </w:rPr>
      </w:pPr>
      <w:r w:rsidRPr="00A25AE2">
        <w:rPr>
          <w:rFonts w:cs="Times New Roman"/>
        </w:rPr>
        <w:t xml:space="preserve">Prior to the anticipated start of his trial in Provincial Court, Mr. Bessette made an application to be tried in French, relying on s. 530 of the </w:t>
      </w:r>
      <w:r w:rsidRPr="00A25AE2">
        <w:rPr>
          <w:rFonts w:cs="Times New Roman"/>
          <w:i/>
        </w:rPr>
        <w:t>Criminal Code</w:t>
      </w:r>
      <w:r w:rsidRPr="00A25AE2">
        <w:rPr>
          <w:rFonts w:cs="Times New Roman"/>
          <w:bCs/>
          <w:lang w:val="en-US"/>
        </w:rPr>
        <w:t>. That provision</w:t>
      </w:r>
      <w:r w:rsidRPr="00A25AE2">
        <w:rPr>
          <w:rFonts w:cs="Times New Roman"/>
        </w:rPr>
        <w:t xml:space="preserve"> grants an accused the right to be tried by a provincial court judge who speaks the accused’s official language. Mr. Bessette argued that s. 530 applies to his prosecution because the </w:t>
      </w:r>
      <w:r w:rsidRPr="00A25AE2">
        <w:rPr>
          <w:rFonts w:cs="Times New Roman"/>
          <w:i/>
        </w:rPr>
        <w:t xml:space="preserve">Motor Vehicle Act </w:t>
      </w:r>
      <w:r w:rsidRPr="00A25AE2">
        <w:rPr>
          <w:rFonts w:cs="Times New Roman"/>
        </w:rPr>
        <w:t xml:space="preserve">and British Columbia’s </w:t>
      </w:r>
      <w:r w:rsidRPr="00A25AE2">
        <w:rPr>
          <w:rFonts w:cs="Times New Roman"/>
          <w:i/>
        </w:rPr>
        <w:t>Offence Act</w:t>
      </w:r>
      <w:r w:rsidRPr="00A25AE2">
        <w:rPr>
          <w:rFonts w:cs="Times New Roman"/>
        </w:rPr>
        <w:t xml:space="preserve">, R.S.B.C. 1996, c. 338, are silent as to the language of trials. Meanwhile, s. 133 of the </w:t>
      </w:r>
      <w:r w:rsidRPr="00A25AE2">
        <w:rPr>
          <w:rFonts w:cs="Times New Roman"/>
          <w:i/>
        </w:rPr>
        <w:t xml:space="preserve">Offence Act </w:t>
      </w:r>
      <w:r w:rsidRPr="00A25AE2">
        <w:rPr>
          <w:rFonts w:cs="Times New Roman"/>
        </w:rPr>
        <w:t xml:space="preserve">dictates that gaps in that Act are to be filled with the provisions of the </w:t>
      </w:r>
      <w:r w:rsidRPr="00A25AE2">
        <w:rPr>
          <w:rFonts w:cs="Times New Roman"/>
          <w:i/>
          <w:iCs/>
        </w:rPr>
        <w:t xml:space="preserve">Criminal Code </w:t>
      </w:r>
      <w:r w:rsidRPr="00A25AE2">
        <w:rPr>
          <w:rFonts w:cs="Times New Roman"/>
        </w:rPr>
        <w:t xml:space="preserve">relating to offences punishable on summary conviction. Section 530 is one such provision of the </w:t>
      </w:r>
      <w:r w:rsidRPr="00A25AE2">
        <w:rPr>
          <w:rFonts w:cs="Times New Roman"/>
          <w:i/>
        </w:rPr>
        <w:t>Criminal Code</w:t>
      </w:r>
      <w:r w:rsidRPr="00A25AE2">
        <w:rPr>
          <w:rFonts w:cs="Times New Roman"/>
        </w:rPr>
        <w:t xml:space="preserve">. </w:t>
      </w:r>
    </w:p>
    <w:p w:rsidR="00C526E4" w:rsidRPr="00A25AE2" w:rsidRDefault="00C526E4" w:rsidP="00C526E4">
      <w:pPr>
        <w:pStyle w:val="ParaNoNdepar-AltN"/>
        <w:rPr>
          <w:rFonts w:cs="Times New Roman"/>
        </w:rPr>
      </w:pPr>
      <w:r w:rsidRPr="00A25AE2">
        <w:rPr>
          <w:rFonts w:cs="Times New Roman"/>
        </w:rPr>
        <w:t xml:space="preserve">The Crown contested Mr. Bessette’s application, arguing that English is the language of provincial offence prosecutions according to </w:t>
      </w:r>
      <w:r w:rsidRPr="00A25AE2">
        <w:rPr>
          <w:rFonts w:cs="Times New Roman"/>
          <w:i/>
          <w:iCs/>
        </w:rPr>
        <w:t xml:space="preserve">An Act that all Proceedings in Courts of Justice within that Part of Great Britain called England, and in the Court of Exchequer in Scotland, shall be in the English Language </w:t>
      </w:r>
      <w:r w:rsidRPr="00A25AE2">
        <w:rPr>
          <w:rFonts w:cs="Times New Roman"/>
          <w:iCs/>
        </w:rPr>
        <w:t>(G.B.)</w:t>
      </w:r>
      <w:r w:rsidRPr="00A25AE2">
        <w:rPr>
          <w:rFonts w:cs="Times New Roman"/>
        </w:rPr>
        <w:t>, 1731, 4 Geo. II, c. 26 (“</w:t>
      </w:r>
      <w:r w:rsidRPr="00A25AE2">
        <w:rPr>
          <w:rFonts w:cs="Times New Roman"/>
          <w:i/>
          <w:iCs/>
        </w:rPr>
        <w:t>1731 Act</w:t>
      </w:r>
      <w:r w:rsidRPr="00A25AE2">
        <w:rPr>
          <w:rFonts w:cs="Times New Roman"/>
        </w:rPr>
        <w:t>”). This English statute</w:t>
      </w:r>
      <w:r w:rsidRPr="00A25AE2">
        <w:rPr>
          <w:rFonts w:cs="Times New Roman"/>
          <w:lang w:bidi="en-US"/>
        </w:rPr>
        <w:t xml:space="preserve"> forms part of British Columbia law by virtue of s. 2 of the </w:t>
      </w:r>
      <w:r w:rsidRPr="00A25AE2">
        <w:rPr>
          <w:rFonts w:cs="Times New Roman"/>
          <w:i/>
          <w:lang w:bidi="en-US"/>
        </w:rPr>
        <w:t>Law and Equity Act</w:t>
      </w:r>
      <w:r w:rsidRPr="00A25AE2">
        <w:rPr>
          <w:rFonts w:cs="Times New Roman"/>
          <w:lang w:bidi="en-US"/>
        </w:rPr>
        <w:t>,</w:t>
      </w:r>
      <w:r w:rsidRPr="00A25AE2">
        <w:rPr>
          <w:rFonts w:cs="Times New Roman"/>
          <w:i/>
          <w:lang w:bidi="en-US"/>
        </w:rPr>
        <w:t xml:space="preserve"> </w:t>
      </w:r>
      <w:r w:rsidRPr="00A25AE2">
        <w:rPr>
          <w:rFonts w:cs="Times New Roman"/>
          <w:lang w:bidi="en-US"/>
        </w:rPr>
        <w:t>R.S.B.C. 1996, c. 253 (</w:t>
      </w:r>
      <w:r w:rsidRPr="00A25AE2">
        <w:rPr>
          <w:rFonts w:cs="Times New Roman"/>
          <w:i/>
          <w:lang w:bidi="en-US"/>
        </w:rPr>
        <w:t>Conseil scolaire francophone de la Colombie</w:t>
      </w:r>
      <w:r w:rsidRPr="00A25AE2">
        <w:rPr>
          <w:rFonts w:cs="Times New Roman"/>
          <w:i/>
          <w:lang w:bidi="en-US"/>
        </w:rPr>
        <w:noBreakHyphen/>
        <w:t>Britannique</w:t>
      </w:r>
      <w:r w:rsidRPr="00A25AE2">
        <w:rPr>
          <w:rFonts w:cs="Times New Roman"/>
          <w:i/>
          <w:iCs/>
          <w:lang w:bidi="en-US"/>
        </w:rPr>
        <w:t xml:space="preserve"> v.</w:t>
      </w:r>
      <w:r w:rsidRPr="00A25AE2">
        <w:rPr>
          <w:rFonts w:cs="Times New Roman"/>
          <w:i/>
          <w:lang w:bidi="en-US"/>
        </w:rPr>
        <w:t xml:space="preserve"> British Columbia</w:t>
      </w:r>
      <w:r w:rsidRPr="00A25AE2">
        <w:rPr>
          <w:rFonts w:cs="Times New Roman"/>
          <w:lang w:bidi="en-US"/>
        </w:rPr>
        <w:t>,</w:t>
      </w:r>
      <w:r w:rsidRPr="00A25AE2">
        <w:rPr>
          <w:rFonts w:cs="Times New Roman"/>
          <w:bCs/>
          <w:lang w:bidi="en-US"/>
        </w:rPr>
        <w:t xml:space="preserve"> </w:t>
      </w:r>
      <w:r w:rsidRPr="00A25AE2">
        <w:rPr>
          <w:rFonts w:cs="Times New Roman"/>
          <w:lang w:bidi="en-US"/>
        </w:rPr>
        <w:t>2013 SCC 42, [2013] 2 S.C.R. 774, at para. 41; see also paras. 14-17)</w:t>
      </w:r>
      <w:r w:rsidRPr="00A25AE2">
        <w:rPr>
          <w:rFonts w:cs="Times New Roman"/>
          <w:i/>
          <w:lang w:bidi="en-US"/>
        </w:rPr>
        <w:t xml:space="preserve">. </w:t>
      </w:r>
      <w:r w:rsidRPr="00A25AE2">
        <w:rPr>
          <w:rFonts w:cs="Times New Roman"/>
          <w:lang w:bidi="en-US"/>
        </w:rPr>
        <w:t xml:space="preserve">As its full title says, the </w:t>
      </w:r>
      <w:r w:rsidRPr="00A25AE2">
        <w:rPr>
          <w:rFonts w:cs="Times New Roman"/>
          <w:i/>
          <w:lang w:bidi="en-US"/>
        </w:rPr>
        <w:t xml:space="preserve">1731 Act </w:t>
      </w:r>
      <w:r w:rsidRPr="00A25AE2">
        <w:rPr>
          <w:rFonts w:cs="Times New Roman"/>
          <w:lang w:bidi="en-US"/>
        </w:rPr>
        <w:t>directs that proceedings in British Columbia courts be conducted in English.</w:t>
      </w:r>
    </w:p>
    <w:p w:rsidR="00C526E4" w:rsidRPr="00A25AE2" w:rsidRDefault="00C526E4" w:rsidP="00C526E4">
      <w:pPr>
        <w:pStyle w:val="ParaNoNdepar-AltN"/>
        <w:rPr>
          <w:rFonts w:cs="Times New Roman"/>
        </w:rPr>
      </w:pPr>
      <w:r w:rsidRPr="00A25AE2">
        <w:rPr>
          <w:rFonts w:cs="Times New Roman"/>
          <w:lang w:bidi="en-US"/>
        </w:rPr>
        <w:t xml:space="preserve">The </w:t>
      </w:r>
      <w:r w:rsidRPr="00A25AE2">
        <w:rPr>
          <w:rFonts w:cs="Times New Roman"/>
          <w:bCs/>
          <w:lang w:val="en-US"/>
        </w:rPr>
        <w:t xml:space="preserve">provincial court </w:t>
      </w:r>
      <w:r w:rsidRPr="00A25AE2">
        <w:rPr>
          <w:rFonts w:cs="Times New Roman"/>
          <w:lang w:bidi="en-US"/>
        </w:rPr>
        <w:t xml:space="preserve">judge accepted the Crown’s argument and dismissed Mr. Bessette’s application, holding that </w:t>
      </w:r>
      <w:r w:rsidRPr="00A25AE2">
        <w:rPr>
          <w:rFonts w:cs="Times New Roman"/>
          <w:bCs/>
          <w:lang w:val="en-US"/>
        </w:rPr>
        <w:t>British Columbia law does not provide for French-language trials of provincial offences.</w:t>
      </w:r>
    </w:p>
    <w:p w:rsidR="00C526E4" w:rsidRPr="00A25AE2" w:rsidRDefault="00C526E4" w:rsidP="00C526E4">
      <w:pPr>
        <w:pStyle w:val="ParaNoNdepar-AltN"/>
        <w:rPr>
          <w:rFonts w:cs="Times New Roman"/>
        </w:rPr>
      </w:pPr>
      <w:r w:rsidRPr="00A25AE2">
        <w:rPr>
          <w:rFonts w:cs="Times New Roman"/>
          <w:lang w:bidi="en-US"/>
        </w:rPr>
        <w:t xml:space="preserve">Instead of proceeding to trial in English, Mr. Bessette brought a petition in the Supreme Court of British Columbia (i.e., British Columbia’s superior court) for judicial review of the provincial court judge’s decision. </w:t>
      </w:r>
      <w:r w:rsidRPr="00A25AE2">
        <w:rPr>
          <w:rFonts w:cs="Times New Roman"/>
        </w:rPr>
        <w:t xml:space="preserve">(In British Columbia, an application for judicial review takes the form of a petition: </w:t>
      </w:r>
      <w:r w:rsidRPr="00A25AE2">
        <w:rPr>
          <w:rFonts w:cs="Times New Roman"/>
          <w:i/>
          <w:iCs/>
        </w:rPr>
        <w:t>Judicial Review Procedure Act</w:t>
      </w:r>
      <w:r w:rsidRPr="002639B7">
        <w:rPr>
          <w:rFonts w:cs="Times New Roman"/>
          <w:iCs/>
        </w:rPr>
        <w:t>,</w:t>
      </w:r>
      <w:r w:rsidRPr="00A25AE2">
        <w:rPr>
          <w:rFonts w:cs="Times New Roman"/>
          <w:i/>
          <w:iCs/>
        </w:rPr>
        <w:t xml:space="preserve"> </w:t>
      </w:r>
      <w:r w:rsidRPr="00A25AE2">
        <w:rPr>
          <w:rFonts w:cs="Times New Roman"/>
        </w:rPr>
        <w:t>R.S.B.C. 1996, c. 241, s. 2(1)</w:t>
      </w:r>
      <w:r w:rsidR="001F38F2">
        <w:rPr>
          <w:rFonts w:cs="Times New Roman"/>
        </w:rPr>
        <w:t xml:space="preserve">.) </w:t>
      </w:r>
      <w:r w:rsidRPr="00A25AE2">
        <w:rPr>
          <w:rFonts w:cs="Times New Roman"/>
          <w:lang w:bidi="en-US"/>
        </w:rPr>
        <w:t xml:space="preserve">He asked the superior court judge to quash the provincial court judge’s ruling and order that his trial be conducted in French. </w:t>
      </w:r>
    </w:p>
    <w:p w:rsidR="00C526E4" w:rsidRPr="00A25AE2" w:rsidRDefault="00C526E4" w:rsidP="00C526E4">
      <w:pPr>
        <w:pStyle w:val="ParaNoNdepar-AltN"/>
        <w:rPr>
          <w:rFonts w:cs="Times New Roman"/>
        </w:rPr>
      </w:pPr>
      <w:r w:rsidRPr="00A25AE2">
        <w:rPr>
          <w:rFonts w:cs="Times New Roman"/>
          <w:lang w:bidi="en-US"/>
        </w:rPr>
        <w:t>A judge of the Supreme Court of British Columbia dismissed Mr. Bessette’s petition on the grounds that there were no exceptional circumstances warranting departure from the general rule against pre- or mid-trial intervention by superior courts in criminal or quasi-criminal matters.</w:t>
      </w:r>
      <w:r w:rsidRPr="00A25AE2">
        <w:rPr>
          <w:rFonts w:cs="Times New Roman"/>
        </w:rPr>
        <w:t xml:space="preserve"> In essence, the court held that his petition was </w:t>
      </w:r>
      <w:r w:rsidRPr="00A25AE2">
        <w:rPr>
          <w:rFonts w:cs="Times New Roman"/>
          <w:lang w:bidi="en-US"/>
        </w:rPr>
        <w:t xml:space="preserve">premature and that he should instead wait to challenge the language of his trial through an appeal of the trial decision if he was ultimately convicted. </w:t>
      </w:r>
    </w:p>
    <w:p w:rsidR="00C526E4" w:rsidRPr="00A25AE2" w:rsidRDefault="00C526E4" w:rsidP="00C526E4">
      <w:pPr>
        <w:pStyle w:val="ParaNoNdepar-AltN"/>
        <w:rPr>
          <w:rFonts w:cs="Times New Roman"/>
        </w:rPr>
      </w:pPr>
      <w:r w:rsidRPr="00A25AE2">
        <w:rPr>
          <w:rFonts w:cs="Times New Roman"/>
          <w:lang w:bidi="en-US"/>
        </w:rPr>
        <w:t>Mr. Bessette appealed. The Court of Appeal for British Columbia held that the superior court judge’s decision was entitled</w:t>
      </w:r>
      <w:r>
        <w:rPr>
          <w:rFonts w:cs="Times New Roman"/>
          <w:lang w:bidi="en-US"/>
        </w:rPr>
        <w:t xml:space="preserve"> to deference and dismissed Mr. </w:t>
      </w:r>
      <w:r w:rsidRPr="00A25AE2">
        <w:rPr>
          <w:rFonts w:cs="Times New Roman"/>
          <w:lang w:bidi="en-US"/>
        </w:rPr>
        <w:t xml:space="preserve">Bessette’s appeal. </w:t>
      </w:r>
    </w:p>
    <w:p w:rsidR="00C526E4" w:rsidRPr="00A25AE2" w:rsidRDefault="00C526E4" w:rsidP="00C526E4">
      <w:pPr>
        <w:pStyle w:val="ParaNoNdepar-AltN"/>
        <w:rPr>
          <w:rFonts w:cs="Times New Roman"/>
        </w:rPr>
      </w:pPr>
      <w:r w:rsidRPr="00A25AE2">
        <w:rPr>
          <w:rFonts w:cs="Times New Roman"/>
          <w:lang w:bidi="en-US"/>
        </w:rPr>
        <w:t>T</w:t>
      </w:r>
      <w:r w:rsidRPr="00A25AE2">
        <w:rPr>
          <w:rFonts w:cs="Times New Roman"/>
          <w:bCs/>
          <w:lang w:val="en-US"/>
        </w:rPr>
        <w:t xml:space="preserve">he Supreme Court of British Columbia and the Court of Appeal for British Columbia therefore did not consider it necessary or appropriate to decide the substantive question of whether a person accused of a provincial offence in British Columbia has the right to be tried in French. They disposed of the case on the basis that the provincial court judge’s decision (that British Columbia law does not provide for French-language trials of provincial offences) was not the type of decision which should be reviewed by a superior court on an interlocutory basis. </w:t>
      </w:r>
    </w:p>
    <w:p w:rsidR="00C526E4" w:rsidRPr="00A25AE2" w:rsidRDefault="00C526E4" w:rsidP="00C526E4">
      <w:pPr>
        <w:pStyle w:val="ParaNoNdepar-AltN"/>
        <w:rPr>
          <w:rFonts w:cs="Times New Roman"/>
        </w:rPr>
      </w:pPr>
      <w:r w:rsidRPr="00A25AE2">
        <w:rPr>
          <w:rFonts w:cs="Times New Roman"/>
          <w:lang w:bidi="en-US"/>
        </w:rPr>
        <w:t xml:space="preserve">Mr. Bessette now appeals to this Court. Among other relief, he asks for an order that his trial, which has yet to take place, be conducted in French. </w:t>
      </w:r>
    </w:p>
    <w:p w:rsidR="00C526E4" w:rsidRPr="00A25AE2" w:rsidRDefault="00C526E4" w:rsidP="00C526E4">
      <w:pPr>
        <w:pStyle w:val="Title2LevelTitre2Niveau"/>
        <w:rPr>
          <w:rFonts w:cs="Times New Roman"/>
        </w:rPr>
      </w:pPr>
      <w:r w:rsidRPr="00A25AE2">
        <w:rPr>
          <w:rFonts w:cs="Times New Roman"/>
        </w:rPr>
        <w:t>Relevant Statutory Provisions</w:t>
      </w:r>
    </w:p>
    <w:p w:rsidR="00C526E4" w:rsidRPr="00A25AE2" w:rsidRDefault="00C526E4" w:rsidP="00C526E4">
      <w:pPr>
        <w:pStyle w:val="ParaNoNdepar-AltN"/>
        <w:rPr>
          <w:rFonts w:cs="Times New Roman"/>
        </w:rPr>
      </w:pPr>
      <w:r w:rsidRPr="00A25AE2">
        <w:rPr>
          <w:rFonts w:cs="Times New Roman"/>
        </w:rPr>
        <w:t xml:space="preserve">At the centre of this dispute is the British Columbia </w:t>
      </w:r>
      <w:r w:rsidRPr="00A25AE2">
        <w:rPr>
          <w:rFonts w:cs="Times New Roman"/>
          <w:i/>
        </w:rPr>
        <w:t>Offence Act</w:t>
      </w:r>
      <w:r w:rsidRPr="00A25AE2">
        <w:rPr>
          <w:rFonts w:cs="Times New Roman"/>
        </w:rPr>
        <w:t>, as it</w:t>
      </w:r>
      <w:r w:rsidRPr="00A25AE2">
        <w:rPr>
          <w:rFonts w:cs="Times New Roman"/>
          <w:i/>
        </w:rPr>
        <w:t xml:space="preserve"> </w:t>
      </w:r>
      <w:r w:rsidRPr="00A25AE2">
        <w:rPr>
          <w:rFonts w:cs="Times New Roman"/>
        </w:rPr>
        <w:t xml:space="preserve">governs prosecutions of offences under provincial statutes such as the </w:t>
      </w:r>
      <w:r w:rsidRPr="00A25AE2">
        <w:rPr>
          <w:rFonts w:cs="Times New Roman"/>
          <w:i/>
        </w:rPr>
        <w:t xml:space="preserve">Motor Vehicle Act </w:t>
      </w:r>
      <w:r w:rsidRPr="00A25AE2">
        <w:rPr>
          <w:rFonts w:cs="Times New Roman"/>
        </w:rPr>
        <w:t>(</w:t>
      </w:r>
      <w:r w:rsidRPr="00A25AE2">
        <w:rPr>
          <w:rFonts w:cs="Times New Roman"/>
          <w:i/>
        </w:rPr>
        <w:t>Offence Act</w:t>
      </w:r>
      <w:r w:rsidRPr="00A25AE2">
        <w:rPr>
          <w:rFonts w:cs="Times New Roman"/>
        </w:rPr>
        <w:t>,</w:t>
      </w:r>
      <w:r w:rsidRPr="00A25AE2">
        <w:rPr>
          <w:rFonts w:cs="Times New Roman"/>
          <w:i/>
        </w:rPr>
        <w:t xml:space="preserve"> </w:t>
      </w:r>
      <w:r w:rsidRPr="00A25AE2">
        <w:rPr>
          <w:rFonts w:cs="Times New Roman"/>
        </w:rPr>
        <w:t xml:space="preserve">ss. 1 (definition of “proceedings”), 2, 3(1) and 5; see also </w:t>
      </w:r>
      <w:r w:rsidRPr="00A25AE2">
        <w:rPr>
          <w:rFonts w:cs="Times New Roman"/>
          <w:i/>
        </w:rPr>
        <w:t>R. v. Corbett</w:t>
      </w:r>
      <w:r w:rsidR="00B16155">
        <w:rPr>
          <w:rFonts w:cs="Times New Roman"/>
        </w:rPr>
        <w:t>, 2005 BCSC 1437, 24 M.V.R. (5</w:t>
      </w:r>
      <w:r w:rsidRPr="00A25AE2">
        <w:rPr>
          <w:rFonts w:cs="Times New Roman"/>
        </w:rPr>
        <w:t xml:space="preserve">th) 310, at paras. 3-4; </w:t>
      </w:r>
      <w:r w:rsidRPr="00A25AE2">
        <w:rPr>
          <w:rFonts w:cs="Times New Roman"/>
          <w:i/>
        </w:rPr>
        <w:t>Interpretation Act</w:t>
      </w:r>
      <w:r w:rsidRPr="00A25AE2">
        <w:rPr>
          <w:rFonts w:cs="Times New Roman"/>
        </w:rPr>
        <w:t>,</w:t>
      </w:r>
      <w:r w:rsidRPr="00A25AE2">
        <w:rPr>
          <w:rFonts w:eastAsia="Times New Roman" w:cs="Times New Roman"/>
          <w:i/>
          <w:szCs w:val="24"/>
          <w:lang w:eastAsia="en-CA"/>
        </w:rPr>
        <w:t xml:space="preserve"> </w:t>
      </w:r>
      <w:r w:rsidRPr="00A25AE2">
        <w:rPr>
          <w:rFonts w:cs="Times New Roman"/>
        </w:rPr>
        <w:t>R.S.B.C. 1996, c. 238,</w:t>
      </w:r>
      <w:r w:rsidRPr="00A25AE2">
        <w:rPr>
          <w:rFonts w:cs="Times New Roman"/>
          <w:i/>
        </w:rPr>
        <w:t xml:space="preserve"> </w:t>
      </w:r>
      <w:r w:rsidRPr="00A25AE2">
        <w:rPr>
          <w:rFonts w:cs="Times New Roman"/>
        </w:rPr>
        <w:t xml:space="preserve">s. 1 (definition of “enactment”)). Both the </w:t>
      </w:r>
      <w:r w:rsidRPr="00A25AE2">
        <w:rPr>
          <w:rFonts w:cs="Times New Roman"/>
          <w:i/>
        </w:rPr>
        <w:t xml:space="preserve">Motor Vehicle Act </w:t>
      </w:r>
      <w:r w:rsidRPr="00A25AE2">
        <w:rPr>
          <w:rFonts w:cs="Times New Roman"/>
        </w:rPr>
        <w:t xml:space="preserve">and the </w:t>
      </w:r>
      <w:r w:rsidRPr="00A25AE2">
        <w:rPr>
          <w:rFonts w:cs="Times New Roman"/>
          <w:i/>
        </w:rPr>
        <w:t xml:space="preserve">Offence Act </w:t>
      </w:r>
      <w:r w:rsidRPr="00A25AE2">
        <w:rPr>
          <w:rFonts w:cs="Times New Roman"/>
        </w:rPr>
        <w:t xml:space="preserve">are silent on the language of trials. Because of this silence, s. 133 of the </w:t>
      </w:r>
      <w:r w:rsidRPr="00A25AE2">
        <w:rPr>
          <w:rFonts w:cs="Times New Roman"/>
          <w:i/>
        </w:rPr>
        <w:t xml:space="preserve">Offence Act </w:t>
      </w:r>
      <w:r w:rsidRPr="00A25AE2">
        <w:rPr>
          <w:rFonts w:cs="Times New Roman"/>
        </w:rPr>
        <w:t>becomes the focal point of this dispute. That provision incorporates certain</w:t>
      </w:r>
      <w:r w:rsidRPr="00A25AE2">
        <w:rPr>
          <w:rFonts w:cs="Times New Roman"/>
          <w:i/>
        </w:rPr>
        <w:t xml:space="preserve"> Criminal Code </w:t>
      </w:r>
      <w:r w:rsidRPr="00A25AE2">
        <w:rPr>
          <w:rFonts w:cs="Times New Roman"/>
        </w:rPr>
        <w:t xml:space="preserve">provisions where a matter is not provided for in the </w:t>
      </w:r>
      <w:r w:rsidRPr="00A25AE2">
        <w:rPr>
          <w:rFonts w:cs="Times New Roman"/>
          <w:i/>
        </w:rPr>
        <w:t>Offence Act</w:t>
      </w:r>
      <w:r w:rsidRPr="00A25AE2">
        <w:rPr>
          <w:rFonts w:cs="Times New Roman"/>
        </w:rPr>
        <w:t>.</w:t>
      </w:r>
      <w:r w:rsidRPr="00A25AE2">
        <w:rPr>
          <w:rFonts w:cs="Times New Roman"/>
          <w:i/>
        </w:rPr>
        <w:t xml:space="preserve"> </w:t>
      </w:r>
      <w:r w:rsidRPr="00A25AE2">
        <w:rPr>
          <w:rFonts w:cs="Times New Roman"/>
        </w:rPr>
        <w:t xml:space="preserve">Section 133 and other relevant provisions of the </w:t>
      </w:r>
      <w:r w:rsidRPr="00A25AE2">
        <w:rPr>
          <w:rFonts w:cs="Times New Roman"/>
          <w:i/>
        </w:rPr>
        <w:t xml:space="preserve">Offence Act </w:t>
      </w:r>
      <w:r w:rsidRPr="00A25AE2">
        <w:rPr>
          <w:rFonts w:cs="Times New Roman"/>
        </w:rPr>
        <w:t>state as follows:</w:t>
      </w:r>
    </w:p>
    <w:p w:rsidR="00C526E4" w:rsidRPr="00A25AE2" w:rsidRDefault="00C526E4" w:rsidP="00C526E4">
      <w:pPr>
        <w:pStyle w:val="Citation-AltC"/>
        <w:rPr>
          <w:b/>
          <w:bCs/>
          <w:lang w:val="en-US"/>
        </w:rPr>
      </w:pPr>
      <w:r w:rsidRPr="00A25AE2">
        <w:rPr>
          <w:b/>
          <w:bCs/>
          <w:lang w:val="en-US"/>
        </w:rPr>
        <w:t>Definitions</w:t>
      </w:r>
    </w:p>
    <w:p w:rsidR="00C526E4" w:rsidRPr="00A25AE2" w:rsidRDefault="00C526E4" w:rsidP="00C526E4">
      <w:pPr>
        <w:pStyle w:val="Citation-AltC"/>
        <w:rPr>
          <w:b/>
          <w:bCs/>
          <w:lang w:val="en-US"/>
        </w:rPr>
      </w:pPr>
    </w:p>
    <w:p w:rsidR="00C526E4" w:rsidRPr="00A25AE2" w:rsidRDefault="00C526E4" w:rsidP="00C526E4">
      <w:pPr>
        <w:pStyle w:val="Citation-AltC"/>
        <w:tabs>
          <w:tab w:val="left" w:pos="1800"/>
        </w:tabs>
        <w:ind w:firstLine="274"/>
        <w:rPr>
          <w:bCs/>
          <w:lang w:val="en-US"/>
        </w:rPr>
      </w:pPr>
      <w:r w:rsidRPr="00A25AE2">
        <w:rPr>
          <w:b/>
          <w:bCs/>
          <w:lang w:val="en-US"/>
        </w:rPr>
        <w:t>1</w:t>
      </w:r>
      <w:r w:rsidRPr="00A25AE2">
        <w:rPr>
          <w:b/>
          <w:bCs/>
          <w:lang w:val="en-US"/>
        </w:rPr>
        <w:tab/>
      </w:r>
      <w:r w:rsidRPr="00A25AE2">
        <w:rPr>
          <w:bCs/>
          <w:lang w:val="en-US"/>
        </w:rPr>
        <w:t>In this Act:</w:t>
      </w:r>
    </w:p>
    <w:p w:rsidR="00C526E4" w:rsidRPr="00A25AE2" w:rsidRDefault="00C526E4" w:rsidP="00C526E4">
      <w:pPr>
        <w:pStyle w:val="Citation-AltC"/>
        <w:rPr>
          <w:b/>
          <w:bCs/>
          <w:lang w:val="en-US"/>
        </w:rPr>
      </w:pPr>
    </w:p>
    <w:p w:rsidR="00C526E4" w:rsidRPr="00A25AE2" w:rsidRDefault="00C526E4" w:rsidP="00C526E4">
      <w:pPr>
        <w:pStyle w:val="Citation-AltC"/>
        <w:jc w:val="center"/>
        <w:rPr>
          <w:bCs/>
          <w:lang w:val="en-US"/>
        </w:rPr>
      </w:pPr>
      <w:r w:rsidRPr="00A25AE2">
        <w:rPr>
          <w:bCs/>
          <w:lang w:val="en-US"/>
        </w:rPr>
        <w:t>. . .</w:t>
      </w:r>
    </w:p>
    <w:p w:rsidR="00C526E4" w:rsidRPr="00A25AE2" w:rsidRDefault="00C526E4" w:rsidP="00C526E4">
      <w:pPr>
        <w:pStyle w:val="Citation-AltC"/>
        <w:jc w:val="center"/>
        <w:rPr>
          <w:bCs/>
          <w:lang w:val="en-US"/>
        </w:rPr>
      </w:pPr>
    </w:p>
    <w:p w:rsidR="00C526E4" w:rsidRPr="00A25AE2" w:rsidRDefault="00C526E4" w:rsidP="00C526E4">
      <w:pPr>
        <w:pStyle w:val="Citation-AltC"/>
        <w:ind w:left="1886" w:firstLine="274"/>
        <w:rPr>
          <w:bCs/>
          <w:lang w:val="en-US"/>
        </w:rPr>
      </w:pPr>
      <w:r w:rsidRPr="00A25AE2">
        <w:rPr>
          <w:b/>
          <w:bCs/>
          <w:lang w:val="en-US"/>
        </w:rPr>
        <w:t xml:space="preserve">“proceedings” </w:t>
      </w:r>
      <w:r w:rsidRPr="00A25AE2">
        <w:rPr>
          <w:bCs/>
          <w:lang w:val="en-US"/>
        </w:rPr>
        <w:t>means</w:t>
      </w:r>
    </w:p>
    <w:p w:rsidR="00C526E4" w:rsidRPr="00A25AE2" w:rsidRDefault="00C526E4" w:rsidP="00C526E4">
      <w:pPr>
        <w:pStyle w:val="Citation-AltC"/>
        <w:ind w:left="1886" w:firstLine="274"/>
        <w:rPr>
          <w:bCs/>
          <w:lang w:val="en-US"/>
        </w:rPr>
      </w:pPr>
    </w:p>
    <w:p w:rsidR="00C526E4" w:rsidRDefault="00C526E4" w:rsidP="00C526E4">
      <w:pPr>
        <w:pStyle w:val="Citation-AltC"/>
        <w:tabs>
          <w:tab w:val="left" w:pos="3060"/>
        </w:tabs>
        <w:ind w:left="2160" w:firstLine="547"/>
        <w:rPr>
          <w:bCs/>
          <w:lang w:val="en-US"/>
        </w:rPr>
      </w:pPr>
      <w:r w:rsidRPr="00A25AE2">
        <w:rPr>
          <w:bCs/>
          <w:lang w:val="en-US"/>
        </w:rPr>
        <w:t>(a)</w:t>
      </w:r>
      <w:r w:rsidRPr="00A25AE2">
        <w:rPr>
          <w:bCs/>
          <w:lang w:val="en-US"/>
        </w:rPr>
        <w:tab/>
        <w:t>proceedings in respect of offences, and</w:t>
      </w:r>
    </w:p>
    <w:p w:rsidR="00BE0416" w:rsidRPr="00A25AE2" w:rsidRDefault="00BE0416" w:rsidP="00C526E4">
      <w:pPr>
        <w:pStyle w:val="Citation-AltC"/>
        <w:tabs>
          <w:tab w:val="left" w:pos="3060"/>
        </w:tabs>
        <w:ind w:left="2160" w:firstLine="547"/>
        <w:rPr>
          <w:bCs/>
          <w:lang w:val="en-US"/>
        </w:rPr>
      </w:pPr>
    </w:p>
    <w:p w:rsidR="00C526E4" w:rsidRPr="00A25AE2" w:rsidRDefault="00C526E4" w:rsidP="00C526E4">
      <w:pPr>
        <w:pStyle w:val="Citation-AltC"/>
        <w:tabs>
          <w:tab w:val="left" w:pos="3060"/>
        </w:tabs>
        <w:ind w:left="3060" w:hanging="360"/>
        <w:rPr>
          <w:bCs/>
          <w:lang w:val="en-US"/>
        </w:rPr>
      </w:pPr>
      <w:r w:rsidRPr="00A25AE2">
        <w:rPr>
          <w:bCs/>
          <w:lang w:val="en-US"/>
        </w:rPr>
        <w:t>(b)</w:t>
      </w:r>
      <w:r w:rsidRPr="00A25AE2">
        <w:rPr>
          <w:bCs/>
          <w:lang w:val="en-US"/>
        </w:rPr>
        <w:tab/>
        <w:t>proceedings in which a justice is authorized by an enactment to make an order;</w:t>
      </w:r>
    </w:p>
    <w:p w:rsidR="00C526E4" w:rsidRPr="00A25AE2" w:rsidRDefault="00C526E4" w:rsidP="00C526E4">
      <w:pPr>
        <w:pStyle w:val="Citation-AltC"/>
        <w:ind w:left="2160" w:hanging="360"/>
        <w:rPr>
          <w:bCs/>
          <w:lang w:val="en-US"/>
        </w:rPr>
      </w:pPr>
    </w:p>
    <w:p w:rsidR="00C526E4" w:rsidRPr="00A25AE2" w:rsidRDefault="00C526E4" w:rsidP="00C526E4">
      <w:pPr>
        <w:pStyle w:val="Citation-AltC"/>
        <w:jc w:val="center"/>
        <w:rPr>
          <w:bCs/>
          <w:lang w:val="en-US"/>
        </w:rPr>
      </w:pPr>
      <w:r w:rsidRPr="00A25AE2">
        <w:rPr>
          <w:bCs/>
          <w:lang w:val="en-US"/>
        </w:rPr>
        <w:t>. . .</w:t>
      </w:r>
    </w:p>
    <w:p w:rsidR="00C526E4" w:rsidRPr="00A25AE2" w:rsidRDefault="00C526E4" w:rsidP="00C526E4">
      <w:pPr>
        <w:pStyle w:val="Citation-AltC"/>
        <w:ind w:left="0"/>
        <w:rPr>
          <w:b/>
          <w:bCs/>
          <w:lang w:val="en-US"/>
        </w:rPr>
      </w:pPr>
    </w:p>
    <w:p w:rsidR="00C526E4" w:rsidRPr="00A25AE2" w:rsidRDefault="00C526E4" w:rsidP="00C526E4">
      <w:pPr>
        <w:pStyle w:val="Citation-AltC"/>
        <w:rPr>
          <w:b/>
          <w:bCs/>
          <w:lang w:val="en-US"/>
        </w:rPr>
      </w:pPr>
      <w:r w:rsidRPr="00A25AE2">
        <w:rPr>
          <w:b/>
          <w:bCs/>
          <w:lang w:val="en-US"/>
        </w:rPr>
        <w:t>Offence punishable on summary conviction</w:t>
      </w:r>
    </w:p>
    <w:p w:rsidR="00C526E4" w:rsidRPr="00A25AE2" w:rsidRDefault="00C526E4" w:rsidP="00C526E4">
      <w:pPr>
        <w:pStyle w:val="Citation-AltC"/>
        <w:rPr>
          <w:b/>
          <w:bCs/>
          <w:lang w:val="en-US"/>
        </w:rPr>
      </w:pPr>
    </w:p>
    <w:p w:rsidR="00C526E4" w:rsidRPr="00A25AE2" w:rsidRDefault="00C526E4" w:rsidP="00A61C99">
      <w:pPr>
        <w:pStyle w:val="Citation-AltC"/>
        <w:tabs>
          <w:tab w:val="left" w:pos="1800"/>
        </w:tabs>
        <w:ind w:left="1800" w:hanging="360"/>
        <w:rPr>
          <w:lang w:val="en-US"/>
        </w:rPr>
      </w:pPr>
      <w:r w:rsidRPr="00A25AE2">
        <w:rPr>
          <w:b/>
          <w:bCs/>
          <w:lang w:val="en-US"/>
        </w:rPr>
        <w:t>2</w:t>
      </w:r>
      <w:r w:rsidRPr="00A25AE2">
        <w:rPr>
          <w:b/>
          <w:bCs/>
          <w:lang w:val="en-US"/>
        </w:rPr>
        <w:tab/>
      </w:r>
      <w:r w:rsidRPr="00A25AE2">
        <w:rPr>
          <w:lang w:val="en-US"/>
        </w:rPr>
        <w:t>An offence created under an enactment is punishable on summary conviction.</w:t>
      </w:r>
    </w:p>
    <w:p w:rsidR="00C526E4" w:rsidRPr="00A25AE2" w:rsidRDefault="00C526E4" w:rsidP="00C526E4">
      <w:pPr>
        <w:pStyle w:val="Citation-AltC"/>
        <w:rPr>
          <w:lang w:val="en-US"/>
        </w:rPr>
      </w:pPr>
    </w:p>
    <w:p w:rsidR="00C526E4" w:rsidRPr="00A25AE2" w:rsidRDefault="00C526E4" w:rsidP="00C526E4">
      <w:pPr>
        <w:pStyle w:val="Citation-AltC"/>
        <w:rPr>
          <w:b/>
          <w:bCs/>
          <w:lang w:val="en-US"/>
        </w:rPr>
      </w:pPr>
      <w:r w:rsidRPr="00A25AE2">
        <w:rPr>
          <w:b/>
          <w:bCs/>
          <w:lang w:val="en-US"/>
        </w:rPr>
        <w:t>Application to proceedings</w:t>
      </w:r>
    </w:p>
    <w:p w:rsidR="00C526E4" w:rsidRPr="00A25AE2" w:rsidRDefault="00C526E4" w:rsidP="00C526E4">
      <w:pPr>
        <w:pStyle w:val="Citation-AltC"/>
        <w:rPr>
          <w:b/>
          <w:bCs/>
          <w:lang w:val="en-US"/>
        </w:rPr>
      </w:pPr>
    </w:p>
    <w:p w:rsidR="00C526E4" w:rsidRPr="00A25AE2" w:rsidRDefault="00A61C99" w:rsidP="00A61C99">
      <w:pPr>
        <w:pStyle w:val="Citation-AltC"/>
        <w:tabs>
          <w:tab w:val="left" w:pos="1800"/>
        </w:tabs>
        <w:ind w:left="1980" w:hanging="540"/>
        <w:rPr>
          <w:lang w:val="en-US"/>
        </w:rPr>
      </w:pPr>
      <w:r>
        <w:rPr>
          <w:b/>
          <w:bCs/>
          <w:lang w:val="en-US"/>
        </w:rPr>
        <w:t xml:space="preserve">3 </w:t>
      </w:r>
      <w:r w:rsidR="00C526E4" w:rsidRPr="00A25AE2">
        <w:rPr>
          <w:lang w:val="en-US"/>
        </w:rPr>
        <w:t>(1)</w:t>
      </w:r>
      <w:r w:rsidR="00C526E4" w:rsidRPr="00A25AE2">
        <w:rPr>
          <w:lang w:val="en-US"/>
        </w:rPr>
        <w:tab/>
        <w:t>Except where otherwise provided by law, this Act applies to proceedings as defined in section 1.</w:t>
      </w:r>
    </w:p>
    <w:p w:rsidR="00C526E4" w:rsidRPr="00A25AE2" w:rsidRDefault="00C526E4" w:rsidP="00C526E4">
      <w:pPr>
        <w:pStyle w:val="Citation-AltC"/>
        <w:tabs>
          <w:tab w:val="left" w:pos="1710"/>
        </w:tabs>
        <w:ind w:firstLine="274"/>
        <w:rPr>
          <w:lang w:val="en-US"/>
        </w:rPr>
      </w:pPr>
    </w:p>
    <w:p w:rsidR="00C526E4" w:rsidRPr="00AB1374" w:rsidRDefault="00C526E4" w:rsidP="00C526E4">
      <w:pPr>
        <w:pStyle w:val="Citation-AltC"/>
        <w:jc w:val="center"/>
        <w:rPr>
          <w:bCs/>
          <w:lang w:val="en-US"/>
        </w:rPr>
      </w:pPr>
      <w:r w:rsidRPr="00AB1374">
        <w:rPr>
          <w:bCs/>
          <w:lang w:val="en-US"/>
        </w:rPr>
        <w:t>. . .</w:t>
      </w:r>
    </w:p>
    <w:p w:rsidR="00C526E4" w:rsidRPr="00A25AE2" w:rsidRDefault="00C526E4" w:rsidP="00C526E4">
      <w:pPr>
        <w:pStyle w:val="Citation-AltC"/>
        <w:rPr>
          <w:bCs/>
          <w:lang w:val="en-US"/>
        </w:rPr>
      </w:pPr>
    </w:p>
    <w:p w:rsidR="00C526E4" w:rsidRPr="00A25AE2" w:rsidRDefault="00C526E4" w:rsidP="00C526E4">
      <w:pPr>
        <w:pStyle w:val="Citation-AltC"/>
        <w:rPr>
          <w:b/>
          <w:bCs/>
          <w:lang w:val="en-US"/>
        </w:rPr>
      </w:pPr>
      <w:r w:rsidRPr="00A25AE2">
        <w:rPr>
          <w:b/>
          <w:bCs/>
          <w:lang w:val="en-US"/>
        </w:rPr>
        <w:t>General offence</w:t>
      </w:r>
    </w:p>
    <w:p w:rsidR="00C526E4" w:rsidRPr="00A25AE2" w:rsidRDefault="00C526E4" w:rsidP="00C526E4">
      <w:pPr>
        <w:pStyle w:val="Citation-AltC"/>
        <w:rPr>
          <w:b/>
          <w:bCs/>
          <w:lang w:val="en-US"/>
        </w:rPr>
      </w:pPr>
    </w:p>
    <w:p w:rsidR="00C526E4" w:rsidRPr="00A25AE2" w:rsidRDefault="00C526E4" w:rsidP="00A61C99">
      <w:pPr>
        <w:pStyle w:val="Citation-AltC"/>
        <w:tabs>
          <w:tab w:val="left" w:pos="1800"/>
        </w:tabs>
        <w:ind w:left="1800" w:hanging="360"/>
        <w:rPr>
          <w:lang w:val="en-US"/>
        </w:rPr>
      </w:pPr>
      <w:r w:rsidRPr="00A25AE2">
        <w:rPr>
          <w:b/>
          <w:bCs/>
          <w:lang w:val="en-US"/>
        </w:rPr>
        <w:t>5</w:t>
      </w:r>
      <w:r w:rsidRPr="00A25AE2">
        <w:rPr>
          <w:b/>
          <w:bCs/>
          <w:lang w:val="en-US"/>
        </w:rPr>
        <w:tab/>
      </w:r>
      <w:r w:rsidRPr="00A25AE2">
        <w:rPr>
          <w:lang w:val="en-US"/>
        </w:rPr>
        <w:t>A person who contravenes an enactment by doing an act that it forbids, or omitting to do an act that it requires to be done, commits an offence against the enactment.</w:t>
      </w:r>
    </w:p>
    <w:p w:rsidR="00C526E4" w:rsidRPr="00A25AE2" w:rsidRDefault="00C526E4" w:rsidP="00C526E4">
      <w:pPr>
        <w:pStyle w:val="Citation-AltC"/>
        <w:rPr>
          <w:lang w:val="en-US"/>
        </w:rPr>
      </w:pPr>
    </w:p>
    <w:p w:rsidR="00C526E4" w:rsidRPr="00A25AE2" w:rsidRDefault="00C526E4" w:rsidP="00C526E4">
      <w:pPr>
        <w:pStyle w:val="Citation-AltC"/>
        <w:jc w:val="center"/>
        <w:rPr>
          <w:lang w:val="en-US"/>
        </w:rPr>
      </w:pPr>
      <w:r w:rsidRPr="00A25AE2">
        <w:rPr>
          <w:lang w:val="en-US"/>
        </w:rPr>
        <w:t>. . .</w:t>
      </w:r>
    </w:p>
    <w:p w:rsidR="00C526E4" w:rsidRPr="00A25AE2" w:rsidRDefault="00C526E4" w:rsidP="00C526E4">
      <w:pPr>
        <w:pStyle w:val="Citation-AltC"/>
        <w:rPr>
          <w:lang w:val="en-US"/>
        </w:rPr>
      </w:pPr>
    </w:p>
    <w:p w:rsidR="00C526E4" w:rsidRPr="00A25AE2" w:rsidRDefault="00C526E4" w:rsidP="00C526E4">
      <w:pPr>
        <w:pStyle w:val="Citation-AltC"/>
        <w:rPr>
          <w:b/>
          <w:bCs/>
          <w:i/>
          <w:iCs/>
          <w:lang w:val="en-US"/>
        </w:rPr>
      </w:pPr>
      <w:r w:rsidRPr="00A25AE2">
        <w:rPr>
          <w:b/>
          <w:bCs/>
          <w:lang w:val="en-US"/>
        </w:rPr>
        <w:t>Application of </w:t>
      </w:r>
      <w:r w:rsidRPr="00A25AE2">
        <w:rPr>
          <w:b/>
          <w:bCs/>
          <w:i/>
          <w:iCs/>
          <w:lang w:val="en-US"/>
        </w:rPr>
        <w:t>Criminal Code</w:t>
      </w:r>
    </w:p>
    <w:p w:rsidR="00C526E4" w:rsidRPr="00A25AE2" w:rsidRDefault="00C526E4" w:rsidP="00C526E4">
      <w:pPr>
        <w:pStyle w:val="Citation-AltC"/>
        <w:rPr>
          <w:b/>
          <w:bCs/>
          <w:lang w:val="en-US"/>
        </w:rPr>
      </w:pPr>
    </w:p>
    <w:p w:rsidR="00C526E4" w:rsidRPr="00A25AE2" w:rsidRDefault="00C526E4" w:rsidP="00C526E4">
      <w:pPr>
        <w:pStyle w:val="Citation-AltC"/>
        <w:tabs>
          <w:tab w:val="left" w:pos="1800"/>
        </w:tabs>
        <w:ind w:left="1980" w:hanging="540"/>
        <w:rPr>
          <w:lang w:val="en-US"/>
        </w:rPr>
      </w:pPr>
      <w:r w:rsidRPr="00A25AE2">
        <w:rPr>
          <w:b/>
          <w:bCs/>
          <w:lang w:val="en-US"/>
        </w:rPr>
        <w:t>133</w:t>
      </w:r>
      <w:r w:rsidRPr="00A25AE2">
        <w:rPr>
          <w:b/>
          <w:bCs/>
          <w:lang w:val="en-US"/>
        </w:rPr>
        <w:tab/>
      </w:r>
      <w:r w:rsidRPr="00A25AE2">
        <w:rPr>
          <w:lang w:val="en-US"/>
        </w:rPr>
        <w:t xml:space="preserve">If, in any proceeding, matter or thing to which this Act applies, express provision has not been made in this Act or only partial provision has been made, the provisions of the </w:t>
      </w:r>
      <w:r w:rsidRPr="00A25AE2">
        <w:rPr>
          <w:i/>
          <w:iCs/>
          <w:lang w:val="en-US"/>
        </w:rPr>
        <w:t>Criminal Code</w:t>
      </w:r>
      <w:r w:rsidRPr="00A25AE2">
        <w:rPr>
          <w:lang w:val="en-US"/>
        </w:rPr>
        <w:t xml:space="preserve"> relating to offences punishable on summary conviction apply, with the necessary changes and so far as applicable, as if its provisions were enacted in and formed part of this Act.</w:t>
      </w:r>
    </w:p>
    <w:p w:rsidR="00C526E4" w:rsidRPr="00A25AE2" w:rsidRDefault="00C526E4" w:rsidP="00C526E4">
      <w:pPr>
        <w:pStyle w:val="ParaNoNdepar-AltN"/>
        <w:rPr>
          <w:rFonts w:cs="Times New Roman"/>
          <w:lang w:val="en-US"/>
        </w:rPr>
      </w:pPr>
      <w:r w:rsidRPr="00A25AE2">
        <w:rPr>
          <w:rFonts w:cs="Times New Roman"/>
          <w:lang w:val="en-US"/>
        </w:rPr>
        <w:t xml:space="preserve">The two statutes competing to govern the language of </w:t>
      </w:r>
      <w:r w:rsidRPr="00A25AE2">
        <w:rPr>
          <w:rFonts w:cs="Times New Roman"/>
          <w:i/>
          <w:lang w:val="en-US"/>
        </w:rPr>
        <w:t xml:space="preserve">Offence Act </w:t>
      </w:r>
      <w:r w:rsidRPr="00A25AE2">
        <w:rPr>
          <w:rFonts w:cs="Times New Roman"/>
          <w:lang w:val="en-US"/>
        </w:rPr>
        <w:t xml:space="preserve">trials are the </w:t>
      </w:r>
      <w:r w:rsidRPr="00A25AE2">
        <w:rPr>
          <w:rFonts w:cs="Times New Roman"/>
          <w:i/>
          <w:lang w:val="en-US"/>
        </w:rPr>
        <w:t>Criminal Code</w:t>
      </w:r>
      <w:r w:rsidRPr="00A25AE2">
        <w:rPr>
          <w:rFonts w:cs="Times New Roman"/>
          <w:lang w:val="en-US"/>
        </w:rPr>
        <w:t xml:space="preserve">, which provides for trials in the accused’s official language of choice, and the </w:t>
      </w:r>
      <w:r w:rsidRPr="00A25AE2">
        <w:rPr>
          <w:rFonts w:cs="Times New Roman"/>
          <w:i/>
          <w:lang w:val="en-US"/>
        </w:rPr>
        <w:t>1731 Act</w:t>
      </w:r>
      <w:r w:rsidRPr="00A25AE2">
        <w:rPr>
          <w:rFonts w:cs="Times New Roman"/>
          <w:lang w:val="en-US"/>
        </w:rPr>
        <w:t>,</w:t>
      </w:r>
      <w:r w:rsidRPr="00A25AE2">
        <w:rPr>
          <w:rFonts w:cs="Times New Roman"/>
          <w:i/>
          <w:lang w:val="en-US"/>
        </w:rPr>
        <w:t xml:space="preserve"> </w:t>
      </w:r>
      <w:r w:rsidRPr="00A25AE2">
        <w:rPr>
          <w:rFonts w:cs="Times New Roman"/>
          <w:lang w:val="en-US"/>
        </w:rPr>
        <w:t>which provides only for English trials. Their relevant provisions are:</w:t>
      </w:r>
    </w:p>
    <w:p w:rsidR="00C526E4" w:rsidRPr="00A25AE2" w:rsidRDefault="00C526E4" w:rsidP="00C526E4">
      <w:pPr>
        <w:pStyle w:val="Citation-AltC"/>
        <w:rPr>
          <w:b/>
          <w:bCs/>
          <w:lang w:val="en-US"/>
        </w:rPr>
      </w:pPr>
      <w:r w:rsidRPr="00A25AE2">
        <w:rPr>
          <w:b/>
          <w:bCs/>
          <w:lang w:val="en-US"/>
        </w:rPr>
        <w:t>Language of accused</w:t>
      </w:r>
    </w:p>
    <w:p w:rsidR="00C526E4" w:rsidRPr="00A25AE2" w:rsidRDefault="00C526E4" w:rsidP="00C526E4">
      <w:pPr>
        <w:pStyle w:val="Citation-AltC"/>
        <w:rPr>
          <w:b/>
          <w:bCs/>
          <w:lang w:val="en-US"/>
        </w:rPr>
      </w:pPr>
    </w:p>
    <w:p w:rsidR="00C526E4" w:rsidRDefault="00C526E4" w:rsidP="00C526E4">
      <w:pPr>
        <w:pStyle w:val="Citation-AltC"/>
        <w:rPr>
          <w:lang w:val="en-US"/>
        </w:rPr>
      </w:pPr>
      <w:r w:rsidRPr="00A25AE2">
        <w:rPr>
          <w:b/>
          <w:bCs/>
          <w:lang w:val="en-US"/>
        </w:rPr>
        <w:t>530</w:t>
      </w:r>
      <w:r w:rsidRPr="00A25AE2">
        <w:rPr>
          <w:lang w:val="en-US"/>
        </w:rPr>
        <w:t> </w:t>
      </w:r>
      <w:r w:rsidRPr="00A25AE2">
        <w:rPr>
          <w:b/>
          <w:bCs/>
          <w:lang w:val="en-US"/>
        </w:rPr>
        <w:t>(1)</w:t>
      </w:r>
      <w:r w:rsidRPr="00A25AE2">
        <w:rPr>
          <w:lang w:val="en-US"/>
        </w:rPr>
        <w:t> </w:t>
      </w:r>
      <w:r w:rsidRPr="00A25AE2">
        <w:rPr>
          <w:u w:val="single"/>
          <w:lang w:val="en-US"/>
        </w:rPr>
        <w:t>On application by an accused</w:t>
      </w:r>
      <w:r w:rsidRPr="00A25AE2">
        <w:rPr>
          <w:lang w:val="en-US"/>
        </w:rPr>
        <w:t xml:space="preserve"> whose language is one of the official languages of Canada, made not later than</w:t>
      </w:r>
    </w:p>
    <w:p w:rsidR="00A61C99" w:rsidRPr="00A25AE2" w:rsidRDefault="00A61C99" w:rsidP="00C526E4">
      <w:pPr>
        <w:pStyle w:val="Citation-AltC"/>
        <w:rPr>
          <w:lang w:val="en-US"/>
        </w:rPr>
      </w:pPr>
    </w:p>
    <w:p w:rsidR="00C526E4" w:rsidRDefault="00C526E4" w:rsidP="00C526E4">
      <w:pPr>
        <w:pStyle w:val="Citation-AltC"/>
        <w:tabs>
          <w:tab w:val="left" w:pos="1800"/>
        </w:tabs>
        <w:ind w:left="1350"/>
        <w:rPr>
          <w:lang w:val="en-US"/>
        </w:rPr>
      </w:pPr>
      <w:r w:rsidRPr="00A25AE2">
        <w:rPr>
          <w:b/>
          <w:bCs/>
          <w:lang w:val="en-US"/>
        </w:rPr>
        <w:t>(a)</w:t>
      </w:r>
      <w:r w:rsidRPr="00A25AE2">
        <w:rPr>
          <w:b/>
          <w:bCs/>
          <w:lang w:val="en-US"/>
        </w:rPr>
        <w:tab/>
      </w:r>
      <w:r w:rsidRPr="00A25AE2">
        <w:rPr>
          <w:lang w:val="en-US"/>
        </w:rPr>
        <w:t>the time of the appearance of the accused at which his trial date is set, if</w:t>
      </w:r>
    </w:p>
    <w:p w:rsidR="00A61C99" w:rsidRPr="00A25AE2" w:rsidRDefault="00A61C99" w:rsidP="00C526E4">
      <w:pPr>
        <w:pStyle w:val="Citation-AltC"/>
        <w:tabs>
          <w:tab w:val="left" w:pos="1800"/>
        </w:tabs>
        <w:ind w:left="1350"/>
        <w:rPr>
          <w:lang w:val="en-US"/>
        </w:rPr>
      </w:pPr>
    </w:p>
    <w:p w:rsidR="00C526E4" w:rsidRPr="00A25AE2" w:rsidRDefault="00C526E4" w:rsidP="00C526E4">
      <w:pPr>
        <w:pStyle w:val="Citation-AltC"/>
        <w:tabs>
          <w:tab w:val="left" w:pos="1800"/>
        </w:tabs>
        <w:ind w:left="1710" w:hanging="804"/>
        <w:rPr>
          <w:lang w:val="en-US"/>
        </w:rPr>
      </w:pPr>
      <w:r w:rsidRPr="00A25AE2">
        <w:rPr>
          <w:lang w:val="en-US"/>
        </w:rPr>
        <w:tab/>
      </w:r>
      <w:r w:rsidRPr="00A25AE2">
        <w:rPr>
          <w:b/>
          <w:lang w:val="en-US"/>
        </w:rPr>
        <w:t>(i)</w:t>
      </w:r>
      <w:r w:rsidRPr="00A25AE2">
        <w:rPr>
          <w:lang w:val="en-US"/>
        </w:rPr>
        <w:tab/>
        <w:t>he is accused of an offence mentioned in section 553 or punishable on summary conviction,</w:t>
      </w:r>
    </w:p>
    <w:p w:rsidR="00C526E4" w:rsidRPr="00A25AE2" w:rsidRDefault="00C526E4" w:rsidP="00C526E4">
      <w:pPr>
        <w:pStyle w:val="Citation-AltC"/>
        <w:tabs>
          <w:tab w:val="left" w:pos="1800"/>
        </w:tabs>
        <w:ind w:left="2154" w:hanging="804"/>
        <w:rPr>
          <w:lang w:val="en-US"/>
        </w:rPr>
      </w:pPr>
    </w:p>
    <w:p w:rsidR="00C526E4" w:rsidRPr="00A25AE2" w:rsidRDefault="00C526E4" w:rsidP="00C526E4">
      <w:pPr>
        <w:pStyle w:val="Citation-AltC"/>
        <w:tabs>
          <w:tab w:val="left" w:pos="1530"/>
          <w:tab w:val="left" w:pos="1620"/>
          <w:tab w:val="left" w:pos="1980"/>
        </w:tabs>
        <w:ind w:firstLine="184"/>
        <w:jc w:val="center"/>
        <w:rPr>
          <w:lang w:val="en-US"/>
        </w:rPr>
      </w:pPr>
      <w:r w:rsidRPr="00A25AE2">
        <w:rPr>
          <w:lang w:val="en-US"/>
        </w:rPr>
        <w:t>. . .</w:t>
      </w:r>
    </w:p>
    <w:p w:rsidR="00C526E4" w:rsidRPr="00A25AE2" w:rsidRDefault="00C526E4" w:rsidP="00C526E4">
      <w:pPr>
        <w:pStyle w:val="Citation-AltC"/>
        <w:jc w:val="center"/>
        <w:rPr>
          <w:lang w:val="en-US"/>
        </w:rPr>
      </w:pPr>
    </w:p>
    <w:p w:rsidR="00C526E4" w:rsidRPr="00A25AE2" w:rsidRDefault="00C526E4" w:rsidP="00C526E4">
      <w:pPr>
        <w:pStyle w:val="Citation-AltC"/>
        <w:ind w:left="1152"/>
        <w:rPr>
          <w:lang w:val="en-US"/>
        </w:rPr>
      </w:pPr>
      <w:r w:rsidRPr="00A25AE2">
        <w:rPr>
          <w:lang w:val="en-US"/>
        </w:rPr>
        <w:t xml:space="preserve">a justice of the peace, provincial court judge or judge of the Nunavut Court of Justice </w:t>
      </w:r>
      <w:r w:rsidRPr="00A25AE2">
        <w:rPr>
          <w:u w:val="single"/>
          <w:lang w:val="en-US"/>
        </w:rPr>
        <w:t>shall grant an order directing that the accused be tried before a</w:t>
      </w:r>
      <w:r w:rsidRPr="00A25AE2">
        <w:rPr>
          <w:lang w:val="en-US"/>
        </w:rPr>
        <w:t xml:space="preserve"> justice of the peace, </w:t>
      </w:r>
      <w:r w:rsidRPr="00A25AE2">
        <w:rPr>
          <w:u w:val="single"/>
          <w:lang w:val="en-US"/>
        </w:rPr>
        <w:t>provincial court judge</w:t>
      </w:r>
      <w:r w:rsidRPr="00A25AE2">
        <w:rPr>
          <w:lang w:val="en-US"/>
        </w:rPr>
        <w:t xml:space="preserve">, judge or judge and jury, as the case may be, </w:t>
      </w:r>
      <w:r w:rsidRPr="00A25AE2">
        <w:rPr>
          <w:u w:val="single"/>
          <w:lang w:val="en-US"/>
        </w:rPr>
        <w:t>who speak the official language of Canada that is the language of the accused</w:t>
      </w:r>
      <w:r w:rsidRPr="00A25AE2">
        <w:rPr>
          <w:lang w:val="en-US"/>
        </w:rPr>
        <w:t xml:space="preserve"> or, if the circumstances warrant, who speak both official languages of Canada.</w:t>
      </w:r>
    </w:p>
    <w:p w:rsidR="00C526E4" w:rsidRPr="00A25AE2" w:rsidRDefault="00C526E4" w:rsidP="00C526E4">
      <w:pPr>
        <w:pStyle w:val="Citation-AltC"/>
        <w:ind w:left="1152"/>
        <w:rPr>
          <w:lang w:val="en-US"/>
        </w:rPr>
      </w:pPr>
    </w:p>
    <w:p w:rsidR="00C526E4" w:rsidRPr="00A25AE2" w:rsidRDefault="00C526E4" w:rsidP="00A61C99">
      <w:pPr>
        <w:pStyle w:val="Citation-AltC"/>
        <w:ind w:left="0"/>
        <w:contextualSpacing w:val="0"/>
        <w:rPr>
          <w:lang w:val="en-US"/>
        </w:rPr>
      </w:pPr>
      <w:r w:rsidRPr="00A25AE2">
        <w:rPr>
          <w:lang w:val="en-US"/>
        </w:rPr>
        <w:t>(</w:t>
      </w:r>
      <w:r w:rsidRPr="00A25AE2">
        <w:rPr>
          <w:i/>
          <w:lang w:val="en-US"/>
        </w:rPr>
        <w:t>Criminal Code</w:t>
      </w:r>
      <w:r w:rsidRPr="00A25AE2">
        <w:rPr>
          <w:lang w:val="en-US"/>
        </w:rPr>
        <w:t>, s. 530)</w:t>
      </w:r>
    </w:p>
    <w:p w:rsidR="00C526E4" w:rsidRPr="00A25AE2" w:rsidRDefault="00C526E4" w:rsidP="00C526E4">
      <w:pPr>
        <w:pStyle w:val="Citation-AltC"/>
      </w:pPr>
    </w:p>
    <w:p w:rsidR="00C526E4" w:rsidRPr="00A25AE2" w:rsidRDefault="00C526E4" w:rsidP="00C526E4">
      <w:pPr>
        <w:pStyle w:val="Citation-AltC"/>
      </w:pPr>
      <w:r w:rsidRPr="00A25AE2">
        <w:t>. . . [T]o protect the lives and fortunes of the subjects of that part of Great Britain called England,</w:t>
      </w:r>
      <w:r w:rsidRPr="00A25AE2">
        <w:rPr>
          <w:i/>
        </w:rPr>
        <w:t xml:space="preserve"> </w:t>
      </w:r>
      <w:r w:rsidRPr="00A25AE2">
        <w:t>more effectually than heretofore from the peril of being ensnared or brought in danger by forms and proceedings in courts of justice, in an unknown language, be it enacted . . . that . . . all writs, process, and returns thereof and proceedings thereon, and all pleadings, rules, orders, indictments, informations, inquisitions, presentments, verdicts, prohibitions, certificates, and all patents, charters, pardons, commissions, records, judgments, statutes, recognizances, bonds, rolls, entries, fines and recoveries, and all proceedings relating thereunto, and all proceedings of courts leet, courts baron, and customary courts, and all copies thereof, and all proceedings whatsoever in any courts of justice . . ., and which concern the law and administration of justice, shall be in the english tongue and language only, and not in Latin</w:t>
      </w:r>
      <w:r w:rsidRPr="00A25AE2">
        <w:rPr>
          <w:i/>
        </w:rPr>
        <w:t xml:space="preserve"> </w:t>
      </w:r>
      <w:r w:rsidRPr="00A25AE2">
        <w:t>or French,</w:t>
      </w:r>
      <w:r w:rsidRPr="00A25AE2">
        <w:rPr>
          <w:i/>
        </w:rPr>
        <w:t xml:space="preserve"> </w:t>
      </w:r>
      <w:r w:rsidRPr="00A25AE2">
        <w:t>or any other tongue or language whatsoever . . .</w:t>
      </w:r>
    </w:p>
    <w:p w:rsidR="00C526E4" w:rsidRPr="00A25AE2" w:rsidRDefault="00C526E4" w:rsidP="00C526E4">
      <w:pPr>
        <w:pStyle w:val="Citation-AltC"/>
      </w:pPr>
    </w:p>
    <w:p w:rsidR="00C526E4" w:rsidRPr="00A25AE2" w:rsidRDefault="00C526E4" w:rsidP="00924E61">
      <w:pPr>
        <w:pStyle w:val="Citation-AltC"/>
        <w:ind w:left="0"/>
      </w:pPr>
      <w:r w:rsidRPr="00A25AE2">
        <w:t>(</w:t>
      </w:r>
      <w:r w:rsidRPr="00A25AE2">
        <w:rPr>
          <w:i/>
        </w:rPr>
        <w:t>1731 Act</w:t>
      </w:r>
      <w:r w:rsidRPr="00A25AE2">
        <w:t>, preamble)</w:t>
      </w:r>
    </w:p>
    <w:p w:rsidR="00C526E4" w:rsidRPr="00A25AE2" w:rsidRDefault="00C526E4" w:rsidP="00C526E4">
      <w:pPr>
        <w:pStyle w:val="ContinueParaSuitedupar-AltP"/>
        <w:rPr>
          <w:rFonts w:cs="Times New Roman"/>
          <w:lang w:bidi="en-US"/>
        </w:rPr>
      </w:pPr>
      <w:r w:rsidRPr="00A25AE2">
        <w:rPr>
          <w:rFonts w:cs="Times New Roman"/>
        </w:rPr>
        <w:t xml:space="preserve">As set out above, there is no dispute that the </w:t>
      </w:r>
      <w:r w:rsidRPr="00A25AE2">
        <w:rPr>
          <w:rFonts w:cs="Times New Roman"/>
          <w:i/>
        </w:rPr>
        <w:t xml:space="preserve">1731 Act </w:t>
      </w:r>
      <w:r w:rsidRPr="00A25AE2">
        <w:rPr>
          <w:rFonts w:cs="Times New Roman"/>
        </w:rPr>
        <w:t xml:space="preserve">remains in force in British Columbia. It </w:t>
      </w:r>
      <w:r w:rsidRPr="00A25AE2">
        <w:rPr>
          <w:rFonts w:cs="Times New Roman"/>
          <w:lang w:bidi="en-US"/>
        </w:rPr>
        <w:t xml:space="preserve">applies because of s. 2 of British Columbia’s </w:t>
      </w:r>
      <w:r w:rsidRPr="00A25AE2">
        <w:rPr>
          <w:rFonts w:cs="Times New Roman"/>
          <w:i/>
          <w:lang w:bidi="en-US"/>
        </w:rPr>
        <w:t>Law and Equity Act</w:t>
      </w:r>
      <w:r w:rsidRPr="00A25AE2">
        <w:rPr>
          <w:rFonts w:cs="Times New Roman"/>
          <w:lang w:bidi="en-US"/>
        </w:rPr>
        <w:t>,</w:t>
      </w:r>
      <w:r w:rsidRPr="00A25AE2">
        <w:rPr>
          <w:rFonts w:cs="Times New Roman"/>
          <w:i/>
          <w:lang w:bidi="en-US"/>
        </w:rPr>
        <w:t xml:space="preserve"> </w:t>
      </w:r>
      <w:r w:rsidRPr="00A25AE2">
        <w:rPr>
          <w:rFonts w:cs="Times New Roman"/>
          <w:lang w:bidi="en-US"/>
        </w:rPr>
        <w:t>which states as follows:</w:t>
      </w:r>
    </w:p>
    <w:p w:rsidR="00C526E4" w:rsidRPr="00A25AE2" w:rsidRDefault="00C526E4" w:rsidP="00C526E4">
      <w:pPr>
        <w:pStyle w:val="Citation-AltC"/>
        <w:rPr>
          <w:b/>
          <w:bCs/>
          <w:lang w:val="en-US"/>
        </w:rPr>
      </w:pPr>
      <w:r w:rsidRPr="00A25AE2">
        <w:rPr>
          <w:b/>
          <w:bCs/>
          <w:lang w:val="en-US"/>
        </w:rPr>
        <w:t>Application of English law in British Columbia</w:t>
      </w:r>
    </w:p>
    <w:p w:rsidR="00C526E4" w:rsidRPr="00A25AE2" w:rsidRDefault="00C526E4" w:rsidP="00C526E4">
      <w:pPr>
        <w:pStyle w:val="Citation-AltC"/>
        <w:rPr>
          <w:b/>
          <w:bCs/>
          <w:lang w:val="en-US"/>
        </w:rPr>
      </w:pPr>
    </w:p>
    <w:p w:rsidR="00C526E4" w:rsidRPr="00A25AE2" w:rsidRDefault="00C526E4" w:rsidP="00C526E4">
      <w:pPr>
        <w:pStyle w:val="Citation-AltC"/>
        <w:tabs>
          <w:tab w:val="left" w:pos="1800"/>
        </w:tabs>
        <w:ind w:left="1800" w:hanging="360"/>
        <w:rPr>
          <w:lang w:val="en-US"/>
        </w:rPr>
      </w:pPr>
      <w:r w:rsidRPr="00A25AE2">
        <w:rPr>
          <w:b/>
          <w:bCs/>
          <w:lang w:val="en-US"/>
        </w:rPr>
        <w:t>2</w:t>
      </w:r>
      <w:r w:rsidRPr="00A25AE2">
        <w:rPr>
          <w:b/>
          <w:bCs/>
          <w:lang w:val="en-US"/>
        </w:rPr>
        <w:tab/>
      </w:r>
      <w:r w:rsidRPr="00A25AE2">
        <w:rPr>
          <w:lang w:val="en-US"/>
        </w:rPr>
        <w:t>Subject to section 3, the Civil and Criminal Laws of England, as they existed on November 19, 1858, so far as they are not from local circumstances inapplicable, are in force in British Columbia, but those laws must be held to be modified and altered by all legislation that has the force of law in British Columbia or in any former Colony comprised within its geographical limits.</w:t>
      </w:r>
    </w:p>
    <w:p w:rsidR="00C526E4" w:rsidRPr="00A25AE2" w:rsidRDefault="00C526E4" w:rsidP="00C526E4">
      <w:pPr>
        <w:pStyle w:val="Title1LevelTitre1Niveau-AltL"/>
        <w:rPr>
          <w:rFonts w:cs="Times New Roman"/>
        </w:rPr>
      </w:pPr>
      <w:r w:rsidRPr="00A25AE2">
        <w:rPr>
          <w:rFonts w:cs="Times New Roman"/>
        </w:rPr>
        <w:t>Judicial History</w:t>
      </w:r>
    </w:p>
    <w:p w:rsidR="00C526E4" w:rsidRPr="00A25AE2" w:rsidRDefault="00C526E4" w:rsidP="00C526E4">
      <w:pPr>
        <w:pStyle w:val="Title2LevelTitre2Niveau"/>
        <w:rPr>
          <w:rFonts w:cs="Times New Roman"/>
        </w:rPr>
      </w:pPr>
      <w:r w:rsidRPr="00A25AE2">
        <w:rPr>
          <w:rFonts w:cs="Times New Roman"/>
        </w:rPr>
        <w:t>Provincial Court of British Columbia (Gulbransen Prov. Ct. J.)</w:t>
      </w:r>
      <w:r w:rsidRPr="00A25AE2">
        <w:rPr>
          <w:rFonts w:cs="Times New Roman"/>
          <w:i w:val="0"/>
        </w:rPr>
        <w:t xml:space="preserve"> </w:t>
      </w:r>
      <w:r w:rsidRPr="00A25AE2">
        <w:rPr>
          <w:rFonts w:cs="Times New Roman"/>
        </w:rPr>
        <w:t>— 2015 BCPC 230</w:t>
      </w:r>
    </w:p>
    <w:p w:rsidR="00C526E4" w:rsidRPr="00A25AE2" w:rsidRDefault="00C526E4" w:rsidP="00C526E4">
      <w:pPr>
        <w:pStyle w:val="ParaNoNdepar-AltN"/>
        <w:rPr>
          <w:rFonts w:cs="Times New Roman"/>
        </w:rPr>
      </w:pPr>
      <w:r w:rsidRPr="00A25AE2">
        <w:rPr>
          <w:rFonts w:cs="Times New Roman"/>
        </w:rPr>
        <w:t xml:space="preserve">The provincial court judge dismissed Mr. Bessette’s application for a trial in French. He held that s. 530 of the </w:t>
      </w:r>
      <w:r w:rsidRPr="00A25AE2">
        <w:rPr>
          <w:rFonts w:cs="Times New Roman"/>
          <w:i/>
        </w:rPr>
        <w:t xml:space="preserve">Criminal Code </w:t>
      </w:r>
      <w:r w:rsidRPr="00A25AE2">
        <w:rPr>
          <w:rFonts w:cs="Times New Roman"/>
        </w:rPr>
        <w:t xml:space="preserve">could not be incorporated into the </w:t>
      </w:r>
      <w:r w:rsidRPr="00A25AE2">
        <w:rPr>
          <w:rFonts w:cs="Times New Roman"/>
          <w:i/>
        </w:rPr>
        <w:t xml:space="preserve">Offence Act </w:t>
      </w:r>
      <w:r w:rsidRPr="00A25AE2">
        <w:rPr>
          <w:rFonts w:cs="Times New Roman"/>
        </w:rPr>
        <w:t xml:space="preserve">to displace the </w:t>
      </w:r>
      <w:r w:rsidRPr="00A25AE2">
        <w:rPr>
          <w:rFonts w:cs="Times New Roman"/>
          <w:i/>
        </w:rPr>
        <w:t xml:space="preserve">1731 Act </w:t>
      </w:r>
      <w:r w:rsidRPr="00A25AE2">
        <w:rPr>
          <w:rFonts w:cs="Times New Roman"/>
        </w:rPr>
        <w:t>because this latter Act already forms part of British Columbia law</w:t>
      </w:r>
      <w:r w:rsidRPr="00A25AE2">
        <w:rPr>
          <w:rFonts w:cs="Times New Roman"/>
          <w:i/>
        </w:rPr>
        <w:t>.</w:t>
      </w:r>
      <w:r w:rsidRPr="00A25AE2">
        <w:rPr>
          <w:rFonts w:cs="Times New Roman"/>
        </w:rPr>
        <w:t xml:space="preserve"> The judge adopted the reasoning of an earlier decision of the Provincial Court of British Columbia, </w:t>
      </w:r>
      <w:r w:rsidRPr="00A25AE2">
        <w:rPr>
          <w:rFonts w:cs="Times New Roman"/>
          <w:i/>
        </w:rPr>
        <w:t>R. v. Laflamme</w:t>
      </w:r>
      <w:r w:rsidRPr="00A25AE2">
        <w:rPr>
          <w:rFonts w:cs="Times New Roman"/>
        </w:rPr>
        <w:t xml:space="preserve">, B.C. Prov. Ct., No. 19739, February 17, 1997, which held that it is settled law that English is the language of the courts in British Columbia; s. 133 of the </w:t>
      </w:r>
      <w:r w:rsidRPr="00A25AE2">
        <w:rPr>
          <w:rFonts w:cs="Times New Roman"/>
          <w:i/>
        </w:rPr>
        <w:t xml:space="preserve">Offence Act </w:t>
      </w:r>
      <w:r w:rsidRPr="00A25AE2">
        <w:rPr>
          <w:rFonts w:cs="Times New Roman"/>
        </w:rPr>
        <w:t xml:space="preserve">is intended to incorporate procedural provisions of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not substantive ones; and to read s. 133</w:t>
      </w:r>
      <w:r w:rsidRPr="00A25AE2">
        <w:rPr>
          <w:rFonts w:cs="Times New Roman"/>
          <w:i/>
        </w:rPr>
        <w:t xml:space="preserve"> </w:t>
      </w:r>
      <w:r w:rsidRPr="00A25AE2">
        <w:rPr>
          <w:rFonts w:cs="Times New Roman"/>
        </w:rPr>
        <w:t xml:space="preserve">as allowing for trials in French would be a “political” decision. The judge hearing Mr. Bessette’s application also expressed some discomfort with the idea that a federal statute like the </w:t>
      </w:r>
      <w:r w:rsidRPr="00A25AE2">
        <w:rPr>
          <w:rFonts w:cs="Times New Roman"/>
          <w:i/>
        </w:rPr>
        <w:t xml:space="preserve">Criminal Code </w:t>
      </w:r>
      <w:r w:rsidRPr="00A25AE2">
        <w:rPr>
          <w:rFonts w:cs="Times New Roman"/>
        </w:rPr>
        <w:t xml:space="preserve">could impose language obligations on a purely provincial matter (namely, the prosecution of provincial offences). </w:t>
      </w:r>
    </w:p>
    <w:p w:rsidR="00C526E4" w:rsidRPr="00A25AE2" w:rsidRDefault="00C526E4" w:rsidP="00C526E4">
      <w:pPr>
        <w:pStyle w:val="Title2LevelTitre2Niveau"/>
        <w:rPr>
          <w:rFonts w:cs="Times New Roman"/>
        </w:rPr>
      </w:pPr>
      <w:r w:rsidRPr="00A25AE2">
        <w:rPr>
          <w:rFonts w:cs="Times New Roman"/>
        </w:rPr>
        <w:t>Supreme Court of British Columbia (Blok J.) — 2016 BCSC 2416, 372 C.R.R. (2d) 54</w:t>
      </w:r>
    </w:p>
    <w:p w:rsidR="00C526E4" w:rsidRPr="00A25AE2" w:rsidRDefault="00C526E4" w:rsidP="00C526E4">
      <w:pPr>
        <w:pStyle w:val="ParaNoNdepar-AltN"/>
        <w:rPr>
          <w:rFonts w:cs="Times New Roman"/>
        </w:rPr>
      </w:pPr>
      <w:r w:rsidRPr="00A25AE2">
        <w:rPr>
          <w:rFonts w:cs="Times New Roman"/>
        </w:rPr>
        <w:t xml:space="preserve">The Supreme Court of British Columbia dismissed Mr. Bessette’s petition for prerogative relief on the basis that it was premature. In its view, the provincial court judge’s decision would, if necessary, be reviewable by way of appeal after trial. Put differently, an appeal represented an adequate alternative remedy to </w:t>
      </w:r>
      <w:r w:rsidRPr="00A25AE2">
        <w:rPr>
          <w:rFonts w:cs="Times New Roman"/>
          <w:i/>
        </w:rPr>
        <w:t xml:space="preserve">certiorari </w:t>
      </w:r>
      <w:r w:rsidRPr="00A25AE2">
        <w:rPr>
          <w:rFonts w:cs="Times New Roman"/>
        </w:rPr>
        <w:t xml:space="preserve">— </w:t>
      </w:r>
      <w:r w:rsidRPr="00A25AE2">
        <w:rPr>
          <w:rFonts w:cs="Times New Roman"/>
          <w:lang w:val="en-US"/>
        </w:rPr>
        <w:t>the prerogative writ which permits the superior court granting it to review the decision of the judge below</w:t>
      </w:r>
      <w:r w:rsidRPr="00A25AE2">
        <w:rPr>
          <w:rFonts w:cs="Times New Roman"/>
        </w:rPr>
        <w:t xml:space="preserve">. As explained in </w:t>
      </w:r>
      <w:r w:rsidRPr="00A25AE2">
        <w:rPr>
          <w:rFonts w:cs="Times New Roman"/>
          <w:i/>
        </w:rPr>
        <w:t>Skogman v. The Queen</w:t>
      </w:r>
      <w:r w:rsidRPr="00A25AE2">
        <w:rPr>
          <w:rFonts w:cs="Times New Roman"/>
        </w:rPr>
        <w:t xml:space="preserve">, [1984] 2 S.C.R. 93, at pp. 98-100, to grant </w:t>
      </w:r>
      <w:r w:rsidRPr="00A25AE2">
        <w:rPr>
          <w:rFonts w:cs="Times New Roman"/>
          <w:i/>
        </w:rPr>
        <w:t>certiorari</w:t>
      </w:r>
      <w:r w:rsidRPr="00A25AE2">
        <w:rPr>
          <w:rFonts w:cs="Times New Roman"/>
        </w:rPr>
        <w:t xml:space="preserve"> is to undertake judicial review (or “</w:t>
      </w:r>
      <w:r w:rsidRPr="00A25AE2">
        <w:rPr>
          <w:rFonts w:cs="Times New Roman"/>
          <w:i/>
        </w:rPr>
        <w:t>certiorari</w:t>
      </w:r>
      <w:r w:rsidRPr="00A25AE2">
        <w:rPr>
          <w:rFonts w:cs="Times New Roman"/>
        </w:rPr>
        <w:t xml:space="preserve"> review”).</w:t>
      </w:r>
    </w:p>
    <w:p w:rsidR="00C526E4" w:rsidRPr="00A25AE2" w:rsidRDefault="00C526E4" w:rsidP="00C526E4">
      <w:pPr>
        <w:pStyle w:val="ParaNoNdepar-AltN"/>
        <w:rPr>
          <w:rFonts w:cs="Times New Roman"/>
        </w:rPr>
      </w:pPr>
      <w:r w:rsidRPr="00A25AE2">
        <w:rPr>
          <w:rFonts w:cs="Times New Roman"/>
        </w:rPr>
        <w:t xml:space="preserve">In coming to this conclusion, the superior court judge made the following assessments (based on the factors set out in </w:t>
      </w:r>
      <w:r w:rsidRPr="00A25AE2">
        <w:rPr>
          <w:rFonts w:cs="Times New Roman"/>
          <w:i/>
        </w:rPr>
        <w:t xml:space="preserve">R. v. Johnson </w:t>
      </w:r>
      <w:r w:rsidRPr="00A25AE2">
        <w:rPr>
          <w:rFonts w:cs="Times New Roman"/>
        </w:rPr>
        <w:t>(1991),</w:t>
      </w:r>
      <w:r w:rsidRPr="00A25AE2">
        <w:rPr>
          <w:rFonts w:eastAsia="Times New Roman" w:cs="Times New Roman"/>
          <w:sz w:val="21"/>
          <w:szCs w:val="21"/>
          <w:lang w:eastAsia="en-CA"/>
        </w:rPr>
        <w:t xml:space="preserve"> </w:t>
      </w:r>
      <w:r w:rsidRPr="00A25AE2">
        <w:rPr>
          <w:rFonts w:cs="Times New Roman"/>
        </w:rPr>
        <w:t>3 O.R. (3d) 49 (C.A.)): (a) the Provincial Court had the competence to make the ruling it did; (b) it was not apparent that the ruling resulted in an “ongoing significant” infringement of Mr. Bessette’s rights; (c) judicial economy, and the principles against delay and fragmentation of proceedings, strongly militated against considering the merits of Mr. Bessette’s petition; (d) the Provincial Court was not implicated in the alleged rights violation, but had simply made a ruling on a disputed question of law; and (e) the decision was not so “obviously wrong” (if indeed wrong at all) to merit immediate intervention.</w:t>
      </w:r>
    </w:p>
    <w:p w:rsidR="00C526E4" w:rsidRPr="00A25AE2" w:rsidRDefault="00C526E4" w:rsidP="00C526E4">
      <w:pPr>
        <w:pStyle w:val="Title2LevelTitre2Niveau"/>
        <w:rPr>
          <w:rFonts w:cs="Times New Roman"/>
        </w:rPr>
      </w:pPr>
      <w:r w:rsidRPr="00A25AE2">
        <w:rPr>
          <w:rFonts w:cs="Times New Roman"/>
        </w:rPr>
        <w:t>Court of Appeal for British Columbia (Saunders, Goepel and Fenlon JJ.A.)</w:t>
      </w:r>
      <w:r w:rsidRPr="00A25AE2">
        <w:rPr>
          <w:rFonts w:cs="Times New Roman"/>
          <w:i w:val="0"/>
        </w:rPr>
        <w:t xml:space="preserve"> </w:t>
      </w:r>
      <w:r w:rsidRPr="00A25AE2">
        <w:rPr>
          <w:rFonts w:cs="Times New Roman"/>
        </w:rPr>
        <w:t>— 2017 BCCA 264, 361 C.C.C. (3d) 448</w:t>
      </w:r>
    </w:p>
    <w:p w:rsidR="00C526E4" w:rsidRPr="00A25AE2" w:rsidRDefault="00C526E4" w:rsidP="00C526E4">
      <w:pPr>
        <w:pStyle w:val="ParaNoNdepar-AltN"/>
        <w:rPr>
          <w:rFonts w:cs="Times New Roman"/>
        </w:rPr>
      </w:pPr>
      <w:r w:rsidRPr="00A25AE2">
        <w:rPr>
          <w:rFonts w:cs="Times New Roman"/>
        </w:rPr>
        <w:t xml:space="preserve">A unanimous panel of the Court of Appeal held that the Supreme Court of British Columbia’s decision attracted deference as it was a discretionary decision about whether the interests of justice favoured granting </w:t>
      </w:r>
      <w:r w:rsidRPr="00A25AE2">
        <w:rPr>
          <w:rFonts w:cs="Times New Roman"/>
          <w:i/>
        </w:rPr>
        <w:t>certiorari</w:t>
      </w:r>
      <w:r w:rsidRPr="00A25AE2">
        <w:rPr>
          <w:rFonts w:cs="Times New Roman"/>
        </w:rPr>
        <w:t>. The court held that it was open to the superior court judge to conclude that an appeal from conviction represented an adequate alternative remedy and that there were no circumstances warranting departure from the general rule against interlocutory appeals in criminal and quasi-criminal matters.</w:t>
      </w:r>
    </w:p>
    <w:p w:rsidR="00C526E4" w:rsidRPr="00A25AE2" w:rsidRDefault="00C526E4" w:rsidP="00C526E4">
      <w:pPr>
        <w:pStyle w:val="Title1LevelTitre1Niveau-AltL"/>
        <w:rPr>
          <w:rFonts w:cs="Times New Roman"/>
        </w:rPr>
      </w:pPr>
      <w:r w:rsidRPr="00A25AE2">
        <w:rPr>
          <w:rFonts w:cs="Times New Roman"/>
        </w:rPr>
        <w:t>Issues</w:t>
      </w:r>
    </w:p>
    <w:p w:rsidR="00C526E4" w:rsidRPr="00A25AE2" w:rsidRDefault="00C526E4" w:rsidP="00C526E4">
      <w:pPr>
        <w:pStyle w:val="ParaNoNdepar-AltN"/>
        <w:rPr>
          <w:rFonts w:cs="Times New Roman"/>
        </w:rPr>
      </w:pPr>
      <w:r w:rsidRPr="00A25AE2">
        <w:rPr>
          <w:rFonts w:cs="Times New Roman"/>
        </w:rPr>
        <w:t>There are two questions before this Court:</w:t>
      </w:r>
    </w:p>
    <w:p w:rsidR="00C526E4" w:rsidRPr="00A25AE2" w:rsidRDefault="00A61C99" w:rsidP="00A61C99">
      <w:pPr>
        <w:pStyle w:val="ParaNoNdepar-AltN"/>
        <w:numPr>
          <w:ilvl w:val="0"/>
          <w:numId w:val="0"/>
        </w:numPr>
        <w:tabs>
          <w:tab w:val="left" w:pos="1620"/>
        </w:tabs>
        <w:rPr>
          <w:rFonts w:cs="Times New Roman"/>
        </w:rPr>
      </w:pPr>
      <w:r>
        <w:rPr>
          <w:rFonts w:cs="Times New Roman"/>
        </w:rPr>
        <w:t xml:space="preserve">1. </w:t>
      </w:r>
      <w:r w:rsidR="00C526E4" w:rsidRPr="00A25AE2">
        <w:rPr>
          <w:rFonts w:cs="Times New Roman"/>
        </w:rPr>
        <w:t xml:space="preserve">The threshold question: Was the Provincial Court’s decision not to grant Mr. Bessette his trial in French immediately reviewable by the Supreme Court of British Columbia on a petition for </w:t>
      </w:r>
      <w:r w:rsidR="00C526E4" w:rsidRPr="00A25AE2">
        <w:rPr>
          <w:rFonts w:cs="Times New Roman"/>
          <w:i/>
        </w:rPr>
        <w:t>certiorari</w:t>
      </w:r>
      <w:r w:rsidR="00C526E4" w:rsidRPr="00A25AE2">
        <w:rPr>
          <w:rFonts w:cs="Times New Roman"/>
        </w:rPr>
        <w:t>, and, if so, did the Supreme Court err in declining to consider the merits of Mr. Bessette’s petition?</w:t>
      </w:r>
    </w:p>
    <w:p w:rsidR="00C526E4" w:rsidRPr="00A25AE2" w:rsidRDefault="00A61C99" w:rsidP="00A61C99">
      <w:pPr>
        <w:pStyle w:val="ParaNoNdepar-AltN"/>
        <w:numPr>
          <w:ilvl w:val="0"/>
          <w:numId w:val="0"/>
        </w:numPr>
        <w:tabs>
          <w:tab w:val="left" w:pos="1620"/>
        </w:tabs>
        <w:rPr>
          <w:rFonts w:cs="Times New Roman"/>
        </w:rPr>
      </w:pPr>
      <w:r>
        <w:rPr>
          <w:rFonts w:cs="Times New Roman"/>
        </w:rPr>
        <w:t xml:space="preserve">2. </w:t>
      </w:r>
      <w:r w:rsidR="00C526E4" w:rsidRPr="00A25AE2">
        <w:rPr>
          <w:rFonts w:cs="Times New Roman"/>
        </w:rPr>
        <w:t xml:space="preserve">The substantive question: Does s. 133 of the </w:t>
      </w:r>
      <w:r w:rsidR="00C526E4" w:rsidRPr="00A25AE2">
        <w:rPr>
          <w:rFonts w:cs="Times New Roman"/>
          <w:i/>
        </w:rPr>
        <w:t xml:space="preserve">Offence Act </w:t>
      </w:r>
      <w:r w:rsidR="00C526E4" w:rsidRPr="00A25AE2">
        <w:rPr>
          <w:rFonts w:cs="Times New Roman"/>
        </w:rPr>
        <w:t xml:space="preserve">incorporate s. 530 of the </w:t>
      </w:r>
      <w:r w:rsidR="00C526E4" w:rsidRPr="00A25AE2">
        <w:rPr>
          <w:rFonts w:cs="Times New Roman"/>
          <w:i/>
        </w:rPr>
        <w:t xml:space="preserve">Criminal Code </w:t>
      </w:r>
      <w:r w:rsidR="00C526E4" w:rsidRPr="00A25AE2">
        <w:rPr>
          <w:rFonts w:cs="Times New Roman"/>
        </w:rPr>
        <w:t xml:space="preserve">and thereby grant persons accused of certain provincial offences the right to be tried in French? </w:t>
      </w:r>
    </w:p>
    <w:p w:rsidR="00C526E4" w:rsidRPr="00A25AE2" w:rsidRDefault="00C526E4" w:rsidP="00C526E4">
      <w:pPr>
        <w:pStyle w:val="ParaNoNdepar-AltN"/>
        <w:rPr>
          <w:rFonts w:cs="Times New Roman"/>
        </w:rPr>
      </w:pPr>
      <w:r w:rsidRPr="00A25AE2">
        <w:rPr>
          <w:rFonts w:cs="Times New Roman"/>
        </w:rPr>
        <w:t xml:space="preserve">It is not contested that Mr. Bessette made his application before the Provincial Court at the appropriate time under s. 530(1)(a) of the </w:t>
      </w:r>
      <w:r w:rsidRPr="00A25AE2">
        <w:rPr>
          <w:rFonts w:cs="Times New Roman"/>
          <w:i/>
        </w:rPr>
        <w:t>Criminal Code</w:t>
      </w:r>
      <w:r w:rsidRPr="00A25AE2">
        <w:rPr>
          <w:rFonts w:cs="Times New Roman"/>
        </w:rPr>
        <w:t xml:space="preserve">, and therefore meets the procedural requirements for obtaining a French-language trial. There is also no dispute that the Provincial Court must have the capacity to provide trials in French; indeed, because it hears </w:t>
      </w:r>
      <w:r w:rsidRPr="00A25AE2">
        <w:rPr>
          <w:rFonts w:cs="Times New Roman"/>
          <w:i/>
        </w:rPr>
        <w:t>Criminal Code</w:t>
      </w:r>
      <w:r w:rsidRPr="00A25AE2">
        <w:rPr>
          <w:rFonts w:cs="Times New Roman"/>
        </w:rPr>
        <w:t xml:space="preserve"> matters, it is required to be institutionally bilingual (</w:t>
      </w:r>
      <w:r w:rsidRPr="00A25AE2">
        <w:rPr>
          <w:rFonts w:cs="Times New Roman"/>
          <w:i/>
          <w:lang w:val="en-US"/>
        </w:rPr>
        <w:t>R. v. Beaulac</w:t>
      </w:r>
      <w:r w:rsidRPr="00A25AE2">
        <w:rPr>
          <w:rFonts w:cs="Times New Roman"/>
          <w:lang w:val="en-US"/>
        </w:rPr>
        <w:t>,</w:t>
      </w:r>
      <w:r w:rsidRPr="00A25AE2">
        <w:rPr>
          <w:rFonts w:cs="Times New Roman"/>
        </w:rPr>
        <w:t xml:space="preserve"> [1999] 1 S.C.R. 768, at para. 28). </w:t>
      </w:r>
    </w:p>
    <w:p w:rsidR="00C526E4" w:rsidRPr="00A25AE2" w:rsidRDefault="00C526E4" w:rsidP="00C526E4">
      <w:pPr>
        <w:pStyle w:val="Title1LevelTitre1Niveau-AltL"/>
        <w:rPr>
          <w:rFonts w:cs="Times New Roman"/>
        </w:rPr>
      </w:pPr>
      <w:r w:rsidRPr="00A25AE2">
        <w:rPr>
          <w:rFonts w:cs="Times New Roman"/>
        </w:rPr>
        <w:t>Analysis</w:t>
      </w:r>
    </w:p>
    <w:p w:rsidR="00C526E4" w:rsidRPr="00A25AE2" w:rsidRDefault="00C526E4" w:rsidP="00C526E4">
      <w:pPr>
        <w:pStyle w:val="Title2LevelTitre2Niveau"/>
        <w:rPr>
          <w:rFonts w:cs="Times New Roman"/>
          <w:i w:val="0"/>
        </w:rPr>
      </w:pPr>
      <w:r w:rsidRPr="00A25AE2">
        <w:rPr>
          <w:rFonts w:cs="Times New Roman"/>
        </w:rPr>
        <w:t>The Threshold Question: Availability of Certiorari</w:t>
      </w:r>
    </w:p>
    <w:p w:rsidR="00C526E4" w:rsidRPr="00A25AE2" w:rsidRDefault="00C526E4" w:rsidP="00C526E4">
      <w:pPr>
        <w:pStyle w:val="ParaNoNdepar-AltN"/>
        <w:rPr>
          <w:rFonts w:cs="Times New Roman"/>
        </w:rPr>
      </w:pPr>
      <w:r w:rsidRPr="00A25AE2">
        <w:rPr>
          <w:rFonts w:eastAsiaTheme="minorHAnsi" w:cs="Times New Roman"/>
        </w:rPr>
        <w:t xml:space="preserve">In our view, whether Mr. Bessette is entitled to be tried in French raises a jurisdictional question, and </w:t>
      </w:r>
      <w:r w:rsidRPr="00A25AE2">
        <w:rPr>
          <w:rFonts w:cs="Times New Roman"/>
          <w:i/>
          <w:lang w:val="en-US"/>
        </w:rPr>
        <w:t>certiorari</w:t>
      </w:r>
      <w:r w:rsidRPr="00A25AE2">
        <w:rPr>
          <w:rFonts w:cs="Times New Roman"/>
          <w:lang w:val="en-US"/>
        </w:rPr>
        <w:t xml:space="preserve"> review </w:t>
      </w:r>
      <w:r w:rsidRPr="00A25AE2">
        <w:rPr>
          <w:rFonts w:eastAsiaTheme="minorHAnsi" w:cs="Times New Roman"/>
        </w:rPr>
        <w:t>is therefore available before the trial is heard. Although superior</w:t>
      </w:r>
      <w:r w:rsidRPr="00A25AE2">
        <w:rPr>
          <w:rFonts w:eastAsiaTheme="minorHAnsi" w:cs="Times New Roman"/>
          <w:b/>
        </w:rPr>
        <w:t xml:space="preserve"> </w:t>
      </w:r>
      <w:r w:rsidRPr="00A25AE2">
        <w:rPr>
          <w:rFonts w:eastAsiaTheme="minorHAnsi" w:cs="Times New Roman"/>
        </w:rPr>
        <w:t xml:space="preserve">courts retain a residual discretion to refuse </w:t>
      </w:r>
      <w:r w:rsidRPr="00A25AE2">
        <w:rPr>
          <w:rFonts w:cs="Times New Roman"/>
          <w:i/>
          <w:lang w:val="en-US"/>
        </w:rPr>
        <w:t>certiorari</w:t>
      </w:r>
      <w:r w:rsidRPr="00A25AE2">
        <w:rPr>
          <w:rFonts w:cs="Times New Roman"/>
          <w:lang w:val="en-US"/>
        </w:rPr>
        <w:t xml:space="preserve"> review, even in the face of alleged jurisdictional errors, no such refusal is warranted in the circumstances.</w:t>
      </w:r>
      <w:r w:rsidRPr="00A25AE2">
        <w:rPr>
          <w:rFonts w:eastAsiaTheme="minorHAnsi" w:cs="Times New Roman"/>
        </w:rPr>
        <w:t xml:space="preserve"> </w:t>
      </w:r>
    </w:p>
    <w:p w:rsidR="00C526E4" w:rsidRPr="00A25AE2" w:rsidRDefault="00C526E4" w:rsidP="00C526E4">
      <w:pPr>
        <w:pStyle w:val="Title3LevelTitre3Niveau"/>
        <w:rPr>
          <w:rFonts w:cs="Times New Roman"/>
          <w:lang w:val="en-US"/>
        </w:rPr>
      </w:pPr>
      <w:r w:rsidRPr="00A25AE2">
        <w:rPr>
          <w:rFonts w:cs="Times New Roman"/>
          <w:lang w:val="en-US"/>
        </w:rPr>
        <w:t>Jurisdictional Error: Failure to Comply With a Mandatory Statutory Provision</w:t>
      </w:r>
    </w:p>
    <w:p w:rsidR="00C526E4" w:rsidRPr="00A25AE2" w:rsidRDefault="00C526E4" w:rsidP="00C526E4">
      <w:pPr>
        <w:pStyle w:val="ParaNoNdepar-AltN"/>
        <w:rPr>
          <w:rFonts w:cs="Times New Roman"/>
          <w:lang w:val="en-US"/>
        </w:rPr>
      </w:pPr>
      <w:r w:rsidRPr="00A25AE2">
        <w:rPr>
          <w:rFonts w:cs="Times New Roman"/>
          <w:lang w:val="en-US"/>
        </w:rPr>
        <w:t xml:space="preserve">Superior courts generally do not intervene in ongoing criminal proceedings in the provincial courts. As was recently explained by this Court in </w:t>
      </w:r>
      <w:r w:rsidRPr="00A25AE2">
        <w:rPr>
          <w:rFonts w:cs="Times New Roman"/>
          <w:i/>
          <w:lang w:val="en-US"/>
        </w:rPr>
        <w:t>R. v. Awashish</w:t>
      </w:r>
      <w:r w:rsidRPr="00A25AE2">
        <w:rPr>
          <w:rFonts w:cs="Times New Roman"/>
          <w:lang w:val="en-US"/>
        </w:rPr>
        <w:t>,</w:t>
      </w:r>
      <w:r w:rsidRPr="00A25AE2">
        <w:rPr>
          <w:rFonts w:cs="Times New Roman"/>
          <w:i/>
          <w:lang w:val="en-US"/>
        </w:rPr>
        <w:t xml:space="preserve"> </w:t>
      </w:r>
      <w:r w:rsidRPr="00A25AE2">
        <w:rPr>
          <w:rFonts w:cs="Times New Roman"/>
          <w:lang w:val="en-US"/>
        </w:rPr>
        <w:t>2018 SCC 45,</w:t>
      </w:r>
      <w:r w:rsidR="001A67D3" w:rsidRPr="001A67D3">
        <w:t xml:space="preserve"> </w:t>
      </w:r>
      <w:r w:rsidR="001A67D3">
        <w:t>[2018</w:t>
      </w:r>
      <w:r w:rsidR="001A67D3" w:rsidRPr="00840C5D">
        <w:t>]</w:t>
      </w:r>
      <w:r w:rsidR="001A67D3">
        <w:t xml:space="preserve"> 3 S.C.R. 87,</w:t>
      </w:r>
      <w:r w:rsidRPr="00A25AE2">
        <w:rPr>
          <w:rFonts w:cs="Times New Roman"/>
          <w:lang w:val="en-US"/>
        </w:rPr>
        <w:t xml:space="preserve"> criminal appeals are statutory and, with limited exceptions, there are no interlocutory appeals. Indeed, the </w:t>
      </w:r>
      <w:r w:rsidRPr="00A25AE2">
        <w:rPr>
          <w:rFonts w:cs="Times New Roman"/>
          <w:i/>
          <w:lang w:val="en-US"/>
        </w:rPr>
        <w:t xml:space="preserve">Offence Act </w:t>
      </w:r>
      <w:r w:rsidRPr="00A25AE2">
        <w:rPr>
          <w:rFonts w:cs="Times New Roman"/>
          <w:lang w:val="en-US"/>
        </w:rPr>
        <w:t xml:space="preserve">provisions governing appeals from “order[s]” (ss. 102 and 109) have been interpreted by the British Columbia courts as authorizing only appeals from </w:t>
      </w:r>
      <w:r w:rsidRPr="00A25AE2">
        <w:rPr>
          <w:rFonts w:cs="Times New Roman"/>
          <w:i/>
          <w:lang w:val="en-US"/>
        </w:rPr>
        <w:t xml:space="preserve">final </w:t>
      </w:r>
      <w:r w:rsidRPr="00A25AE2">
        <w:rPr>
          <w:rFonts w:cs="Times New Roman"/>
          <w:lang w:val="en-US"/>
        </w:rPr>
        <w:t xml:space="preserve">orders (see </w:t>
      </w:r>
      <w:r w:rsidRPr="00A25AE2">
        <w:rPr>
          <w:rFonts w:cs="Times New Roman"/>
          <w:i/>
          <w:lang w:val="en-US"/>
        </w:rPr>
        <w:t>R. v. Plummer</w:t>
      </w:r>
      <w:r w:rsidRPr="00A25AE2">
        <w:rPr>
          <w:rFonts w:cs="Times New Roman"/>
          <w:lang w:val="en-US"/>
        </w:rPr>
        <w:t>,</w:t>
      </w:r>
      <w:r w:rsidRPr="00A25AE2">
        <w:rPr>
          <w:rFonts w:cs="Times New Roman"/>
          <w:i/>
          <w:lang w:val="en-US"/>
        </w:rPr>
        <w:t xml:space="preserve"> </w:t>
      </w:r>
      <w:r w:rsidR="00B16155">
        <w:rPr>
          <w:rFonts w:cs="Times New Roman"/>
          <w:lang w:val="en-US"/>
        </w:rPr>
        <w:t>2018 BCSC 513, 2</w:t>
      </w:r>
      <w:r w:rsidRPr="00A25AE2">
        <w:rPr>
          <w:rFonts w:cs="Times New Roman"/>
          <w:lang w:val="en-US"/>
        </w:rPr>
        <w:t>5 M.V.R. (7th) 117, at para. 16). Criminal trials should not routinely be fragmented by interlocutory proceedings as these may be based on an incomplete record, take on a life of their own, or result in significant delay and the inefficient use of judicial resources (</w:t>
      </w:r>
      <w:r w:rsidRPr="00A25AE2">
        <w:rPr>
          <w:rFonts w:cs="Times New Roman"/>
          <w:i/>
          <w:lang w:val="en-US"/>
        </w:rPr>
        <w:t>Awashish</w:t>
      </w:r>
      <w:r w:rsidRPr="00A25AE2">
        <w:rPr>
          <w:rFonts w:cs="Times New Roman"/>
          <w:lang w:val="en-US"/>
        </w:rPr>
        <w:t xml:space="preserve">, at para. 10; </w:t>
      </w:r>
      <w:r w:rsidRPr="00A25AE2">
        <w:rPr>
          <w:rFonts w:cs="Times New Roman"/>
          <w:i/>
          <w:lang w:val="en-US"/>
        </w:rPr>
        <w:t>Johnson</w:t>
      </w:r>
      <w:r w:rsidRPr="00A25AE2">
        <w:rPr>
          <w:rFonts w:cs="Times New Roman"/>
          <w:lang w:val="en-US"/>
        </w:rPr>
        <w:t>, at p. 54).</w:t>
      </w:r>
    </w:p>
    <w:p w:rsidR="00C526E4" w:rsidRPr="00A25AE2" w:rsidRDefault="00C526E4" w:rsidP="00C526E4">
      <w:pPr>
        <w:pStyle w:val="ParaNoNdepar-AltN"/>
        <w:rPr>
          <w:rFonts w:cs="Times New Roman"/>
          <w:lang w:val="en-US"/>
        </w:rPr>
      </w:pPr>
      <w:r w:rsidRPr="00A25AE2">
        <w:rPr>
          <w:rFonts w:cs="Times New Roman"/>
          <w:lang w:val="en-US"/>
        </w:rPr>
        <w:t xml:space="preserve">For parties to criminal proceedings, pre- or mid-trial </w:t>
      </w:r>
      <w:r w:rsidRPr="00A25AE2">
        <w:rPr>
          <w:rFonts w:cs="Times New Roman"/>
          <w:i/>
          <w:lang w:val="en-US"/>
        </w:rPr>
        <w:t>certiorari</w:t>
      </w:r>
      <w:r w:rsidRPr="00A25AE2">
        <w:rPr>
          <w:rFonts w:cs="Times New Roman"/>
          <w:lang w:val="en-US"/>
        </w:rPr>
        <w:t xml:space="preserve"> is available “for a jurisdictional error by a provincial court judge” (</w:t>
      </w:r>
      <w:r w:rsidRPr="00A25AE2">
        <w:rPr>
          <w:rFonts w:cs="Times New Roman"/>
          <w:i/>
          <w:lang w:val="en-US"/>
        </w:rPr>
        <w:t>Awashish</w:t>
      </w:r>
      <w:r w:rsidRPr="00A25AE2">
        <w:rPr>
          <w:rFonts w:cs="Times New Roman"/>
          <w:lang w:val="en-US"/>
        </w:rPr>
        <w:t>, at</w:t>
      </w:r>
      <w:r w:rsidRPr="00A25AE2">
        <w:rPr>
          <w:rFonts w:cs="Times New Roman"/>
          <w:i/>
          <w:lang w:val="en-US"/>
        </w:rPr>
        <w:t xml:space="preserve"> </w:t>
      </w:r>
      <w:r w:rsidRPr="00A25AE2">
        <w:rPr>
          <w:rFonts w:cs="Times New Roman"/>
          <w:lang w:val="en-US"/>
        </w:rPr>
        <w:t xml:space="preserve">para. 20). In the criminal context, a </w:t>
      </w:r>
      <w:r w:rsidRPr="00A25AE2">
        <w:rPr>
          <w:rFonts w:cs="Times New Roman"/>
        </w:rPr>
        <w:t>jurisdictional error occurs “where the court fails to observe a mandatory provision of a statute or where a court acts in breach of the principles of natural justice” (</w:t>
      </w:r>
      <w:r w:rsidRPr="00A25AE2">
        <w:rPr>
          <w:rFonts w:cs="Times New Roman"/>
          <w:i/>
        </w:rPr>
        <w:t>Awashish</w:t>
      </w:r>
      <w:r w:rsidRPr="00A25AE2">
        <w:rPr>
          <w:rFonts w:cs="Times New Roman"/>
        </w:rPr>
        <w:t>,</w:t>
      </w:r>
      <w:r w:rsidRPr="00A25AE2">
        <w:rPr>
          <w:rFonts w:cs="Times New Roman"/>
          <w:i/>
        </w:rPr>
        <w:t xml:space="preserve"> </w:t>
      </w:r>
      <w:r w:rsidRPr="00A25AE2">
        <w:rPr>
          <w:rFonts w:cs="Times New Roman"/>
        </w:rPr>
        <w:t>at para. 23). The court that makes such an error loses jurisdiction over the accused (</w:t>
      </w:r>
      <w:r w:rsidRPr="00A25AE2">
        <w:rPr>
          <w:rFonts w:cs="Times New Roman"/>
          <w:i/>
        </w:rPr>
        <w:t>Doyle v. The Queen</w:t>
      </w:r>
      <w:r w:rsidRPr="00A25AE2">
        <w:rPr>
          <w:rFonts w:cs="Times New Roman"/>
        </w:rPr>
        <w:t>,</w:t>
      </w:r>
      <w:r w:rsidRPr="00A25AE2">
        <w:rPr>
          <w:rFonts w:cs="Times New Roman"/>
          <w:i/>
        </w:rPr>
        <w:t xml:space="preserve"> </w:t>
      </w:r>
      <w:r w:rsidRPr="00A25AE2">
        <w:rPr>
          <w:rFonts w:cs="Times New Roman"/>
        </w:rPr>
        <w:t xml:space="preserve">[1977] 1 S.C.R. 597, at pp. 603 and 607; see also </w:t>
      </w:r>
      <w:r w:rsidRPr="00A25AE2">
        <w:rPr>
          <w:rFonts w:cs="Times New Roman"/>
          <w:i/>
        </w:rPr>
        <w:t>R. v. Deschamplain</w:t>
      </w:r>
      <w:r w:rsidRPr="00A25AE2">
        <w:rPr>
          <w:rFonts w:cs="Times New Roman"/>
        </w:rPr>
        <w:t>,</w:t>
      </w:r>
      <w:r w:rsidRPr="00A25AE2">
        <w:rPr>
          <w:rFonts w:cs="Times New Roman"/>
          <w:i/>
        </w:rPr>
        <w:t xml:space="preserve"> </w:t>
      </w:r>
      <w:r w:rsidRPr="00A25AE2">
        <w:rPr>
          <w:rFonts w:cs="Times New Roman"/>
        </w:rPr>
        <w:t>2004 SCC 76,</w:t>
      </w:r>
      <w:r w:rsidRPr="00A25AE2">
        <w:rPr>
          <w:rFonts w:cs="Times New Roman"/>
          <w:i/>
        </w:rPr>
        <w:t xml:space="preserve"> </w:t>
      </w:r>
      <w:r w:rsidRPr="00A25AE2">
        <w:rPr>
          <w:rFonts w:cs="Times New Roman"/>
        </w:rPr>
        <w:t>[2004] 3 S.C.R. 601, at paras. 12, 18-19, 33 and 37-38)</w:t>
      </w:r>
      <w:r w:rsidRPr="00A25AE2">
        <w:rPr>
          <w:rFonts w:cs="Times New Roman"/>
          <w:i/>
        </w:rPr>
        <w:t xml:space="preserve">. </w:t>
      </w:r>
      <w:r w:rsidRPr="00A25AE2">
        <w:rPr>
          <w:rFonts w:cs="Times New Roman"/>
        </w:rPr>
        <w:t xml:space="preserve">Whether the alleged error by the trial judge constitutes a jurisdictional error, making </w:t>
      </w:r>
      <w:r w:rsidRPr="00A25AE2">
        <w:rPr>
          <w:rFonts w:cs="Times New Roman"/>
          <w:i/>
        </w:rPr>
        <w:t xml:space="preserve">certiorari </w:t>
      </w:r>
      <w:r w:rsidRPr="00A25AE2">
        <w:rPr>
          <w:rFonts w:cs="Times New Roman"/>
        </w:rPr>
        <w:t>review available, is a question of law reviewable for correctness.</w:t>
      </w:r>
    </w:p>
    <w:p w:rsidR="00C526E4" w:rsidRPr="00A25AE2" w:rsidRDefault="00C526E4" w:rsidP="00C526E4">
      <w:pPr>
        <w:pStyle w:val="ParaNoNdepar-AltN"/>
        <w:rPr>
          <w:rFonts w:cs="Times New Roman"/>
          <w:lang w:val="en-US"/>
        </w:rPr>
      </w:pPr>
      <w:r w:rsidRPr="00A25AE2">
        <w:rPr>
          <w:rFonts w:cs="Times New Roman"/>
          <w:lang w:val="en-US"/>
        </w:rPr>
        <w:t xml:space="preserve">The parties agree that the law governing the availability of </w:t>
      </w:r>
      <w:r w:rsidRPr="00A25AE2">
        <w:rPr>
          <w:rFonts w:cs="Times New Roman"/>
          <w:i/>
          <w:lang w:val="en-US"/>
        </w:rPr>
        <w:t>certiorari</w:t>
      </w:r>
      <w:r w:rsidRPr="00A25AE2">
        <w:rPr>
          <w:rFonts w:cs="Times New Roman"/>
          <w:lang w:val="en-US"/>
        </w:rPr>
        <w:t xml:space="preserve"> review in the criminal context applies in this quasi-criminal context. Both parties argued their case on this basis. However, they dispute whether the Provincial Court’s decision not to grant Mr. Bessette a trial in French was immediately reviewable by the superior court for constituting a failure to observe a mandatory statutory provision.</w:t>
      </w:r>
    </w:p>
    <w:p w:rsidR="00C526E4" w:rsidRPr="00A25AE2" w:rsidRDefault="00C526E4" w:rsidP="00C526E4">
      <w:pPr>
        <w:pStyle w:val="ParaNoNdepar-AltN"/>
        <w:rPr>
          <w:rFonts w:cs="Times New Roman"/>
          <w:lang w:val="en-US"/>
        </w:rPr>
      </w:pPr>
      <w:r w:rsidRPr="00A25AE2">
        <w:rPr>
          <w:rFonts w:cs="Times New Roman"/>
          <w:lang w:val="en-US"/>
        </w:rPr>
        <w:t xml:space="preserve">On its face, s. 530 of the </w:t>
      </w:r>
      <w:r w:rsidRPr="00A25AE2">
        <w:rPr>
          <w:rFonts w:cs="Times New Roman"/>
          <w:i/>
          <w:lang w:val="en-US"/>
        </w:rPr>
        <w:t xml:space="preserve">Criminal Code </w:t>
      </w:r>
      <w:r w:rsidRPr="00A25AE2">
        <w:rPr>
          <w:rFonts w:cs="Times New Roman"/>
          <w:lang w:val="en-US"/>
        </w:rPr>
        <w:t>is clearly a mandatory statutory provision. It dictates, in no uncertain terms, that the judge “shall grant” a French trial on application of the accused (provided the application is brought within the requisite time). “Shall” is mandatory language (</w:t>
      </w:r>
      <w:r w:rsidRPr="00A25AE2">
        <w:rPr>
          <w:rFonts w:cs="Times New Roman"/>
          <w:i/>
          <w:lang w:val="en-US"/>
        </w:rPr>
        <w:t>Interpretation Act</w:t>
      </w:r>
      <w:r w:rsidRPr="00A25AE2">
        <w:rPr>
          <w:rFonts w:cs="Times New Roman"/>
          <w:lang w:val="en-US"/>
        </w:rPr>
        <w:t xml:space="preserve">, R.S.C. 1985, c. I-21, s. 11; </w:t>
      </w:r>
      <w:r w:rsidRPr="00A25AE2">
        <w:rPr>
          <w:rFonts w:cs="Times New Roman"/>
          <w:i/>
          <w:lang w:val="en-US"/>
        </w:rPr>
        <w:t>Beaulac</w:t>
      </w:r>
      <w:r w:rsidRPr="00A25AE2">
        <w:rPr>
          <w:rFonts w:cs="Times New Roman"/>
        </w:rPr>
        <w:t>, at para. 31</w:t>
      </w:r>
      <w:r w:rsidRPr="00A25AE2">
        <w:rPr>
          <w:rFonts w:cs="Times New Roman"/>
          <w:lang w:val="en-US"/>
        </w:rPr>
        <w:t xml:space="preserve">). </w:t>
      </w:r>
    </w:p>
    <w:p w:rsidR="00C526E4" w:rsidRPr="00A25AE2" w:rsidRDefault="00C526E4" w:rsidP="00C526E4">
      <w:pPr>
        <w:pStyle w:val="ParaNoNdepar-AltN"/>
        <w:rPr>
          <w:rFonts w:cs="Times New Roman"/>
        </w:rPr>
      </w:pPr>
      <w:r w:rsidRPr="00A25AE2">
        <w:rPr>
          <w:rFonts w:cs="Times New Roman"/>
          <w:lang w:val="en-US"/>
        </w:rPr>
        <w:t xml:space="preserve">In </w:t>
      </w:r>
      <w:r w:rsidRPr="00A25AE2">
        <w:rPr>
          <w:rFonts w:cs="Times New Roman"/>
          <w:i/>
          <w:lang w:val="en-US"/>
        </w:rPr>
        <w:t>R. v. Munkonda</w:t>
      </w:r>
      <w:r w:rsidRPr="00A25AE2">
        <w:rPr>
          <w:rFonts w:cs="Times New Roman"/>
          <w:lang w:val="en-US"/>
        </w:rPr>
        <w:t>,</w:t>
      </w:r>
      <w:r w:rsidRPr="00A25AE2">
        <w:rPr>
          <w:rFonts w:cs="Times New Roman"/>
          <w:i/>
          <w:lang w:val="en-US"/>
        </w:rPr>
        <w:t xml:space="preserve"> </w:t>
      </w:r>
      <w:r w:rsidRPr="00A25AE2">
        <w:rPr>
          <w:rFonts w:cs="Times New Roman"/>
          <w:lang w:val="en-US"/>
        </w:rPr>
        <w:t xml:space="preserve">2015 ONCA 309, 126 O.R. (3d) 646, </w:t>
      </w:r>
      <w:r w:rsidRPr="00A25AE2">
        <w:rPr>
          <w:rFonts w:cs="Times New Roman"/>
        </w:rPr>
        <w:t xml:space="preserve">the Court of Appeal for Ontario expressly decided that not complying with s. 530 of the </w:t>
      </w:r>
      <w:r w:rsidRPr="00A25AE2">
        <w:rPr>
          <w:rFonts w:cs="Times New Roman"/>
          <w:i/>
        </w:rPr>
        <w:t>Criminal Code</w:t>
      </w:r>
      <w:r w:rsidRPr="00A25AE2">
        <w:rPr>
          <w:rFonts w:cs="Times New Roman"/>
        </w:rPr>
        <w:t xml:space="preserve"> constitutes a jurisdictional error that is susceptible to review on </w:t>
      </w:r>
      <w:r w:rsidRPr="00A25AE2">
        <w:rPr>
          <w:rFonts w:cs="Times New Roman"/>
          <w:i/>
        </w:rPr>
        <w:t>certiorari</w:t>
      </w:r>
      <w:r w:rsidRPr="00A25AE2">
        <w:rPr>
          <w:rFonts w:cs="Times New Roman"/>
        </w:rPr>
        <w:t xml:space="preserve"> (at paras. 131-33): </w:t>
      </w:r>
    </w:p>
    <w:p w:rsidR="00C526E4" w:rsidRPr="00A25AE2" w:rsidRDefault="00C526E4" w:rsidP="00C526E4">
      <w:pPr>
        <w:pStyle w:val="Citation-AltC"/>
        <w:ind w:firstLine="454"/>
      </w:pPr>
      <w:r w:rsidRPr="00A25AE2">
        <w:t xml:space="preserve">It is settled law that an accused can bring </w:t>
      </w:r>
      <w:r w:rsidRPr="00A25AE2">
        <w:rPr>
          <w:i/>
        </w:rPr>
        <w:t>certiorari</w:t>
      </w:r>
      <w:r w:rsidRPr="00A25AE2">
        <w:t xml:space="preserve"> to quash a committal for trial where there is a lack or loss of jurisdiction (</w:t>
      </w:r>
      <w:r w:rsidRPr="00A25AE2">
        <w:rPr>
          <w:i/>
        </w:rPr>
        <w:t>R. v. Forsythe</w:t>
      </w:r>
      <w:r w:rsidRPr="00A25AE2">
        <w:t xml:space="preserve">, [1980] 2 S.C.R. 268, [1980] S.C.J. No. 66, at p. 271). </w:t>
      </w:r>
      <w:r w:rsidRPr="00A25AE2">
        <w:rPr>
          <w:u w:val="single"/>
        </w:rPr>
        <w:t xml:space="preserve">A magistrate will lose jurisdiction if he or she “fails to observe a mandatory provision of the </w:t>
      </w:r>
      <w:r w:rsidRPr="00A25AE2">
        <w:rPr>
          <w:i/>
          <w:u w:val="single"/>
        </w:rPr>
        <w:t>Criminal Code</w:t>
      </w:r>
      <w:r w:rsidRPr="00A25AE2">
        <w:rPr>
          <w:u w:val="single"/>
        </w:rPr>
        <w:t>”</w:t>
      </w:r>
      <w:r w:rsidRPr="00A25AE2">
        <w:t xml:space="preserve"> (</w:t>
      </w:r>
      <w:r w:rsidRPr="00A25AE2">
        <w:rPr>
          <w:i/>
        </w:rPr>
        <w:t>Forsythe</w:t>
      </w:r>
      <w:r w:rsidRPr="00A25AE2">
        <w:t>, at pp. 271-72</w:t>
      </w:r>
      <w:r w:rsidR="00AB1374">
        <w:t xml:space="preserve"> S.C.R.</w:t>
      </w:r>
      <w:r w:rsidRPr="00A25AE2">
        <w:t>).</w:t>
      </w:r>
      <w:r w:rsidRPr="00A25AE2">
        <w:rPr>
          <w:u w:val="single"/>
        </w:rPr>
        <w:t xml:space="preserve"> </w:t>
      </w:r>
    </w:p>
    <w:p w:rsidR="00C526E4" w:rsidRPr="00A25AE2" w:rsidRDefault="00C526E4" w:rsidP="00C526E4">
      <w:pPr>
        <w:pStyle w:val="Citation-AltC"/>
      </w:pPr>
    </w:p>
    <w:p w:rsidR="00C526E4" w:rsidRPr="00A25AE2" w:rsidRDefault="00C526E4" w:rsidP="00C526E4">
      <w:pPr>
        <w:pStyle w:val="Citation-AltC"/>
        <w:ind w:firstLine="454"/>
      </w:pPr>
      <w:r w:rsidRPr="00A25AE2">
        <w:rPr>
          <w:u w:val="single"/>
        </w:rPr>
        <w:t xml:space="preserve">The Quebec courts have held that ss. 530 and 530.1 of the </w:t>
      </w:r>
      <w:r w:rsidRPr="00A25AE2">
        <w:rPr>
          <w:i/>
          <w:u w:val="single"/>
        </w:rPr>
        <w:t>Criminal Code</w:t>
      </w:r>
      <w:r w:rsidRPr="00A25AE2">
        <w:rPr>
          <w:u w:val="single"/>
        </w:rPr>
        <w:t xml:space="preserve"> are mandatory provisions</w:t>
      </w:r>
      <w:r w:rsidRPr="00A25AE2">
        <w:t>. For example, the Superior Court of Quebec concluded that [</w:t>
      </w:r>
      <w:r w:rsidRPr="00A25AE2">
        <w:rPr>
          <w:smallCaps/>
        </w:rPr>
        <w:t>translation</w:t>
      </w:r>
      <w:r w:rsidRPr="00A25AE2">
        <w:t>] “the interpretation of sections 530 and 530.1 raises a jurisdictional issue, and so any error by the justice of the peace on that point will affect his or her jurisdiction” (</w:t>
      </w:r>
      <w:r w:rsidRPr="00A25AE2">
        <w:rPr>
          <w:i/>
        </w:rPr>
        <w:t>R. c. Edwards</w:t>
      </w:r>
      <w:r w:rsidRPr="00A25AE2">
        <w:t xml:space="preserve">, </w:t>
      </w:r>
      <w:r w:rsidR="00CB3031" w:rsidRPr="00A25AE2">
        <w:t xml:space="preserve">[1998] </w:t>
      </w:r>
      <w:r w:rsidR="00CB3031">
        <w:t xml:space="preserve">J.Q. no 1420, </w:t>
      </w:r>
      <w:r w:rsidRPr="00A25AE2">
        <w:t xml:space="preserve">[1998] R.J.Q. 1471 (S.C.), at para. 60). </w:t>
      </w:r>
    </w:p>
    <w:p w:rsidR="00C526E4" w:rsidRPr="00A25AE2" w:rsidRDefault="00C526E4" w:rsidP="00C526E4">
      <w:pPr>
        <w:pStyle w:val="Citation-AltC"/>
      </w:pPr>
    </w:p>
    <w:p w:rsidR="00C526E4" w:rsidRPr="00A25AE2" w:rsidRDefault="00C526E4" w:rsidP="00C526E4">
      <w:pPr>
        <w:pStyle w:val="Citation-AltC"/>
        <w:ind w:firstLine="454"/>
      </w:pPr>
      <w:r w:rsidRPr="00A25AE2">
        <w:t>In my opinion, the failure of the judge in this case to ensure that the requirements of ss. 530 and 530.1 were met resulted in a loss of jurisdiction, and we have the authority to quash the committal for trial. [Emphasis added.]</w:t>
      </w:r>
    </w:p>
    <w:p w:rsidR="00C526E4" w:rsidRPr="00A25AE2" w:rsidRDefault="00C526E4" w:rsidP="00C526E4">
      <w:pPr>
        <w:pStyle w:val="ParaNoNdepar-AltN"/>
        <w:rPr>
          <w:rFonts w:cs="Times New Roman"/>
        </w:rPr>
      </w:pPr>
      <w:r w:rsidRPr="00A25AE2">
        <w:rPr>
          <w:rFonts w:cs="Times New Roman"/>
        </w:rPr>
        <w:t xml:space="preserve">We agree that failing to ensure that the requirements of s. 530 of the </w:t>
      </w:r>
      <w:r w:rsidRPr="00A25AE2">
        <w:rPr>
          <w:rFonts w:cs="Times New Roman"/>
          <w:i/>
        </w:rPr>
        <w:t>Criminal Code</w:t>
      </w:r>
      <w:r w:rsidRPr="00A25AE2">
        <w:rPr>
          <w:rFonts w:cs="Times New Roman"/>
        </w:rPr>
        <w:t xml:space="preserve"> are met constitutes a jurisdictional error. </w:t>
      </w:r>
      <w:r w:rsidRPr="00A25AE2">
        <w:rPr>
          <w:rFonts w:cs="Times New Roman"/>
          <w:lang w:val="en-US"/>
        </w:rPr>
        <w:t xml:space="preserve">As such, the court that fails to comply with s. 530, where it applies, loses jurisdiction over the proceedings. </w:t>
      </w:r>
      <w:r w:rsidRPr="00A25AE2">
        <w:rPr>
          <w:rFonts w:cs="Times New Roman"/>
        </w:rPr>
        <w:t xml:space="preserve">This is consistent with this Court’s decision in </w:t>
      </w:r>
      <w:r w:rsidRPr="00A25AE2">
        <w:rPr>
          <w:rFonts w:cs="Times New Roman"/>
          <w:i/>
        </w:rPr>
        <w:t>Beaulac</w:t>
      </w:r>
      <w:r w:rsidRPr="00A25AE2">
        <w:rPr>
          <w:rFonts w:cs="Times New Roman"/>
        </w:rPr>
        <w:t xml:space="preserve">, in which Bastarache J. said the following (at para. 11): </w:t>
      </w:r>
    </w:p>
    <w:p w:rsidR="00C526E4" w:rsidRPr="00A25AE2" w:rsidRDefault="00C526E4" w:rsidP="00C526E4">
      <w:pPr>
        <w:pStyle w:val="Citation-AltC"/>
      </w:pPr>
      <w:r w:rsidRPr="00A25AE2">
        <w:t>. . . </w:t>
      </w:r>
      <w:r w:rsidRPr="00A25AE2">
        <w:rPr>
          <w:u w:val="single"/>
        </w:rPr>
        <w:t>the order under s. 530(4) governs the judicial process itself</w:t>
      </w:r>
      <w:r w:rsidRPr="00A25AE2">
        <w:t xml:space="preserve">, rather than the conduct of the parties, such that traditional concerns as to certainty and the need for the orderly administration of justice are not brought into play. </w:t>
      </w:r>
      <w:r w:rsidRPr="00A25AE2">
        <w:rPr>
          <w:u w:val="single"/>
        </w:rPr>
        <w:t>The order would have been subject to review if it had been made by the trial judge</w:t>
      </w:r>
      <w:r w:rsidRPr="00A25AE2">
        <w:t>, and the appellant should not be penalized for having brought the application in a timely manner prior to the trial rather than at the trial proper. [Emphasis added.]</w:t>
      </w:r>
    </w:p>
    <w:p w:rsidR="00C526E4" w:rsidRPr="00A25AE2" w:rsidRDefault="00C526E4" w:rsidP="00C526E4">
      <w:pPr>
        <w:pStyle w:val="ParaNoNdepar-AltN"/>
        <w:rPr>
          <w:rFonts w:cs="Times New Roman"/>
          <w:lang w:val="en-US"/>
        </w:rPr>
      </w:pPr>
      <w:r w:rsidRPr="00A25AE2">
        <w:rPr>
          <w:rFonts w:cs="Times New Roman"/>
          <w:lang w:val="en-US"/>
        </w:rPr>
        <w:t xml:space="preserve">The Attorney General of British Columbia rightly concedes the mandatory nature of s. 530. However, he maintains that, because the applicability of s. 530 to </w:t>
      </w:r>
      <w:r w:rsidRPr="00A25AE2">
        <w:rPr>
          <w:rFonts w:cs="Times New Roman"/>
          <w:i/>
          <w:lang w:val="en-US"/>
        </w:rPr>
        <w:t xml:space="preserve">Offence Act </w:t>
      </w:r>
      <w:r w:rsidRPr="00A25AE2">
        <w:rPr>
          <w:rFonts w:cs="Times New Roman"/>
          <w:lang w:val="en-US"/>
        </w:rPr>
        <w:t>trials is the very question in dispute, the provincial court judge’s determination that s. 530 does not apply cannot constitute the failure to follow a mandatory statutory provision. Put differently, the Attorney General submits that the provincial court judge was not deciding whether to follow a mandatory statutory provision; he was deciding whether a mandatory statutory provision indeed applied to him — a matter of statutory interpretation and a question of law. In the Attorney General’s view, the provincial court judge would only have committed a jurisdictional error if he had concluded that s. 530 applied to Mr. Bessette’s trial but nonetheless failed to follow it.</w:t>
      </w:r>
    </w:p>
    <w:p w:rsidR="00C526E4" w:rsidRPr="00A25AE2" w:rsidRDefault="00C526E4" w:rsidP="00C526E4">
      <w:pPr>
        <w:pStyle w:val="ParaNoNdepar-AltN"/>
        <w:rPr>
          <w:rFonts w:cs="Times New Roman"/>
          <w:lang w:val="en-US"/>
        </w:rPr>
      </w:pPr>
      <w:r w:rsidRPr="00A25AE2">
        <w:rPr>
          <w:rFonts w:cs="Times New Roman"/>
          <w:lang w:val="en-US"/>
        </w:rPr>
        <w:t xml:space="preserve">With respect, we disagree. Whether the Provincial Court is bound to comply with a mandatory statutory provision does not become a non-jurisdictional question simply because the court decides that it is not bound by the provision. In this regard, the Attorney General’s position contradicts this Court’s approach to identifying jurisdictional issues amenable to </w:t>
      </w:r>
      <w:r w:rsidRPr="00A25AE2">
        <w:rPr>
          <w:rFonts w:cs="Times New Roman"/>
          <w:i/>
          <w:lang w:val="en-US"/>
        </w:rPr>
        <w:t xml:space="preserve">certiorari </w:t>
      </w:r>
      <w:r w:rsidRPr="00A25AE2">
        <w:rPr>
          <w:rFonts w:cs="Times New Roman"/>
          <w:lang w:val="en-US"/>
        </w:rPr>
        <w:t xml:space="preserve">review in the course of criminal proceedings set out in </w:t>
      </w:r>
      <w:r w:rsidRPr="00A25AE2">
        <w:rPr>
          <w:rFonts w:cs="Times New Roman"/>
          <w:i/>
          <w:lang w:val="en-US"/>
        </w:rPr>
        <w:t>R. v. Russell</w:t>
      </w:r>
      <w:r w:rsidRPr="00A25AE2">
        <w:rPr>
          <w:rFonts w:cs="Times New Roman"/>
          <w:lang w:val="en-US"/>
        </w:rPr>
        <w:t>, 2001 SCC 53,</w:t>
      </w:r>
      <w:r w:rsidRPr="00A25AE2">
        <w:rPr>
          <w:rFonts w:cs="Times New Roman"/>
          <w:i/>
          <w:lang w:val="en-US"/>
        </w:rPr>
        <w:t xml:space="preserve"> </w:t>
      </w:r>
      <w:r w:rsidRPr="00A25AE2">
        <w:rPr>
          <w:rFonts w:cs="Times New Roman"/>
          <w:lang w:val="en-US"/>
        </w:rPr>
        <w:t xml:space="preserve">[2001] 2 S.C.R. 804. In </w:t>
      </w:r>
      <w:r w:rsidRPr="00A25AE2">
        <w:rPr>
          <w:rFonts w:cs="Times New Roman"/>
          <w:i/>
          <w:lang w:val="en-US"/>
        </w:rPr>
        <w:t>Russell</w:t>
      </w:r>
      <w:r w:rsidRPr="00A25AE2">
        <w:rPr>
          <w:rFonts w:cs="Times New Roman"/>
          <w:lang w:val="en-US"/>
        </w:rPr>
        <w:t>,</w:t>
      </w:r>
      <w:r w:rsidRPr="00A25AE2">
        <w:rPr>
          <w:rFonts w:cs="Times New Roman"/>
          <w:i/>
          <w:lang w:val="en-US"/>
        </w:rPr>
        <w:t xml:space="preserve"> </w:t>
      </w:r>
      <w:r w:rsidRPr="00A25AE2">
        <w:rPr>
          <w:rFonts w:cs="Times New Roman"/>
          <w:lang w:val="en-US"/>
        </w:rPr>
        <w:t xml:space="preserve">the Court (per McLachlin C.J.) concluded that the preliminary inquiry judge’s committal of Mr. Russell for trial was reviewable on </w:t>
      </w:r>
      <w:r w:rsidRPr="00A25AE2">
        <w:rPr>
          <w:rFonts w:cs="Times New Roman"/>
          <w:i/>
          <w:lang w:val="en-US"/>
        </w:rPr>
        <w:t xml:space="preserve">certiorari </w:t>
      </w:r>
      <w:r w:rsidRPr="00A25AE2">
        <w:rPr>
          <w:rFonts w:cs="Times New Roman"/>
          <w:lang w:val="en-US"/>
        </w:rPr>
        <w:t xml:space="preserve">because the </w:t>
      </w:r>
      <w:r w:rsidRPr="00A25AE2">
        <w:rPr>
          <w:rFonts w:cs="Times New Roman"/>
          <w:i/>
          <w:lang w:val="en-US"/>
        </w:rPr>
        <w:t xml:space="preserve">kind of error alleged </w:t>
      </w:r>
      <w:r w:rsidRPr="00A25AE2">
        <w:rPr>
          <w:rFonts w:cs="Times New Roman"/>
          <w:lang w:val="en-US"/>
        </w:rPr>
        <w:t>by Mr. Russell went to jurisdiction (</w:t>
      </w:r>
      <w:r w:rsidRPr="00A25AE2">
        <w:rPr>
          <w:rFonts w:cs="Times New Roman"/>
          <w:i/>
          <w:lang w:val="en-US"/>
        </w:rPr>
        <w:t>Russell</w:t>
      </w:r>
      <w:r w:rsidRPr="00A25AE2">
        <w:rPr>
          <w:rFonts w:cs="Times New Roman"/>
          <w:lang w:val="en-US"/>
        </w:rPr>
        <w:t>,</w:t>
      </w:r>
      <w:r w:rsidRPr="00A25AE2">
        <w:rPr>
          <w:rFonts w:cs="Times New Roman"/>
          <w:i/>
          <w:lang w:val="en-US"/>
        </w:rPr>
        <w:t xml:space="preserve"> </w:t>
      </w:r>
      <w:r w:rsidRPr="00A25AE2">
        <w:rPr>
          <w:rFonts w:cs="Times New Roman"/>
          <w:lang w:val="en-US"/>
        </w:rPr>
        <w:t xml:space="preserve">at paras. 21-22 and 30). </w:t>
      </w:r>
    </w:p>
    <w:p w:rsidR="00C526E4" w:rsidRPr="00A25AE2" w:rsidRDefault="00C526E4" w:rsidP="00C526E4">
      <w:pPr>
        <w:pStyle w:val="ParaNoNdepar-AltN"/>
        <w:rPr>
          <w:rFonts w:cs="Times New Roman"/>
          <w:lang w:val="en-US"/>
        </w:rPr>
      </w:pPr>
      <w:r w:rsidRPr="00A25AE2">
        <w:rPr>
          <w:rFonts w:cs="Times New Roman"/>
          <w:lang w:val="en-US"/>
        </w:rPr>
        <w:t xml:space="preserve">In </w:t>
      </w:r>
      <w:r w:rsidRPr="00A25AE2">
        <w:rPr>
          <w:rFonts w:cs="Times New Roman"/>
          <w:i/>
          <w:lang w:val="en-US"/>
        </w:rPr>
        <w:t>Russell</w:t>
      </w:r>
      <w:r w:rsidRPr="00A25AE2">
        <w:rPr>
          <w:rFonts w:cs="Times New Roman"/>
          <w:lang w:val="en-US"/>
        </w:rPr>
        <w:t>,</w:t>
      </w:r>
      <w:r w:rsidRPr="00A25AE2">
        <w:rPr>
          <w:rFonts w:cs="Times New Roman"/>
          <w:i/>
          <w:lang w:val="en-US"/>
        </w:rPr>
        <w:t xml:space="preserve"> </w:t>
      </w:r>
      <w:r w:rsidRPr="00A25AE2">
        <w:rPr>
          <w:rFonts w:cs="Times New Roman"/>
          <w:lang w:val="en-US"/>
        </w:rPr>
        <w:t>the evidence at the preliminary inquiry suggested that Mr. Russell had forcibly confined one person and then killed another. The preliminary inquiry judge held that Mr. Russell should be tried on the charge of first degree murder, as</w:t>
      </w:r>
      <w:r w:rsidRPr="00A25AE2">
        <w:rPr>
          <w:rFonts w:cs="Times New Roman"/>
          <w:i/>
          <w:lang w:val="en-US"/>
        </w:rPr>
        <w:t xml:space="preserve"> </w:t>
      </w:r>
      <w:r w:rsidRPr="00A25AE2">
        <w:rPr>
          <w:rFonts w:cs="Times New Roman"/>
          <w:lang w:val="en-US"/>
        </w:rPr>
        <w:t>murder is first degree when done “while committing” certain enumerated offences, including forcible confinement (</w:t>
      </w:r>
      <w:r w:rsidRPr="00A25AE2">
        <w:rPr>
          <w:rFonts w:cs="Times New Roman"/>
          <w:i/>
          <w:lang w:val="en-US"/>
        </w:rPr>
        <w:t>Criminal Code</w:t>
      </w:r>
      <w:r w:rsidRPr="00A25AE2">
        <w:rPr>
          <w:rFonts w:cs="Times New Roman"/>
          <w:lang w:val="en-US"/>
        </w:rPr>
        <w:t>,</w:t>
      </w:r>
      <w:r w:rsidRPr="00A25AE2">
        <w:rPr>
          <w:rFonts w:cs="Times New Roman"/>
          <w:i/>
          <w:lang w:val="en-US"/>
        </w:rPr>
        <w:t xml:space="preserve"> </w:t>
      </w:r>
      <w:r w:rsidRPr="00A25AE2">
        <w:rPr>
          <w:rFonts w:cs="Times New Roman"/>
          <w:lang w:val="en-US"/>
        </w:rPr>
        <w:t xml:space="preserve">s. 231(5)). In making Mr. Russell stand trial for first degree murder, the preliminary inquiry judge held that the victim of the predicate offence (forcible confinement) did not need to be the same as the victim of the murder for the latter offence to be done “while committing” the former. Mr. Russell sought </w:t>
      </w:r>
      <w:r w:rsidRPr="00A25AE2">
        <w:rPr>
          <w:rFonts w:cs="Times New Roman"/>
          <w:i/>
          <w:lang w:val="en-US"/>
        </w:rPr>
        <w:t xml:space="preserve">certiorari </w:t>
      </w:r>
      <w:r w:rsidRPr="00A25AE2">
        <w:rPr>
          <w:rFonts w:cs="Times New Roman"/>
          <w:lang w:val="en-US"/>
        </w:rPr>
        <w:t>to quash the committal.</w:t>
      </w:r>
    </w:p>
    <w:p w:rsidR="00C526E4" w:rsidRPr="00A25AE2" w:rsidRDefault="00C526E4" w:rsidP="00C526E4">
      <w:pPr>
        <w:pStyle w:val="ParaNoNdepar-AltN"/>
        <w:rPr>
          <w:rFonts w:cs="Times New Roman"/>
          <w:lang w:val="en-US"/>
        </w:rPr>
      </w:pPr>
      <w:r w:rsidRPr="00A25AE2">
        <w:rPr>
          <w:rFonts w:cs="Times New Roman"/>
          <w:lang w:val="en-US"/>
        </w:rPr>
        <w:t xml:space="preserve">When the matter reached this Court, it held that the preliminary inquiry judge had properly interpreted “while committing” and had therefore not exceeded jurisdiction in deciding that Mr. Russell should stand trial for first degree murder. Nonetheless, the judge’s decision had been amenable to </w:t>
      </w:r>
      <w:r w:rsidRPr="00A25AE2">
        <w:rPr>
          <w:rFonts w:cs="Times New Roman"/>
          <w:i/>
          <w:lang w:val="en-US"/>
        </w:rPr>
        <w:t xml:space="preserve">certiorari </w:t>
      </w:r>
      <w:r w:rsidRPr="00A25AE2">
        <w:rPr>
          <w:rFonts w:cs="Times New Roman"/>
          <w:lang w:val="en-US"/>
        </w:rPr>
        <w:t xml:space="preserve">review since, </w:t>
      </w:r>
      <w:r w:rsidRPr="00A25AE2">
        <w:rPr>
          <w:rFonts w:cs="Times New Roman"/>
          <w:i/>
          <w:lang w:val="en-US"/>
        </w:rPr>
        <w:t xml:space="preserve">had the judge erred </w:t>
      </w:r>
      <w:r w:rsidRPr="00A25AE2">
        <w:rPr>
          <w:rFonts w:cs="Times New Roman"/>
          <w:lang w:val="en-US"/>
        </w:rPr>
        <w:t>in his interpretation,</w:t>
      </w:r>
      <w:r w:rsidRPr="00A25AE2">
        <w:rPr>
          <w:rFonts w:cs="Times New Roman"/>
          <w:i/>
          <w:lang w:val="en-US"/>
        </w:rPr>
        <w:t xml:space="preserve"> he would have exceeded his jurisdiction </w:t>
      </w:r>
      <w:r w:rsidRPr="00A25AE2">
        <w:rPr>
          <w:rFonts w:cs="Times New Roman"/>
          <w:lang w:val="en-US"/>
        </w:rPr>
        <w:t>in committing Mr. Russell to stand trial</w:t>
      </w:r>
      <w:r w:rsidRPr="00A25AE2">
        <w:rPr>
          <w:rFonts w:cs="Times New Roman"/>
          <w:i/>
          <w:lang w:val="en-US"/>
        </w:rPr>
        <w:t>.</w:t>
      </w:r>
      <w:r w:rsidRPr="00A25AE2">
        <w:rPr>
          <w:rFonts w:cs="Times New Roman"/>
          <w:lang w:val="en-US"/>
        </w:rPr>
        <w:t xml:space="preserve"> </w:t>
      </w:r>
    </w:p>
    <w:p w:rsidR="00C526E4" w:rsidRPr="00A25AE2" w:rsidRDefault="00C526E4" w:rsidP="00C526E4">
      <w:pPr>
        <w:pStyle w:val="ParaNoNdepar-AltN"/>
        <w:rPr>
          <w:rFonts w:cs="Times New Roman"/>
          <w:lang w:val="en-US"/>
        </w:rPr>
      </w:pPr>
      <w:r w:rsidRPr="00A25AE2">
        <w:rPr>
          <w:rFonts w:cs="Times New Roman"/>
          <w:lang w:val="en-US"/>
        </w:rPr>
        <w:t xml:space="preserve">Applying </w:t>
      </w:r>
      <w:r w:rsidRPr="00A25AE2">
        <w:rPr>
          <w:rFonts w:cs="Times New Roman"/>
          <w:i/>
          <w:lang w:val="en-US"/>
        </w:rPr>
        <w:t>Russell</w:t>
      </w:r>
      <w:r w:rsidRPr="00A25AE2">
        <w:rPr>
          <w:rFonts w:cs="Times New Roman"/>
          <w:lang w:val="en-US"/>
        </w:rPr>
        <w:t>,</w:t>
      </w:r>
      <w:r w:rsidRPr="00A25AE2">
        <w:rPr>
          <w:rFonts w:cs="Times New Roman"/>
          <w:i/>
          <w:lang w:val="en-US"/>
        </w:rPr>
        <w:t xml:space="preserve"> if </w:t>
      </w:r>
      <w:r w:rsidRPr="00A25AE2">
        <w:rPr>
          <w:rFonts w:cs="Times New Roman"/>
          <w:lang w:val="en-US"/>
        </w:rPr>
        <w:t xml:space="preserve">the provincial court judge erred in his interpretation of s. 133 of the </w:t>
      </w:r>
      <w:r w:rsidRPr="00A25AE2">
        <w:rPr>
          <w:rFonts w:cs="Times New Roman"/>
          <w:i/>
          <w:lang w:val="en-US"/>
        </w:rPr>
        <w:t>Offence Act</w:t>
      </w:r>
      <w:r w:rsidRPr="00A25AE2">
        <w:rPr>
          <w:rFonts w:cs="Times New Roman"/>
          <w:lang w:val="en-US"/>
        </w:rPr>
        <w:t xml:space="preserve"> (as Mr. Bessette asserts and as we find below), the effect was that he failed to observe a mandatory statutory provision (namely s. 530 of the </w:t>
      </w:r>
      <w:r w:rsidRPr="00A25AE2">
        <w:rPr>
          <w:rFonts w:cs="Times New Roman"/>
          <w:i/>
          <w:lang w:val="en-US"/>
        </w:rPr>
        <w:t>Criminal Code</w:t>
      </w:r>
      <w:r w:rsidRPr="00A25AE2">
        <w:rPr>
          <w:rFonts w:cs="Times New Roman"/>
          <w:lang w:val="en-US"/>
        </w:rPr>
        <w:t xml:space="preserve">) and thereby exceeded (or lost) his jurisdiction. </w:t>
      </w:r>
      <w:r w:rsidRPr="00A25AE2">
        <w:rPr>
          <w:rFonts w:cs="Times New Roman"/>
        </w:rPr>
        <w:t xml:space="preserve">Because Mr. Bessette complied with the statutory requirements of s. 530 for requesting a trial in French, if s. 530 applies, a provincial court judge does not have the jurisdiction to conduct Mr. Bessette’s trial in English. Indeed, if a trial in English was erroneously ordered, the proceeding would be a nullity from the outset. </w:t>
      </w:r>
      <w:r w:rsidRPr="00A25AE2">
        <w:rPr>
          <w:rFonts w:cs="Times New Roman"/>
          <w:lang w:val="en-US"/>
        </w:rPr>
        <w:t xml:space="preserve">As such, the error Mr. Bessette alleged before the superior court was amenable to </w:t>
      </w:r>
      <w:r w:rsidRPr="00A25AE2">
        <w:rPr>
          <w:rFonts w:cs="Times New Roman"/>
          <w:i/>
          <w:lang w:val="en-US"/>
        </w:rPr>
        <w:t>certiorari</w:t>
      </w:r>
      <w:r w:rsidRPr="00A25AE2">
        <w:rPr>
          <w:rFonts w:cs="Times New Roman"/>
          <w:lang w:val="en-US"/>
        </w:rPr>
        <w:t xml:space="preserve"> review.</w:t>
      </w:r>
    </w:p>
    <w:p w:rsidR="00C526E4" w:rsidRPr="00A25AE2" w:rsidRDefault="00C526E4" w:rsidP="00C526E4">
      <w:pPr>
        <w:pStyle w:val="ParaNoNdepar-AltN"/>
        <w:spacing w:before="240"/>
        <w:rPr>
          <w:rFonts w:cs="Times New Roman"/>
          <w:lang w:val="en-US"/>
        </w:rPr>
      </w:pPr>
      <w:r w:rsidRPr="00A25AE2">
        <w:rPr>
          <w:rFonts w:cs="Times New Roman"/>
          <w:lang w:val="en-US"/>
        </w:rPr>
        <w:t xml:space="preserve">To be clear, our conclusion that </w:t>
      </w:r>
      <w:r w:rsidRPr="00A25AE2">
        <w:rPr>
          <w:rFonts w:cs="Times New Roman"/>
          <w:i/>
          <w:lang w:val="en-US"/>
        </w:rPr>
        <w:t xml:space="preserve">certiorari </w:t>
      </w:r>
      <w:r w:rsidRPr="00A25AE2">
        <w:rPr>
          <w:rFonts w:cs="Times New Roman"/>
          <w:lang w:val="en-US"/>
        </w:rPr>
        <w:t xml:space="preserve">review was available in this case is not predicated on our conclusion that s. 133 of the </w:t>
      </w:r>
      <w:r w:rsidRPr="00A25AE2">
        <w:rPr>
          <w:rFonts w:cs="Times New Roman"/>
          <w:i/>
          <w:lang w:val="en-US"/>
        </w:rPr>
        <w:t xml:space="preserve">Offence Act </w:t>
      </w:r>
      <w:r w:rsidRPr="00A25AE2">
        <w:rPr>
          <w:rFonts w:cs="Times New Roman"/>
          <w:lang w:val="en-US"/>
        </w:rPr>
        <w:t xml:space="preserve">incorporates s. 530 of the </w:t>
      </w:r>
      <w:r w:rsidRPr="00A25AE2">
        <w:rPr>
          <w:rFonts w:cs="Times New Roman"/>
          <w:i/>
          <w:lang w:val="en-US"/>
        </w:rPr>
        <w:t>Criminal Code</w:t>
      </w:r>
      <w:r w:rsidRPr="00A25AE2">
        <w:rPr>
          <w:rFonts w:cs="Times New Roman"/>
          <w:lang w:val="en-US"/>
        </w:rPr>
        <w:t xml:space="preserve">. </w:t>
      </w:r>
      <w:r w:rsidRPr="00A25AE2">
        <w:rPr>
          <w:rFonts w:cs="Times New Roman"/>
          <w:i/>
          <w:lang w:val="en-US"/>
        </w:rPr>
        <w:t xml:space="preserve">Certiorari </w:t>
      </w:r>
      <w:r w:rsidRPr="00A25AE2">
        <w:rPr>
          <w:rFonts w:cs="Times New Roman"/>
          <w:lang w:val="en-US"/>
        </w:rPr>
        <w:t xml:space="preserve">review would have been available even if s. 133 did not incorporate s. 530. The determinative question is not whether the error alleged on a petition for </w:t>
      </w:r>
      <w:r w:rsidRPr="00A25AE2">
        <w:rPr>
          <w:rFonts w:cs="Times New Roman"/>
          <w:i/>
          <w:lang w:val="en-US"/>
        </w:rPr>
        <w:t xml:space="preserve">certiorari </w:t>
      </w:r>
      <w:r w:rsidRPr="00A25AE2">
        <w:rPr>
          <w:rFonts w:cs="Times New Roman"/>
          <w:lang w:val="en-US"/>
        </w:rPr>
        <w:t xml:space="preserve">is in fact established. Rather, it is whether the error alleged </w:t>
      </w:r>
      <w:r w:rsidRPr="00A25AE2">
        <w:rPr>
          <w:rFonts w:cs="Times New Roman"/>
        </w:rPr>
        <w:t xml:space="preserve">would result in a loss of jurisdiction over the proceedings. </w:t>
      </w:r>
      <w:r w:rsidRPr="00A25AE2">
        <w:rPr>
          <w:rFonts w:cs="Times New Roman"/>
          <w:lang w:val="en-US"/>
        </w:rPr>
        <w:t xml:space="preserve">This, in turn, depends upon the nature, effects and consequences of the decision. Such an approach is logical; it permits the reviewing court to determine whether the petition can be adjudicated </w:t>
      </w:r>
      <w:r w:rsidRPr="00A25AE2">
        <w:rPr>
          <w:rFonts w:cs="Times New Roman"/>
          <w:i/>
          <w:lang w:val="en-US"/>
        </w:rPr>
        <w:t xml:space="preserve">before </w:t>
      </w:r>
      <w:r w:rsidRPr="00A25AE2">
        <w:rPr>
          <w:rFonts w:cs="Times New Roman"/>
          <w:lang w:val="en-US"/>
        </w:rPr>
        <w:t>deciding the merits of that petition.</w:t>
      </w:r>
    </w:p>
    <w:p w:rsidR="00C526E4" w:rsidRPr="00A25AE2" w:rsidRDefault="00C526E4" w:rsidP="00C526E4">
      <w:pPr>
        <w:pStyle w:val="ParaNoNdepar-AltN"/>
        <w:spacing w:before="240"/>
        <w:rPr>
          <w:rFonts w:cs="Times New Roman"/>
          <w:lang w:val="en-US"/>
        </w:rPr>
      </w:pPr>
      <w:r w:rsidRPr="00A25AE2">
        <w:rPr>
          <w:rFonts w:cs="Times New Roman"/>
          <w:lang w:val="en-US"/>
        </w:rPr>
        <w:t xml:space="preserve">On an application by a party for </w:t>
      </w:r>
      <w:r w:rsidRPr="00A25AE2">
        <w:rPr>
          <w:rFonts w:cs="Times New Roman"/>
          <w:i/>
          <w:lang w:val="en-US"/>
        </w:rPr>
        <w:t xml:space="preserve">certiorari </w:t>
      </w:r>
      <w:r w:rsidRPr="00A25AE2">
        <w:rPr>
          <w:rFonts w:cs="Times New Roman"/>
          <w:lang w:val="en-US"/>
        </w:rPr>
        <w:t xml:space="preserve">in the course of a criminal (or, as is the case here, quasi-criminal) trial, the alleged error will be jurisdictional in nature if making it results in a failure to comply with a mandatory statutory provision or a breach of natural justice. Here, the interpretation of s. 133 of the </w:t>
      </w:r>
      <w:r w:rsidRPr="00A25AE2">
        <w:rPr>
          <w:rFonts w:cs="Times New Roman"/>
          <w:i/>
          <w:lang w:val="en-US"/>
        </w:rPr>
        <w:t xml:space="preserve">Offence Act </w:t>
      </w:r>
      <w:r w:rsidRPr="00A25AE2">
        <w:rPr>
          <w:rFonts w:cs="Times New Roman"/>
          <w:lang w:val="en-US"/>
        </w:rPr>
        <w:t>related to a mandatory statutory provision,</w:t>
      </w:r>
      <w:r w:rsidRPr="00A25AE2">
        <w:rPr>
          <w:rFonts w:cs="Times New Roman"/>
        </w:rPr>
        <w:t xml:space="preserve"> such that a misinterpretation of s. 133 would have resulted in a loss of jurisdiction over the proceedings. As such,</w:t>
      </w:r>
      <w:r w:rsidRPr="00A25AE2">
        <w:rPr>
          <w:rFonts w:cs="Times New Roman"/>
          <w:lang w:val="en-US"/>
        </w:rPr>
        <w:t xml:space="preserve"> the proper interpretation of s. 133 is itself jurisdictional for the purposes of </w:t>
      </w:r>
      <w:r w:rsidRPr="00A25AE2">
        <w:rPr>
          <w:rFonts w:cs="Times New Roman"/>
          <w:i/>
          <w:lang w:val="en-US"/>
        </w:rPr>
        <w:t xml:space="preserve">certiorari </w:t>
      </w:r>
      <w:r w:rsidRPr="00A25AE2">
        <w:rPr>
          <w:rFonts w:cs="Times New Roman"/>
          <w:lang w:val="en-US"/>
        </w:rPr>
        <w:t xml:space="preserve">review. </w:t>
      </w:r>
    </w:p>
    <w:p w:rsidR="00C526E4" w:rsidRPr="00A25AE2" w:rsidRDefault="00C526E4" w:rsidP="00C526E4">
      <w:pPr>
        <w:pStyle w:val="Title3LevelTitre3Niveau"/>
        <w:rPr>
          <w:rFonts w:cs="Times New Roman"/>
        </w:rPr>
      </w:pPr>
      <w:r w:rsidRPr="00A25AE2">
        <w:rPr>
          <w:rFonts w:cs="Times New Roman"/>
        </w:rPr>
        <w:t xml:space="preserve">Discretion to Undertake </w:t>
      </w:r>
      <w:r w:rsidRPr="00A25AE2">
        <w:rPr>
          <w:rFonts w:cs="Times New Roman"/>
          <w:i/>
        </w:rPr>
        <w:t>Certiorari</w:t>
      </w:r>
      <w:r w:rsidRPr="00A25AE2">
        <w:rPr>
          <w:rFonts w:cs="Times New Roman"/>
        </w:rPr>
        <w:t xml:space="preserve"> Review </w:t>
      </w:r>
    </w:p>
    <w:p w:rsidR="00C526E4" w:rsidRPr="00A25AE2" w:rsidRDefault="00C526E4" w:rsidP="00C526E4">
      <w:pPr>
        <w:pStyle w:val="ParaNoNdepar-AltN"/>
        <w:rPr>
          <w:rFonts w:cs="Times New Roman"/>
        </w:rPr>
      </w:pPr>
      <w:r w:rsidRPr="00A25AE2">
        <w:rPr>
          <w:rFonts w:cs="Times New Roman"/>
        </w:rPr>
        <w:t xml:space="preserve">Even where </w:t>
      </w:r>
      <w:r w:rsidRPr="00A25AE2">
        <w:rPr>
          <w:rFonts w:cs="Times New Roman"/>
          <w:i/>
        </w:rPr>
        <w:t xml:space="preserve">certiorari </w:t>
      </w:r>
      <w:r w:rsidRPr="00A25AE2">
        <w:rPr>
          <w:rFonts w:cs="Times New Roman"/>
        </w:rPr>
        <w:t>review is available, superior courts retain the discretion to refuse to conduct that review (</w:t>
      </w:r>
      <w:r w:rsidRPr="00A25AE2">
        <w:rPr>
          <w:rFonts w:cs="Times New Roman"/>
          <w:i/>
        </w:rPr>
        <w:t>Strickland </w:t>
      </w:r>
      <w:r w:rsidRPr="00A25AE2">
        <w:rPr>
          <w:rFonts w:cs="Times New Roman"/>
          <w:i/>
          <w:iCs/>
        </w:rPr>
        <w:t>v.</w:t>
      </w:r>
      <w:r w:rsidRPr="00A25AE2">
        <w:rPr>
          <w:rFonts w:cs="Times New Roman"/>
          <w:i/>
        </w:rPr>
        <w:t> Canada (Attorney General)</w:t>
      </w:r>
      <w:r w:rsidRPr="00A25AE2">
        <w:rPr>
          <w:rFonts w:cs="Times New Roman"/>
        </w:rPr>
        <w:t xml:space="preserve">, 2015 SCC 37, [2015] 2 S.C.R. 713, at para. 37). One of the discretionary grounds for refusing to engage in </w:t>
      </w:r>
      <w:r w:rsidRPr="00A25AE2">
        <w:rPr>
          <w:rFonts w:cs="Times New Roman"/>
          <w:i/>
        </w:rPr>
        <w:t>certiorari</w:t>
      </w:r>
      <w:r w:rsidRPr="00A25AE2">
        <w:rPr>
          <w:rFonts w:cs="Times New Roman"/>
        </w:rPr>
        <w:t xml:space="preserve"> review</w:t>
      </w:r>
      <w:r w:rsidRPr="00A25AE2">
        <w:rPr>
          <w:rFonts w:cs="Times New Roman"/>
          <w:i/>
        </w:rPr>
        <w:t xml:space="preserve"> </w:t>
      </w:r>
      <w:r w:rsidRPr="00A25AE2">
        <w:rPr>
          <w:rFonts w:cs="Times New Roman"/>
        </w:rPr>
        <w:t>— the ground invoked by the superior court in this case — is the existence of an adequate alternative remedy (</w:t>
      </w:r>
      <w:r w:rsidRPr="00A25AE2">
        <w:rPr>
          <w:rFonts w:cs="Times New Roman"/>
          <w:i/>
        </w:rPr>
        <w:t>Strickland</w:t>
      </w:r>
      <w:r w:rsidRPr="00A25AE2">
        <w:rPr>
          <w:rFonts w:cs="Times New Roman"/>
        </w:rPr>
        <w:t xml:space="preserve">, at para. 40; </w:t>
      </w:r>
      <w:r w:rsidRPr="00A25AE2">
        <w:rPr>
          <w:rFonts w:cs="Times New Roman"/>
          <w:i/>
        </w:rPr>
        <w:t xml:space="preserve">R. v. Arcand </w:t>
      </w:r>
      <w:r w:rsidRPr="00A25AE2">
        <w:rPr>
          <w:rFonts w:cs="Times New Roman"/>
        </w:rPr>
        <w:t>(2004),</w:t>
      </w:r>
      <w:r w:rsidRPr="00A25AE2">
        <w:rPr>
          <w:rFonts w:cs="Times New Roman"/>
          <w:i/>
        </w:rPr>
        <w:t xml:space="preserve"> </w:t>
      </w:r>
      <w:r w:rsidRPr="00A25AE2">
        <w:rPr>
          <w:rFonts w:cs="Times New Roman"/>
        </w:rPr>
        <w:t xml:space="preserve">73 O.R. (3d) 758 (C.A.), at para. 13). Because </w:t>
      </w:r>
      <w:r w:rsidRPr="00A25AE2">
        <w:rPr>
          <w:rFonts w:cs="Times New Roman"/>
          <w:i/>
        </w:rPr>
        <w:t xml:space="preserve">certiorari </w:t>
      </w:r>
      <w:r w:rsidRPr="00A25AE2">
        <w:rPr>
          <w:rFonts w:cs="Times New Roman"/>
        </w:rPr>
        <w:t>review is a discretionary remedy, the court’s decision not to undertake it is entitled to deference on appeal (</w:t>
      </w:r>
      <w:r w:rsidRPr="00A25AE2">
        <w:rPr>
          <w:rFonts w:cs="Times New Roman"/>
          <w:i/>
        </w:rPr>
        <w:t>Strickland</w:t>
      </w:r>
      <w:r w:rsidRPr="00A25AE2">
        <w:rPr>
          <w:rFonts w:cs="Times New Roman"/>
        </w:rPr>
        <w:t>, at para. 39). To interfere with the judge’s decision, the appellate court must be satisfied that the decision fails to give weight to all relevant considerations (</w:t>
      </w:r>
      <w:r w:rsidRPr="00A25AE2">
        <w:rPr>
          <w:rFonts w:cs="Times New Roman"/>
          <w:i/>
          <w:lang w:val="en-US"/>
        </w:rPr>
        <w:t>MiningWatch Canada v. Canada (Fisheries and Oceans)</w:t>
      </w:r>
      <w:r w:rsidRPr="00A25AE2">
        <w:rPr>
          <w:rFonts w:cs="Times New Roman"/>
          <w:lang w:val="en-US"/>
        </w:rPr>
        <w:t>, 2010 SCC 2, [2010] 1 S.C.R. 6, at para. 43), rests on an error in principle, or is plainly wrong (</w:t>
      </w:r>
      <w:r w:rsidRPr="00A25AE2">
        <w:rPr>
          <w:rFonts w:cs="Times New Roman"/>
          <w:i/>
          <w:lang w:val="en-US"/>
        </w:rPr>
        <w:t>Cowper-Smith v. Morgan</w:t>
      </w:r>
      <w:r w:rsidRPr="00A25AE2">
        <w:rPr>
          <w:rFonts w:cs="Times New Roman"/>
          <w:lang w:val="en-US"/>
        </w:rPr>
        <w:t>,</w:t>
      </w:r>
      <w:r w:rsidRPr="00A25AE2">
        <w:rPr>
          <w:rFonts w:cs="Times New Roman"/>
          <w:i/>
          <w:lang w:val="en-US"/>
        </w:rPr>
        <w:t xml:space="preserve"> </w:t>
      </w:r>
      <w:r w:rsidRPr="00A25AE2">
        <w:rPr>
          <w:rFonts w:cs="Times New Roman"/>
          <w:lang w:val="en-US"/>
        </w:rPr>
        <w:t xml:space="preserve">2017 SCC 61, [2017] 2 S.C.R. 754, at para. 46; see also </w:t>
      </w:r>
      <w:r w:rsidRPr="00A25AE2">
        <w:rPr>
          <w:rFonts w:cs="Times New Roman"/>
          <w:i/>
          <w:lang w:val="en-US"/>
        </w:rPr>
        <w:t>Canadian Pacific Ltd. v. Matsqui Indian Band</w:t>
      </w:r>
      <w:r w:rsidRPr="00A25AE2">
        <w:rPr>
          <w:rFonts w:cs="Times New Roman"/>
          <w:lang w:val="en-US"/>
        </w:rPr>
        <w:t>,</w:t>
      </w:r>
      <w:r w:rsidRPr="00A25AE2">
        <w:rPr>
          <w:rFonts w:cs="Times New Roman"/>
          <w:i/>
          <w:lang w:val="en-US"/>
        </w:rPr>
        <w:t xml:space="preserve"> </w:t>
      </w:r>
      <w:r w:rsidRPr="00A25AE2">
        <w:rPr>
          <w:rFonts w:cs="Times New Roman"/>
          <w:lang w:val="en-US"/>
        </w:rPr>
        <w:t>[1995] 1 S.C.R. 3, at p. 64 (per Sopinka J., dissenting, but not on this point of law)).</w:t>
      </w:r>
    </w:p>
    <w:p w:rsidR="00C526E4" w:rsidRPr="00A25AE2" w:rsidRDefault="00C526E4" w:rsidP="00C526E4">
      <w:pPr>
        <w:pStyle w:val="ParaNoNdepar-AltN"/>
        <w:rPr>
          <w:rFonts w:cs="Times New Roman"/>
        </w:rPr>
      </w:pPr>
      <w:r w:rsidRPr="00A25AE2">
        <w:rPr>
          <w:rFonts w:cs="Times New Roman"/>
        </w:rPr>
        <w:t xml:space="preserve">In our view, the superior court judge erred in exercising his discretion not to engage in </w:t>
      </w:r>
      <w:r w:rsidRPr="00A25AE2">
        <w:rPr>
          <w:rFonts w:cs="Times New Roman"/>
          <w:i/>
        </w:rPr>
        <w:t>certiorari</w:t>
      </w:r>
      <w:r w:rsidRPr="00A25AE2">
        <w:rPr>
          <w:rFonts w:cs="Times New Roman"/>
        </w:rPr>
        <w:t xml:space="preserve"> review and consider the substantive issues raised in</w:t>
      </w:r>
      <w:r>
        <w:rPr>
          <w:rFonts w:cs="Times New Roman"/>
        </w:rPr>
        <w:t xml:space="preserve"> Mr. </w:t>
      </w:r>
      <w:r w:rsidRPr="00A25AE2">
        <w:rPr>
          <w:rFonts w:cs="Times New Roman"/>
        </w:rPr>
        <w:t xml:space="preserve">Bessette’s petition. Specifically, the superior court erred in concluding that (a) whether s. 133 of the </w:t>
      </w:r>
      <w:r w:rsidRPr="00A25AE2">
        <w:rPr>
          <w:rFonts w:cs="Times New Roman"/>
          <w:i/>
        </w:rPr>
        <w:t xml:space="preserve">Offence Act </w:t>
      </w:r>
      <w:r w:rsidRPr="00A25AE2">
        <w:rPr>
          <w:rFonts w:cs="Times New Roman"/>
        </w:rPr>
        <w:t xml:space="preserve">incorporates s. 530 of the </w:t>
      </w:r>
      <w:r w:rsidRPr="00A25AE2">
        <w:rPr>
          <w:rFonts w:cs="Times New Roman"/>
          <w:i/>
        </w:rPr>
        <w:t xml:space="preserve">Criminal Code </w:t>
      </w:r>
      <w:r w:rsidRPr="00A25AE2">
        <w:rPr>
          <w:rFonts w:cs="Times New Roman"/>
        </w:rPr>
        <w:t xml:space="preserve">is a ruling which does not engage the Provincial Court’s “competence” or jurisdiction; (b) there was no “ongoing significant” infringement of Mr. Bessette’s rights at stake; and (c) </w:t>
      </w:r>
      <w:r>
        <w:rPr>
          <w:rFonts w:cs="Times New Roman"/>
        </w:rPr>
        <w:t>Mr. </w:t>
      </w:r>
      <w:r w:rsidRPr="00A25AE2">
        <w:rPr>
          <w:rFonts w:cs="Times New Roman"/>
        </w:rPr>
        <w:t xml:space="preserve">Bessette’s right to a trial in French was a question best left on appeal following his trial. Had the superior court judge recognized the jurisdictional nature of the dispute, the impact of his decision on Mr. Bessette’s claimed language rights, and the desirability of deciding the language of trial question before the start of the trial, he should have concluded that an appeal from conviction would not represent an adequate alternative remedy to </w:t>
      </w:r>
      <w:r w:rsidRPr="00A25AE2">
        <w:rPr>
          <w:rFonts w:cs="Times New Roman"/>
          <w:i/>
        </w:rPr>
        <w:t>certiorari</w:t>
      </w:r>
      <w:r w:rsidRPr="00A25AE2">
        <w:rPr>
          <w:rFonts w:cs="Times New Roman"/>
        </w:rPr>
        <w:t xml:space="preserve"> review.</w:t>
      </w:r>
    </w:p>
    <w:p w:rsidR="00C526E4" w:rsidRPr="00A25AE2" w:rsidRDefault="00C526E4" w:rsidP="00C526E4">
      <w:pPr>
        <w:pStyle w:val="ParaNoNdepar-AltN"/>
        <w:rPr>
          <w:rFonts w:cs="Times New Roman"/>
        </w:rPr>
      </w:pPr>
      <w:r w:rsidRPr="00A25AE2">
        <w:rPr>
          <w:rFonts w:cs="Times New Roman"/>
        </w:rPr>
        <w:t xml:space="preserve">As explained above, whether Mr. Bessette had a right to a French-language trial for the provincial offence for which he was charged was a jurisdictional question. This factor ought to have weighed heavily against deferring the question until the end of the trial; the prospect of conducting a trial without jurisdiction is a serious matter with important consequences. </w:t>
      </w:r>
    </w:p>
    <w:p w:rsidR="00C526E4" w:rsidRPr="00A25AE2" w:rsidRDefault="00C526E4" w:rsidP="00C526E4">
      <w:pPr>
        <w:pStyle w:val="ParaNoNdepar-AltN"/>
        <w:rPr>
          <w:rFonts w:cs="Times New Roman"/>
        </w:rPr>
      </w:pPr>
      <w:r w:rsidRPr="00A25AE2">
        <w:rPr>
          <w:rFonts w:cs="Times New Roman"/>
        </w:rPr>
        <w:t>Second, this Court has recognized that the right to a trial in the official language of one’s choice, where it applies, is “fundamental”. The right is substantive, not merely procedural. It is not concerned with trial fairness, but with affirming the accused’s linguistic and cultural identity, which is inherently “personal”. The violation of the right is a “substantial wrong” (</w:t>
      </w:r>
      <w:r w:rsidRPr="00A25AE2">
        <w:rPr>
          <w:rFonts w:cs="Times New Roman"/>
          <w:i/>
        </w:rPr>
        <w:t>Beaulac</w:t>
      </w:r>
      <w:r w:rsidRPr="00CB3031">
        <w:rPr>
          <w:rFonts w:cs="Times New Roman"/>
        </w:rPr>
        <w:t>,</w:t>
      </w:r>
      <w:r w:rsidRPr="00A25AE2">
        <w:rPr>
          <w:rFonts w:cs="Times New Roman"/>
          <w:i/>
        </w:rPr>
        <w:t xml:space="preserve"> </w:t>
      </w:r>
      <w:r w:rsidRPr="00A25AE2">
        <w:rPr>
          <w:rFonts w:cs="Times New Roman"/>
        </w:rPr>
        <w:t xml:space="preserve">at paras. 23, 25, 28, 34, 45, 47 and 53-54). </w:t>
      </w:r>
    </w:p>
    <w:p w:rsidR="00C526E4" w:rsidRPr="00A25AE2" w:rsidRDefault="00C526E4" w:rsidP="00C526E4">
      <w:pPr>
        <w:pStyle w:val="ParaNoNdepar-AltN"/>
        <w:rPr>
          <w:rFonts w:cs="Times New Roman"/>
        </w:rPr>
      </w:pPr>
      <w:r w:rsidRPr="00A25AE2">
        <w:rPr>
          <w:rFonts w:cs="Times New Roman"/>
        </w:rPr>
        <w:t xml:space="preserve">The Attorney General builds on the reasoning of the Court of Appeal (at para. 30), and cites </w:t>
      </w:r>
      <w:r w:rsidRPr="00A25AE2">
        <w:rPr>
          <w:rFonts w:cs="Times New Roman"/>
          <w:i/>
        </w:rPr>
        <w:t xml:space="preserve">Beaulac </w:t>
      </w:r>
      <w:r w:rsidRPr="00A25AE2">
        <w:rPr>
          <w:rFonts w:cs="Times New Roman"/>
        </w:rPr>
        <w:t>(at para. 57),</w:t>
      </w:r>
      <w:r w:rsidRPr="00A25AE2">
        <w:rPr>
          <w:rFonts w:cs="Times New Roman"/>
          <w:i/>
        </w:rPr>
        <w:t xml:space="preserve"> </w:t>
      </w:r>
      <w:r w:rsidRPr="00A25AE2">
        <w:rPr>
          <w:rFonts w:cs="Times New Roman"/>
        </w:rPr>
        <w:t>to argue that a new trial can represent a suitable remedy for a language rights violation. The fact that “a new hearing will generally be an appropriate [after-the-fact] remedy for most language rights violations” (</w:t>
      </w:r>
      <w:r w:rsidRPr="00A25AE2">
        <w:rPr>
          <w:rFonts w:cs="Times New Roman"/>
          <w:i/>
          <w:lang w:val="en-US"/>
        </w:rPr>
        <w:t>Mazraani v. Industrial Alliance Insurance and Financial Services Inc.</w:t>
      </w:r>
      <w:r w:rsidRPr="00A25AE2">
        <w:rPr>
          <w:rFonts w:cs="Times New Roman"/>
          <w:lang w:val="en-US"/>
        </w:rPr>
        <w:t>, 2018 SCC 50,</w:t>
      </w:r>
      <w:r w:rsidR="000022E3">
        <w:rPr>
          <w:rFonts w:cs="Times New Roman"/>
          <w:lang w:val="en-US"/>
        </w:rPr>
        <w:t xml:space="preserve"> </w:t>
      </w:r>
      <w:r w:rsidR="000022E3">
        <w:t>[2018</w:t>
      </w:r>
      <w:r w:rsidR="000022E3" w:rsidRPr="00840C5D">
        <w:t>]</w:t>
      </w:r>
      <w:r w:rsidR="000022E3">
        <w:t xml:space="preserve"> 3 S.C.R. 261</w:t>
      </w:r>
      <w:r w:rsidR="006444D9">
        <w:t>,</w:t>
      </w:r>
      <w:r w:rsidRPr="00A25AE2">
        <w:rPr>
          <w:rFonts w:cs="Times New Roman"/>
          <w:lang w:val="en-US"/>
        </w:rPr>
        <w:t xml:space="preserve"> at para. 48) does not mean that a new hearing represents an </w:t>
      </w:r>
      <w:r w:rsidRPr="00A25AE2">
        <w:rPr>
          <w:rFonts w:cs="Times New Roman"/>
          <w:i/>
          <w:lang w:val="en-US"/>
        </w:rPr>
        <w:t xml:space="preserve">adequate </w:t>
      </w:r>
      <w:r w:rsidRPr="00A25AE2">
        <w:rPr>
          <w:rFonts w:cs="Times New Roman"/>
          <w:lang w:val="en-US"/>
        </w:rPr>
        <w:t xml:space="preserve">alternative remedy from the outset. What a court may order in response to damage done does not speak to what a court should order when given the opportunity to identify and </w:t>
      </w:r>
      <w:r w:rsidRPr="00A25AE2">
        <w:rPr>
          <w:rFonts w:cs="Times New Roman"/>
          <w:i/>
          <w:lang w:val="en-US"/>
        </w:rPr>
        <w:t xml:space="preserve">prevent </w:t>
      </w:r>
      <w:r w:rsidRPr="00A25AE2">
        <w:rPr>
          <w:rFonts w:cs="Times New Roman"/>
          <w:lang w:val="en-US"/>
        </w:rPr>
        <w:t xml:space="preserve">similar damage. </w:t>
      </w:r>
      <w:r w:rsidRPr="00A25AE2">
        <w:rPr>
          <w:rFonts w:cs="Times New Roman"/>
        </w:rPr>
        <w:t xml:space="preserve">In this regard, we note that the relatively short time estimated for Mr. Bessette’s trial (an hour) has no import on the analysis; a violation cannot reasonably be quantified by its duration (see </w:t>
      </w:r>
      <w:r w:rsidRPr="00A25AE2">
        <w:rPr>
          <w:rFonts w:cs="Times New Roman"/>
          <w:i/>
        </w:rPr>
        <w:t>Mazraani</w:t>
      </w:r>
      <w:r w:rsidRPr="00A25AE2">
        <w:rPr>
          <w:rFonts w:cs="Times New Roman"/>
        </w:rPr>
        <w:t>,</w:t>
      </w:r>
      <w:r w:rsidRPr="00A25AE2">
        <w:rPr>
          <w:rFonts w:cs="Times New Roman"/>
          <w:i/>
        </w:rPr>
        <w:t xml:space="preserve"> </w:t>
      </w:r>
      <w:r w:rsidRPr="00A25AE2">
        <w:rPr>
          <w:rFonts w:cs="Times New Roman"/>
        </w:rPr>
        <w:t>at para. 51).</w:t>
      </w:r>
    </w:p>
    <w:p w:rsidR="00C526E4" w:rsidRPr="00A25AE2" w:rsidRDefault="00C526E4" w:rsidP="00C526E4">
      <w:pPr>
        <w:pStyle w:val="ParaNoNdepar-AltN"/>
        <w:rPr>
          <w:rFonts w:cs="Times New Roman"/>
        </w:rPr>
      </w:pPr>
      <w:r w:rsidRPr="00A25AE2">
        <w:rPr>
          <w:rFonts w:cs="Times New Roman"/>
        </w:rPr>
        <w:t xml:space="preserve">As the violation of the accused’s trial language right is a harm in itself, an appeal following a conviction by an English-speaking court cannot represent an adequate alternative remedy to deciding, before the trial has taken place, whether the accused is indeed entitled to this fundamental right. Further, Mr. Bessette rightly points out that, had he been acquitted after an English trial, he would have had </w:t>
      </w:r>
      <w:r w:rsidRPr="00A25AE2">
        <w:rPr>
          <w:rFonts w:cs="Times New Roman"/>
          <w:i/>
        </w:rPr>
        <w:t xml:space="preserve">no </w:t>
      </w:r>
      <w:r w:rsidRPr="00A25AE2">
        <w:rPr>
          <w:rFonts w:cs="Times New Roman"/>
        </w:rPr>
        <w:t xml:space="preserve">opportunity to have his language rights vindicated. This is because an accused does not have the right to appeal an acquittal under the </w:t>
      </w:r>
      <w:r w:rsidRPr="00A25AE2">
        <w:rPr>
          <w:rFonts w:cs="Times New Roman"/>
          <w:i/>
        </w:rPr>
        <w:t xml:space="preserve">Offence Act </w:t>
      </w:r>
      <w:r w:rsidRPr="00A25AE2">
        <w:rPr>
          <w:rFonts w:cs="Times New Roman"/>
        </w:rPr>
        <w:t xml:space="preserve">(s. 102). </w:t>
      </w:r>
    </w:p>
    <w:p w:rsidR="00C526E4" w:rsidRPr="00A25AE2" w:rsidRDefault="00C526E4" w:rsidP="00C526E4">
      <w:pPr>
        <w:pStyle w:val="ParaNoNdepar-AltN"/>
        <w:rPr>
          <w:rFonts w:cs="Times New Roman"/>
        </w:rPr>
      </w:pPr>
      <w:r w:rsidRPr="00A25AE2">
        <w:rPr>
          <w:rFonts w:cs="Times New Roman"/>
        </w:rPr>
        <w:t xml:space="preserve">The superior court judge declined to consider the substantive aspects of Mr. Bessette’s petition in part because Mr. Bessette indicated that he might raise another distinct language issue as a defence at his trial (namely, whether he was entitled to receive notice of his driving prohibition in French). The superior court judge considered it “undesirable” to deal with Mr. Bessette’s petition on the merits as doing so “could result in two language-rights appeals, one via the current judicial review route (to deal with the language at trial) and the other by way of an ordinary appeal following the trial (to deal with the language issue concerning the notice of prohibition)” (para. 29). While the judge’s view may have some practical merit, it ultimately fails to recognize the distinct nature of the trial language claim. An application for a trial in French asks the court to conduct </w:t>
      </w:r>
      <w:r w:rsidRPr="00A25AE2">
        <w:rPr>
          <w:rFonts w:cs="Times New Roman"/>
          <w:i/>
        </w:rPr>
        <w:t>future</w:t>
      </w:r>
      <w:r w:rsidRPr="00A25AE2">
        <w:rPr>
          <w:rFonts w:cs="Times New Roman"/>
        </w:rPr>
        <w:t xml:space="preserve"> proceedings in a manner which respects the accused’s language rights. The possibility that the accused’s rights were violated in the past (by a prohibition notice infringing the accused’s language rights) cannot be used to justify additional, preventable infringements.</w:t>
      </w:r>
    </w:p>
    <w:p w:rsidR="00C526E4" w:rsidRPr="00A25AE2" w:rsidRDefault="00C526E4" w:rsidP="00C526E4">
      <w:pPr>
        <w:pStyle w:val="ParaNoNdepar-AltN"/>
        <w:rPr>
          <w:rFonts w:cs="Times New Roman"/>
        </w:rPr>
      </w:pPr>
      <w:r w:rsidRPr="00A25AE2">
        <w:rPr>
          <w:rFonts w:cs="Times New Roman"/>
        </w:rPr>
        <w:t xml:space="preserve">Finally, we are not persuaded by the Attorney General’s argument that the case of </w:t>
      </w:r>
      <w:r w:rsidRPr="00A25AE2">
        <w:rPr>
          <w:rFonts w:cs="Times New Roman"/>
          <w:i/>
        </w:rPr>
        <w:t>R. v. Prince</w:t>
      </w:r>
      <w:r w:rsidRPr="00A25AE2">
        <w:rPr>
          <w:rFonts w:cs="Times New Roman"/>
        </w:rPr>
        <w:t>,</w:t>
      </w:r>
      <w:r w:rsidRPr="00A25AE2">
        <w:rPr>
          <w:rFonts w:cs="Times New Roman"/>
          <w:i/>
        </w:rPr>
        <w:t xml:space="preserve"> </w:t>
      </w:r>
      <w:r w:rsidRPr="00A25AE2">
        <w:rPr>
          <w:rFonts w:cs="Times New Roman"/>
        </w:rPr>
        <w:t xml:space="preserve">[1986] 2 S.C.R. 480, supports declining </w:t>
      </w:r>
      <w:r w:rsidRPr="00A25AE2">
        <w:rPr>
          <w:rFonts w:cs="Times New Roman"/>
          <w:i/>
        </w:rPr>
        <w:t xml:space="preserve">certiorari </w:t>
      </w:r>
      <w:r w:rsidRPr="00A25AE2">
        <w:rPr>
          <w:rFonts w:cs="Times New Roman"/>
        </w:rPr>
        <w:t xml:space="preserve">review in Mr. Bessette’s case. The rationale for declining </w:t>
      </w:r>
      <w:r w:rsidRPr="00A25AE2">
        <w:rPr>
          <w:rFonts w:cs="Times New Roman"/>
          <w:i/>
        </w:rPr>
        <w:t>certiorari</w:t>
      </w:r>
      <w:r w:rsidRPr="00A25AE2">
        <w:rPr>
          <w:rFonts w:cs="Times New Roman"/>
        </w:rPr>
        <w:t xml:space="preserve"> review in </w:t>
      </w:r>
      <w:r w:rsidRPr="00A25AE2">
        <w:rPr>
          <w:rFonts w:cs="Times New Roman"/>
          <w:i/>
        </w:rPr>
        <w:t xml:space="preserve">Prince </w:t>
      </w:r>
      <w:r w:rsidRPr="00A25AE2">
        <w:rPr>
          <w:rFonts w:cs="Times New Roman"/>
        </w:rPr>
        <w:t xml:space="preserve">is simply not germane to the issues raised in Mr. Bessette’s case. In </w:t>
      </w:r>
      <w:r w:rsidRPr="00A25AE2">
        <w:rPr>
          <w:rFonts w:cs="Times New Roman"/>
          <w:i/>
        </w:rPr>
        <w:t>Prince</w:t>
      </w:r>
      <w:r w:rsidRPr="00A25AE2">
        <w:rPr>
          <w:rFonts w:cs="Times New Roman"/>
        </w:rPr>
        <w:t>, Dickson C.J. stated:</w:t>
      </w:r>
    </w:p>
    <w:p w:rsidR="00C526E4" w:rsidRPr="00A25AE2" w:rsidRDefault="00C526E4" w:rsidP="00C526E4">
      <w:pPr>
        <w:pStyle w:val="Citation-AltC"/>
        <w:rPr>
          <w:lang w:val="en-US"/>
        </w:rPr>
      </w:pPr>
      <w:r w:rsidRPr="00A25AE2">
        <w:rPr>
          <w:lang w:val="en-US"/>
        </w:rPr>
        <w:tab/>
        <w:t xml:space="preserve">Although it was not argued in this Court, I wish to add that in my view it is normally appropriate for a superior court to decline to grant a prerogative remedy on an interlocutory application in respect of the rule against multiple convictions. That rule has proved to be </w:t>
      </w:r>
      <w:r w:rsidRPr="00A25AE2">
        <w:rPr>
          <w:u w:val="single"/>
          <w:lang w:val="en-US"/>
        </w:rPr>
        <w:t>a fertile source of appeals</w:t>
      </w:r>
      <w:r w:rsidRPr="00A25AE2">
        <w:rPr>
          <w:lang w:val="en-US"/>
        </w:rPr>
        <w:t xml:space="preserve">. The </w:t>
      </w:r>
      <w:r w:rsidRPr="00A25AE2">
        <w:rPr>
          <w:u w:val="single"/>
          <w:lang w:val="en-US"/>
        </w:rPr>
        <w:t>delay</w:t>
      </w:r>
      <w:r w:rsidRPr="00A25AE2">
        <w:rPr>
          <w:lang w:val="en-US"/>
        </w:rPr>
        <w:t xml:space="preserve"> engendered by an erroneous application of the </w:t>
      </w:r>
      <w:r w:rsidRPr="00A25AE2">
        <w:rPr>
          <w:i/>
          <w:iCs/>
          <w:lang w:val="en-US"/>
        </w:rPr>
        <w:t>Kienapple</w:t>
      </w:r>
      <w:r w:rsidRPr="00A25AE2">
        <w:rPr>
          <w:lang w:val="en-US"/>
        </w:rPr>
        <w:t xml:space="preserve"> principle prior to the conclusion of the trial is regrettably illustrated by the present case. </w:t>
      </w:r>
      <w:r w:rsidRPr="00A25AE2">
        <w:rPr>
          <w:u w:val="single"/>
          <w:lang w:val="en-US"/>
        </w:rPr>
        <w:t>Prerogative remedies are discretionary, and notwithstanding the possibility of jurisdictional error in some cases, it would generally be preferable for superior courts to decline to consider the merits of a </w:t>
      </w:r>
      <w:r w:rsidRPr="00A25AE2">
        <w:rPr>
          <w:i/>
          <w:iCs/>
          <w:u w:val="single"/>
          <w:lang w:val="en-US"/>
        </w:rPr>
        <w:t>Kienapple</w:t>
      </w:r>
      <w:r w:rsidRPr="00A25AE2">
        <w:rPr>
          <w:u w:val="single"/>
          <w:lang w:val="en-US"/>
        </w:rPr>
        <w:t> argument on an interlocutory application</w:t>
      </w:r>
      <w:r w:rsidRPr="00CB5EC4">
        <w:rPr>
          <w:u w:val="single"/>
          <w:lang w:val="en-US"/>
        </w:rPr>
        <w:t>.</w:t>
      </w:r>
      <w:r w:rsidRPr="00A25AE2">
        <w:rPr>
          <w:lang w:val="en-US"/>
        </w:rPr>
        <w:t xml:space="preserve"> [Emphasis added; pp. 507-8.]</w:t>
      </w:r>
    </w:p>
    <w:p w:rsidR="00C526E4" w:rsidRPr="00A25AE2" w:rsidRDefault="00C526E4" w:rsidP="00C526E4">
      <w:pPr>
        <w:pStyle w:val="ParaNoNdepar-AltN"/>
        <w:rPr>
          <w:rFonts w:cs="Times New Roman"/>
        </w:rPr>
      </w:pPr>
      <w:r w:rsidRPr="00A25AE2">
        <w:rPr>
          <w:rFonts w:cs="Times New Roman"/>
        </w:rPr>
        <w:t xml:space="preserve">In our view, Dickson C.J. was not stating that </w:t>
      </w:r>
      <w:r w:rsidRPr="00A25AE2">
        <w:rPr>
          <w:rFonts w:cs="Times New Roman"/>
          <w:i/>
        </w:rPr>
        <w:t xml:space="preserve">certiorari </w:t>
      </w:r>
      <w:r w:rsidRPr="00A25AE2">
        <w:rPr>
          <w:rFonts w:cs="Times New Roman"/>
        </w:rPr>
        <w:t xml:space="preserve">review should be declined when jurisdictional errors are alleged. To the contrary, he was opining that, in light of the particular challenges they pose, and </w:t>
      </w:r>
      <w:r w:rsidRPr="00A25AE2">
        <w:rPr>
          <w:rFonts w:cs="Times New Roman"/>
          <w:i/>
        </w:rPr>
        <w:t>despite</w:t>
      </w:r>
      <w:r w:rsidRPr="00A25AE2">
        <w:rPr>
          <w:rFonts w:cs="Times New Roman"/>
        </w:rPr>
        <w:t xml:space="preserve"> their jurisdictional nature, alleged </w:t>
      </w:r>
      <w:r w:rsidRPr="00A25AE2">
        <w:rPr>
          <w:rFonts w:cs="Times New Roman"/>
          <w:i/>
        </w:rPr>
        <w:t xml:space="preserve">Kienapple </w:t>
      </w:r>
      <w:r w:rsidRPr="00A25AE2">
        <w:rPr>
          <w:rFonts w:cs="Times New Roman"/>
        </w:rPr>
        <w:t xml:space="preserve">errors should, exceptionally, await adjudication at the end of trial. </w:t>
      </w:r>
    </w:p>
    <w:p w:rsidR="00C526E4" w:rsidRPr="00A25AE2" w:rsidRDefault="00C526E4" w:rsidP="00C526E4">
      <w:pPr>
        <w:pStyle w:val="ParaNoNdepar-AltN"/>
        <w:rPr>
          <w:rFonts w:cs="Times New Roman"/>
        </w:rPr>
      </w:pPr>
      <w:r w:rsidRPr="00A25AE2">
        <w:rPr>
          <w:rFonts w:cs="Times New Roman"/>
        </w:rPr>
        <w:t xml:space="preserve">In any event, deciding whether a person is entitled to a trial in his or her official language of choice cannot be analogized to applying the </w:t>
      </w:r>
      <w:r w:rsidRPr="00A25AE2">
        <w:rPr>
          <w:rFonts w:cs="Times New Roman"/>
          <w:i/>
        </w:rPr>
        <w:t>Kienapple</w:t>
      </w:r>
      <w:r w:rsidRPr="00A25AE2">
        <w:rPr>
          <w:rFonts w:cs="Times New Roman"/>
        </w:rPr>
        <w:t xml:space="preserve"> principle against multiple convictions. The latter is inherently fact-specific, record-dependant, and poses the risk (in Dickson C.J.’s view) of becoming a frequent and fertile source of appeals. The same cannot be said of deciding whether the </w:t>
      </w:r>
      <w:r w:rsidRPr="00A25AE2">
        <w:rPr>
          <w:rFonts w:cs="Times New Roman"/>
          <w:i/>
        </w:rPr>
        <w:t xml:space="preserve">Offence Act </w:t>
      </w:r>
      <w:r w:rsidRPr="00A25AE2">
        <w:rPr>
          <w:rFonts w:cs="Times New Roman"/>
        </w:rPr>
        <w:t>offers trials in either official language, which is a question of law that does not depend on any evidentiary record. In addition, and as set out above, where the law does indeed provide the accused with a choice to proceed to trial in either official language, that choice is the accused’s to make for his or her own reasons. Provided the accused is able to instruct counsel and follow the proceedings in the language selected, no evidentiary record is necessary to justify the accused’s stated choice (</w:t>
      </w:r>
      <w:r w:rsidRPr="00A25AE2">
        <w:rPr>
          <w:rFonts w:cs="Times New Roman"/>
          <w:i/>
        </w:rPr>
        <w:t>Beaulac</w:t>
      </w:r>
      <w:r w:rsidRPr="00A25AE2">
        <w:rPr>
          <w:rFonts w:cs="Times New Roman"/>
        </w:rPr>
        <w:t>,</w:t>
      </w:r>
      <w:r w:rsidRPr="00A25AE2">
        <w:rPr>
          <w:rFonts w:cs="Times New Roman"/>
          <w:i/>
        </w:rPr>
        <w:t xml:space="preserve"> </w:t>
      </w:r>
      <w:r w:rsidRPr="00A25AE2">
        <w:rPr>
          <w:rFonts w:cs="Times New Roman"/>
        </w:rPr>
        <w:t xml:space="preserve">at paras. 34 and 56).  </w:t>
      </w:r>
    </w:p>
    <w:p w:rsidR="00C526E4" w:rsidRPr="00A25AE2" w:rsidRDefault="00C526E4" w:rsidP="00C526E4">
      <w:pPr>
        <w:pStyle w:val="ParaNoNdepar-AltN"/>
        <w:rPr>
          <w:rFonts w:cs="Times New Roman"/>
        </w:rPr>
      </w:pPr>
      <w:r w:rsidRPr="00A25AE2">
        <w:rPr>
          <w:rFonts w:cs="Times New Roman"/>
          <w:lang w:val="en-US"/>
        </w:rPr>
        <w:t>Further,</w:t>
      </w:r>
      <w:r w:rsidRPr="00A25AE2">
        <w:rPr>
          <w:rFonts w:cs="Times New Roman"/>
        </w:rPr>
        <w:t xml:space="preserve"> and crucially, the Attorney General acknowledged in oral submissions that a Supreme Court of British Columbia decision on the language of </w:t>
      </w:r>
      <w:r w:rsidRPr="00A25AE2">
        <w:rPr>
          <w:rFonts w:cs="Times New Roman"/>
          <w:i/>
        </w:rPr>
        <w:t xml:space="preserve">Offence Act </w:t>
      </w:r>
      <w:r w:rsidRPr="00A25AE2">
        <w:rPr>
          <w:rFonts w:cs="Times New Roman"/>
        </w:rPr>
        <w:t>trials would serve as binding precedent for the statutory courts hearing such</w:t>
      </w:r>
      <w:r w:rsidRPr="00A25AE2">
        <w:rPr>
          <w:rFonts w:cs="Times New Roman"/>
          <w:i/>
        </w:rPr>
        <w:t xml:space="preserve"> </w:t>
      </w:r>
      <w:r w:rsidRPr="00A25AE2">
        <w:rPr>
          <w:rFonts w:cs="Times New Roman"/>
        </w:rPr>
        <w:t xml:space="preserve">trials in the province (transcript, at p. 59). Thus, had the Supreme Court judge decided the merits of Mr. Bessette’s petition, his decision would have </w:t>
      </w:r>
      <w:r w:rsidRPr="00A25AE2">
        <w:rPr>
          <w:rFonts w:cs="Times New Roman"/>
          <w:i/>
        </w:rPr>
        <w:t>discouraged</w:t>
      </w:r>
      <w:r w:rsidRPr="00A25AE2">
        <w:rPr>
          <w:rFonts w:cs="Times New Roman"/>
        </w:rPr>
        <w:t xml:space="preserve"> further interlocutory appeals on the same ground, rather than encouraging them.</w:t>
      </w:r>
    </w:p>
    <w:p w:rsidR="00C526E4" w:rsidRPr="00A25AE2" w:rsidRDefault="00C526E4" w:rsidP="00C526E4">
      <w:pPr>
        <w:pStyle w:val="ParaNoNdepar-AltN"/>
        <w:rPr>
          <w:rFonts w:cs="Times New Roman"/>
        </w:rPr>
      </w:pPr>
      <w:r w:rsidRPr="00A25AE2">
        <w:rPr>
          <w:rFonts w:cs="Times New Roman"/>
        </w:rPr>
        <w:t xml:space="preserve">As set out above, interlocutory appeals are circumscribed in part because of concerns about judicial economy, delay, and the fragmentation of proceedings. However, in this case, these considerations militate in favour of adjudicating the merits of Mr. Bessette’s petition before the start of his trial. Modern courts are busy and work to avoid delay. When a </w:t>
      </w:r>
      <w:r w:rsidRPr="00A25AE2">
        <w:rPr>
          <w:rFonts w:cs="Times New Roman"/>
          <w:i/>
        </w:rPr>
        <w:t>pre-trial</w:t>
      </w:r>
      <w:r w:rsidRPr="00A25AE2">
        <w:rPr>
          <w:rFonts w:cs="Times New Roman"/>
        </w:rPr>
        <w:t xml:space="preserve"> petition alleges a jurisdictional error by the trial court that would render the proceedings a nullity, it is difficult to imagine how it could be preferable for the superior court to refuse to rule on that alleged error and compel a full trial on the merits. To do so would give rise to a potential ground of appeal which might result in the appeal court having to order a new trial. This second trial, which would inevitably take place at some later time further down the road, might have been avoided entirely had the petition been dealt with on the merits when it was first brought. Such successive proceedings cost not only the justice system — crucially, they also cost the accused. Putting the accused through a trial which may well be a nullity risks putting the accused to undue legal expense. This risk should not be taken lightly.</w:t>
      </w:r>
    </w:p>
    <w:p w:rsidR="00C526E4" w:rsidRPr="00A25AE2" w:rsidRDefault="00C526E4" w:rsidP="00C526E4">
      <w:pPr>
        <w:pStyle w:val="ParaNoNdepar-AltN"/>
        <w:rPr>
          <w:rFonts w:cs="Times New Roman"/>
        </w:rPr>
      </w:pPr>
      <w:r w:rsidRPr="00A25AE2">
        <w:rPr>
          <w:rFonts w:cs="Times New Roman"/>
        </w:rPr>
        <w:t xml:space="preserve">Had Mr. Bessette not appealed the superior court’s decision, it would have resulted in a trial in English being conducted without jurisdiction, and a significant infringement of Mr. Bessette’s language rights. By failing to recognize this prospect, the superior court made a decision which failed to give weight to all relevant considerations, erred in principle and was, respectfully, “plainly wrong” in the result. In our view, there was no basis for the superior court to exercise its discretion to decline </w:t>
      </w:r>
      <w:r w:rsidRPr="00A25AE2">
        <w:rPr>
          <w:rFonts w:cs="Times New Roman"/>
          <w:i/>
        </w:rPr>
        <w:t>certiorari</w:t>
      </w:r>
      <w:r w:rsidRPr="00A25AE2">
        <w:rPr>
          <w:rFonts w:cs="Times New Roman"/>
        </w:rPr>
        <w:t xml:space="preserve"> review</w:t>
      </w:r>
      <w:r w:rsidRPr="00A25AE2">
        <w:rPr>
          <w:rFonts w:cs="Times New Roman"/>
          <w:i/>
        </w:rPr>
        <w:t>.</w:t>
      </w:r>
      <w:r w:rsidRPr="00A25AE2">
        <w:rPr>
          <w:rFonts w:cs="Times New Roman"/>
        </w:rPr>
        <w:t xml:space="preserve"> The court ought to have decided the merits of Mr. Bessette’s petition. </w:t>
      </w:r>
    </w:p>
    <w:p w:rsidR="00C526E4" w:rsidRPr="00A25AE2" w:rsidRDefault="00C526E4" w:rsidP="00C526E4">
      <w:pPr>
        <w:pStyle w:val="ParaNoNdepar-AltN"/>
        <w:rPr>
          <w:rFonts w:cs="Times New Roman"/>
        </w:rPr>
      </w:pPr>
      <w:r w:rsidRPr="00A25AE2">
        <w:rPr>
          <w:rFonts w:cs="Times New Roman"/>
        </w:rPr>
        <w:t>It is to those merits that we now turn.</w:t>
      </w:r>
      <w:r w:rsidRPr="00A25AE2">
        <w:rPr>
          <w:rFonts w:cs="Times New Roman"/>
          <w:b/>
          <w:lang w:val="en-US"/>
        </w:rPr>
        <w:t xml:space="preserve"> </w:t>
      </w:r>
    </w:p>
    <w:p w:rsidR="00C526E4" w:rsidRPr="00A25AE2" w:rsidRDefault="00C526E4" w:rsidP="00C526E4">
      <w:pPr>
        <w:pStyle w:val="Title2LevelTitre2Niveau"/>
        <w:rPr>
          <w:rFonts w:cs="Times New Roman"/>
        </w:rPr>
      </w:pPr>
      <w:r w:rsidRPr="00A25AE2">
        <w:rPr>
          <w:rFonts w:cs="Times New Roman"/>
        </w:rPr>
        <w:t>The Substantive Question: Language of Offence Act</w:t>
      </w:r>
      <w:r w:rsidRPr="00A25AE2">
        <w:rPr>
          <w:rFonts w:cs="Times New Roman"/>
          <w:i w:val="0"/>
        </w:rPr>
        <w:t xml:space="preserve"> </w:t>
      </w:r>
      <w:r w:rsidRPr="00A25AE2">
        <w:rPr>
          <w:rFonts w:cs="Times New Roman"/>
        </w:rPr>
        <w:t>Trials</w:t>
      </w:r>
    </w:p>
    <w:p w:rsidR="00C526E4" w:rsidRPr="00A25AE2" w:rsidRDefault="00C526E4" w:rsidP="00C526E4">
      <w:pPr>
        <w:pStyle w:val="ParaNoNdepar-AltN"/>
        <w:rPr>
          <w:rFonts w:cs="Times New Roman"/>
        </w:rPr>
      </w:pPr>
      <w:r w:rsidRPr="00A25AE2">
        <w:rPr>
          <w:rFonts w:cs="Times New Roman"/>
        </w:rPr>
        <w:t xml:space="preserve">As a preliminary point, we would note that while some language rights receive constitutional protection, the language of trials held pursuant to the </w:t>
      </w:r>
      <w:r w:rsidRPr="00A25AE2">
        <w:rPr>
          <w:rFonts w:cs="Times New Roman"/>
          <w:i/>
          <w:iCs/>
        </w:rPr>
        <w:t xml:space="preserve">Offence Act </w:t>
      </w:r>
      <w:r w:rsidRPr="00A25AE2">
        <w:rPr>
          <w:rFonts w:cs="Times New Roman"/>
        </w:rPr>
        <w:t xml:space="preserve">is, in this case, simply a question of statutory interpretation. Mr. Bessette has not alleged any infringement of his rights arising under the </w:t>
      </w:r>
      <w:r w:rsidRPr="00A25AE2">
        <w:rPr>
          <w:rFonts w:cs="Times New Roman"/>
          <w:i/>
        </w:rPr>
        <w:t>Canadian Charter of Rights and Freedom</w:t>
      </w:r>
      <w:r w:rsidRPr="00A25AE2">
        <w:rPr>
          <w:rFonts w:cs="Times New Roman"/>
        </w:rPr>
        <w:t xml:space="preserve">s or challenged the constitutionality of the statutory scheme in question. </w:t>
      </w:r>
    </w:p>
    <w:p w:rsidR="00C526E4" w:rsidRPr="00A25AE2" w:rsidRDefault="00C526E4" w:rsidP="00C526E4">
      <w:pPr>
        <w:pStyle w:val="ParaNoNdepar-AltN"/>
        <w:rPr>
          <w:rFonts w:cs="Times New Roman"/>
        </w:rPr>
      </w:pPr>
      <w:r w:rsidRPr="00A25AE2">
        <w:rPr>
          <w:rFonts w:cs="Times New Roman"/>
        </w:rPr>
        <w:t>Rather, he and the</w:t>
      </w:r>
      <w:r w:rsidRPr="00A25AE2">
        <w:rPr>
          <w:rFonts w:eastAsia="Times New Roman" w:cs="Times New Roman"/>
          <w:szCs w:val="24"/>
          <w:lang w:eastAsia="en-CA"/>
        </w:rPr>
        <w:t xml:space="preserve"> </w:t>
      </w:r>
      <w:r w:rsidRPr="00A25AE2">
        <w:rPr>
          <w:rFonts w:cs="Times New Roman"/>
        </w:rPr>
        <w:t xml:space="preserve">Attorney General divide over which statute the </w:t>
      </w:r>
      <w:r w:rsidRPr="00A25AE2">
        <w:rPr>
          <w:rFonts w:cs="Times New Roman"/>
          <w:i/>
        </w:rPr>
        <w:t xml:space="preserve">Offence Act </w:t>
      </w:r>
      <w:r w:rsidRPr="00A25AE2">
        <w:rPr>
          <w:rFonts w:cs="Times New Roman"/>
        </w:rPr>
        <w:t xml:space="preserve">designates as determining the language of trials. </w:t>
      </w:r>
      <w:r w:rsidRPr="00A25AE2">
        <w:rPr>
          <w:rFonts w:cs="Times New Roman"/>
          <w:bCs/>
        </w:rPr>
        <w:t xml:space="preserve">Mr. Bessette says that the </w:t>
      </w:r>
      <w:r w:rsidRPr="00A25AE2">
        <w:rPr>
          <w:rFonts w:cs="Times New Roman"/>
          <w:bCs/>
          <w:i/>
          <w:iCs/>
        </w:rPr>
        <w:t xml:space="preserve">Criminal Code </w:t>
      </w:r>
      <w:r w:rsidRPr="00A25AE2">
        <w:rPr>
          <w:rFonts w:cs="Times New Roman"/>
          <w:bCs/>
        </w:rPr>
        <w:t>governs on this point and provides for trials in either official language.</w:t>
      </w:r>
      <w:r w:rsidRPr="00A25AE2">
        <w:rPr>
          <w:rFonts w:cs="Times New Roman"/>
          <w:b/>
          <w:bCs/>
        </w:rPr>
        <w:t xml:space="preserve"> </w:t>
      </w:r>
      <w:r w:rsidRPr="00A25AE2">
        <w:rPr>
          <w:rFonts w:cs="Times New Roman"/>
          <w:bCs/>
        </w:rPr>
        <w:t xml:space="preserve">The Attorney General says that the question is answered in the </w:t>
      </w:r>
      <w:r w:rsidRPr="00A25AE2">
        <w:rPr>
          <w:rFonts w:cs="Times New Roman"/>
          <w:bCs/>
          <w:i/>
          <w:iCs/>
        </w:rPr>
        <w:t>1731 Act</w:t>
      </w:r>
      <w:r w:rsidRPr="00A25AE2">
        <w:rPr>
          <w:rFonts w:cs="Times New Roman"/>
          <w:bCs/>
          <w:iCs/>
        </w:rPr>
        <w:t xml:space="preserve">, </w:t>
      </w:r>
      <w:r w:rsidRPr="00A25AE2">
        <w:rPr>
          <w:rFonts w:cs="Times New Roman"/>
          <w:bCs/>
        </w:rPr>
        <w:t>which</w:t>
      </w:r>
      <w:r w:rsidRPr="00A25AE2">
        <w:rPr>
          <w:rFonts w:cs="Times New Roman"/>
          <w:bCs/>
          <w:i/>
          <w:iCs/>
        </w:rPr>
        <w:t xml:space="preserve"> </w:t>
      </w:r>
      <w:r w:rsidRPr="00A25AE2">
        <w:rPr>
          <w:rFonts w:cs="Times New Roman"/>
          <w:bCs/>
        </w:rPr>
        <w:t>mandates English-only trials.</w:t>
      </w:r>
      <w:r w:rsidRPr="00A25AE2">
        <w:rPr>
          <w:rFonts w:cs="Times New Roman"/>
          <w:b/>
          <w:bCs/>
        </w:rPr>
        <w:t xml:space="preserve"> </w:t>
      </w:r>
      <w:r w:rsidRPr="00A25AE2">
        <w:rPr>
          <w:rFonts w:cs="Times New Roman"/>
        </w:rPr>
        <w:t xml:space="preserve">The task of this Court is therefore to interpret </w:t>
      </w:r>
      <w:r w:rsidRPr="00A25AE2">
        <w:rPr>
          <w:rFonts w:cs="Times New Roman"/>
          <w:bCs/>
        </w:rPr>
        <w:t xml:space="preserve">the relevant provisions of the </w:t>
      </w:r>
      <w:r w:rsidRPr="00A25AE2">
        <w:rPr>
          <w:rFonts w:cs="Times New Roman"/>
          <w:bCs/>
          <w:i/>
          <w:iCs/>
        </w:rPr>
        <w:t xml:space="preserve">Offence Act </w:t>
      </w:r>
      <w:r w:rsidRPr="00A25AE2">
        <w:rPr>
          <w:rFonts w:cs="Times New Roman"/>
        </w:rPr>
        <w:t xml:space="preserve">and determine the proper interrelationship </w:t>
      </w:r>
      <w:r w:rsidRPr="00A25AE2">
        <w:rPr>
          <w:rFonts w:cs="Times New Roman"/>
          <w:bCs/>
        </w:rPr>
        <w:t xml:space="preserve">between that </w:t>
      </w:r>
      <w:r w:rsidRPr="00A25AE2">
        <w:rPr>
          <w:rFonts w:cs="Times New Roman"/>
          <w:bCs/>
          <w:iCs/>
        </w:rPr>
        <w:t>Act,</w:t>
      </w:r>
      <w:r w:rsidRPr="00A25AE2">
        <w:rPr>
          <w:rFonts w:cs="Times New Roman"/>
          <w:bCs/>
          <w:i/>
          <w:iCs/>
        </w:rPr>
        <w:t xml:space="preserve"> </w:t>
      </w:r>
      <w:r w:rsidRPr="00A25AE2">
        <w:rPr>
          <w:rFonts w:cs="Times New Roman"/>
          <w:bCs/>
        </w:rPr>
        <w:t xml:space="preserve">the </w:t>
      </w:r>
      <w:r w:rsidRPr="00A25AE2">
        <w:rPr>
          <w:rFonts w:cs="Times New Roman"/>
          <w:bCs/>
          <w:i/>
          <w:iCs/>
        </w:rPr>
        <w:t>Criminal Code</w:t>
      </w:r>
      <w:r w:rsidRPr="00A25AE2">
        <w:rPr>
          <w:rFonts w:cs="Times New Roman"/>
          <w:bCs/>
          <w:iCs/>
        </w:rPr>
        <w:t>,</w:t>
      </w:r>
      <w:r w:rsidRPr="00A25AE2">
        <w:rPr>
          <w:rFonts w:cs="Times New Roman"/>
          <w:bCs/>
          <w:i/>
          <w:iCs/>
        </w:rPr>
        <w:t xml:space="preserve"> </w:t>
      </w:r>
      <w:r w:rsidRPr="00A25AE2">
        <w:rPr>
          <w:rFonts w:cs="Times New Roman"/>
          <w:bCs/>
        </w:rPr>
        <w:t xml:space="preserve">and the </w:t>
      </w:r>
      <w:r w:rsidRPr="00A25AE2">
        <w:rPr>
          <w:rFonts w:cs="Times New Roman"/>
          <w:bCs/>
          <w:i/>
          <w:iCs/>
        </w:rPr>
        <w:t xml:space="preserve">1731 Act </w:t>
      </w:r>
      <w:r w:rsidRPr="00A25AE2">
        <w:rPr>
          <w:rFonts w:cs="Times New Roman"/>
          <w:bCs/>
        </w:rPr>
        <w:t xml:space="preserve">in respect of the language of </w:t>
      </w:r>
      <w:r w:rsidRPr="00A25AE2">
        <w:rPr>
          <w:rFonts w:cs="Times New Roman"/>
          <w:bCs/>
          <w:i/>
          <w:iCs/>
        </w:rPr>
        <w:t xml:space="preserve">Offence Act </w:t>
      </w:r>
      <w:r w:rsidRPr="00A25AE2">
        <w:rPr>
          <w:rFonts w:cs="Times New Roman"/>
          <w:bCs/>
        </w:rPr>
        <w:t>trials</w:t>
      </w:r>
      <w:r w:rsidRPr="00A25AE2">
        <w:rPr>
          <w:rFonts w:cs="Times New Roman"/>
        </w:rPr>
        <w:t xml:space="preserve">. As set out above, of the courts below, only the </w:t>
      </w:r>
      <w:r w:rsidRPr="00A25AE2">
        <w:rPr>
          <w:rFonts w:cs="Times New Roman"/>
          <w:bCs/>
        </w:rPr>
        <w:t xml:space="preserve">Provincial Court of British Columbia addressed this substantive issue. Having the benefit of the parties’ developed submissions on interpreting the </w:t>
      </w:r>
      <w:r w:rsidRPr="00A25AE2">
        <w:rPr>
          <w:rFonts w:cs="Times New Roman"/>
          <w:bCs/>
          <w:i/>
        </w:rPr>
        <w:t>Offence Act</w:t>
      </w:r>
      <w:r w:rsidRPr="00A25AE2">
        <w:rPr>
          <w:rFonts w:cs="Times New Roman"/>
          <w:bCs/>
        </w:rPr>
        <w:t>,</w:t>
      </w:r>
      <w:r w:rsidRPr="00A25AE2">
        <w:rPr>
          <w:rFonts w:cs="Times New Roman"/>
          <w:bCs/>
          <w:i/>
        </w:rPr>
        <w:t xml:space="preserve"> </w:t>
      </w:r>
      <w:r w:rsidRPr="00A25AE2">
        <w:rPr>
          <w:rFonts w:cs="Times New Roman"/>
          <w:bCs/>
        </w:rPr>
        <w:t xml:space="preserve">we focus on those submissions instead of the Provincial Court’s reasons. </w:t>
      </w:r>
    </w:p>
    <w:p w:rsidR="00C526E4" w:rsidRPr="00A25AE2" w:rsidRDefault="00C526E4" w:rsidP="00C526E4">
      <w:pPr>
        <w:pStyle w:val="ParaNoNdepar-AltN"/>
        <w:rPr>
          <w:rFonts w:cs="Times New Roman"/>
        </w:rPr>
      </w:pPr>
      <w:r w:rsidRPr="00A25AE2">
        <w:rPr>
          <w:rFonts w:cs="Times New Roman"/>
        </w:rPr>
        <w:t>To reiterate, the</w:t>
      </w:r>
      <w:r w:rsidRPr="00A25AE2">
        <w:rPr>
          <w:rFonts w:cs="Times New Roman"/>
          <w:i/>
        </w:rPr>
        <w:t xml:space="preserve"> Offence Act</w:t>
      </w:r>
      <w:r w:rsidRPr="00A25AE2">
        <w:rPr>
          <w:rFonts w:cs="Times New Roman"/>
        </w:rPr>
        <w:t xml:space="preserve"> provisions at issue state the following:</w:t>
      </w:r>
    </w:p>
    <w:p w:rsidR="00C526E4" w:rsidRPr="00A25AE2" w:rsidRDefault="00C526E4" w:rsidP="00C526E4">
      <w:pPr>
        <w:pStyle w:val="Citation-AltC"/>
        <w:rPr>
          <w:b/>
          <w:bCs/>
          <w:lang w:val="en-US"/>
        </w:rPr>
      </w:pPr>
      <w:r w:rsidRPr="00A25AE2">
        <w:rPr>
          <w:b/>
          <w:bCs/>
          <w:lang w:val="en-US"/>
        </w:rPr>
        <w:t>Application to proceedings</w:t>
      </w:r>
    </w:p>
    <w:p w:rsidR="00C526E4" w:rsidRPr="00A25AE2" w:rsidRDefault="00C526E4" w:rsidP="00C526E4">
      <w:pPr>
        <w:pStyle w:val="Citation-AltC"/>
        <w:rPr>
          <w:b/>
          <w:bCs/>
          <w:lang w:val="en-US"/>
        </w:rPr>
      </w:pPr>
    </w:p>
    <w:p w:rsidR="00C526E4" w:rsidRPr="00A25AE2" w:rsidRDefault="00C526E4" w:rsidP="00C526E4">
      <w:pPr>
        <w:pStyle w:val="Citation-AltC"/>
        <w:tabs>
          <w:tab w:val="left" w:pos="1530"/>
          <w:tab w:val="left" w:pos="1800"/>
          <w:tab w:val="left" w:pos="2160"/>
        </w:tabs>
        <w:ind w:left="2160" w:hanging="990"/>
        <w:rPr>
          <w:lang w:val="en-US"/>
        </w:rPr>
      </w:pPr>
      <w:r w:rsidRPr="00A25AE2">
        <w:rPr>
          <w:b/>
          <w:bCs/>
          <w:lang w:val="en-US"/>
        </w:rPr>
        <w:tab/>
        <w:t>3</w:t>
      </w:r>
      <w:r w:rsidRPr="00A25AE2">
        <w:rPr>
          <w:lang w:val="en-US"/>
        </w:rPr>
        <w:t xml:space="preserve"> (1)</w:t>
      </w:r>
      <w:r w:rsidRPr="00A25AE2">
        <w:rPr>
          <w:lang w:val="en-US"/>
        </w:rPr>
        <w:tab/>
      </w:r>
      <w:r w:rsidRPr="00A25AE2">
        <w:rPr>
          <w:u w:val="single"/>
          <w:lang w:val="en-US"/>
        </w:rPr>
        <w:t>Except where otherwise provided by law</w:t>
      </w:r>
      <w:r w:rsidRPr="00A25AE2">
        <w:rPr>
          <w:lang w:val="en-US"/>
        </w:rPr>
        <w:t>, this Act applies to proceedings as defined in section 1.</w:t>
      </w:r>
    </w:p>
    <w:p w:rsidR="00C526E4" w:rsidRPr="00A25AE2" w:rsidRDefault="00C526E4" w:rsidP="00C526E4">
      <w:pPr>
        <w:pStyle w:val="Citation-AltC"/>
        <w:jc w:val="center"/>
        <w:rPr>
          <w:lang w:val="en-US"/>
        </w:rPr>
      </w:pPr>
    </w:p>
    <w:p w:rsidR="00C526E4" w:rsidRPr="00A25AE2" w:rsidRDefault="00C526E4" w:rsidP="00C526E4">
      <w:pPr>
        <w:pStyle w:val="Citation-AltC"/>
        <w:jc w:val="center"/>
        <w:rPr>
          <w:lang w:val="en-US"/>
        </w:rPr>
      </w:pPr>
      <w:r w:rsidRPr="00A25AE2">
        <w:rPr>
          <w:lang w:val="en-US"/>
        </w:rPr>
        <w:t>. . .</w:t>
      </w:r>
    </w:p>
    <w:p w:rsidR="00C526E4" w:rsidRPr="00A25AE2" w:rsidRDefault="00C526E4" w:rsidP="00C526E4">
      <w:pPr>
        <w:pStyle w:val="Citation-AltC"/>
        <w:rPr>
          <w:lang w:val="en-US"/>
        </w:rPr>
      </w:pPr>
    </w:p>
    <w:p w:rsidR="00C526E4" w:rsidRPr="00A25AE2" w:rsidRDefault="00C526E4" w:rsidP="00C526E4">
      <w:pPr>
        <w:pStyle w:val="Citation-AltC"/>
        <w:rPr>
          <w:b/>
          <w:bCs/>
          <w:i/>
          <w:iCs/>
          <w:lang w:val="en-US"/>
        </w:rPr>
      </w:pPr>
      <w:r w:rsidRPr="00A25AE2">
        <w:rPr>
          <w:b/>
          <w:bCs/>
          <w:lang w:val="en-US"/>
        </w:rPr>
        <w:t>Application of </w:t>
      </w:r>
      <w:r w:rsidRPr="00A25AE2">
        <w:rPr>
          <w:b/>
          <w:bCs/>
          <w:i/>
          <w:iCs/>
          <w:lang w:val="en-US"/>
        </w:rPr>
        <w:t>Criminal Code</w:t>
      </w:r>
    </w:p>
    <w:p w:rsidR="00C526E4" w:rsidRPr="00A25AE2" w:rsidRDefault="00C526E4" w:rsidP="00C526E4">
      <w:pPr>
        <w:pStyle w:val="Citation-AltC"/>
        <w:rPr>
          <w:b/>
          <w:bCs/>
          <w:lang w:val="en-US"/>
        </w:rPr>
      </w:pPr>
    </w:p>
    <w:p w:rsidR="00C526E4" w:rsidRPr="00A25AE2" w:rsidRDefault="00C526E4" w:rsidP="00C526E4">
      <w:pPr>
        <w:pStyle w:val="Citation-AltC"/>
        <w:ind w:left="2158" w:hanging="628"/>
        <w:rPr>
          <w:lang w:val="en-US"/>
        </w:rPr>
      </w:pPr>
      <w:r w:rsidRPr="00A25AE2">
        <w:rPr>
          <w:b/>
          <w:bCs/>
          <w:lang w:val="en-US"/>
        </w:rPr>
        <w:t>133</w:t>
      </w:r>
      <w:r w:rsidRPr="00A25AE2">
        <w:rPr>
          <w:b/>
          <w:bCs/>
          <w:lang w:val="en-US"/>
        </w:rPr>
        <w:tab/>
      </w:r>
      <w:r w:rsidRPr="00A25AE2">
        <w:rPr>
          <w:lang w:val="en-US"/>
        </w:rPr>
        <w:t>If, in any proceeding, matter or thing to which this Act applies, express provision has not been made in this Act or only partial provision has been made, the provisions of the </w:t>
      </w:r>
      <w:r w:rsidRPr="00A25AE2">
        <w:rPr>
          <w:i/>
          <w:iCs/>
          <w:lang w:val="en-US"/>
        </w:rPr>
        <w:t>Criminal Code</w:t>
      </w:r>
      <w:r w:rsidRPr="00A25AE2">
        <w:rPr>
          <w:lang w:val="en-US"/>
        </w:rPr>
        <w:t xml:space="preserve"> relating to offences punishable on summary conviction apply, </w:t>
      </w:r>
      <w:r w:rsidRPr="00A25AE2">
        <w:rPr>
          <w:u w:val="single"/>
          <w:lang w:val="en-US"/>
        </w:rPr>
        <w:t>with the necessary changes and so far as applicable</w:t>
      </w:r>
      <w:r w:rsidRPr="00A25AE2">
        <w:rPr>
          <w:lang w:val="en-US"/>
        </w:rPr>
        <w:t>, as if its provisions were enacted in and formed part of this Act.</w:t>
      </w:r>
    </w:p>
    <w:p w:rsidR="00C526E4" w:rsidRPr="00A25AE2" w:rsidRDefault="00C526E4" w:rsidP="00C526E4">
      <w:pPr>
        <w:pStyle w:val="ParaNoNdepar-AltN"/>
        <w:rPr>
          <w:rFonts w:cs="Times New Roman"/>
        </w:rPr>
      </w:pPr>
      <w:r w:rsidRPr="00A25AE2">
        <w:rPr>
          <w:rFonts w:cs="Times New Roman"/>
        </w:rPr>
        <w:t xml:space="preserve">The parties have provided two very different readings of these provisions and, as a result, dispute the “hierarchy of laws” or “order of operations” created by the </w:t>
      </w:r>
      <w:r w:rsidRPr="00A25AE2">
        <w:rPr>
          <w:rFonts w:cs="Times New Roman"/>
          <w:i/>
        </w:rPr>
        <w:t xml:space="preserve">Offence Act. </w:t>
      </w:r>
    </w:p>
    <w:p w:rsidR="00C526E4" w:rsidRPr="00A25AE2" w:rsidRDefault="00C526E4" w:rsidP="00C526E4">
      <w:pPr>
        <w:pStyle w:val="ParaNoNdepar-AltN"/>
        <w:rPr>
          <w:rFonts w:cs="Times New Roman"/>
        </w:rPr>
      </w:pPr>
      <w:r w:rsidRPr="00A25AE2">
        <w:rPr>
          <w:rFonts w:cs="Times New Roman"/>
        </w:rPr>
        <w:t xml:space="preserve">The Attorney General says that the wording of ss. 3(1) and 133 conveys that other British Columbia law (such as the </w:t>
      </w:r>
      <w:r w:rsidRPr="00A25AE2">
        <w:rPr>
          <w:rFonts w:cs="Times New Roman"/>
          <w:i/>
        </w:rPr>
        <w:t>1731 Act</w:t>
      </w:r>
      <w:r w:rsidRPr="00A25AE2">
        <w:rPr>
          <w:rFonts w:cs="Times New Roman"/>
        </w:rPr>
        <w:t xml:space="preserve">) takes precedence over the provisions of both the </w:t>
      </w:r>
      <w:r w:rsidRPr="00A25AE2">
        <w:rPr>
          <w:rFonts w:cs="Times New Roman"/>
          <w:i/>
        </w:rPr>
        <w:t xml:space="preserve">Offence Act </w:t>
      </w:r>
      <w:r w:rsidRPr="00A25AE2">
        <w:rPr>
          <w:rFonts w:cs="Times New Roman"/>
        </w:rPr>
        <w:t xml:space="preserve">and the </w:t>
      </w:r>
      <w:r w:rsidRPr="00A25AE2">
        <w:rPr>
          <w:rFonts w:cs="Times New Roman"/>
          <w:i/>
        </w:rPr>
        <w:t>Criminal Code</w:t>
      </w:r>
      <w:r w:rsidRPr="00A25AE2">
        <w:rPr>
          <w:rFonts w:cs="Times New Roman"/>
        </w:rPr>
        <w:t xml:space="preserve">. In his view, the words “[e]xcept where otherwise provided by law” in s. 3(1) indicate that the </w:t>
      </w:r>
      <w:r w:rsidRPr="00A25AE2">
        <w:rPr>
          <w:rFonts w:cs="Times New Roman"/>
          <w:i/>
        </w:rPr>
        <w:t xml:space="preserve">Offence Act </w:t>
      </w:r>
      <w:r w:rsidRPr="00A25AE2">
        <w:rPr>
          <w:rFonts w:cs="Times New Roman"/>
        </w:rPr>
        <w:t xml:space="preserve">applies to proceedings </w:t>
      </w:r>
      <w:r w:rsidRPr="00A25AE2">
        <w:rPr>
          <w:rFonts w:cs="Times New Roman"/>
          <w:i/>
        </w:rPr>
        <w:t>only insofar</w:t>
      </w:r>
      <w:r w:rsidRPr="00A25AE2">
        <w:rPr>
          <w:rFonts w:cs="Times New Roman"/>
        </w:rPr>
        <w:t xml:space="preserve"> as other British Columbia law does not already apply. Similarly, the words</w:t>
      </w:r>
      <w:r w:rsidRPr="00A25AE2">
        <w:rPr>
          <w:rFonts w:cs="Times New Roman"/>
          <w:b/>
        </w:rPr>
        <w:t xml:space="preserve"> </w:t>
      </w:r>
      <w:r w:rsidRPr="00A25AE2">
        <w:rPr>
          <w:rFonts w:cs="Times New Roman"/>
        </w:rPr>
        <w:t xml:space="preserve">“and so far as applicable” in s. 133 indicate that </w:t>
      </w:r>
      <w:r w:rsidRPr="00A25AE2">
        <w:rPr>
          <w:rFonts w:cs="Times New Roman"/>
          <w:i/>
        </w:rPr>
        <w:t xml:space="preserve">Criminal Code </w:t>
      </w:r>
      <w:r w:rsidRPr="00A25AE2">
        <w:rPr>
          <w:rFonts w:cs="Times New Roman"/>
        </w:rPr>
        <w:t xml:space="preserve">provisions must be incorporated in a manner that is consistent with existing British Columbia law. Since the </w:t>
      </w:r>
      <w:r w:rsidRPr="00A25AE2">
        <w:rPr>
          <w:rFonts w:cs="Times New Roman"/>
          <w:i/>
        </w:rPr>
        <w:t xml:space="preserve">1731 Act </w:t>
      </w:r>
      <w:r w:rsidRPr="00A25AE2">
        <w:rPr>
          <w:rFonts w:cs="Times New Roman"/>
        </w:rPr>
        <w:t xml:space="preserve">already states the law on the language of proceedings in British Columbia, the </w:t>
      </w:r>
      <w:r w:rsidRPr="00A25AE2">
        <w:rPr>
          <w:rFonts w:cs="Times New Roman"/>
          <w:i/>
        </w:rPr>
        <w:t>Offence Act —</w:t>
      </w:r>
      <w:r w:rsidRPr="00A25AE2">
        <w:rPr>
          <w:rFonts w:cs="Times New Roman"/>
        </w:rPr>
        <w:t xml:space="preserve"> and, by extension, the </w:t>
      </w:r>
      <w:r w:rsidRPr="00A25AE2">
        <w:rPr>
          <w:rFonts w:cs="Times New Roman"/>
          <w:i/>
        </w:rPr>
        <w:t>Criminal Code</w:t>
      </w:r>
      <w:r w:rsidRPr="00A25AE2">
        <w:rPr>
          <w:rFonts w:cs="Times New Roman"/>
        </w:rPr>
        <w:t xml:space="preserve"> — cannot govern on this point.</w:t>
      </w:r>
    </w:p>
    <w:p w:rsidR="00C526E4" w:rsidRPr="00A25AE2" w:rsidRDefault="00C526E4" w:rsidP="00C526E4">
      <w:pPr>
        <w:pStyle w:val="ParaNoNdepar-AltN"/>
        <w:rPr>
          <w:rFonts w:cs="Times New Roman"/>
        </w:rPr>
      </w:pPr>
      <w:r w:rsidRPr="00A25AE2">
        <w:rPr>
          <w:rFonts w:cs="Times New Roman"/>
        </w:rPr>
        <w:t xml:space="preserve">We disagree with this reading. In our view, it is not supported by the guiding rule of statutory interpretation, which has been reiterated many times by this Court: </w:t>
      </w:r>
    </w:p>
    <w:p w:rsidR="00C526E4" w:rsidRPr="00A25AE2" w:rsidRDefault="00C526E4" w:rsidP="00C526E4">
      <w:pPr>
        <w:pStyle w:val="Citation-AltC"/>
        <w:ind w:left="1440" w:firstLine="360"/>
      </w:pPr>
      <w:r w:rsidRPr="00A25AE2">
        <w:t xml:space="preserve">Today there is only one principle or approach, namely, the words of an Act are to be read in their entire context and in their grammatical and ordinary sense harmoniously with the scheme of the Act, the object of the Act, and the intention of Parliament. </w:t>
      </w:r>
    </w:p>
    <w:p w:rsidR="00C526E4" w:rsidRPr="00A25AE2" w:rsidRDefault="00C526E4" w:rsidP="00C526E4">
      <w:pPr>
        <w:pStyle w:val="Citation-AltC"/>
      </w:pPr>
    </w:p>
    <w:p w:rsidR="00C526E4" w:rsidRPr="00A25AE2" w:rsidRDefault="00C526E4" w:rsidP="00CB5EC4">
      <w:pPr>
        <w:pStyle w:val="Citation-AltC"/>
        <w:ind w:left="0"/>
      </w:pPr>
      <w:r w:rsidRPr="00A25AE2">
        <w:t>(</w:t>
      </w:r>
      <w:r w:rsidRPr="00A25AE2">
        <w:rPr>
          <w:i/>
          <w:iCs/>
          <w:lang w:val="en"/>
        </w:rPr>
        <w:t>Bell ExpressVu Limited Partnership v. Rex</w:t>
      </w:r>
      <w:r w:rsidRPr="00A25AE2">
        <w:rPr>
          <w:lang w:val="en"/>
        </w:rPr>
        <w:t xml:space="preserve">, </w:t>
      </w:r>
      <w:r w:rsidRPr="00A25AE2">
        <w:rPr>
          <w:rStyle w:val="reflex3-alt"/>
          <w:lang w:val="en"/>
        </w:rPr>
        <w:t>2002 SCC 42</w:t>
      </w:r>
      <w:r w:rsidRPr="00A25AE2">
        <w:rPr>
          <w:rStyle w:val="reflex3-block"/>
          <w:lang w:val="en"/>
        </w:rPr>
        <w:t xml:space="preserve">, </w:t>
      </w:r>
      <w:r w:rsidRPr="00A25AE2">
        <w:rPr>
          <w:rStyle w:val="reflex3-alt"/>
          <w:lang w:val="en"/>
        </w:rPr>
        <w:t>[2002] 2 S.C.R. 559</w:t>
      </w:r>
      <w:r w:rsidRPr="00A25AE2">
        <w:rPr>
          <w:lang w:val="en"/>
        </w:rPr>
        <w:t xml:space="preserve">, at para. 26, citing Elmer </w:t>
      </w:r>
      <w:r w:rsidR="00B16155">
        <w:rPr>
          <w:lang w:val="en"/>
        </w:rPr>
        <w:t xml:space="preserve">A. </w:t>
      </w:r>
      <w:r w:rsidRPr="00A25AE2">
        <w:rPr>
          <w:lang w:val="en"/>
        </w:rPr>
        <w:t xml:space="preserve">Driedger, </w:t>
      </w:r>
      <w:r w:rsidRPr="00A25AE2">
        <w:rPr>
          <w:i/>
          <w:iCs/>
          <w:lang w:val="en"/>
        </w:rPr>
        <w:t xml:space="preserve">Construction of Statutes </w:t>
      </w:r>
      <w:r w:rsidRPr="00A25AE2">
        <w:rPr>
          <w:iCs/>
          <w:lang w:val="en"/>
        </w:rPr>
        <w:t>(2nd ed. 1983), at p. 87</w:t>
      </w:r>
      <w:r w:rsidRPr="00A25AE2">
        <w:rPr>
          <w:lang w:val="en"/>
        </w:rPr>
        <w:t xml:space="preserve">; see also </w:t>
      </w:r>
      <w:r w:rsidRPr="00A25AE2">
        <w:rPr>
          <w:i/>
          <w:lang w:val="en"/>
        </w:rPr>
        <w:t>Canada (Attorney General) v. Thouin</w:t>
      </w:r>
      <w:r w:rsidRPr="00A25AE2">
        <w:rPr>
          <w:lang w:val="en"/>
        </w:rPr>
        <w:t xml:space="preserve">, 2017 SCC 46, [2017] 2 S.C.R. 184, at para. 26; </w:t>
      </w:r>
      <w:r w:rsidRPr="00A25AE2">
        <w:rPr>
          <w:i/>
          <w:iCs/>
          <w:lang w:val="en"/>
        </w:rPr>
        <w:t>Canadian Broadcasting Corp. v. SODRAC 2003 Inc.</w:t>
      </w:r>
      <w:r w:rsidRPr="00A25AE2">
        <w:rPr>
          <w:lang w:val="en"/>
        </w:rPr>
        <w:t xml:space="preserve">, 2015 SCC 57, [2015] 3 S.C.R. 615, at para. 48; and </w:t>
      </w:r>
      <w:r w:rsidRPr="00A25AE2">
        <w:rPr>
          <w:i/>
          <w:iCs/>
          <w:lang w:val="en"/>
        </w:rPr>
        <w:t>R. v. Steele</w:t>
      </w:r>
      <w:r w:rsidRPr="00A25AE2">
        <w:rPr>
          <w:lang w:val="en"/>
        </w:rPr>
        <w:t xml:space="preserve">, </w:t>
      </w:r>
      <w:r w:rsidRPr="00A25AE2">
        <w:rPr>
          <w:rStyle w:val="reflex3-alt"/>
          <w:lang w:val="en"/>
        </w:rPr>
        <w:t>2014 SCC 61</w:t>
      </w:r>
      <w:r w:rsidRPr="00A25AE2">
        <w:rPr>
          <w:rStyle w:val="reflex3-block"/>
          <w:lang w:val="en"/>
        </w:rPr>
        <w:t xml:space="preserve">, </w:t>
      </w:r>
      <w:r w:rsidRPr="00A25AE2">
        <w:rPr>
          <w:rStyle w:val="reflex3-alt"/>
          <w:lang w:val="en"/>
        </w:rPr>
        <w:t>[2014] 3 S.C.R. 138</w:t>
      </w:r>
      <w:r w:rsidRPr="00A25AE2">
        <w:rPr>
          <w:lang w:val="en"/>
        </w:rPr>
        <w:t>, at para. 23</w:t>
      </w:r>
      <w:r w:rsidR="001F38F2">
        <w:rPr>
          <w:lang w:val="en"/>
        </w:rPr>
        <w:t>.</w:t>
      </w:r>
      <w:r w:rsidRPr="00A25AE2">
        <w:rPr>
          <w:lang w:val="en"/>
        </w:rPr>
        <w:t>)</w:t>
      </w:r>
    </w:p>
    <w:p w:rsidR="00C526E4" w:rsidRPr="00A25AE2" w:rsidRDefault="00C526E4" w:rsidP="00C526E4">
      <w:pPr>
        <w:pStyle w:val="ParaNoNdepar-AltN"/>
        <w:rPr>
          <w:rFonts w:cs="Times New Roman"/>
        </w:rPr>
      </w:pPr>
      <w:r w:rsidRPr="00A25AE2">
        <w:rPr>
          <w:rFonts w:cs="Times New Roman"/>
        </w:rPr>
        <w:t xml:space="preserve">On their face and read in context, ss. 3(1) and 133 have clear functions; the former sets the scope of the </w:t>
      </w:r>
      <w:r w:rsidRPr="00A25AE2">
        <w:rPr>
          <w:rFonts w:cs="Times New Roman"/>
          <w:i/>
        </w:rPr>
        <w:t>Offence Act —</w:t>
      </w:r>
      <w:r w:rsidRPr="00A25AE2">
        <w:rPr>
          <w:rFonts w:cs="Times New Roman"/>
        </w:rPr>
        <w:t xml:space="preserve"> as applying to “proceedings” — and the latter clearly dictates that any gaps in the </w:t>
      </w:r>
      <w:r w:rsidRPr="00A25AE2">
        <w:rPr>
          <w:rFonts w:cs="Times New Roman"/>
          <w:i/>
        </w:rPr>
        <w:t xml:space="preserve">Offence Act </w:t>
      </w:r>
      <w:r w:rsidRPr="00A25AE2">
        <w:rPr>
          <w:rFonts w:cs="Times New Roman"/>
        </w:rPr>
        <w:t xml:space="preserve">are to be filled with the provisions of the </w:t>
      </w:r>
      <w:r w:rsidRPr="00A25AE2">
        <w:rPr>
          <w:rFonts w:cs="Times New Roman"/>
          <w:i/>
        </w:rPr>
        <w:t>Criminal Code</w:t>
      </w:r>
      <w:r w:rsidRPr="00CB3031">
        <w:rPr>
          <w:rFonts w:cs="Times New Roman"/>
        </w:rPr>
        <w:t>,</w:t>
      </w:r>
      <w:r w:rsidRPr="00A25AE2">
        <w:rPr>
          <w:rFonts w:cs="Times New Roman"/>
          <w:i/>
        </w:rPr>
        <w:t xml:space="preserve"> </w:t>
      </w:r>
      <w:r w:rsidRPr="00A25AE2">
        <w:rPr>
          <w:rFonts w:cs="Times New Roman"/>
        </w:rPr>
        <w:t xml:space="preserve">adapted to fit the </w:t>
      </w:r>
      <w:r w:rsidRPr="00A25AE2">
        <w:rPr>
          <w:rFonts w:cs="Times New Roman"/>
          <w:i/>
        </w:rPr>
        <w:t xml:space="preserve">Offence Act </w:t>
      </w:r>
      <w:r w:rsidRPr="00A25AE2">
        <w:rPr>
          <w:rFonts w:cs="Times New Roman"/>
        </w:rPr>
        <w:t xml:space="preserve">context. These provisions cannot reasonably be read as prioritizing other, more removed legislation over both the provisions of the </w:t>
      </w:r>
      <w:r w:rsidRPr="00A25AE2">
        <w:rPr>
          <w:rFonts w:cs="Times New Roman"/>
          <w:i/>
        </w:rPr>
        <w:t xml:space="preserve">Offence Act </w:t>
      </w:r>
      <w:r w:rsidRPr="00A25AE2">
        <w:rPr>
          <w:rFonts w:cs="Times New Roman"/>
        </w:rPr>
        <w:t xml:space="preserve">itself and other legislation to which the </w:t>
      </w:r>
      <w:r w:rsidRPr="00A25AE2">
        <w:rPr>
          <w:rFonts w:cs="Times New Roman"/>
          <w:i/>
        </w:rPr>
        <w:t>Offence Act</w:t>
      </w:r>
      <w:r w:rsidRPr="00A25AE2">
        <w:rPr>
          <w:rFonts w:cs="Times New Roman"/>
        </w:rPr>
        <w:t xml:space="preserve"> specifically refers. Put in terms of “hierarchy” or “order of operations”, as Mr. Bessette says, ss. 3(1) and 133 of the </w:t>
      </w:r>
      <w:r w:rsidRPr="00A25AE2">
        <w:rPr>
          <w:rFonts w:cs="Times New Roman"/>
          <w:i/>
        </w:rPr>
        <w:t>Offence Act</w:t>
      </w:r>
      <w:r w:rsidRPr="00A25AE2">
        <w:rPr>
          <w:rFonts w:cs="Times New Roman"/>
        </w:rPr>
        <w:t xml:space="preserve"> direct the following: </w:t>
      </w:r>
    </w:p>
    <w:p w:rsidR="00C526E4" w:rsidRPr="00A25AE2" w:rsidRDefault="00C526E4" w:rsidP="00286C84">
      <w:pPr>
        <w:pStyle w:val="ContinueParaSuitedupar-AltP"/>
        <w:numPr>
          <w:ilvl w:val="3"/>
          <w:numId w:val="1"/>
        </w:numPr>
        <w:spacing w:after="0"/>
        <w:ind w:left="720" w:hanging="720"/>
        <w:rPr>
          <w:rFonts w:cs="Times New Roman"/>
        </w:rPr>
      </w:pPr>
      <w:r w:rsidRPr="00A25AE2">
        <w:rPr>
          <w:rFonts w:cs="Times New Roman"/>
        </w:rPr>
        <w:t xml:space="preserve">look to the particularized legislation creating the offence in question (in this case, the </w:t>
      </w:r>
      <w:r w:rsidRPr="00A25AE2">
        <w:rPr>
          <w:rFonts w:cs="Times New Roman"/>
          <w:i/>
        </w:rPr>
        <w:t>Motor Vehicle Act</w:t>
      </w:r>
      <w:r w:rsidRPr="00A25AE2">
        <w:rPr>
          <w:rFonts w:cs="Times New Roman"/>
        </w:rPr>
        <w:t xml:space="preserve">) (s. 3(1)); </w:t>
      </w:r>
    </w:p>
    <w:p w:rsidR="00C526E4" w:rsidRPr="00A25AE2" w:rsidRDefault="00C526E4" w:rsidP="00286C84">
      <w:pPr>
        <w:pStyle w:val="ContinueParaSuitedupar-AltP"/>
        <w:numPr>
          <w:ilvl w:val="3"/>
          <w:numId w:val="1"/>
        </w:numPr>
        <w:spacing w:after="0"/>
        <w:ind w:left="720" w:hanging="720"/>
        <w:rPr>
          <w:rFonts w:cs="Times New Roman"/>
        </w:rPr>
      </w:pPr>
      <w:r w:rsidRPr="00A25AE2">
        <w:rPr>
          <w:rFonts w:cs="Times New Roman"/>
        </w:rPr>
        <w:t xml:space="preserve">provided the particularized legislation does not direct otherwise, apply the </w:t>
      </w:r>
      <w:r w:rsidRPr="00A25AE2">
        <w:rPr>
          <w:rFonts w:cs="Times New Roman"/>
          <w:i/>
        </w:rPr>
        <w:t xml:space="preserve">Offence Act </w:t>
      </w:r>
      <w:r w:rsidRPr="00A25AE2">
        <w:rPr>
          <w:rFonts w:cs="Times New Roman"/>
        </w:rPr>
        <w:t xml:space="preserve">(s. 3(1)); </w:t>
      </w:r>
    </w:p>
    <w:p w:rsidR="00C526E4" w:rsidRPr="00A25AE2" w:rsidRDefault="00C526E4" w:rsidP="00286C84">
      <w:pPr>
        <w:pStyle w:val="ContinueParaSuitedupar-AltP"/>
        <w:numPr>
          <w:ilvl w:val="3"/>
          <w:numId w:val="1"/>
        </w:numPr>
        <w:spacing w:after="0"/>
        <w:ind w:left="720" w:hanging="720"/>
        <w:rPr>
          <w:rFonts w:cs="Times New Roman"/>
        </w:rPr>
      </w:pPr>
      <w:r w:rsidRPr="00A25AE2">
        <w:rPr>
          <w:rFonts w:cs="Times New Roman"/>
        </w:rPr>
        <w:t xml:space="preserve">where the </w:t>
      </w:r>
      <w:r w:rsidRPr="00A25AE2">
        <w:rPr>
          <w:rFonts w:cs="Times New Roman"/>
          <w:i/>
        </w:rPr>
        <w:t xml:space="preserve">Offence Act </w:t>
      </w:r>
      <w:r w:rsidRPr="00A25AE2">
        <w:rPr>
          <w:rFonts w:cs="Times New Roman"/>
        </w:rPr>
        <w:t xml:space="preserve">is silent on the matter in question (or makes only partial provision for the matter), look to the </w:t>
      </w:r>
      <w:r w:rsidRPr="00A25AE2">
        <w:rPr>
          <w:rFonts w:cs="Times New Roman"/>
          <w:i/>
        </w:rPr>
        <w:t xml:space="preserve">Criminal Code </w:t>
      </w:r>
      <w:r w:rsidRPr="00A25AE2">
        <w:rPr>
          <w:rFonts w:cs="Times New Roman"/>
        </w:rPr>
        <w:t xml:space="preserve">(s. 133); and </w:t>
      </w:r>
    </w:p>
    <w:p w:rsidR="00C526E4" w:rsidRPr="00A25AE2" w:rsidRDefault="00C526E4" w:rsidP="00286C84">
      <w:pPr>
        <w:pStyle w:val="ContinueParaSuitedupar-AltP"/>
        <w:numPr>
          <w:ilvl w:val="3"/>
          <w:numId w:val="1"/>
        </w:numPr>
        <w:spacing w:after="0"/>
        <w:ind w:left="720" w:hanging="720"/>
        <w:rPr>
          <w:rFonts w:cs="Times New Roman"/>
        </w:rPr>
      </w:pPr>
      <w:r w:rsidRPr="00A25AE2">
        <w:rPr>
          <w:rFonts w:cs="Times New Roman"/>
        </w:rPr>
        <w:t xml:space="preserve">if the matter is not addressed in any of the preceding legislation, turn to other sources of law, including other British Columbia legislation. </w:t>
      </w:r>
    </w:p>
    <w:p w:rsidR="00C526E4" w:rsidRPr="00A25AE2" w:rsidRDefault="00C526E4" w:rsidP="00C526E4">
      <w:pPr>
        <w:pStyle w:val="ParaNoNdepar-AltN"/>
        <w:rPr>
          <w:rFonts w:cs="Times New Roman"/>
        </w:rPr>
      </w:pPr>
      <w:r w:rsidRPr="00A25AE2">
        <w:rPr>
          <w:rFonts w:cs="Times New Roman"/>
        </w:rPr>
        <w:t xml:space="preserve">Mr. Bessette argues that this roadmap leads directly to the incorporation of s. 530 of the </w:t>
      </w:r>
      <w:r w:rsidRPr="00A25AE2">
        <w:rPr>
          <w:rFonts w:cs="Times New Roman"/>
          <w:i/>
        </w:rPr>
        <w:t xml:space="preserve">Criminal Code </w:t>
      </w:r>
      <w:r w:rsidRPr="00A25AE2">
        <w:rPr>
          <w:rFonts w:cs="Times New Roman"/>
        </w:rPr>
        <w:t xml:space="preserve">into the </w:t>
      </w:r>
      <w:r w:rsidRPr="00A25AE2">
        <w:rPr>
          <w:rFonts w:cs="Times New Roman"/>
          <w:i/>
        </w:rPr>
        <w:t xml:space="preserve">Offence Act </w:t>
      </w:r>
      <w:r w:rsidRPr="00A25AE2">
        <w:rPr>
          <w:rFonts w:cs="Times New Roman"/>
        </w:rPr>
        <w:t xml:space="preserve">via s. 133 of the latter Act. We agree. In what follows, we explain why the Act’s language and purpose support Mr. Bessette’s interpretation of the </w:t>
      </w:r>
      <w:r w:rsidRPr="00A25AE2">
        <w:rPr>
          <w:rFonts w:cs="Times New Roman"/>
          <w:i/>
        </w:rPr>
        <w:t>Offence Act</w:t>
      </w:r>
      <w:r w:rsidRPr="00A25AE2">
        <w:rPr>
          <w:rFonts w:cs="Times New Roman"/>
        </w:rPr>
        <w:t>.</w:t>
      </w:r>
    </w:p>
    <w:p w:rsidR="00C526E4" w:rsidRPr="00A25AE2" w:rsidRDefault="00C526E4" w:rsidP="00C526E4">
      <w:pPr>
        <w:pStyle w:val="Title3LevelTitre3Niveau"/>
        <w:rPr>
          <w:rFonts w:cs="Times New Roman"/>
          <w:i/>
        </w:rPr>
      </w:pPr>
      <w:r w:rsidRPr="00A25AE2">
        <w:rPr>
          <w:rFonts w:cs="Times New Roman"/>
        </w:rPr>
        <w:t xml:space="preserve">Section 3(1) of the </w:t>
      </w:r>
      <w:r w:rsidRPr="00A25AE2">
        <w:rPr>
          <w:rFonts w:cs="Times New Roman"/>
          <w:i/>
        </w:rPr>
        <w:t xml:space="preserve">Offence Act — </w:t>
      </w:r>
      <w:r w:rsidRPr="00A25AE2">
        <w:rPr>
          <w:rFonts w:cs="Times New Roman"/>
        </w:rPr>
        <w:t>the Scope Provision</w:t>
      </w:r>
    </w:p>
    <w:p w:rsidR="00C526E4" w:rsidRPr="00A25AE2" w:rsidRDefault="00C526E4" w:rsidP="00C526E4">
      <w:pPr>
        <w:pStyle w:val="ParaNoNdepar-AltN"/>
        <w:rPr>
          <w:rFonts w:cs="Times New Roman"/>
        </w:rPr>
      </w:pPr>
      <w:r w:rsidRPr="00A25AE2">
        <w:rPr>
          <w:rFonts w:cs="Times New Roman"/>
        </w:rPr>
        <w:t xml:space="preserve">Located in the opening provisions of the </w:t>
      </w:r>
      <w:r w:rsidRPr="00A25AE2">
        <w:rPr>
          <w:rFonts w:cs="Times New Roman"/>
          <w:i/>
        </w:rPr>
        <w:t>Offence Act</w:t>
      </w:r>
      <w:r w:rsidRPr="00A25AE2">
        <w:rPr>
          <w:rFonts w:cs="Times New Roman"/>
        </w:rPr>
        <w:t xml:space="preserve">, s. 3(1) plays a straightforward role familiar to legislation: it sets out the Act’s scope. It instructs that, unless another enactment directs otherwise (“[e]xcept where otherwise provided by law”), “this Act applies to proceedings as defined in section 1” (see, for example, </w:t>
      </w:r>
      <w:r w:rsidRPr="00A25AE2">
        <w:rPr>
          <w:rFonts w:cs="Times New Roman"/>
          <w:i/>
        </w:rPr>
        <w:t>Anderson v. Victoria (City)</w:t>
      </w:r>
      <w:r w:rsidRPr="00A25AE2">
        <w:rPr>
          <w:rFonts w:cs="Times New Roman"/>
        </w:rPr>
        <w:t>,</w:t>
      </w:r>
      <w:r w:rsidRPr="00A25AE2">
        <w:rPr>
          <w:rFonts w:cs="Times New Roman"/>
          <w:i/>
        </w:rPr>
        <w:t xml:space="preserve"> </w:t>
      </w:r>
      <w:r w:rsidRPr="00A25AE2">
        <w:rPr>
          <w:rFonts w:cs="Times New Roman"/>
        </w:rPr>
        <w:t xml:space="preserve">2002 BCSC 1466, 9 B.C.L.R. (4th) 75, at paras. 14-15). Put differently, all provincial offence “proceedings” are governed by the </w:t>
      </w:r>
      <w:r w:rsidRPr="00A25AE2">
        <w:rPr>
          <w:rFonts w:cs="Times New Roman"/>
          <w:i/>
        </w:rPr>
        <w:t xml:space="preserve">Offence Act </w:t>
      </w:r>
      <w:r w:rsidRPr="00A25AE2">
        <w:rPr>
          <w:rFonts w:cs="Times New Roman"/>
        </w:rPr>
        <w:t xml:space="preserve">unless they (or aspects of them) are expressly removed from the ambit of the Act by another provincial enactment — typically the particularized legislation creating the offence. </w:t>
      </w:r>
    </w:p>
    <w:p w:rsidR="00C526E4" w:rsidRPr="00A25AE2" w:rsidRDefault="00C526E4" w:rsidP="00C526E4">
      <w:pPr>
        <w:pStyle w:val="ParaNoNdepar-AltN"/>
        <w:rPr>
          <w:rFonts w:cs="Times New Roman"/>
        </w:rPr>
      </w:pPr>
      <w:r w:rsidRPr="00A25AE2">
        <w:rPr>
          <w:rFonts w:cs="Times New Roman"/>
        </w:rPr>
        <w:t xml:space="preserve">On this plain and logical interpretation of s. 3(1), the phrase “[e]xcept where otherwise provided by law” does not mean that a </w:t>
      </w:r>
      <w:r w:rsidRPr="00A25AE2">
        <w:rPr>
          <w:rFonts w:cs="Times New Roman"/>
          <w:i/>
        </w:rPr>
        <w:t xml:space="preserve">particular </w:t>
      </w:r>
      <w:r w:rsidRPr="00A25AE2">
        <w:rPr>
          <w:rFonts w:cs="Times New Roman"/>
        </w:rPr>
        <w:t xml:space="preserve">provision of the </w:t>
      </w:r>
      <w:r w:rsidRPr="00A25AE2">
        <w:rPr>
          <w:rFonts w:cs="Times New Roman"/>
          <w:i/>
        </w:rPr>
        <w:t xml:space="preserve">Offence Act </w:t>
      </w:r>
      <w:r w:rsidRPr="00A25AE2">
        <w:rPr>
          <w:rFonts w:cs="Times New Roman"/>
        </w:rPr>
        <w:t xml:space="preserve">will not apply to “proceedings” if that particular provision contradicts </w:t>
      </w:r>
      <w:r w:rsidRPr="00A25AE2">
        <w:rPr>
          <w:rFonts w:cs="Times New Roman"/>
          <w:i/>
        </w:rPr>
        <w:t>another law</w:t>
      </w:r>
      <w:r w:rsidRPr="00A25AE2">
        <w:rPr>
          <w:rFonts w:cs="Times New Roman"/>
        </w:rPr>
        <w:t xml:space="preserve"> in effect in British Columbia (such as the </w:t>
      </w:r>
      <w:r w:rsidRPr="00A25AE2">
        <w:rPr>
          <w:rFonts w:cs="Times New Roman"/>
          <w:i/>
        </w:rPr>
        <w:t>1731 Act</w:t>
      </w:r>
      <w:r w:rsidRPr="00A25AE2">
        <w:rPr>
          <w:rFonts w:cs="Times New Roman"/>
        </w:rPr>
        <w:t xml:space="preserve">). Rather, the </w:t>
      </w:r>
      <w:r w:rsidRPr="00A25AE2">
        <w:rPr>
          <w:rFonts w:cs="Times New Roman"/>
          <w:i/>
        </w:rPr>
        <w:t>Offence Act</w:t>
      </w:r>
      <w:r w:rsidRPr="00A25AE2">
        <w:rPr>
          <w:rFonts w:cs="Times New Roman"/>
          <w:lang w:val="en-US"/>
        </w:rPr>
        <w:t xml:space="preserve"> “applies to proceedings as defined in section 1”, “[e]xcept” if it is expressly “provided by [another] law” that the </w:t>
      </w:r>
      <w:r w:rsidRPr="00A25AE2">
        <w:rPr>
          <w:rFonts w:cs="Times New Roman"/>
          <w:i/>
          <w:lang w:val="en-US"/>
        </w:rPr>
        <w:t>Offence Act</w:t>
      </w:r>
      <w:r w:rsidRPr="00A25AE2">
        <w:rPr>
          <w:rFonts w:cs="Times New Roman"/>
          <w:lang w:val="en-US"/>
        </w:rPr>
        <w:t xml:space="preserve">, in whole or in part, does </w:t>
      </w:r>
      <w:r w:rsidRPr="00A25AE2">
        <w:rPr>
          <w:rFonts w:cs="Times New Roman"/>
          <w:i/>
          <w:lang w:val="en-US"/>
        </w:rPr>
        <w:t>not</w:t>
      </w:r>
      <w:r w:rsidRPr="00A25AE2">
        <w:rPr>
          <w:rFonts w:cs="Times New Roman"/>
          <w:lang w:val="en-US"/>
        </w:rPr>
        <w:t xml:space="preserve"> apply to proceedings to which it would normally apply.</w:t>
      </w:r>
    </w:p>
    <w:p w:rsidR="00C526E4" w:rsidRPr="00A25AE2" w:rsidRDefault="00C526E4" w:rsidP="00C526E4">
      <w:pPr>
        <w:pStyle w:val="ParaNoNdepar-AltN"/>
        <w:rPr>
          <w:rFonts w:cs="Times New Roman"/>
        </w:rPr>
      </w:pPr>
      <w:r w:rsidRPr="00A25AE2">
        <w:rPr>
          <w:rFonts w:cs="Times New Roman"/>
        </w:rPr>
        <w:t xml:space="preserve">Both the history and application of s. 3(1) support this interpretation. The legislative predecessor to s. 3(1) of the </w:t>
      </w:r>
      <w:r w:rsidRPr="00A25AE2">
        <w:rPr>
          <w:rFonts w:cs="Times New Roman"/>
          <w:i/>
        </w:rPr>
        <w:t>Offence Act</w:t>
      </w:r>
      <w:r w:rsidRPr="00A25AE2">
        <w:rPr>
          <w:rFonts w:cs="Times New Roman"/>
        </w:rPr>
        <w:t>,</w:t>
      </w:r>
      <w:r w:rsidRPr="00A25AE2">
        <w:rPr>
          <w:rFonts w:cs="Times New Roman"/>
          <w:i/>
        </w:rPr>
        <w:t xml:space="preserve"> </w:t>
      </w:r>
      <w:r w:rsidR="00286C84">
        <w:rPr>
          <w:rFonts w:cs="Times New Roman"/>
        </w:rPr>
        <w:t>s. 4(1) of</w:t>
      </w:r>
      <w:r w:rsidR="00724677" w:rsidRPr="00724677">
        <w:rPr>
          <w:rFonts w:cs="Times New Roman"/>
          <w:i/>
          <w:lang w:val="en-US"/>
        </w:rPr>
        <w:t xml:space="preserve"> </w:t>
      </w:r>
      <w:r w:rsidR="00D452FA">
        <w:rPr>
          <w:rFonts w:cs="Times New Roman"/>
          <w:i/>
          <w:lang w:val="en-US"/>
        </w:rPr>
        <w:t xml:space="preserve">An </w:t>
      </w:r>
      <w:r w:rsidR="00724677" w:rsidRPr="00724677">
        <w:rPr>
          <w:rFonts w:cs="Times New Roman"/>
          <w:i/>
          <w:lang w:val="en-US"/>
        </w:rPr>
        <w:t>Act respecting Summary Proceedings before Justices of Peace (Summary Convictions Act)</w:t>
      </w:r>
      <w:r w:rsidR="00724677" w:rsidRPr="00724677">
        <w:rPr>
          <w:rFonts w:cs="Times New Roman"/>
          <w:lang w:val="en-US"/>
        </w:rPr>
        <w:t>,</w:t>
      </w:r>
      <w:r w:rsidR="00724677" w:rsidRPr="00724677">
        <w:rPr>
          <w:rFonts w:cs="Times New Roman"/>
          <w:i/>
          <w:lang w:val="en-US"/>
        </w:rPr>
        <w:t xml:space="preserve"> </w:t>
      </w:r>
      <w:r w:rsidR="00724677" w:rsidRPr="00724677">
        <w:rPr>
          <w:rFonts w:cs="Times New Roman"/>
          <w:lang w:val="en-US"/>
        </w:rPr>
        <w:t>R.S.B.C. 19</w:t>
      </w:r>
      <w:r w:rsidR="00286C84">
        <w:rPr>
          <w:rFonts w:cs="Times New Roman"/>
          <w:lang w:val="en-US"/>
        </w:rPr>
        <w:t>48</w:t>
      </w:r>
      <w:r w:rsidR="00724677" w:rsidRPr="00724677">
        <w:rPr>
          <w:rFonts w:cs="Times New Roman"/>
          <w:lang w:val="en-US"/>
        </w:rPr>
        <w:t>, c. 317</w:t>
      </w:r>
      <w:r w:rsidRPr="00A25AE2">
        <w:rPr>
          <w:rFonts w:cs="Times New Roman"/>
        </w:rPr>
        <w:t xml:space="preserve">, read as follows: </w:t>
      </w:r>
    </w:p>
    <w:p w:rsidR="00C526E4" w:rsidRPr="00A25AE2" w:rsidRDefault="00CB3031" w:rsidP="00286C84">
      <w:pPr>
        <w:pStyle w:val="ParaNoNdepar-AltN"/>
        <w:numPr>
          <w:ilvl w:val="0"/>
          <w:numId w:val="0"/>
        </w:numPr>
        <w:tabs>
          <w:tab w:val="left" w:pos="1166"/>
          <w:tab w:val="left" w:pos="1800"/>
        </w:tabs>
        <w:spacing w:line="240" w:lineRule="auto"/>
        <w:ind w:left="1800" w:hanging="630"/>
        <w:rPr>
          <w:rFonts w:cs="Times New Roman"/>
        </w:rPr>
      </w:pPr>
      <w:r w:rsidRPr="00CB3031">
        <w:rPr>
          <w:rFonts w:cs="Times New Roman"/>
          <w:b/>
        </w:rPr>
        <w:t>4.</w:t>
      </w:r>
      <w:r w:rsidRPr="00CB3031">
        <w:rPr>
          <w:rFonts w:cs="Times New Roman"/>
        </w:rPr>
        <w:t xml:space="preserve"> (1)</w:t>
      </w:r>
      <w:r w:rsidRPr="00286C84">
        <w:rPr>
          <w:rFonts w:cs="Times New Roman"/>
        </w:rPr>
        <w:t xml:space="preserve"> </w:t>
      </w:r>
      <w:r w:rsidR="00C526E4" w:rsidRPr="00A25AE2">
        <w:rPr>
          <w:rFonts w:cs="Times New Roman"/>
          <w:u w:val="single"/>
        </w:rPr>
        <w:t>Subject to any special provision otherwise enacted</w:t>
      </w:r>
      <w:r w:rsidR="00C526E4" w:rsidRPr="00A25AE2">
        <w:rPr>
          <w:rFonts w:cs="Times New Roman"/>
        </w:rPr>
        <w:t xml:space="preserve"> with respect to such offense, act or matter, this Act shall apply to: </w:t>
      </w:r>
    </w:p>
    <w:p w:rsidR="00C526E4" w:rsidRPr="00A25AE2" w:rsidRDefault="00CB3031" w:rsidP="00CB3031">
      <w:pPr>
        <w:pStyle w:val="ParaNoNdepar-AltN"/>
        <w:numPr>
          <w:ilvl w:val="0"/>
          <w:numId w:val="0"/>
        </w:numPr>
        <w:tabs>
          <w:tab w:val="left" w:pos="1166"/>
        </w:tabs>
        <w:spacing w:line="240" w:lineRule="auto"/>
        <w:ind w:left="2160" w:hanging="360"/>
        <w:rPr>
          <w:rFonts w:cs="Times New Roman"/>
        </w:rPr>
      </w:pPr>
      <w:r>
        <w:rPr>
          <w:rFonts w:cs="Times New Roman"/>
        </w:rPr>
        <w:t xml:space="preserve">(a) </w:t>
      </w:r>
      <w:r w:rsidR="00C526E4" w:rsidRPr="00A25AE2">
        <w:rPr>
          <w:rFonts w:cs="Times New Roman"/>
        </w:rPr>
        <w:t>Every case in which any person commits, or is suspected of having committed, any offence or act over which the Legislature has legislative authority, and for which such person is liable, on summary conviction, to imprisonment, fine, penalty, or other punishment:</w:t>
      </w:r>
    </w:p>
    <w:p w:rsidR="00C526E4" w:rsidRPr="00A25AE2" w:rsidRDefault="00CB3031" w:rsidP="00CB3031">
      <w:pPr>
        <w:pStyle w:val="ParaNoNdepar-AltN"/>
        <w:numPr>
          <w:ilvl w:val="0"/>
          <w:numId w:val="0"/>
        </w:numPr>
        <w:tabs>
          <w:tab w:val="left" w:pos="1166"/>
        </w:tabs>
        <w:spacing w:line="240" w:lineRule="auto"/>
        <w:ind w:left="2160" w:hanging="360"/>
        <w:rPr>
          <w:rFonts w:cs="Times New Roman"/>
        </w:rPr>
      </w:pPr>
      <w:r>
        <w:rPr>
          <w:rFonts w:cs="Times New Roman"/>
        </w:rPr>
        <w:t xml:space="preserve">(b) </w:t>
      </w:r>
      <w:r w:rsidR="00C526E4" w:rsidRPr="00A25AE2">
        <w:rPr>
          <w:rFonts w:cs="Times New Roman"/>
        </w:rPr>
        <w:t>Every case in which a complaint is made to any Justice in relation to any matter over which the Legislature has Legislative authority, and with respect to which such Justice has authority by law to make any order for the payment of money or otherwise. [Code, s. 706.]</w:t>
      </w:r>
    </w:p>
    <w:p w:rsidR="00C526E4" w:rsidRPr="00A25AE2" w:rsidRDefault="00C526E4" w:rsidP="00C526E4">
      <w:pPr>
        <w:pStyle w:val="ParaNoNdepar-AltN"/>
        <w:numPr>
          <w:ilvl w:val="0"/>
          <w:numId w:val="0"/>
        </w:numPr>
        <w:rPr>
          <w:rFonts w:cs="Times New Roman"/>
        </w:rPr>
      </w:pPr>
      <w:r w:rsidRPr="00A25AE2">
        <w:rPr>
          <w:rFonts w:cs="Times New Roman"/>
        </w:rPr>
        <w:t xml:space="preserve">The language of “special provision” bolsters our conclusion that “[e]xcept where otherwise provided by law” in s. 3(1) means “except where other particularized legislation displaces the application of the </w:t>
      </w:r>
      <w:r w:rsidRPr="00A25AE2">
        <w:rPr>
          <w:rFonts w:cs="Times New Roman"/>
          <w:i/>
        </w:rPr>
        <w:t>Offence Act</w:t>
      </w:r>
      <w:r w:rsidRPr="00A25AE2">
        <w:rPr>
          <w:rFonts w:cs="Times New Roman"/>
        </w:rPr>
        <w:t xml:space="preserve">”. </w:t>
      </w:r>
    </w:p>
    <w:p w:rsidR="00C526E4" w:rsidRPr="00A25AE2" w:rsidRDefault="00C526E4" w:rsidP="00C526E4">
      <w:pPr>
        <w:pStyle w:val="ParaNoNdepar-AltN"/>
        <w:rPr>
          <w:rFonts w:cs="Times New Roman"/>
          <w:szCs w:val="24"/>
          <w:lang w:val="en"/>
        </w:rPr>
      </w:pPr>
      <w:r w:rsidRPr="00A25AE2">
        <w:rPr>
          <w:rFonts w:cs="Times New Roman"/>
        </w:rPr>
        <w:t xml:space="preserve">Examples of provincial enactments which displace the </w:t>
      </w:r>
      <w:r w:rsidRPr="00A25AE2">
        <w:rPr>
          <w:rFonts w:cs="Times New Roman"/>
          <w:i/>
        </w:rPr>
        <w:t xml:space="preserve">Offence Act </w:t>
      </w:r>
      <w:r w:rsidRPr="00A25AE2">
        <w:rPr>
          <w:rFonts w:cs="Times New Roman"/>
        </w:rPr>
        <w:t>in the manner contemplated by s. 3(1) include</w:t>
      </w:r>
      <w:r w:rsidRPr="00A25AE2">
        <w:rPr>
          <w:rFonts w:cs="Times New Roman"/>
          <w:b/>
        </w:rPr>
        <w:t xml:space="preserve"> </w:t>
      </w:r>
      <w:r w:rsidRPr="00A25AE2">
        <w:rPr>
          <w:rFonts w:cs="Times New Roman"/>
        </w:rPr>
        <w:t xml:space="preserve">the </w:t>
      </w:r>
      <w:r w:rsidRPr="00A25AE2">
        <w:rPr>
          <w:rFonts w:cs="Times New Roman"/>
          <w:i/>
        </w:rPr>
        <w:t>Freedom of Information and Protection of Privacy Act</w:t>
      </w:r>
      <w:r w:rsidRPr="00A25AE2">
        <w:rPr>
          <w:rFonts w:cs="Times New Roman"/>
        </w:rPr>
        <w:t xml:space="preserve">, R.S.B.C. 1996, c. 165, s. 74(3); the </w:t>
      </w:r>
      <w:r w:rsidRPr="00A25AE2">
        <w:rPr>
          <w:rFonts w:cs="Times New Roman"/>
          <w:i/>
          <w:szCs w:val="24"/>
          <w:lang w:val="en"/>
        </w:rPr>
        <w:t>Voluntary Blood Donations Act</w:t>
      </w:r>
      <w:r w:rsidRPr="00A25AE2">
        <w:rPr>
          <w:rFonts w:cs="Times New Roman"/>
          <w:szCs w:val="24"/>
          <w:lang w:val="en"/>
        </w:rPr>
        <w:t xml:space="preserve">, S.B.C. 2018, c. 30, s. 21(1); the </w:t>
      </w:r>
      <w:r w:rsidRPr="00A25AE2">
        <w:rPr>
          <w:rFonts w:cs="Times New Roman"/>
          <w:i/>
          <w:szCs w:val="24"/>
          <w:lang w:val="en"/>
        </w:rPr>
        <w:t>Armoured Vehicle and After-Market Compartment Control Act</w:t>
      </w:r>
      <w:r w:rsidRPr="00A25AE2">
        <w:rPr>
          <w:rFonts w:cs="Times New Roman"/>
          <w:szCs w:val="24"/>
          <w:lang w:val="en"/>
        </w:rPr>
        <w:t xml:space="preserve">, S.B.C. 2010, c. 8, s. 12(9); and the </w:t>
      </w:r>
      <w:r w:rsidRPr="00A25AE2">
        <w:rPr>
          <w:rFonts w:cs="Times New Roman"/>
          <w:i/>
          <w:szCs w:val="24"/>
          <w:lang w:val="en"/>
        </w:rPr>
        <w:t>Legal Profession Act</w:t>
      </w:r>
      <w:r w:rsidRPr="00A25AE2">
        <w:rPr>
          <w:rFonts w:cs="Times New Roman"/>
          <w:szCs w:val="24"/>
          <w:lang w:val="en"/>
        </w:rPr>
        <w:t xml:space="preserve">, S.B.C. 1998, c. 9, s. 85(4). These statutes provide expressly that s. 5 of the </w:t>
      </w:r>
      <w:r w:rsidRPr="00A25AE2">
        <w:rPr>
          <w:rFonts w:cs="Times New Roman"/>
          <w:i/>
          <w:szCs w:val="24"/>
          <w:lang w:val="en"/>
        </w:rPr>
        <w:t xml:space="preserve">Offence Act — </w:t>
      </w:r>
      <w:r w:rsidRPr="00A25AE2">
        <w:rPr>
          <w:rFonts w:cs="Times New Roman"/>
          <w:szCs w:val="24"/>
          <w:lang w:val="en"/>
        </w:rPr>
        <w:t xml:space="preserve">which makes it an “offence” under the </w:t>
      </w:r>
      <w:r w:rsidRPr="00A25AE2">
        <w:rPr>
          <w:rFonts w:cs="Times New Roman"/>
          <w:i/>
          <w:szCs w:val="24"/>
          <w:lang w:val="en"/>
        </w:rPr>
        <w:t xml:space="preserve">Offence Act </w:t>
      </w:r>
      <w:r w:rsidRPr="00A25AE2">
        <w:rPr>
          <w:rFonts w:cs="Times New Roman"/>
          <w:szCs w:val="24"/>
          <w:lang w:val="en"/>
        </w:rPr>
        <w:t xml:space="preserve">to do an act that the statute forbids, or to omit to do an act that the statute requires to be done — does </w:t>
      </w:r>
      <w:r w:rsidRPr="00A25AE2">
        <w:rPr>
          <w:rFonts w:cs="Times New Roman"/>
          <w:i/>
          <w:szCs w:val="24"/>
          <w:lang w:val="en"/>
        </w:rPr>
        <w:t xml:space="preserve">not </w:t>
      </w:r>
      <w:r w:rsidRPr="00A25AE2">
        <w:rPr>
          <w:rFonts w:cs="Times New Roman"/>
          <w:szCs w:val="24"/>
          <w:lang w:val="en"/>
        </w:rPr>
        <w:t xml:space="preserve">apply to the statute in question. </w:t>
      </w:r>
    </w:p>
    <w:p w:rsidR="00C526E4" w:rsidRPr="00A25AE2" w:rsidRDefault="00C526E4" w:rsidP="00C526E4">
      <w:pPr>
        <w:pStyle w:val="ParaNoNdepar-AltN"/>
        <w:rPr>
          <w:rFonts w:cs="Times New Roman"/>
        </w:rPr>
      </w:pPr>
      <w:r w:rsidRPr="00A25AE2">
        <w:rPr>
          <w:rFonts w:cs="Times New Roman"/>
        </w:rPr>
        <w:t>Finally, as Mr. Bessette notes, the Attorney General’s proposed interpretation of “[e]xcept where otherwise provided by law” in s. 3(1) would give rise to an absurd consequence: it would</w:t>
      </w:r>
      <w:r w:rsidRPr="00A25AE2">
        <w:rPr>
          <w:rFonts w:cs="Times New Roman"/>
          <w:b/>
        </w:rPr>
        <w:t xml:space="preserve"> </w:t>
      </w:r>
      <w:r w:rsidRPr="00A25AE2">
        <w:rPr>
          <w:rFonts w:cs="Times New Roman"/>
        </w:rPr>
        <w:t xml:space="preserve">render the </w:t>
      </w:r>
      <w:r w:rsidRPr="00A25AE2">
        <w:rPr>
          <w:rFonts w:cs="Times New Roman"/>
          <w:i/>
        </w:rPr>
        <w:t xml:space="preserve">Offence Act </w:t>
      </w:r>
      <w:r w:rsidRPr="00A25AE2">
        <w:rPr>
          <w:rFonts w:cs="Times New Roman"/>
        </w:rPr>
        <w:t xml:space="preserve">provisions subordinate to all other laws which might touch on </w:t>
      </w:r>
      <w:r w:rsidRPr="00A25AE2">
        <w:rPr>
          <w:rFonts w:cs="Times New Roman"/>
          <w:i/>
        </w:rPr>
        <w:t xml:space="preserve">Offence Act </w:t>
      </w:r>
      <w:r w:rsidRPr="00A25AE2">
        <w:rPr>
          <w:rFonts w:cs="Times New Roman"/>
        </w:rPr>
        <w:t xml:space="preserve">“proceedings”. In other words, the </w:t>
      </w:r>
      <w:r w:rsidRPr="00A25AE2">
        <w:rPr>
          <w:rFonts w:cs="Times New Roman"/>
          <w:i/>
        </w:rPr>
        <w:t xml:space="preserve">Offence Act </w:t>
      </w:r>
      <w:r w:rsidRPr="00A25AE2">
        <w:rPr>
          <w:rFonts w:cs="Times New Roman"/>
        </w:rPr>
        <w:t>would make itself residual. This interpretation is contrary to both the purpose of the Act and the remaining text of s. 3(1), which states that “this Act applies to proceedings”.</w:t>
      </w:r>
    </w:p>
    <w:p w:rsidR="00C526E4" w:rsidRPr="00A25AE2" w:rsidRDefault="00C526E4" w:rsidP="00C526E4">
      <w:pPr>
        <w:pStyle w:val="ParaNoNdepar-AltN"/>
        <w:rPr>
          <w:rFonts w:cs="Times New Roman"/>
        </w:rPr>
      </w:pPr>
      <w:r w:rsidRPr="00A25AE2">
        <w:rPr>
          <w:rFonts w:cs="Times New Roman"/>
        </w:rPr>
        <w:t xml:space="preserve">Section 3(1) therefore gives us the first two steps in our legislative hierarchy or interpretive roadmap. First, it directs us to look to particularized legislation (here, the </w:t>
      </w:r>
      <w:r w:rsidRPr="00A25AE2">
        <w:rPr>
          <w:rFonts w:cs="Times New Roman"/>
          <w:i/>
        </w:rPr>
        <w:t>Motor Vehicle Act</w:t>
      </w:r>
      <w:r w:rsidRPr="00A25AE2">
        <w:rPr>
          <w:rFonts w:cs="Times New Roman"/>
        </w:rPr>
        <w:t xml:space="preserve">) to determine whether that legislation ousts or alters the application of the </w:t>
      </w:r>
      <w:r w:rsidRPr="00A25AE2">
        <w:rPr>
          <w:rFonts w:cs="Times New Roman"/>
          <w:i/>
        </w:rPr>
        <w:t>Offence Act</w:t>
      </w:r>
      <w:r w:rsidRPr="00A25AE2">
        <w:rPr>
          <w:rFonts w:cs="Times New Roman"/>
        </w:rPr>
        <w:t xml:space="preserve">. Second, if that legislation does not affect the </w:t>
      </w:r>
      <w:r w:rsidRPr="00A25AE2">
        <w:rPr>
          <w:rFonts w:cs="Times New Roman"/>
          <w:i/>
        </w:rPr>
        <w:t>Offence Act</w:t>
      </w:r>
      <w:r w:rsidRPr="00A25AE2">
        <w:rPr>
          <w:rFonts w:cs="Times New Roman"/>
        </w:rPr>
        <w:t xml:space="preserve">, s. 3(1) tells us that the provisions of the </w:t>
      </w:r>
      <w:r w:rsidRPr="00A25AE2">
        <w:rPr>
          <w:rFonts w:cs="Times New Roman"/>
          <w:i/>
        </w:rPr>
        <w:t xml:space="preserve">Offence Act </w:t>
      </w:r>
      <w:r w:rsidRPr="00A25AE2">
        <w:rPr>
          <w:rFonts w:cs="Times New Roman"/>
        </w:rPr>
        <w:t xml:space="preserve">apply. The </w:t>
      </w:r>
      <w:r w:rsidRPr="00A25AE2">
        <w:rPr>
          <w:rFonts w:cs="Times New Roman"/>
          <w:i/>
        </w:rPr>
        <w:t xml:space="preserve">Motor Vehicle Act </w:t>
      </w:r>
      <w:r w:rsidRPr="00A25AE2">
        <w:rPr>
          <w:rFonts w:cs="Times New Roman"/>
        </w:rPr>
        <w:t xml:space="preserve">contains a number of references to the </w:t>
      </w:r>
      <w:r w:rsidRPr="00A25AE2">
        <w:rPr>
          <w:rFonts w:cs="Times New Roman"/>
          <w:i/>
        </w:rPr>
        <w:t>Offence Act</w:t>
      </w:r>
      <w:r w:rsidRPr="00A25AE2">
        <w:rPr>
          <w:rFonts w:cs="Times New Roman"/>
        </w:rPr>
        <w:t>,</w:t>
      </w:r>
      <w:r w:rsidRPr="00A25AE2">
        <w:rPr>
          <w:rFonts w:cs="Times New Roman"/>
          <w:i/>
        </w:rPr>
        <w:t xml:space="preserve"> </w:t>
      </w:r>
      <w:r w:rsidRPr="00A25AE2">
        <w:rPr>
          <w:rFonts w:cs="Times New Roman"/>
        </w:rPr>
        <w:t xml:space="preserve">none of which purport to displace that Act either as a whole or with respect to the language of trials. As such, the provisions of the </w:t>
      </w:r>
      <w:r w:rsidRPr="00A25AE2">
        <w:rPr>
          <w:rFonts w:cs="Times New Roman"/>
          <w:i/>
        </w:rPr>
        <w:t>Offence Act</w:t>
      </w:r>
      <w:r w:rsidRPr="00A25AE2">
        <w:rPr>
          <w:rFonts w:cs="Times New Roman"/>
        </w:rPr>
        <w:t xml:space="preserve"> apply.</w:t>
      </w:r>
    </w:p>
    <w:p w:rsidR="00C526E4" w:rsidRPr="00A25AE2" w:rsidRDefault="00C526E4" w:rsidP="00C526E4">
      <w:pPr>
        <w:pStyle w:val="Title3LevelTitre3Niveau"/>
        <w:rPr>
          <w:rFonts w:cs="Times New Roman"/>
          <w:lang w:val="en"/>
        </w:rPr>
      </w:pPr>
      <w:r w:rsidRPr="00A25AE2">
        <w:rPr>
          <w:rFonts w:cs="Times New Roman"/>
          <w:lang w:val="en"/>
        </w:rPr>
        <w:t xml:space="preserve">Section 133 of the </w:t>
      </w:r>
      <w:r w:rsidRPr="00A25AE2">
        <w:rPr>
          <w:rFonts w:cs="Times New Roman"/>
          <w:i/>
          <w:lang w:val="en"/>
        </w:rPr>
        <w:t>Offence Act —</w:t>
      </w:r>
      <w:r w:rsidRPr="00A25AE2">
        <w:rPr>
          <w:rFonts w:cs="Times New Roman"/>
          <w:lang w:val="en"/>
        </w:rPr>
        <w:t xml:space="preserve"> </w:t>
      </w:r>
      <w:r w:rsidR="00F61D03">
        <w:rPr>
          <w:rFonts w:cs="Times New Roman"/>
          <w:lang w:val="en"/>
        </w:rPr>
        <w:t>the</w:t>
      </w:r>
      <w:r w:rsidRPr="00A25AE2">
        <w:rPr>
          <w:rFonts w:cs="Times New Roman"/>
          <w:lang w:val="en"/>
        </w:rPr>
        <w:t xml:space="preserve"> Incorporation Provision</w:t>
      </w:r>
    </w:p>
    <w:p w:rsidR="00C526E4" w:rsidRPr="00A25AE2" w:rsidRDefault="00C526E4" w:rsidP="00C526E4">
      <w:pPr>
        <w:pStyle w:val="ParaNoNdepar-AltN"/>
        <w:rPr>
          <w:rFonts w:cs="Times New Roman"/>
          <w:szCs w:val="24"/>
          <w:lang w:val="en"/>
        </w:rPr>
      </w:pPr>
      <w:r w:rsidRPr="00A25AE2">
        <w:rPr>
          <w:rFonts w:cs="Times New Roman"/>
        </w:rPr>
        <w:t xml:space="preserve">One such </w:t>
      </w:r>
      <w:r w:rsidRPr="00A25AE2">
        <w:rPr>
          <w:rFonts w:cs="Times New Roman"/>
          <w:i/>
        </w:rPr>
        <w:t xml:space="preserve">Offence Act </w:t>
      </w:r>
      <w:r w:rsidRPr="00A25AE2">
        <w:rPr>
          <w:rFonts w:cs="Times New Roman"/>
        </w:rPr>
        <w:t xml:space="preserve">provision is s. 133, which directly contradicts the Attorney General’s contention that the </w:t>
      </w:r>
      <w:r w:rsidRPr="00A25AE2">
        <w:rPr>
          <w:rFonts w:cs="Times New Roman"/>
          <w:i/>
        </w:rPr>
        <w:t xml:space="preserve">1731 Act </w:t>
      </w:r>
      <w:r w:rsidRPr="00A25AE2">
        <w:rPr>
          <w:rFonts w:cs="Times New Roman"/>
        </w:rPr>
        <w:t xml:space="preserve">dictates the language of </w:t>
      </w:r>
      <w:r w:rsidRPr="00A25AE2">
        <w:rPr>
          <w:rFonts w:cs="Times New Roman"/>
          <w:i/>
        </w:rPr>
        <w:t xml:space="preserve">Offence Act </w:t>
      </w:r>
      <w:r w:rsidRPr="00A25AE2">
        <w:rPr>
          <w:rFonts w:cs="Times New Roman"/>
        </w:rPr>
        <w:t xml:space="preserve">trials. Section 133 clearly states that the provisions of the </w:t>
      </w:r>
      <w:r w:rsidRPr="00A25AE2">
        <w:rPr>
          <w:rFonts w:cs="Times New Roman"/>
          <w:i/>
        </w:rPr>
        <w:t xml:space="preserve">Offence Act </w:t>
      </w:r>
      <w:r w:rsidRPr="00A25AE2">
        <w:rPr>
          <w:rFonts w:cs="Times New Roman"/>
        </w:rPr>
        <w:t xml:space="preserve">and, residually,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 xml:space="preserve">govern “proceedings” in priority to other legislation. </w:t>
      </w:r>
    </w:p>
    <w:p w:rsidR="00C526E4" w:rsidRPr="00A25AE2" w:rsidRDefault="00C526E4" w:rsidP="00C526E4">
      <w:pPr>
        <w:pStyle w:val="ParaNoNdepar-AltN"/>
        <w:rPr>
          <w:rFonts w:cs="Times New Roman"/>
          <w:szCs w:val="24"/>
          <w:lang w:val="en"/>
        </w:rPr>
      </w:pPr>
      <w:r w:rsidRPr="00A25AE2">
        <w:rPr>
          <w:rFonts w:cs="Times New Roman"/>
          <w:szCs w:val="24"/>
          <w:lang w:val="en"/>
        </w:rPr>
        <w:t>If there were any doubt about</w:t>
      </w:r>
      <w:r w:rsidRPr="00A25AE2">
        <w:rPr>
          <w:rFonts w:cs="Times New Roman"/>
          <w:b/>
          <w:szCs w:val="24"/>
          <w:lang w:val="en"/>
        </w:rPr>
        <w:t xml:space="preserve"> </w:t>
      </w:r>
      <w:r w:rsidRPr="00A25AE2">
        <w:rPr>
          <w:rFonts w:cs="Times New Roman"/>
          <w:szCs w:val="24"/>
          <w:lang w:val="en"/>
        </w:rPr>
        <w:t>the meaning of s. 3(1), s. 133 reaffirms that the place to look for the law governing proceedings is “in this Act”,</w:t>
      </w:r>
      <w:r w:rsidRPr="00A25AE2">
        <w:rPr>
          <w:rFonts w:cs="Times New Roman"/>
          <w:i/>
          <w:szCs w:val="24"/>
          <w:lang w:val="en"/>
        </w:rPr>
        <w:t xml:space="preserve"> </w:t>
      </w:r>
      <w:r w:rsidRPr="00A25AE2">
        <w:rPr>
          <w:rFonts w:cs="Times New Roman"/>
          <w:szCs w:val="24"/>
          <w:lang w:val="en"/>
        </w:rPr>
        <w:t xml:space="preserve">not in any and all other British Columbia law. </w:t>
      </w:r>
      <w:r w:rsidRPr="00A25AE2">
        <w:rPr>
          <w:rFonts w:cs="Times New Roman"/>
        </w:rPr>
        <w:t xml:space="preserve">Had the legislature instead chosen more general wording such as “in an enactment”, the Attorney General’s proposed approach of giving precedence to the </w:t>
      </w:r>
      <w:r w:rsidRPr="00A25AE2">
        <w:rPr>
          <w:rFonts w:cs="Times New Roman"/>
          <w:i/>
        </w:rPr>
        <w:t xml:space="preserve">1731 Act </w:t>
      </w:r>
      <w:r w:rsidRPr="00A25AE2">
        <w:rPr>
          <w:rFonts w:cs="Times New Roman"/>
        </w:rPr>
        <w:t>on the matter of trial language</w:t>
      </w:r>
      <w:r w:rsidRPr="00A25AE2">
        <w:rPr>
          <w:rFonts w:cs="Times New Roman"/>
          <w:b/>
        </w:rPr>
        <w:t xml:space="preserve"> </w:t>
      </w:r>
      <w:r w:rsidRPr="00A25AE2">
        <w:rPr>
          <w:rFonts w:cs="Times New Roman"/>
        </w:rPr>
        <w:t xml:space="preserve">might have had merit. However, the wording of s. 133 is very specific, and reflects a clear intention that the law be ascertained by looking within the four corners of the </w:t>
      </w:r>
      <w:r w:rsidRPr="00A25AE2">
        <w:rPr>
          <w:rFonts w:cs="Times New Roman"/>
          <w:i/>
        </w:rPr>
        <w:t>Offence Act</w:t>
      </w:r>
      <w:r w:rsidRPr="00A25AE2">
        <w:rPr>
          <w:rFonts w:cs="Times New Roman"/>
        </w:rPr>
        <w:t>.</w:t>
      </w:r>
    </w:p>
    <w:p w:rsidR="00C526E4" w:rsidRPr="00A25AE2" w:rsidRDefault="00C526E4" w:rsidP="00C526E4">
      <w:pPr>
        <w:pStyle w:val="ParaNoNdepar-AltN"/>
        <w:rPr>
          <w:rFonts w:cs="Times New Roman"/>
        </w:rPr>
      </w:pPr>
      <w:r w:rsidRPr="00A25AE2">
        <w:rPr>
          <w:rFonts w:cs="Times New Roman"/>
        </w:rPr>
        <w:t xml:space="preserve">Then, if no provision for a matter has been made in the </w:t>
      </w:r>
      <w:r w:rsidRPr="00A25AE2">
        <w:rPr>
          <w:rFonts w:cs="Times New Roman"/>
          <w:i/>
        </w:rPr>
        <w:t>Offence Act</w:t>
      </w:r>
      <w:r w:rsidRPr="00A25AE2">
        <w:rPr>
          <w:rFonts w:cs="Times New Roman"/>
        </w:rPr>
        <w:t>,</w:t>
      </w:r>
      <w:r w:rsidRPr="00A25AE2">
        <w:rPr>
          <w:rFonts w:cs="Times New Roman"/>
          <w:i/>
        </w:rPr>
        <w:t xml:space="preserve"> </w:t>
      </w:r>
      <w:r w:rsidRPr="00A25AE2">
        <w:rPr>
          <w:rFonts w:cs="Times New Roman"/>
        </w:rPr>
        <w:t xml:space="preserve">s. 133 states that “the provisions of the </w:t>
      </w:r>
      <w:r w:rsidRPr="00A25AE2">
        <w:rPr>
          <w:rFonts w:cs="Times New Roman"/>
          <w:i/>
        </w:rPr>
        <w:t xml:space="preserve">Criminal Code </w:t>
      </w:r>
      <w:r w:rsidRPr="00A25AE2">
        <w:rPr>
          <w:rFonts w:cs="Times New Roman"/>
        </w:rPr>
        <w:t xml:space="preserve">relating to offences punishable on summary conviction apply”, thus placing the </w:t>
      </w:r>
      <w:r w:rsidRPr="00A25AE2">
        <w:rPr>
          <w:rFonts w:cs="Times New Roman"/>
          <w:i/>
        </w:rPr>
        <w:t xml:space="preserve">Criminal Code </w:t>
      </w:r>
      <w:r w:rsidRPr="00A25AE2">
        <w:rPr>
          <w:rFonts w:cs="Times New Roman"/>
        </w:rPr>
        <w:t xml:space="preserve">next in the order of operations. Section 133 provides for the incorporation of the </w:t>
      </w:r>
      <w:r w:rsidRPr="00A25AE2">
        <w:rPr>
          <w:rFonts w:cs="Times New Roman"/>
          <w:i/>
        </w:rPr>
        <w:t xml:space="preserve">Criminal Code </w:t>
      </w:r>
      <w:r w:rsidRPr="00A25AE2">
        <w:rPr>
          <w:rFonts w:cs="Times New Roman"/>
        </w:rPr>
        <w:t xml:space="preserve">in broad terms, as its provisions relating to summary conviction offences apply both in instances where “express provision has not been made” in the </w:t>
      </w:r>
      <w:r w:rsidRPr="00A25AE2">
        <w:rPr>
          <w:rFonts w:cs="Times New Roman"/>
          <w:i/>
        </w:rPr>
        <w:t xml:space="preserve">Offence Act </w:t>
      </w:r>
      <w:r w:rsidRPr="00A25AE2">
        <w:rPr>
          <w:rFonts w:cs="Times New Roman"/>
        </w:rPr>
        <w:t xml:space="preserve">and where “only partial provision has been made”. </w:t>
      </w:r>
    </w:p>
    <w:p w:rsidR="00C526E4" w:rsidRPr="00A25AE2" w:rsidRDefault="00C526E4" w:rsidP="00C526E4">
      <w:pPr>
        <w:pStyle w:val="ParaNoNdepar-AltN"/>
        <w:rPr>
          <w:rFonts w:cs="Times New Roman"/>
        </w:rPr>
      </w:pPr>
      <w:r w:rsidRPr="00A25AE2">
        <w:rPr>
          <w:rFonts w:cs="Times New Roman"/>
        </w:rPr>
        <w:t xml:space="preserve">This Court has recognized that the incorporation of </w:t>
      </w:r>
      <w:r w:rsidRPr="00A25AE2">
        <w:rPr>
          <w:rFonts w:cs="Times New Roman"/>
          <w:i/>
        </w:rPr>
        <w:t xml:space="preserve">Criminal Code </w:t>
      </w:r>
      <w:r w:rsidRPr="00A25AE2">
        <w:rPr>
          <w:rFonts w:cs="Times New Roman"/>
        </w:rPr>
        <w:t xml:space="preserve">provisions is not restricted to situations where the </w:t>
      </w:r>
      <w:r w:rsidRPr="00A25AE2">
        <w:rPr>
          <w:rFonts w:cs="Times New Roman"/>
          <w:i/>
        </w:rPr>
        <w:t xml:space="preserve">Offence Act </w:t>
      </w:r>
      <w:r w:rsidRPr="00A25AE2">
        <w:rPr>
          <w:rFonts w:cs="Times New Roman"/>
        </w:rPr>
        <w:t xml:space="preserve">and the provincial enactment creating the offence are silent on a matter. In </w:t>
      </w:r>
      <w:r w:rsidRPr="00A25AE2">
        <w:rPr>
          <w:rFonts w:cs="Times New Roman"/>
          <w:i/>
        </w:rPr>
        <w:t>Moore v. The Queen</w:t>
      </w:r>
      <w:r w:rsidRPr="00A25AE2">
        <w:rPr>
          <w:rFonts w:cs="Times New Roman"/>
        </w:rPr>
        <w:t>,</w:t>
      </w:r>
      <w:r w:rsidRPr="00A25AE2">
        <w:rPr>
          <w:rFonts w:cs="Times New Roman"/>
          <w:i/>
        </w:rPr>
        <w:t xml:space="preserve"> </w:t>
      </w:r>
      <w:r w:rsidRPr="00A25AE2">
        <w:rPr>
          <w:rFonts w:cs="Times New Roman"/>
        </w:rPr>
        <w:t xml:space="preserve">[1979] 1 S.C.R. 195, the accused was charged with obstructing a peace officer by refusing to identify himself after violating the </w:t>
      </w:r>
      <w:r w:rsidRPr="00A25AE2">
        <w:rPr>
          <w:rFonts w:cs="Times New Roman"/>
          <w:i/>
        </w:rPr>
        <w:t xml:space="preserve">Motor Vehicle Act </w:t>
      </w:r>
      <w:r w:rsidRPr="00A25AE2">
        <w:rPr>
          <w:rFonts w:cs="Times New Roman"/>
        </w:rPr>
        <w:t xml:space="preserve">by proceeding against a red light on his bicycle. The </w:t>
      </w:r>
      <w:r w:rsidRPr="00A25AE2">
        <w:rPr>
          <w:rFonts w:cs="Times New Roman"/>
          <w:i/>
        </w:rPr>
        <w:t xml:space="preserve">Motor Vehicle Act </w:t>
      </w:r>
      <w:r w:rsidRPr="00A25AE2">
        <w:rPr>
          <w:rFonts w:cs="Times New Roman"/>
        </w:rPr>
        <w:t xml:space="preserve">made partial provision for the circumstances, as it included provisions requiring motor vehicle drivers (but not cyclists) to identify themselves upon request by a peace officer, and provisions authorizing a peace officer to make an arrest without a warrant. This Court incorporated into the </w:t>
      </w:r>
      <w:r w:rsidRPr="00A25AE2">
        <w:rPr>
          <w:rFonts w:cs="Times New Roman"/>
          <w:i/>
        </w:rPr>
        <w:t>Summary Convictions Act</w:t>
      </w:r>
      <w:r w:rsidRPr="00A25AE2">
        <w:rPr>
          <w:rFonts w:cs="Times New Roman"/>
        </w:rPr>
        <w:t xml:space="preserve">, 1960, via its s. 101 (now s. 133 of the </w:t>
      </w:r>
      <w:r w:rsidRPr="00A25AE2">
        <w:rPr>
          <w:rFonts w:cs="Times New Roman"/>
          <w:i/>
        </w:rPr>
        <w:t>Offence Act</w:t>
      </w:r>
      <w:r w:rsidRPr="00A25AE2">
        <w:rPr>
          <w:rFonts w:cs="Times New Roman"/>
        </w:rPr>
        <w:t xml:space="preserve">) an arrest power contained in s. 450(2) of the </w:t>
      </w:r>
      <w:r w:rsidRPr="00A25AE2">
        <w:rPr>
          <w:rFonts w:cs="Times New Roman"/>
          <w:i/>
        </w:rPr>
        <w:t>Criminal Code</w:t>
      </w:r>
      <w:r w:rsidRPr="00A25AE2">
        <w:rPr>
          <w:rFonts w:cs="Times New Roman"/>
        </w:rPr>
        <w:t xml:space="preserve">, and concluded that, since a constable had the power to arrest Mr. Moore to establish his identity pursuant to s. 450(2), Mr. Moore had committed the offence of obstructing that constable in the performance of his duties when he refused to accede to the constable’s identification request. </w:t>
      </w:r>
    </w:p>
    <w:p w:rsidR="00C526E4" w:rsidRPr="00A25AE2" w:rsidRDefault="00C526E4" w:rsidP="00C526E4">
      <w:pPr>
        <w:pStyle w:val="ParaNoNdepar-AltN"/>
        <w:rPr>
          <w:rFonts w:cs="Times New Roman"/>
        </w:rPr>
      </w:pPr>
      <w:r w:rsidRPr="00A25AE2">
        <w:rPr>
          <w:rFonts w:cs="Times New Roman"/>
        </w:rPr>
        <w:t xml:space="preserve">In </w:t>
      </w:r>
      <w:r w:rsidRPr="00A25AE2">
        <w:rPr>
          <w:rFonts w:cs="Times New Roman"/>
          <w:i/>
        </w:rPr>
        <w:t>Moore</w:t>
      </w:r>
      <w:r w:rsidRPr="00D650C2">
        <w:rPr>
          <w:rFonts w:cs="Times New Roman"/>
        </w:rPr>
        <w:t>,</w:t>
      </w:r>
      <w:r w:rsidRPr="00A25AE2">
        <w:rPr>
          <w:rFonts w:cs="Times New Roman"/>
          <w:i/>
        </w:rPr>
        <w:t xml:space="preserve"> </w:t>
      </w:r>
      <w:r w:rsidRPr="00A25AE2">
        <w:rPr>
          <w:rFonts w:cs="Times New Roman"/>
        </w:rPr>
        <w:t xml:space="preserve">the fact that the </w:t>
      </w:r>
      <w:r w:rsidRPr="00A25AE2">
        <w:rPr>
          <w:rFonts w:cs="Times New Roman"/>
          <w:i/>
        </w:rPr>
        <w:t xml:space="preserve">Motor Vehicle Act </w:t>
      </w:r>
      <w:r w:rsidRPr="00A25AE2">
        <w:rPr>
          <w:rFonts w:cs="Times New Roman"/>
        </w:rPr>
        <w:t xml:space="preserve">clearly made partial provision for the matter did not preclude the incorporation of the relevant </w:t>
      </w:r>
      <w:r w:rsidRPr="00A25AE2">
        <w:rPr>
          <w:rFonts w:cs="Times New Roman"/>
          <w:i/>
        </w:rPr>
        <w:t xml:space="preserve">Criminal Code </w:t>
      </w:r>
      <w:r w:rsidRPr="00A25AE2">
        <w:rPr>
          <w:rFonts w:cs="Times New Roman"/>
        </w:rPr>
        <w:t xml:space="preserve">provisions (see also </w:t>
      </w:r>
      <w:r w:rsidRPr="00A25AE2">
        <w:rPr>
          <w:rFonts w:cs="Times New Roman"/>
          <w:i/>
        </w:rPr>
        <w:t>Central Okanagan (Regional District) v. Ushko</w:t>
      </w:r>
      <w:r w:rsidRPr="00A25AE2">
        <w:rPr>
          <w:rFonts w:cs="Times New Roman"/>
        </w:rPr>
        <w:t>,</w:t>
      </w:r>
      <w:r w:rsidRPr="00A25AE2">
        <w:rPr>
          <w:rFonts w:cs="Times New Roman"/>
          <w:i/>
        </w:rPr>
        <w:t xml:space="preserve"> </w:t>
      </w:r>
      <w:r w:rsidRPr="00A25AE2">
        <w:rPr>
          <w:rFonts w:cs="Times New Roman"/>
        </w:rPr>
        <w:t xml:space="preserve">[1998] B.C.J. No. 2123 </w:t>
      </w:r>
      <w:r w:rsidR="001F38F2">
        <w:rPr>
          <w:rFonts w:cs="Times New Roman"/>
        </w:rPr>
        <w:t xml:space="preserve">(QL) </w:t>
      </w:r>
      <w:r w:rsidRPr="00A25AE2">
        <w:rPr>
          <w:rFonts w:cs="Times New Roman"/>
        </w:rPr>
        <w:t xml:space="preserve">(S.C.); </w:t>
      </w:r>
      <w:r w:rsidRPr="00A25AE2">
        <w:rPr>
          <w:rFonts w:cs="Times New Roman"/>
          <w:i/>
        </w:rPr>
        <w:t>Vancouver (City) v. Wiseberg</w:t>
      </w:r>
      <w:r w:rsidRPr="00A25AE2">
        <w:rPr>
          <w:rFonts w:cs="Times New Roman"/>
        </w:rPr>
        <w:t xml:space="preserve">, 2005 BCSC 1377, at paras. 28-36 (CanLII); </w:t>
      </w:r>
      <w:r w:rsidRPr="00A25AE2">
        <w:rPr>
          <w:rFonts w:cs="Times New Roman"/>
          <w:i/>
        </w:rPr>
        <w:t>R. v. Ambrosi</w:t>
      </w:r>
      <w:r w:rsidRPr="00A25AE2">
        <w:rPr>
          <w:rFonts w:cs="Times New Roman"/>
        </w:rPr>
        <w:t>,</w:t>
      </w:r>
      <w:r w:rsidRPr="00A25AE2">
        <w:rPr>
          <w:rFonts w:cs="Times New Roman"/>
          <w:i/>
        </w:rPr>
        <w:t xml:space="preserve"> </w:t>
      </w:r>
      <w:r w:rsidRPr="00A25AE2">
        <w:rPr>
          <w:rFonts w:cs="Times New Roman"/>
        </w:rPr>
        <w:t xml:space="preserve">2012 BCSC 409, at paras. 31-32 (CanLII); </w:t>
      </w:r>
      <w:r w:rsidRPr="00A25AE2">
        <w:rPr>
          <w:rFonts w:cs="Times New Roman"/>
          <w:i/>
        </w:rPr>
        <w:t>R. v. 0721464 B.C. Ltd.</w:t>
      </w:r>
      <w:r w:rsidRPr="00A25AE2">
        <w:rPr>
          <w:rFonts w:cs="Times New Roman"/>
        </w:rPr>
        <w:t>,</w:t>
      </w:r>
      <w:r w:rsidRPr="00A25AE2">
        <w:rPr>
          <w:rFonts w:cs="Times New Roman"/>
          <w:i/>
        </w:rPr>
        <w:t xml:space="preserve"> </w:t>
      </w:r>
      <w:r w:rsidRPr="00A25AE2">
        <w:rPr>
          <w:rFonts w:cs="Times New Roman"/>
        </w:rPr>
        <w:t xml:space="preserve">2011 BCPC 90, at paras. 20-27 (CanLII)). Therefore, it is only where the </w:t>
      </w:r>
      <w:r w:rsidRPr="00A25AE2">
        <w:rPr>
          <w:rFonts w:cs="Times New Roman"/>
          <w:i/>
        </w:rPr>
        <w:t xml:space="preserve">Offence Act </w:t>
      </w:r>
      <w:r w:rsidRPr="00A25AE2">
        <w:rPr>
          <w:rFonts w:cs="Times New Roman"/>
        </w:rPr>
        <w:t xml:space="preserve">or the particularized legislation creating the offence </w:t>
      </w:r>
      <w:r w:rsidRPr="00A25AE2">
        <w:rPr>
          <w:rFonts w:cs="Times New Roman"/>
          <w:u w:val="single"/>
        </w:rPr>
        <w:t>fully provides</w:t>
      </w:r>
      <w:r w:rsidRPr="00A25AE2">
        <w:rPr>
          <w:rFonts w:cs="Times New Roman"/>
        </w:rPr>
        <w:t xml:space="preserve"> for a matter that incorporation of </w:t>
      </w:r>
      <w:r w:rsidRPr="00A25AE2">
        <w:rPr>
          <w:rFonts w:cs="Times New Roman"/>
          <w:i/>
        </w:rPr>
        <w:t xml:space="preserve">Criminal Code </w:t>
      </w:r>
      <w:r w:rsidRPr="00A25AE2">
        <w:rPr>
          <w:rFonts w:cs="Times New Roman"/>
        </w:rPr>
        <w:t>provisions is precluded.</w:t>
      </w:r>
    </w:p>
    <w:p w:rsidR="00C526E4" w:rsidRPr="00A25AE2" w:rsidRDefault="00C526E4" w:rsidP="00C526E4">
      <w:pPr>
        <w:pStyle w:val="ParaNoNdepar-AltN"/>
        <w:rPr>
          <w:rFonts w:cs="Times New Roman"/>
        </w:rPr>
      </w:pPr>
      <w:r w:rsidRPr="00A25AE2">
        <w:rPr>
          <w:rFonts w:cs="Times New Roman"/>
        </w:rPr>
        <w:t xml:space="preserve">Contrary to the Attorney General’s suggestion that the words “and so far as applicable” indicate that </w:t>
      </w:r>
      <w:r w:rsidRPr="00A25AE2">
        <w:rPr>
          <w:rFonts w:cs="Times New Roman"/>
          <w:i/>
        </w:rPr>
        <w:t xml:space="preserve">Criminal Code </w:t>
      </w:r>
      <w:r w:rsidRPr="00A25AE2">
        <w:rPr>
          <w:rFonts w:cs="Times New Roman"/>
        </w:rPr>
        <w:t xml:space="preserve">provisions must be incorporated around other valid law (such as the </w:t>
      </w:r>
      <w:r w:rsidRPr="00A25AE2">
        <w:rPr>
          <w:rFonts w:cs="Times New Roman"/>
          <w:i/>
        </w:rPr>
        <w:t>1731 Act</w:t>
      </w:r>
      <w:r w:rsidRPr="00A25AE2">
        <w:rPr>
          <w:rFonts w:cs="Times New Roman"/>
        </w:rPr>
        <w:t xml:space="preserve">), the ordinary meaning of the phrase “with the necessary changes and so far as applicable” is that the incorporated provisions will be adapted to fit the </w:t>
      </w:r>
      <w:r w:rsidRPr="00A25AE2">
        <w:rPr>
          <w:rFonts w:cs="Times New Roman"/>
          <w:i/>
        </w:rPr>
        <w:t xml:space="preserve">Offence Act </w:t>
      </w:r>
      <w:r w:rsidRPr="00A25AE2">
        <w:rPr>
          <w:rFonts w:cs="Times New Roman"/>
        </w:rPr>
        <w:t>context</w:t>
      </w:r>
      <w:r w:rsidRPr="00A25AE2">
        <w:rPr>
          <w:rFonts w:cs="Times New Roman"/>
          <w:i/>
        </w:rPr>
        <w:t>.</w:t>
      </w:r>
      <w:r w:rsidRPr="00A25AE2">
        <w:rPr>
          <w:rFonts w:cs="Times New Roman"/>
        </w:rPr>
        <w:t xml:space="preserve"> As above, the comparison between the previous and current versions of this provision supports this interpretation: </w:t>
      </w:r>
    </w:p>
    <w:p w:rsidR="00C526E4" w:rsidRPr="00A25AE2" w:rsidRDefault="00C526E4" w:rsidP="00C526E4">
      <w:pPr>
        <w:pStyle w:val="Citation-AltC"/>
        <w:ind w:firstLine="274"/>
      </w:pPr>
      <w:r w:rsidRPr="00A25AE2">
        <w:t xml:space="preserve">Where, in any proceeding, matter, or thing to which this Act applies, express provision has not been made in this Act or only partial provision has been made, the provisions of the </w:t>
      </w:r>
      <w:r w:rsidRPr="00A25AE2">
        <w:rPr>
          <w:i/>
        </w:rPr>
        <w:t>Criminal Code</w:t>
      </w:r>
      <w:r w:rsidRPr="00A25AE2">
        <w:t xml:space="preserve"> relating to offences punishable upon summary conviction apply, </w:t>
      </w:r>
      <w:r w:rsidRPr="00A25AE2">
        <w:rPr>
          <w:u w:val="single"/>
        </w:rPr>
        <w:t>mutatis mutandis</w:t>
      </w:r>
      <w:r w:rsidRPr="00A25AE2">
        <w:t>, as if the provisions thereof were enacted in and formed part of this Act.</w:t>
      </w:r>
    </w:p>
    <w:p w:rsidR="00C526E4" w:rsidRPr="00A25AE2" w:rsidRDefault="00C526E4" w:rsidP="00C526E4">
      <w:pPr>
        <w:pStyle w:val="Citation-AltC"/>
        <w:ind w:firstLine="274"/>
      </w:pPr>
    </w:p>
    <w:p w:rsidR="00C526E4" w:rsidRPr="00A25AE2" w:rsidRDefault="00C526E4" w:rsidP="00286C84">
      <w:pPr>
        <w:pStyle w:val="Citation-AltC"/>
        <w:ind w:left="0"/>
        <w:contextualSpacing w:val="0"/>
      </w:pPr>
      <w:r w:rsidRPr="00A25AE2">
        <w:t>(</w:t>
      </w:r>
      <w:r w:rsidRPr="00A25AE2">
        <w:rPr>
          <w:i/>
        </w:rPr>
        <w:t>Summary Convictions Act</w:t>
      </w:r>
      <w:r w:rsidRPr="00A25AE2">
        <w:t>, 1960, s. 101)</w:t>
      </w:r>
    </w:p>
    <w:p w:rsidR="00C526E4" w:rsidRPr="00A25AE2" w:rsidRDefault="00C526E4" w:rsidP="00C526E4">
      <w:pPr>
        <w:pStyle w:val="Citation-AltC"/>
        <w:ind w:firstLine="4"/>
      </w:pPr>
    </w:p>
    <w:p w:rsidR="00C526E4" w:rsidRPr="00A25AE2" w:rsidRDefault="00C526E4" w:rsidP="00C526E4">
      <w:pPr>
        <w:pStyle w:val="Citation-AltC"/>
        <w:ind w:firstLine="4"/>
        <w:rPr>
          <w:lang w:val="en-US"/>
        </w:rPr>
      </w:pPr>
      <w:r w:rsidRPr="00A25AE2">
        <w:rPr>
          <w:lang w:val="en-US"/>
        </w:rPr>
        <w:t xml:space="preserve">If, in any proceeding, matter or thing to which this Act applies, express provision has not been made in this Act or only partial provision has been made, the provisions of the </w:t>
      </w:r>
      <w:r w:rsidRPr="00A25AE2">
        <w:rPr>
          <w:i/>
          <w:iCs/>
          <w:lang w:val="en-US"/>
        </w:rPr>
        <w:t xml:space="preserve">Criminal Code </w:t>
      </w:r>
      <w:r w:rsidRPr="00A25AE2">
        <w:rPr>
          <w:lang w:val="en-US"/>
        </w:rPr>
        <w:t xml:space="preserve">relating to offences punishable on summary conviction apply, </w:t>
      </w:r>
      <w:r w:rsidRPr="00A25AE2">
        <w:rPr>
          <w:u w:val="single"/>
          <w:lang w:val="en-US"/>
        </w:rPr>
        <w:t>with the necessary changes and so far as applicable</w:t>
      </w:r>
      <w:r w:rsidRPr="00A25AE2">
        <w:rPr>
          <w:lang w:val="en-US"/>
        </w:rPr>
        <w:t>, as if its provisions were enacted in and formed part of this Act.</w:t>
      </w:r>
    </w:p>
    <w:p w:rsidR="00C526E4" w:rsidRPr="00A25AE2" w:rsidRDefault="00C526E4" w:rsidP="00C526E4">
      <w:pPr>
        <w:pStyle w:val="Citation-AltC"/>
        <w:ind w:firstLine="4"/>
        <w:rPr>
          <w:lang w:val="en-US"/>
        </w:rPr>
      </w:pPr>
    </w:p>
    <w:p w:rsidR="00C526E4" w:rsidRPr="00A25AE2" w:rsidRDefault="00C526E4" w:rsidP="00D16C87">
      <w:pPr>
        <w:pStyle w:val="Citation-AltC"/>
        <w:ind w:left="0" w:firstLine="4"/>
      </w:pPr>
      <w:r w:rsidRPr="00A25AE2">
        <w:rPr>
          <w:lang w:val="en-US"/>
        </w:rPr>
        <w:t>(</w:t>
      </w:r>
      <w:r w:rsidRPr="00A25AE2">
        <w:rPr>
          <w:i/>
          <w:lang w:val="en-US"/>
        </w:rPr>
        <w:t>Offence Act</w:t>
      </w:r>
      <w:r w:rsidRPr="00A25AE2">
        <w:rPr>
          <w:lang w:val="en-US"/>
        </w:rPr>
        <w:t>, s. 133)</w:t>
      </w:r>
    </w:p>
    <w:p w:rsidR="00C526E4" w:rsidRPr="00A25AE2" w:rsidRDefault="00C526E4" w:rsidP="00C526E4">
      <w:pPr>
        <w:pStyle w:val="ParaNoNdepar-AltN"/>
        <w:spacing w:before="0"/>
        <w:rPr>
          <w:rFonts w:cs="Times New Roman"/>
        </w:rPr>
      </w:pPr>
      <w:r w:rsidRPr="00A25AE2">
        <w:rPr>
          <w:rFonts w:cs="Times New Roman"/>
        </w:rPr>
        <w:t xml:space="preserve">This comparison demonstrates that “with the necessary changes and so far as applicable” is merely a re-wording of “mutatis mutandis.” This Latin expression means “[w]ith the necessary changes </w:t>
      </w:r>
      <w:r w:rsidRPr="00A25AE2">
        <w:rPr>
          <w:rFonts w:cs="Times New Roman"/>
          <w:u w:val="single"/>
        </w:rPr>
        <w:t>in points of detail</w:t>
      </w:r>
      <w:r w:rsidRPr="00A25AE2">
        <w:rPr>
          <w:rFonts w:cs="Times New Roman"/>
        </w:rPr>
        <w:t>, meaning that matters or things are generally the same, but to be altered when necessary, as to names, offices, and the like” (</w:t>
      </w:r>
      <w:r w:rsidRPr="00A25AE2">
        <w:rPr>
          <w:rFonts w:cs="Times New Roman"/>
          <w:i/>
        </w:rPr>
        <w:t>Black’s Law Dictionary</w:t>
      </w:r>
      <w:r w:rsidRPr="00A25AE2">
        <w:rPr>
          <w:rFonts w:cs="Times New Roman"/>
        </w:rPr>
        <w:t xml:space="preserve"> (6th ed. 1990), at p. 1019; see also the British Columbia </w:t>
      </w:r>
      <w:r w:rsidRPr="00A25AE2">
        <w:rPr>
          <w:rFonts w:cs="Times New Roman"/>
          <w:i/>
        </w:rPr>
        <w:t>Interpretation Act</w:t>
      </w:r>
      <w:r w:rsidRPr="00A25AE2">
        <w:rPr>
          <w:rFonts w:cs="Times New Roman"/>
        </w:rPr>
        <w:t>,</w:t>
      </w:r>
      <w:r w:rsidRPr="00A25AE2">
        <w:rPr>
          <w:rFonts w:cs="Times New Roman"/>
          <w:i/>
        </w:rPr>
        <w:t xml:space="preserve"> </w:t>
      </w:r>
      <w:r w:rsidRPr="00A25AE2">
        <w:rPr>
          <w:rFonts w:cs="Times New Roman"/>
        </w:rPr>
        <w:t xml:space="preserve">s. 44 (“mutatis mutandis”) and </w:t>
      </w:r>
      <w:r w:rsidRPr="00A25AE2">
        <w:rPr>
          <w:rFonts w:cs="Times New Roman"/>
          <w:i/>
        </w:rPr>
        <w:t xml:space="preserve">Samograd v. Collison </w:t>
      </w:r>
      <w:r w:rsidRPr="00A25AE2">
        <w:rPr>
          <w:rFonts w:cs="Times New Roman"/>
        </w:rPr>
        <w:t xml:space="preserve">(1995), 17 B.C.L.R. (3d) 51 (C.A.)). “[W]ith the necessary changes and so far as applicable” therefore cannot be stretched to mean “to the extent that another source of law does not contradict the </w:t>
      </w:r>
      <w:r w:rsidRPr="00A25AE2">
        <w:rPr>
          <w:rFonts w:cs="Times New Roman"/>
          <w:i/>
        </w:rPr>
        <w:t>Criminal Code</w:t>
      </w:r>
      <w:r w:rsidRPr="00A25AE2">
        <w:rPr>
          <w:rFonts w:cs="Times New Roman"/>
        </w:rPr>
        <w:t>”.</w:t>
      </w:r>
    </w:p>
    <w:p w:rsidR="00C526E4" w:rsidRPr="00A25AE2" w:rsidRDefault="00C526E4" w:rsidP="00C526E4">
      <w:pPr>
        <w:pStyle w:val="ParaNoNdepar-AltN"/>
        <w:rPr>
          <w:rFonts w:cs="Times New Roman"/>
        </w:rPr>
      </w:pPr>
      <w:r w:rsidRPr="00A25AE2">
        <w:rPr>
          <w:rFonts w:cs="Times New Roman"/>
        </w:rPr>
        <w:t xml:space="preserve">Further, as with s. 3(1), the Attorney General’s proposed interpretation of s. 133 creates illogical consequences. The Attorney General’s approach invites the court applying s. 133 to search for other applicable legislation, including imperial legislation received into British Columbia law, before looking to the </w:t>
      </w:r>
      <w:r w:rsidRPr="00A25AE2">
        <w:rPr>
          <w:rFonts w:cs="Times New Roman"/>
          <w:i/>
        </w:rPr>
        <w:t>Criminal Code</w:t>
      </w:r>
      <w:r w:rsidRPr="00A25AE2">
        <w:rPr>
          <w:rFonts w:cs="Times New Roman"/>
        </w:rPr>
        <w:t xml:space="preserve">. Respectfully, this flies in the face of the plain wording and purpose of s. 133, as well as the overall scheme of the Act. </w:t>
      </w:r>
    </w:p>
    <w:p w:rsidR="00C526E4" w:rsidRPr="00A25AE2" w:rsidRDefault="00C526E4" w:rsidP="00C526E4">
      <w:pPr>
        <w:pStyle w:val="ParaNoNdepar-AltN"/>
        <w:rPr>
          <w:rFonts w:cs="Times New Roman"/>
        </w:rPr>
      </w:pPr>
      <w:r w:rsidRPr="00A25AE2">
        <w:rPr>
          <w:rFonts w:cs="Times New Roman"/>
        </w:rPr>
        <w:t xml:space="preserve">Following the Attorney General’s logic, this Court would have erred in </w:t>
      </w:r>
      <w:r w:rsidRPr="00A25AE2">
        <w:rPr>
          <w:rFonts w:cs="Times New Roman"/>
          <w:i/>
        </w:rPr>
        <w:t xml:space="preserve">Moore </w:t>
      </w:r>
      <w:r w:rsidRPr="00A25AE2">
        <w:rPr>
          <w:rFonts w:cs="Times New Roman"/>
        </w:rPr>
        <w:t xml:space="preserve">by considering for incorporation through s. 101 of the </w:t>
      </w:r>
      <w:r w:rsidRPr="00A25AE2">
        <w:rPr>
          <w:rFonts w:cs="Times New Roman"/>
          <w:i/>
        </w:rPr>
        <w:t>Summary Convictions Act</w:t>
      </w:r>
      <w:r w:rsidRPr="00A25AE2">
        <w:rPr>
          <w:rFonts w:cs="Times New Roman"/>
        </w:rPr>
        <w:t>, 1960</w:t>
      </w:r>
      <w:r w:rsidRPr="00A25AE2">
        <w:rPr>
          <w:rFonts w:cs="Times New Roman"/>
          <w:i/>
        </w:rPr>
        <w:t xml:space="preserve"> </w:t>
      </w:r>
      <w:r w:rsidRPr="00A25AE2">
        <w:rPr>
          <w:rFonts w:cs="Times New Roman"/>
        </w:rPr>
        <w:t xml:space="preserve">(now s. 133 of the </w:t>
      </w:r>
      <w:r w:rsidRPr="00A25AE2">
        <w:rPr>
          <w:rFonts w:cs="Times New Roman"/>
          <w:i/>
        </w:rPr>
        <w:t>Offence Act</w:t>
      </w:r>
      <w:r w:rsidRPr="00A25AE2">
        <w:rPr>
          <w:rFonts w:cs="Times New Roman"/>
        </w:rPr>
        <w:t xml:space="preserve">) an arrest power contained in s. 450(2) of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 xml:space="preserve">before and instead of looking for English laws on constabulary powers in place in 1858 which might have been applicable. To illustrate the implications of the Attorney General’s position, it is worth noting that the parties and the Court would have had to study, in priority to the </w:t>
      </w:r>
      <w:r w:rsidRPr="00A25AE2">
        <w:rPr>
          <w:rFonts w:cs="Times New Roman"/>
          <w:i/>
        </w:rPr>
        <w:t>Criminal Code</w:t>
      </w:r>
      <w:r w:rsidRPr="00A25AE2">
        <w:rPr>
          <w:rFonts w:cs="Times New Roman"/>
        </w:rPr>
        <w:t xml:space="preserve">, English laws such as: </w:t>
      </w:r>
      <w:r w:rsidRPr="00A25AE2">
        <w:rPr>
          <w:rFonts w:cs="Times New Roman"/>
          <w:i/>
        </w:rPr>
        <w:t>An Act to provide for the Regulation of Municipal Corporations in England and Wales</w:t>
      </w:r>
      <w:r w:rsidRPr="00A25AE2">
        <w:rPr>
          <w:rFonts w:cs="Times New Roman"/>
        </w:rPr>
        <w:t xml:space="preserve"> (U.K.),</w:t>
      </w:r>
      <w:r w:rsidRPr="00A25AE2">
        <w:rPr>
          <w:rFonts w:cs="Times New Roman"/>
          <w:i/>
        </w:rPr>
        <w:t xml:space="preserve"> </w:t>
      </w:r>
      <w:r w:rsidR="003936F1">
        <w:rPr>
          <w:rFonts w:cs="Times New Roman"/>
        </w:rPr>
        <w:t>1835</w:t>
      </w:r>
      <w:r w:rsidRPr="00A25AE2">
        <w:rPr>
          <w:rFonts w:cs="Times New Roman"/>
        </w:rPr>
        <w:t xml:space="preserve">, 5 &amp; 6 Will IV, c. 76; </w:t>
      </w:r>
      <w:r w:rsidRPr="00A25AE2">
        <w:rPr>
          <w:rFonts w:cs="Times New Roman"/>
          <w:i/>
        </w:rPr>
        <w:t>An Act for further improving the Police in and near the Metropolis</w:t>
      </w:r>
      <w:r w:rsidRPr="00A25AE2">
        <w:rPr>
          <w:rFonts w:cs="Times New Roman"/>
        </w:rPr>
        <w:t xml:space="preserve"> (U.K.),</w:t>
      </w:r>
      <w:r w:rsidRPr="00A25AE2">
        <w:rPr>
          <w:rFonts w:cs="Times New Roman"/>
          <w:i/>
        </w:rPr>
        <w:t xml:space="preserve"> </w:t>
      </w:r>
      <w:r w:rsidR="003936F1">
        <w:rPr>
          <w:rFonts w:cs="Times New Roman"/>
        </w:rPr>
        <w:t>1839</w:t>
      </w:r>
      <w:r w:rsidRPr="00A25AE2">
        <w:rPr>
          <w:rFonts w:cs="Times New Roman"/>
        </w:rPr>
        <w:t xml:space="preserve">, 2 &amp; 3 Vict., c. 47; </w:t>
      </w:r>
      <w:r w:rsidRPr="00A25AE2">
        <w:rPr>
          <w:rFonts w:cs="Times New Roman"/>
          <w:i/>
        </w:rPr>
        <w:t>An Act for the Establishment of County and District Constables by the Authority of Justices of the Peace</w:t>
      </w:r>
      <w:r w:rsidRPr="00A25AE2">
        <w:rPr>
          <w:rFonts w:cs="Times New Roman"/>
        </w:rPr>
        <w:t xml:space="preserve"> (U.K.)</w:t>
      </w:r>
      <w:r w:rsidR="00D650C2">
        <w:rPr>
          <w:rFonts w:cs="Times New Roman"/>
        </w:rPr>
        <w:t>,</w:t>
      </w:r>
      <w:r w:rsidR="003936F1">
        <w:rPr>
          <w:rFonts w:cs="Times New Roman"/>
        </w:rPr>
        <w:t xml:space="preserve"> 1839</w:t>
      </w:r>
      <w:r w:rsidRPr="00A25AE2">
        <w:rPr>
          <w:rFonts w:cs="Times New Roman"/>
        </w:rPr>
        <w:t xml:space="preserve">, 2 &amp; 3 Vict., c. 93; </w:t>
      </w:r>
      <w:r w:rsidRPr="00A25AE2">
        <w:rPr>
          <w:rFonts w:cs="Times New Roman"/>
          <w:i/>
        </w:rPr>
        <w:t xml:space="preserve">An Act to amend the Act for the Establishment of County and District Constables </w:t>
      </w:r>
      <w:r w:rsidRPr="00A25AE2">
        <w:rPr>
          <w:rFonts w:cs="Times New Roman"/>
        </w:rPr>
        <w:t>(U.K.),</w:t>
      </w:r>
      <w:r w:rsidRPr="00A25AE2">
        <w:rPr>
          <w:rFonts w:cs="Times New Roman"/>
          <w:i/>
        </w:rPr>
        <w:t xml:space="preserve"> </w:t>
      </w:r>
      <w:r w:rsidR="003936F1">
        <w:rPr>
          <w:rFonts w:cs="Times New Roman"/>
        </w:rPr>
        <w:t>1840</w:t>
      </w:r>
      <w:r w:rsidRPr="00A25AE2">
        <w:rPr>
          <w:rFonts w:cs="Times New Roman"/>
        </w:rPr>
        <w:t xml:space="preserve">, 3 &amp; 4 Vict., c. 88; </w:t>
      </w:r>
      <w:r w:rsidRPr="00A25AE2">
        <w:rPr>
          <w:rFonts w:cs="Times New Roman"/>
          <w:i/>
        </w:rPr>
        <w:t>An Act for consolidating in One Act certain Provisions usually contained in Acts for regulating the Police of</w:t>
      </w:r>
      <w:r w:rsidRPr="00A25AE2">
        <w:rPr>
          <w:rFonts w:cs="Times New Roman"/>
        </w:rPr>
        <w:t xml:space="preserve"> </w:t>
      </w:r>
      <w:r w:rsidRPr="00A25AE2">
        <w:rPr>
          <w:rFonts w:cs="Times New Roman"/>
          <w:i/>
        </w:rPr>
        <w:t>Towns</w:t>
      </w:r>
      <w:r w:rsidRPr="00A25AE2">
        <w:rPr>
          <w:rFonts w:cs="Times New Roman"/>
        </w:rPr>
        <w:t xml:space="preserve"> (U.K.), </w:t>
      </w:r>
      <w:r w:rsidR="006729D1">
        <w:rPr>
          <w:rFonts w:cs="Times New Roman"/>
        </w:rPr>
        <w:t>18</w:t>
      </w:r>
      <w:r w:rsidRPr="00A25AE2">
        <w:rPr>
          <w:rFonts w:cs="Times New Roman"/>
        </w:rPr>
        <w:t xml:space="preserve">47, 10 &amp; 11 Vict., c. 89; </w:t>
      </w:r>
      <w:r w:rsidRPr="00A25AE2">
        <w:rPr>
          <w:rFonts w:cs="Times New Roman"/>
          <w:i/>
        </w:rPr>
        <w:t xml:space="preserve">An Act to amend the Acts relating to the Metropolitan Police </w:t>
      </w:r>
      <w:r w:rsidRPr="00A25AE2">
        <w:rPr>
          <w:rFonts w:cs="Times New Roman"/>
        </w:rPr>
        <w:t xml:space="preserve">(U.K.), </w:t>
      </w:r>
      <w:r w:rsidR="003936F1">
        <w:rPr>
          <w:rFonts w:cs="Times New Roman"/>
        </w:rPr>
        <w:t>1856</w:t>
      </w:r>
      <w:r w:rsidRPr="00A25AE2">
        <w:rPr>
          <w:rFonts w:cs="Times New Roman"/>
        </w:rPr>
        <w:t xml:space="preserve">, 19 Vict., c. 2; and </w:t>
      </w:r>
      <w:r w:rsidRPr="00A25AE2">
        <w:rPr>
          <w:rFonts w:cs="Times New Roman"/>
          <w:i/>
        </w:rPr>
        <w:t xml:space="preserve">An Act to render more effectual the Police in Counties and Boroughs in England and Wales </w:t>
      </w:r>
      <w:r w:rsidR="003936F1">
        <w:rPr>
          <w:rFonts w:cs="Times New Roman"/>
        </w:rPr>
        <w:t>(U.K.), 1856</w:t>
      </w:r>
      <w:r w:rsidRPr="00A25AE2">
        <w:rPr>
          <w:rFonts w:cs="Times New Roman"/>
        </w:rPr>
        <w:t xml:space="preserve">, 19 &amp; 20 Vict., c. 69. </w:t>
      </w:r>
    </w:p>
    <w:p w:rsidR="00C526E4" w:rsidRPr="00A25AE2" w:rsidRDefault="00C526E4" w:rsidP="00C526E4">
      <w:pPr>
        <w:pStyle w:val="ParaNoNdepar-AltN"/>
        <w:rPr>
          <w:rFonts w:cs="Times New Roman"/>
        </w:rPr>
      </w:pPr>
      <w:r w:rsidRPr="00A25AE2">
        <w:rPr>
          <w:rFonts w:cs="Times New Roman"/>
        </w:rPr>
        <w:t xml:space="preserve">Similarly, the Attorney General’s position implies that in </w:t>
      </w:r>
      <w:r w:rsidRPr="00A25AE2">
        <w:rPr>
          <w:rFonts w:cs="Times New Roman"/>
          <w:i/>
        </w:rPr>
        <w:t xml:space="preserve">Application to Destroy the Dog </w:t>
      </w:r>
      <w:r w:rsidR="00D16C87">
        <w:rPr>
          <w:rFonts w:cs="Times New Roman"/>
          <w:i/>
        </w:rPr>
        <w:t>“</w:t>
      </w:r>
      <w:r w:rsidRPr="00A25AE2">
        <w:rPr>
          <w:rFonts w:cs="Times New Roman"/>
          <w:i/>
        </w:rPr>
        <w:t>Tuppence</w:t>
      </w:r>
      <w:r w:rsidR="00D16C87">
        <w:rPr>
          <w:rFonts w:cs="Times New Roman"/>
          <w:i/>
        </w:rPr>
        <w:t>”</w:t>
      </w:r>
      <w:r w:rsidRPr="00A25AE2">
        <w:rPr>
          <w:rFonts w:cs="Times New Roman"/>
        </w:rPr>
        <w:t>,</w:t>
      </w:r>
      <w:r w:rsidRPr="00A25AE2">
        <w:rPr>
          <w:rFonts w:cs="Times New Roman"/>
          <w:i/>
        </w:rPr>
        <w:t xml:space="preserve"> </w:t>
      </w:r>
      <w:r w:rsidRPr="00A25AE2">
        <w:rPr>
          <w:rFonts w:cs="Times New Roman"/>
        </w:rPr>
        <w:t>2004 BCPC 27, at paras. 46-47 (CanLII), the court should have looked to the English</w:t>
      </w:r>
      <w:r w:rsidRPr="00A25AE2">
        <w:rPr>
          <w:rFonts w:cs="Times New Roman"/>
          <w:i/>
        </w:rPr>
        <w:t xml:space="preserve"> Justices of the Peace Act </w:t>
      </w:r>
      <w:r w:rsidR="009B7DF6">
        <w:rPr>
          <w:rFonts w:cs="Times New Roman"/>
          <w:i/>
        </w:rPr>
        <w:t xml:space="preserve">1361 </w:t>
      </w:r>
      <w:r w:rsidR="001E73C7">
        <w:rPr>
          <w:rFonts w:cs="Times New Roman"/>
        </w:rPr>
        <w:t>(Eng</w:t>
      </w:r>
      <w:r w:rsidRPr="00A25AE2">
        <w:rPr>
          <w:rFonts w:cs="Times New Roman"/>
        </w:rPr>
        <w:t>.)</w:t>
      </w:r>
      <w:r w:rsidR="00D650C2">
        <w:rPr>
          <w:rFonts w:cs="Times New Roman"/>
        </w:rPr>
        <w:t>,</w:t>
      </w:r>
      <w:r w:rsidR="003936F1">
        <w:rPr>
          <w:rFonts w:cs="Times New Roman"/>
        </w:rPr>
        <w:t xml:space="preserve"> 1361</w:t>
      </w:r>
      <w:r w:rsidRPr="00A25AE2">
        <w:rPr>
          <w:rFonts w:cs="Times New Roman"/>
        </w:rPr>
        <w:t>,</w:t>
      </w:r>
      <w:r w:rsidRPr="00A25AE2">
        <w:rPr>
          <w:rFonts w:cs="Times New Roman"/>
          <w:i/>
        </w:rPr>
        <w:t xml:space="preserve"> </w:t>
      </w:r>
      <w:r w:rsidRPr="00A25AE2">
        <w:rPr>
          <w:rFonts w:cs="Times New Roman"/>
        </w:rPr>
        <w:t xml:space="preserve">34 Edw. 3, c. 1, instead of s. 810 of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 xml:space="preserve">contrary to the express instruction set out in s. 133. </w:t>
      </w:r>
    </w:p>
    <w:p w:rsidR="00C526E4" w:rsidRPr="00A25AE2" w:rsidRDefault="00C526E4" w:rsidP="00C526E4">
      <w:pPr>
        <w:pStyle w:val="ParaNoNdepar-AltN"/>
        <w:rPr>
          <w:rFonts w:cs="Times New Roman"/>
        </w:rPr>
      </w:pPr>
      <w:r w:rsidRPr="00A25AE2">
        <w:rPr>
          <w:rFonts w:cs="Times New Roman"/>
        </w:rPr>
        <w:t xml:space="preserve">Finally, we would reject the Attorney General’s submission that s. 133 cannot incorporate s. 530 of the </w:t>
      </w:r>
      <w:r w:rsidRPr="00A25AE2">
        <w:rPr>
          <w:rFonts w:cs="Times New Roman"/>
          <w:i/>
        </w:rPr>
        <w:t xml:space="preserve">Criminal Code </w:t>
      </w:r>
      <w:r w:rsidRPr="00A25AE2">
        <w:rPr>
          <w:rFonts w:cs="Times New Roman"/>
        </w:rPr>
        <w:t xml:space="preserve">because language rights are substantive in nature and the focus of s. 133 is the incorporation of missing </w:t>
      </w:r>
      <w:r w:rsidRPr="00A25AE2">
        <w:rPr>
          <w:rFonts w:cs="Times New Roman"/>
          <w:i/>
        </w:rPr>
        <w:t xml:space="preserve">procedural </w:t>
      </w:r>
      <w:r w:rsidRPr="00A25AE2">
        <w:rPr>
          <w:rFonts w:cs="Times New Roman"/>
        </w:rPr>
        <w:t xml:space="preserve">sections. As set out above, the language of s. 133 provides for a generous incorporation of certain provisions of the </w:t>
      </w:r>
      <w:r w:rsidRPr="00A25AE2">
        <w:rPr>
          <w:rFonts w:cs="Times New Roman"/>
          <w:i/>
        </w:rPr>
        <w:t>Criminal Code</w:t>
      </w:r>
      <w:r w:rsidRPr="00A25AE2">
        <w:rPr>
          <w:rFonts w:cs="Times New Roman"/>
        </w:rPr>
        <w:t xml:space="preserve">. That language does not support creating a distinction between substantive and procedural sections of the </w:t>
      </w:r>
      <w:r w:rsidRPr="00A25AE2">
        <w:rPr>
          <w:rFonts w:cs="Times New Roman"/>
          <w:i/>
        </w:rPr>
        <w:t>Criminal</w:t>
      </w:r>
      <w:r w:rsidRPr="00A25AE2">
        <w:rPr>
          <w:rFonts w:cs="Times New Roman"/>
        </w:rPr>
        <w:t xml:space="preserve"> </w:t>
      </w:r>
      <w:r w:rsidRPr="00A25AE2">
        <w:rPr>
          <w:rFonts w:cs="Times New Roman"/>
          <w:i/>
        </w:rPr>
        <w:t xml:space="preserve">Code. </w:t>
      </w:r>
      <w:r w:rsidRPr="00A25AE2">
        <w:rPr>
          <w:rFonts w:cs="Times New Roman"/>
        </w:rPr>
        <w:t xml:space="preserve">Moreover, s. 133 has previously been held to incorporate substantive provisions (see </w:t>
      </w:r>
      <w:r w:rsidRPr="00A25AE2">
        <w:rPr>
          <w:rFonts w:cs="Times New Roman"/>
          <w:i/>
        </w:rPr>
        <w:t>Moore</w:t>
      </w:r>
      <w:r w:rsidRPr="00A25AE2">
        <w:rPr>
          <w:rFonts w:cs="Times New Roman"/>
        </w:rPr>
        <w:t xml:space="preserve">; </w:t>
      </w:r>
      <w:r w:rsidRPr="00A25AE2">
        <w:rPr>
          <w:rFonts w:cs="Times New Roman"/>
          <w:i/>
        </w:rPr>
        <w:t>Little v. Peers</w:t>
      </w:r>
      <w:r w:rsidRPr="00A25AE2">
        <w:rPr>
          <w:rFonts w:cs="Times New Roman"/>
        </w:rPr>
        <w:t xml:space="preserve"> (1988),</w:t>
      </w:r>
      <w:r w:rsidRPr="00A25AE2">
        <w:rPr>
          <w:rFonts w:cs="Times New Roman"/>
          <w:i/>
        </w:rPr>
        <w:t xml:space="preserve"> </w:t>
      </w:r>
      <w:r w:rsidRPr="00A25AE2">
        <w:rPr>
          <w:rFonts w:cs="Times New Roman"/>
        </w:rPr>
        <w:t xml:space="preserve">22 B.C.L.R. (2d) 224 (C.A.); </w:t>
      </w:r>
      <w:r w:rsidRPr="00A25AE2">
        <w:rPr>
          <w:rFonts w:cs="Times New Roman"/>
          <w:i/>
        </w:rPr>
        <w:t>R. v. Singh</w:t>
      </w:r>
      <w:r w:rsidRPr="00A25AE2">
        <w:rPr>
          <w:rFonts w:cs="Times New Roman"/>
        </w:rPr>
        <w:t>,</w:t>
      </w:r>
      <w:r w:rsidRPr="00A25AE2">
        <w:rPr>
          <w:rFonts w:cs="Times New Roman"/>
          <w:i/>
        </w:rPr>
        <w:t xml:space="preserve"> </w:t>
      </w:r>
      <w:r w:rsidRPr="00A25AE2">
        <w:rPr>
          <w:rFonts w:cs="Times New Roman"/>
        </w:rPr>
        <w:t>2001 BCCA 79, 149 B.C.A.C. 215).</w:t>
      </w:r>
    </w:p>
    <w:p w:rsidR="00C526E4" w:rsidRPr="00A25AE2" w:rsidRDefault="00C526E4" w:rsidP="00C526E4">
      <w:pPr>
        <w:pStyle w:val="ParaNoNdepar-AltN"/>
        <w:rPr>
          <w:rFonts w:cs="Times New Roman"/>
        </w:rPr>
      </w:pPr>
      <w:r w:rsidRPr="00A25AE2">
        <w:rPr>
          <w:rFonts w:cs="Times New Roman"/>
        </w:rPr>
        <w:t xml:space="preserve">In light of the foregoing, there can be no doubt that s. 133 of the </w:t>
      </w:r>
      <w:r w:rsidRPr="00A25AE2">
        <w:rPr>
          <w:rFonts w:cs="Times New Roman"/>
          <w:i/>
        </w:rPr>
        <w:t xml:space="preserve">Offence Act </w:t>
      </w:r>
      <w:r w:rsidRPr="00A25AE2">
        <w:rPr>
          <w:rFonts w:cs="Times New Roman"/>
        </w:rPr>
        <w:t xml:space="preserve">incorporates s. 530 of the </w:t>
      </w:r>
      <w:r w:rsidRPr="00A25AE2">
        <w:rPr>
          <w:rFonts w:cs="Times New Roman"/>
          <w:i/>
        </w:rPr>
        <w:t xml:space="preserve">Criminal Code </w:t>
      </w:r>
      <w:r w:rsidRPr="00A25AE2">
        <w:rPr>
          <w:rFonts w:cs="Times New Roman"/>
        </w:rPr>
        <w:t xml:space="preserve">without heed to the </w:t>
      </w:r>
      <w:r w:rsidRPr="00A25AE2">
        <w:rPr>
          <w:rFonts w:cs="Times New Roman"/>
          <w:i/>
        </w:rPr>
        <w:t xml:space="preserve">1731 Act. </w:t>
      </w:r>
      <w:r w:rsidRPr="00A25AE2">
        <w:rPr>
          <w:rFonts w:cs="Times New Roman"/>
        </w:rPr>
        <w:t xml:space="preserve">Because the </w:t>
      </w:r>
      <w:r w:rsidRPr="00A25AE2">
        <w:rPr>
          <w:rFonts w:cs="Times New Roman"/>
          <w:i/>
        </w:rPr>
        <w:t xml:space="preserve">Offence Act </w:t>
      </w:r>
      <w:r w:rsidRPr="00A25AE2">
        <w:rPr>
          <w:rFonts w:cs="Times New Roman"/>
        </w:rPr>
        <w:t xml:space="preserve">applies to </w:t>
      </w:r>
      <w:r w:rsidRPr="00A25AE2">
        <w:rPr>
          <w:rFonts w:cs="Times New Roman"/>
          <w:i/>
        </w:rPr>
        <w:t xml:space="preserve">Motor Vehicle Act </w:t>
      </w:r>
      <w:r w:rsidRPr="00A25AE2">
        <w:rPr>
          <w:rFonts w:cs="Times New Roman"/>
        </w:rPr>
        <w:t xml:space="preserve">proceedings, and neither the </w:t>
      </w:r>
      <w:r w:rsidRPr="00A25AE2">
        <w:rPr>
          <w:rFonts w:cs="Times New Roman"/>
          <w:i/>
        </w:rPr>
        <w:t xml:space="preserve">Motor Vehicle Act </w:t>
      </w:r>
      <w:r w:rsidRPr="00A25AE2">
        <w:rPr>
          <w:rFonts w:cs="Times New Roman"/>
        </w:rPr>
        <w:t xml:space="preserve">nor the </w:t>
      </w:r>
      <w:r w:rsidRPr="00A25AE2">
        <w:rPr>
          <w:rFonts w:cs="Times New Roman"/>
          <w:i/>
        </w:rPr>
        <w:t xml:space="preserve">Offence Act </w:t>
      </w:r>
      <w:r w:rsidRPr="00A25AE2">
        <w:rPr>
          <w:rFonts w:cs="Times New Roman"/>
        </w:rPr>
        <w:t xml:space="preserve">makes provision for the language of trials, s. 530 of the </w:t>
      </w:r>
      <w:r w:rsidRPr="00A25AE2">
        <w:rPr>
          <w:rFonts w:cs="Times New Roman"/>
          <w:i/>
        </w:rPr>
        <w:t>Criminal Code</w:t>
      </w:r>
      <w:r w:rsidRPr="00A25AE2">
        <w:rPr>
          <w:rFonts w:cs="Times New Roman"/>
        </w:rPr>
        <w:t xml:space="preserve"> applies “as if [it] were enacted in and formed part of [the </w:t>
      </w:r>
      <w:r w:rsidRPr="00A25AE2">
        <w:rPr>
          <w:rFonts w:cs="Times New Roman"/>
          <w:i/>
        </w:rPr>
        <w:t>Offence Act</w:t>
      </w:r>
      <w:r w:rsidRPr="00A25AE2">
        <w:rPr>
          <w:rFonts w:cs="Times New Roman"/>
        </w:rPr>
        <w:t>]”.</w:t>
      </w:r>
    </w:p>
    <w:p w:rsidR="00C526E4" w:rsidRPr="00A25AE2" w:rsidRDefault="00C526E4" w:rsidP="00C526E4">
      <w:pPr>
        <w:pStyle w:val="Title3LevelTitre3Niveau"/>
        <w:rPr>
          <w:rFonts w:cs="Times New Roman"/>
          <w:i/>
        </w:rPr>
      </w:pPr>
      <w:r w:rsidRPr="00A25AE2">
        <w:rPr>
          <w:rFonts w:cs="Times New Roman"/>
        </w:rPr>
        <w:t>Partial Provision for French:</w:t>
      </w:r>
      <w:r w:rsidRPr="00A25AE2">
        <w:rPr>
          <w:rFonts w:cs="Times New Roman"/>
          <w:i/>
        </w:rPr>
        <w:t xml:space="preserve"> </w:t>
      </w:r>
      <w:r w:rsidRPr="00A25AE2">
        <w:rPr>
          <w:rFonts w:cs="Times New Roman"/>
        </w:rPr>
        <w:t xml:space="preserve">Section 132(2)(a.4) of the </w:t>
      </w:r>
      <w:r w:rsidRPr="00A25AE2">
        <w:rPr>
          <w:rFonts w:cs="Times New Roman"/>
          <w:i/>
        </w:rPr>
        <w:t>Offence Act</w:t>
      </w:r>
    </w:p>
    <w:p w:rsidR="00C526E4" w:rsidRPr="00A25AE2" w:rsidRDefault="00C526E4" w:rsidP="00C526E4">
      <w:pPr>
        <w:pStyle w:val="ParaNoNdepar-AltN"/>
        <w:rPr>
          <w:rFonts w:cs="Times New Roman"/>
        </w:rPr>
      </w:pPr>
      <w:r w:rsidRPr="00A25AE2">
        <w:rPr>
          <w:rFonts w:eastAsiaTheme="minorHAnsi" w:cs="Times New Roman"/>
        </w:rPr>
        <w:t xml:space="preserve">The Attorney General argues that the </w:t>
      </w:r>
      <w:r w:rsidRPr="00A25AE2">
        <w:rPr>
          <w:rFonts w:eastAsiaTheme="minorHAnsi" w:cs="Times New Roman"/>
          <w:i/>
        </w:rPr>
        <w:t xml:space="preserve">Offence Act </w:t>
      </w:r>
      <w:r w:rsidRPr="00A25AE2">
        <w:rPr>
          <w:rFonts w:eastAsiaTheme="minorHAnsi" w:cs="Times New Roman"/>
        </w:rPr>
        <w:t xml:space="preserve">is </w:t>
      </w:r>
      <w:r w:rsidRPr="00A25AE2">
        <w:rPr>
          <w:rFonts w:eastAsiaTheme="minorHAnsi" w:cs="Times New Roman"/>
          <w:i/>
        </w:rPr>
        <w:t xml:space="preserve">not </w:t>
      </w:r>
      <w:r w:rsidRPr="00A25AE2">
        <w:rPr>
          <w:rFonts w:eastAsiaTheme="minorHAnsi" w:cs="Times New Roman"/>
        </w:rPr>
        <w:t xml:space="preserve">in fact silent as to the language of proceedings, as it does provide for the use of French in a limited fashion at s. 132(2)(a.4) and provides forms in English only (in a Schedule to the Act). This, in the Attorney General’s submission, demonstrates the limited role that the legislature intended the French language to play in </w:t>
      </w:r>
      <w:r w:rsidRPr="00A25AE2">
        <w:rPr>
          <w:rFonts w:eastAsiaTheme="minorHAnsi" w:cs="Times New Roman"/>
          <w:i/>
        </w:rPr>
        <w:t xml:space="preserve">Offence Act </w:t>
      </w:r>
      <w:r w:rsidRPr="00A25AE2">
        <w:rPr>
          <w:rFonts w:eastAsiaTheme="minorHAnsi" w:cs="Times New Roman"/>
        </w:rPr>
        <w:t xml:space="preserve">proceedings, and establishes that the broader provisions of s. 530 do not apply. </w:t>
      </w:r>
    </w:p>
    <w:p w:rsidR="00C526E4" w:rsidRPr="00A25AE2" w:rsidRDefault="00C526E4" w:rsidP="00C526E4">
      <w:pPr>
        <w:pStyle w:val="ParaNoNdepar-AltN"/>
        <w:rPr>
          <w:rFonts w:cs="Times New Roman"/>
        </w:rPr>
      </w:pPr>
      <w:r w:rsidRPr="00A25AE2">
        <w:rPr>
          <w:rFonts w:eastAsiaTheme="minorHAnsi" w:cs="Times New Roman"/>
        </w:rPr>
        <w:t xml:space="preserve">Section 132(2)(a.4) of the </w:t>
      </w:r>
      <w:r w:rsidRPr="00A25AE2">
        <w:rPr>
          <w:rFonts w:eastAsiaTheme="minorHAnsi" w:cs="Times New Roman"/>
          <w:i/>
        </w:rPr>
        <w:t xml:space="preserve">Offence Act </w:t>
      </w:r>
      <w:r w:rsidRPr="00A25AE2">
        <w:rPr>
          <w:rFonts w:eastAsiaTheme="minorHAnsi" w:cs="Times New Roman"/>
        </w:rPr>
        <w:t xml:space="preserve">states: </w:t>
      </w:r>
    </w:p>
    <w:p w:rsidR="00C526E4" w:rsidRPr="00A25AE2" w:rsidRDefault="00C526E4" w:rsidP="00C526E4">
      <w:pPr>
        <w:pStyle w:val="ParaNoNdepar-AltN"/>
        <w:numPr>
          <w:ilvl w:val="0"/>
          <w:numId w:val="0"/>
        </w:numPr>
        <w:spacing w:line="240" w:lineRule="auto"/>
        <w:ind w:left="1440"/>
        <w:rPr>
          <w:rFonts w:cs="Times New Roman"/>
        </w:rPr>
      </w:pPr>
      <w:r w:rsidRPr="00A25AE2">
        <w:rPr>
          <w:rFonts w:cs="Times New Roman"/>
        </w:rPr>
        <w:t>Without limiting subsection (1), the Lieutenant Governor in Council may, on the recommendation of the Attorney General, make regulations as follows:</w:t>
      </w:r>
    </w:p>
    <w:p w:rsidR="00C526E4" w:rsidRPr="00A25AE2" w:rsidRDefault="00C526E4" w:rsidP="00C526E4">
      <w:pPr>
        <w:pStyle w:val="ParaNoNdepar-AltN"/>
        <w:numPr>
          <w:ilvl w:val="0"/>
          <w:numId w:val="0"/>
        </w:numPr>
        <w:spacing w:line="240" w:lineRule="auto"/>
        <w:ind w:left="1440"/>
        <w:jc w:val="center"/>
        <w:rPr>
          <w:rFonts w:cs="Times New Roman"/>
        </w:rPr>
      </w:pPr>
      <w:r w:rsidRPr="00A25AE2">
        <w:rPr>
          <w:rFonts w:cs="Times New Roman"/>
        </w:rPr>
        <w:t>. . .</w:t>
      </w:r>
    </w:p>
    <w:p w:rsidR="00C526E4" w:rsidRPr="00A25AE2" w:rsidRDefault="00C526E4" w:rsidP="00C526E4">
      <w:pPr>
        <w:pStyle w:val="ParaNoNdepar-AltN"/>
        <w:numPr>
          <w:ilvl w:val="0"/>
          <w:numId w:val="0"/>
        </w:numPr>
        <w:spacing w:line="240" w:lineRule="auto"/>
        <w:ind w:left="2160"/>
        <w:rPr>
          <w:rFonts w:cs="Times New Roman"/>
        </w:rPr>
      </w:pPr>
      <w:r w:rsidRPr="00A25AE2">
        <w:rPr>
          <w:rFonts w:cs="Times New Roman"/>
        </w:rPr>
        <w:t xml:space="preserve">only for the purposes of an agreement between the Province and Canada under the </w:t>
      </w:r>
      <w:r w:rsidRPr="00A25AE2">
        <w:rPr>
          <w:rFonts w:cs="Times New Roman"/>
          <w:i/>
        </w:rPr>
        <w:t>Contraventions Act</w:t>
      </w:r>
      <w:r w:rsidRPr="00A25AE2">
        <w:rPr>
          <w:rFonts w:cs="Times New Roman"/>
        </w:rPr>
        <w:t xml:space="preserve"> (Canada), exercising the authority under paragraphs (a.1), (a.2), (a.3) and (g) in both the English and French languages;</w:t>
      </w:r>
    </w:p>
    <w:p w:rsidR="00C526E4" w:rsidRPr="00A25AE2" w:rsidRDefault="00C526E4" w:rsidP="00C526E4">
      <w:pPr>
        <w:pStyle w:val="ParaNoNdepar-AltN"/>
        <w:rPr>
          <w:rFonts w:cs="Times New Roman"/>
        </w:rPr>
      </w:pPr>
      <w:r w:rsidRPr="00A25AE2">
        <w:rPr>
          <w:rFonts w:cs="Times New Roman"/>
        </w:rPr>
        <w:t xml:space="preserve">Essentially, the Attorney General argues that if s. 133 incorporates the language provisions of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 xml:space="preserve">then s. 132(2)(a.4) and the associated federal regulation (discussed below) would be redundant. </w:t>
      </w:r>
    </w:p>
    <w:p w:rsidR="00C526E4" w:rsidRPr="00A25AE2" w:rsidRDefault="00C526E4" w:rsidP="00C526E4">
      <w:pPr>
        <w:pStyle w:val="ParaNoNdepar-AltN"/>
        <w:rPr>
          <w:rFonts w:cs="Times New Roman"/>
        </w:rPr>
      </w:pPr>
      <w:r w:rsidRPr="00A25AE2">
        <w:rPr>
          <w:rFonts w:cs="Times New Roman"/>
        </w:rPr>
        <w:t xml:space="preserve">We reject the significance the Attorney General places on s. 132(2)(a.4). At most, this provision and the English forms scheduled to the </w:t>
      </w:r>
      <w:r w:rsidRPr="00A25AE2">
        <w:rPr>
          <w:rFonts w:cs="Times New Roman"/>
          <w:i/>
        </w:rPr>
        <w:t>Offence Act</w:t>
      </w:r>
      <w:r w:rsidRPr="00A25AE2">
        <w:rPr>
          <w:rFonts w:cs="Times New Roman"/>
        </w:rPr>
        <w:t xml:space="preserve"> prevent the incorporation of s. 849(3) of the </w:t>
      </w:r>
      <w:r w:rsidRPr="00A25AE2">
        <w:rPr>
          <w:rFonts w:cs="Times New Roman"/>
          <w:i/>
        </w:rPr>
        <w:t>Criminal Code</w:t>
      </w:r>
      <w:r w:rsidRPr="00A25AE2">
        <w:rPr>
          <w:rFonts w:cs="Times New Roman"/>
        </w:rPr>
        <w:t>, which states:</w:t>
      </w:r>
    </w:p>
    <w:p w:rsidR="00C526E4" w:rsidRPr="00A25AE2" w:rsidRDefault="00C526E4" w:rsidP="003936F1">
      <w:pPr>
        <w:pStyle w:val="ParaNoNdepar-AltN"/>
        <w:numPr>
          <w:ilvl w:val="0"/>
          <w:numId w:val="0"/>
        </w:numPr>
        <w:spacing w:after="720" w:line="240" w:lineRule="auto"/>
        <w:ind w:left="1440"/>
        <w:rPr>
          <w:rFonts w:cs="Times New Roman"/>
        </w:rPr>
      </w:pPr>
      <w:r w:rsidRPr="00A25AE2">
        <w:rPr>
          <w:rFonts w:cs="Times New Roman"/>
        </w:rPr>
        <w:t>Any pre-printed portions of a form set out in this Part, varied to suit the case, or of a form to the like effect shall be printed in both official languages.</w:t>
      </w:r>
    </w:p>
    <w:p w:rsidR="00C526E4" w:rsidRPr="00A25AE2" w:rsidRDefault="00C526E4" w:rsidP="00C526E4">
      <w:pPr>
        <w:pStyle w:val="ParaNoNdepar-AltN"/>
        <w:rPr>
          <w:rFonts w:cs="Times New Roman"/>
        </w:rPr>
      </w:pPr>
      <w:r w:rsidRPr="00A25AE2">
        <w:rPr>
          <w:rFonts w:cs="Times New Roman"/>
        </w:rPr>
        <w:t xml:space="preserve">Further, and more crucially, s. 132(2)(a.4) and the scheduled forms deal only with the language of forms. Accordingly, they cannot preclude the incorporation of s. 530 of the </w:t>
      </w:r>
      <w:r w:rsidRPr="00A25AE2">
        <w:rPr>
          <w:rFonts w:cs="Times New Roman"/>
          <w:i/>
        </w:rPr>
        <w:t>Criminal Code</w:t>
      </w:r>
      <w:r w:rsidRPr="00A25AE2">
        <w:rPr>
          <w:rFonts w:cs="Times New Roman"/>
        </w:rPr>
        <w:t xml:space="preserve"> — which deals with the language of </w:t>
      </w:r>
      <w:r w:rsidRPr="00A25AE2">
        <w:rPr>
          <w:rFonts w:cs="Times New Roman"/>
          <w:i/>
        </w:rPr>
        <w:t>trials</w:t>
      </w:r>
      <w:r w:rsidRPr="00A25AE2">
        <w:rPr>
          <w:rFonts w:cs="Times New Roman"/>
        </w:rPr>
        <w:t xml:space="preserve">. To the extent that the forms speak to the role of the French language under the </w:t>
      </w:r>
      <w:r w:rsidRPr="00A25AE2">
        <w:rPr>
          <w:rFonts w:cs="Times New Roman"/>
          <w:i/>
        </w:rPr>
        <w:t xml:space="preserve">Offence Act </w:t>
      </w:r>
      <w:r w:rsidRPr="00A25AE2">
        <w:rPr>
          <w:rFonts w:cs="Times New Roman"/>
        </w:rPr>
        <w:t>generally, they make “partial provision” for French, permitting the incorporation of s. 530.</w:t>
      </w:r>
    </w:p>
    <w:p w:rsidR="00C526E4" w:rsidRPr="00A25AE2" w:rsidRDefault="00C526E4" w:rsidP="00C526E4">
      <w:pPr>
        <w:pStyle w:val="ParaNoNdepar-AltN"/>
        <w:rPr>
          <w:rFonts w:cs="Times New Roman"/>
        </w:rPr>
      </w:pPr>
      <w:r w:rsidRPr="00A25AE2">
        <w:rPr>
          <w:rFonts w:cs="Times New Roman"/>
        </w:rPr>
        <w:t xml:space="preserve">Relatedly, the Attorney General submits that s. 3 of the federal </w:t>
      </w:r>
      <w:r w:rsidRPr="00A25AE2">
        <w:rPr>
          <w:rFonts w:cs="Times New Roman"/>
          <w:i/>
        </w:rPr>
        <w:t>Application of Provincial Laws Regulations</w:t>
      </w:r>
      <w:r w:rsidRPr="00A25AE2">
        <w:rPr>
          <w:rFonts w:cs="Times New Roman"/>
        </w:rPr>
        <w:t>,</w:t>
      </w:r>
      <w:r w:rsidRPr="00A25AE2">
        <w:rPr>
          <w:rFonts w:cs="Times New Roman"/>
          <w:i/>
        </w:rPr>
        <w:t xml:space="preserve"> </w:t>
      </w:r>
      <w:r w:rsidRPr="00A25AE2">
        <w:rPr>
          <w:rFonts w:cs="Times New Roman"/>
        </w:rPr>
        <w:t>SOR/96-312, Part VIII (Province of British Columbia (“federal regulation”))</w:t>
      </w:r>
      <w:r w:rsidRPr="00A25AE2">
        <w:rPr>
          <w:rFonts w:cs="Times New Roman"/>
          <w:i/>
        </w:rPr>
        <w:t xml:space="preserve"> </w:t>
      </w:r>
      <w:r w:rsidRPr="00A25AE2">
        <w:rPr>
          <w:rFonts w:cs="Times New Roman"/>
        </w:rPr>
        <w:t xml:space="preserve">demonstrates that s. 133 of the </w:t>
      </w:r>
      <w:r w:rsidRPr="00A25AE2">
        <w:rPr>
          <w:rFonts w:cs="Times New Roman"/>
          <w:i/>
        </w:rPr>
        <w:t xml:space="preserve">Offence Act </w:t>
      </w:r>
      <w:r w:rsidRPr="00A25AE2">
        <w:rPr>
          <w:rFonts w:cs="Times New Roman"/>
        </w:rPr>
        <w:t xml:space="preserve">is understood </w:t>
      </w:r>
      <w:r w:rsidRPr="00A25AE2">
        <w:rPr>
          <w:rFonts w:cs="Times New Roman"/>
          <w:i/>
        </w:rPr>
        <w:t xml:space="preserve">not </w:t>
      </w:r>
      <w:r w:rsidRPr="00A25AE2">
        <w:rPr>
          <w:rFonts w:cs="Times New Roman"/>
        </w:rPr>
        <w:t xml:space="preserve">to already incorporate s. 530 of the </w:t>
      </w:r>
      <w:r w:rsidRPr="00A25AE2">
        <w:rPr>
          <w:rFonts w:cs="Times New Roman"/>
          <w:i/>
        </w:rPr>
        <w:t xml:space="preserve">Criminal Code. </w:t>
      </w:r>
      <w:r w:rsidRPr="00A25AE2">
        <w:rPr>
          <w:rFonts w:cs="Times New Roman"/>
        </w:rPr>
        <w:t>Section 3 of the federal regulation</w:t>
      </w:r>
      <w:r w:rsidRPr="00A25AE2">
        <w:rPr>
          <w:rFonts w:cs="Times New Roman"/>
          <w:i/>
        </w:rPr>
        <w:t xml:space="preserve"> </w:t>
      </w:r>
      <w:r w:rsidRPr="00A25AE2">
        <w:rPr>
          <w:rFonts w:cs="Times New Roman"/>
        </w:rPr>
        <w:t xml:space="preserve">makes s. 530 applicable in respect of prosecutions under the </w:t>
      </w:r>
      <w:r w:rsidRPr="00A25AE2">
        <w:rPr>
          <w:rFonts w:cs="Times New Roman"/>
          <w:i/>
        </w:rPr>
        <w:t xml:space="preserve">Offence Act </w:t>
      </w:r>
      <w:r w:rsidRPr="00A25AE2">
        <w:rPr>
          <w:rFonts w:cs="Times New Roman"/>
        </w:rPr>
        <w:t xml:space="preserve">of contraventions under the federal </w:t>
      </w:r>
      <w:r w:rsidRPr="00A25AE2">
        <w:rPr>
          <w:rFonts w:cs="Times New Roman"/>
          <w:i/>
        </w:rPr>
        <w:t>Contraventions Act</w:t>
      </w:r>
      <w:r w:rsidRPr="00D650C2">
        <w:rPr>
          <w:rFonts w:cs="Times New Roman"/>
        </w:rPr>
        <w:t>,</w:t>
      </w:r>
      <w:r w:rsidRPr="00A25AE2">
        <w:rPr>
          <w:rFonts w:cs="Times New Roman"/>
          <w:i/>
        </w:rPr>
        <w:t xml:space="preserve"> </w:t>
      </w:r>
      <w:r w:rsidRPr="00A25AE2">
        <w:rPr>
          <w:rFonts w:cs="Times New Roman"/>
        </w:rPr>
        <w:t>S.C. 1992, c. 47.</w:t>
      </w:r>
    </w:p>
    <w:p w:rsidR="00C526E4" w:rsidRPr="00A25AE2" w:rsidRDefault="00C526E4" w:rsidP="00C526E4">
      <w:pPr>
        <w:pStyle w:val="ParaNoNdepar-AltN"/>
        <w:rPr>
          <w:rFonts w:cs="Times New Roman"/>
        </w:rPr>
      </w:pPr>
      <w:r w:rsidRPr="00A25AE2">
        <w:rPr>
          <w:rFonts w:cs="Times New Roman"/>
        </w:rPr>
        <w:t xml:space="preserve">This argument must similarly be rejected. The apparent rationale for the federal regulation is the federal government’s responsibility to ensure that prosecutions under the </w:t>
      </w:r>
      <w:r w:rsidRPr="00A25AE2">
        <w:rPr>
          <w:rFonts w:cs="Times New Roman"/>
          <w:i/>
        </w:rPr>
        <w:t xml:space="preserve">Contraventions Act </w:t>
      </w:r>
      <w:r w:rsidRPr="00A25AE2">
        <w:rPr>
          <w:rFonts w:cs="Times New Roman"/>
        </w:rPr>
        <w:t xml:space="preserve">provide for the use of both official languages (see </w:t>
      </w:r>
      <w:r w:rsidRPr="00A25AE2">
        <w:rPr>
          <w:rFonts w:cs="Times New Roman"/>
          <w:i/>
        </w:rPr>
        <w:t>Commissioner of Official Languages (Can.) v. Canada (Minister of Justice)</w:t>
      </w:r>
      <w:r w:rsidRPr="00A25AE2">
        <w:rPr>
          <w:rFonts w:cs="Times New Roman"/>
        </w:rPr>
        <w:t>,</w:t>
      </w:r>
      <w:r w:rsidRPr="00A25AE2">
        <w:rPr>
          <w:rFonts w:cs="Times New Roman"/>
          <w:i/>
        </w:rPr>
        <w:t xml:space="preserve"> </w:t>
      </w:r>
      <w:r w:rsidRPr="00A25AE2">
        <w:rPr>
          <w:rFonts w:cs="Times New Roman"/>
        </w:rPr>
        <w:t xml:space="preserve">2001 FCT 239, 194 F.T.R. 181). Moreover, the </w:t>
      </w:r>
      <w:r w:rsidRPr="00A25AE2">
        <w:rPr>
          <w:rFonts w:cs="Times New Roman"/>
          <w:i/>
        </w:rPr>
        <w:t xml:space="preserve">federal </w:t>
      </w:r>
      <w:r w:rsidRPr="00A25AE2">
        <w:rPr>
          <w:rFonts w:cs="Times New Roman"/>
        </w:rPr>
        <w:t xml:space="preserve">regulation cannot and should not be treated as an interpretive aid for the British Columbia </w:t>
      </w:r>
      <w:r w:rsidRPr="00A25AE2">
        <w:rPr>
          <w:rFonts w:cs="Times New Roman"/>
          <w:i/>
        </w:rPr>
        <w:t>Offence Act</w:t>
      </w:r>
      <w:r w:rsidRPr="00A25AE2">
        <w:rPr>
          <w:rFonts w:cs="Times New Roman"/>
        </w:rPr>
        <w:t xml:space="preserve">. We therefore fail to see how the incorporation by a federal regulation of s. 530 of the </w:t>
      </w:r>
      <w:r w:rsidRPr="00A25AE2">
        <w:rPr>
          <w:rFonts w:cs="Times New Roman"/>
          <w:i/>
        </w:rPr>
        <w:t>Criminal Code</w:t>
      </w:r>
      <w:r w:rsidRPr="00A25AE2">
        <w:rPr>
          <w:rFonts w:cs="Times New Roman"/>
        </w:rPr>
        <w:t xml:space="preserve"> into the </w:t>
      </w:r>
      <w:r w:rsidRPr="00A25AE2">
        <w:rPr>
          <w:rFonts w:cs="Times New Roman"/>
          <w:i/>
        </w:rPr>
        <w:t xml:space="preserve">Offence Act </w:t>
      </w:r>
      <w:r w:rsidRPr="00A25AE2">
        <w:rPr>
          <w:rFonts w:cs="Times New Roman"/>
        </w:rPr>
        <w:t xml:space="preserve">for the specific purpose of the prosecution of contraventions under a federal enactment can preclude the incorporation of s. 530 of the </w:t>
      </w:r>
      <w:r w:rsidRPr="00A25AE2">
        <w:rPr>
          <w:rFonts w:cs="Times New Roman"/>
          <w:i/>
        </w:rPr>
        <w:t xml:space="preserve">Criminal Code </w:t>
      </w:r>
      <w:r w:rsidRPr="00A25AE2">
        <w:rPr>
          <w:rFonts w:cs="Times New Roman"/>
        </w:rPr>
        <w:t xml:space="preserve">into the </w:t>
      </w:r>
      <w:r w:rsidRPr="00A25AE2">
        <w:rPr>
          <w:rFonts w:cs="Times New Roman"/>
          <w:i/>
        </w:rPr>
        <w:t>Offence Act</w:t>
      </w:r>
      <w:r w:rsidRPr="00A25AE2">
        <w:rPr>
          <w:rFonts w:cs="Times New Roman"/>
        </w:rPr>
        <w:t xml:space="preserve"> via s. 133.</w:t>
      </w:r>
    </w:p>
    <w:p w:rsidR="00C526E4" w:rsidRPr="00A25AE2" w:rsidRDefault="00C526E4" w:rsidP="00C526E4">
      <w:pPr>
        <w:pStyle w:val="ParaNoNdepar-AltN"/>
        <w:rPr>
          <w:rFonts w:cs="Times New Roman"/>
        </w:rPr>
      </w:pPr>
      <w:r w:rsidRPr="00A25AE2">
        <w:rPr>
          <w:rFonts w:cs="Times New Roman"/>
        </w:rPr>
        <w:t xml:space="preserve">In short, the provisions accounting for the prosecution of </w:t>
      </w:r>
      <w:r w:rsidRPr="00A25AE2">
        <w:rPr>
          <w:rFonts w:cs="Times New Roman"/>
          <w:i/>
        </w:rPr>
        <w:t xml:space="preserve">Contraventions Act </w:t>
      </w:r>
      <w:r w:rsidRPr="00A25AE2">
        <w:rPr>
          <w:rFonts w:cs="Times New Roman"/>
        </w:rPr>
        <w:t xml:space="preserve">offences under the </w:t>
      </w:r>
      <w:r w:rsidRPr="00A25AE2">
        <w:rPr>
          <w:rFonts w:cs="Times New Roman"/>
          <w:i/>
        </w:rPr>
        <w:t xml:space="preserve">Offence Act </w:t>
      </w:r>
      <w:r w:rsidRPr="00A25AE2">
        <w:rPr>
          <w:rFonts w:cs="Times New Roman"/>
        </w:rPr>
        <w:t xml:space="preserve">(s. 132(2)(a.4) and Part VIII of the federal regulation), and the </w:t>
      </w:r>
      <w:r w:rsidRPr="00A25AE2">
        <w:rPr>
          <w:rFonts w:cs="Times New Roman"/>
          <w:i/>
        </w:rPr>
        <w:t xml:space="preserve">Offence Act </w:t>
      </w:r>
      <w:r w:rsidRPr="00A25AE2">
        <w:rPr>
          <w:rFonts w:cs="Times New Roman"/>
        </w:rPr>
        <w:t xml:space="preserve">forms, neither inform nor prevent the incorporation of s. 530 of the </w:t>
      </w:r>
      <w:r w:rsidRPr="00A25AE2">
        <w:rPr>
          <w:rFonts w:cs="Times New Roman"/>
          <w:i/>
        </w:rPr>
        <w:t xml:space="preserve">Criminal Code </w:t>
      </w:r>
      <w:r w:rsidRPr="00A25AE2">
        <w:rPr>
          <w:rFonts w:cs="Times New Roman"/>
        </w:rPr>
        <w:t xml:space="preserve">by way of s. 133 of the </w:t>
      </w:r>
      <w:r w:rsidRPr="00A25AE2">
        <w:rPr>
          <w:rFonts w:cs="Times New Roman"/>
          <w:i/>
        </w:rPr>
        <w:t>Offence Act</w:t>
      </w:r>
      <w:r w:rsidRPr="00A25AE2">
        <w:rPr>
          <w:rFonts w:cs="Times New Roman"/>
        </w:rPr>
        <w:t>.</w:t>
      </w:r>
      <w:r w:rsidRPr="00A25AE2">
        <w:rPr>
          <w:rFonts w:cs="Times New Roman"/>
          <w:i/>
        </w:rPr>
        <w:t xml:space="preserve"> </w:t>
      </w:r>
    </w:p>
    <w:p w:rsidR="00C526E4" w:rsidRPr="00A25AE2" w:rsidRDefault="00C526E4" w:rsidP="00C526E4">
      <w:pPr>
        <w:pStyle w:val="Title3LevelTitre3Niveau"/>
        <w:rPr>
          <w:rFonts w:cs="Times New Roman"/>
        </w:rPr>
      </w:pPr>
      <w:r w:rsidRPr="00A25AE2">
        <w:rPr>
          <w:rFonts w:cs="Times New Roman"/>
        </w:rPr>
        <w:t>The Chronological Interpretation</w:t>
      </w:r>
    </w:p>
    <w:p w:rsidR="00C526E4" w:rsidRPr="00A25AE2" w:rsidRDefault="00C526E4" w:rsidP="00C526E4">
      <w:pPr>
        <w:pStyle w:val="ParaNoNdepar-AltN"/>
        <w:rPr>
          <w:rFonts w:cs="Times New Roman"/>
        </w:rPr>
      </w:pPr>
      <w:r w:rsidRPr="00A25AE2">
        <w:rPr>
          <w:rFonts w:cs="Times New Roman"/>
        </w:rPr>
        <w:t xml:space="preserve">The Attorney General also relies on the timing of the enactments of s. 133 of the </w:t>
      </w:r>
      <w:r w:rsidRPr="00A25AE2">
        <w:rPr>
          <w:rFonts w:cs="Times New Roman"/>
          <w:i/>
        </w:rPr>
        <w:t xml:space="preserve">Offence Act </w:t>
      </w:r>
      <w:r w:rsidRPr="00A25AE2">
        <w:rPr>
          <w:rFonts w:cs="Times New Roman"/>
        </w:rPr>
        <w:t xml:space="preserve">and s. 530 of the </w:t>
      </w:r>
      <w:r w:rsidRPr="00A25AE2">
        <w:rPr>
          <w:rFonts w:cs="Times New Roman"/>
          <w:i/>
        </w:rPr>
        <w:t xml:space="preserve">Criminal Code </w:t>
      </w:r>
      <w:r w:rsidRPr="00A25AE2">
        <w:rPr>
          <w:rFonts w:cs="Times New Roman"/>
        </w:rPr>
        <w:t xml:space="preserve">to support his position that the former cannot incorporate the latter. The predecessor to s. 133 of the </w:t>
      </w:r>
      <w:r w:rsidRPr="00A25AE2">
        <w:rPr>
          <w:rFonts w:cs="Times New Roman"/>
          <w:i/>
        </w:rPr>
        <w:t xml:space="preserve">Offence Act </w:t>
      </w:r>
      <w:r w:rsidRPr="00A25AE2">
        <w:rPr>
          <w:rFonts w:cs="Times New Roman"/>
        </w:rPr>
        <w:t xml:space="preserve">was first passed in 1955 as part of </w:t>
      </w:r>
      <w:r w:rsidRPr="00A25AE2">
        <w:rPr>
          <w:rFonts w:cs="Times New Roman"/>
          <w:i/>
        </w:rPr>
        <w:t>An Act respecting Summary Proceedings (Summary Convictions Act, 1955)</w:t>
      </w:r>
      <w:r w:rsidRPr="00A25AE2">
        <w:rPr>
          <w:rFonts w:cs="Times New Roman"/>
        </w:rPr>
        <w:t>,</w:t>
      </w:r>
      <w:r w:rsidRPr="00A25AE2">
        <w:rPr>
          <w:rFonts w:cs="Times New Roman"/>
          <w:i/>
        </w:rPr>
        <w:t xml:space="preserve"> </w:t>
      </w:r>
      <w:r w:rsidRPr="00A25AE2">
        <w:rPr>
          <w:rFonts w:cs="Times New Roman"/>
        </w:rPr>
        <w:t xml:space="preserve">S.B.C. 1955, c. 71, s. 102. This provision was substantially similar to the current s. 133. Section 530 of the </w:t>
      </w:r>
      <w:r w:rsidRPr="00A25AE2">
        <w:rPr>
          <w:rFonts w:cs="Times New Roman"/>
          <w:i/>
        </w:rPr>
        <w:t xml:space="preserve">Criminal Code </w:t>
      </w:r>
      <w:r w:rsidRPr="00A25AE2">
        <w:rPr>
          <w:rFonts w:cs="Times New Roman"/>
        </w:rPr>
        <w:t>(then s. 462.1) became law on June 30, 1978, and was declared in force in British Columbia on January 1, 1990. Given that s. 530 came into force 35 years after the predecessor to s. 133 was enacted, the Attorney General argues that it cannot be incorporated.</w:t>
      </w:r>
    </w:p>
    <w:p w:rsidR="00C526E4" w:rsidRPr="00A25AE2" w:rsidRDefault="00C526E4" w:rsidP="00C526E4">
      <w:pPr>
        <w:pStyle w:val="ParaNoNdepar-AltN"/>
        <w:rPr>
          <w:rFonts w:cs="Times New Roman"/>
        </w:rPr>
      </w:pPr>
      <w:r w:rsidRPr="00A25AE2">
        <w:rPr>
          <w:rFonts w:cs="Times New Roman"/>
        </w:rPr>
        <w:t>This position quite simply ignores</w:t>
      </w:r>
      <w:r w:rsidRPr="00A25AE2">
        <w:rPr>
          <w:rFonts w:cs="Times New Roman"/>
          <w:b/>
        </w:rPr>
        <w:t xml:space="preserve"> </w:t>
      </w:r>
      <w:r w:rsidRPr="00A25AE2">
        <w:rPr>
          <w:rFonts w:cs="Times New Roman"/>
        </w:rPr>
        <w:t xml:space="preserve">s. 32 of British Columbia’s </w:t>
      </w:r>
      <w:r w:rsidRPr="00A25AE2">
        <w:rPr>
          <w:rFonts w:cs="Times New Roman"/>
          <w:i/>
        </w:rPr>
        <w:t>Interpretation Act</w:t>
      </w:r>
      <w:r w:rsidRPr="00A25AE2">
        <w:rPr>
          <w:rFonts w:cs="Times New Roman"/>
        </w:rPr>
        <w:t>,</w:t>
      </w:r>
      <w:r w:rsidRPr="00A25AE2">
        <w:rPr>
          <w:rFonts w:cs="Times New Roman"/>
          <w:i/>
        </w:rPr>
        <w:t xml:space="preserve"> </w:t>
      </w:r>
      <w:r w:rsidRPr="00A25AE2">
        <w:rPr>
          <w:rFonts w:cs="Times New Roman"/>
        </w:rPr>
        <w:t xml:space="preserve">as it was worded prior to January 1, 2019, which states: </w:t>
      </w:r>
    </w:p>
    <w:p w:rsidR="00C526E4" w:rsidRPr="00A25AE2" w:rsidRDefault="00C526E4" w:rsidP="003936F1">
      <w:pPr>
        <w:pStyle w:val="ParaNoNdepar-AltN"/>
        <w:numPr>
          <w:ilvl w:val="0"/>
          <w:numId w:val="0"/>
        </w:numPr>
        <w:spacing w:after="720" w:line="240" w:lineRule="auto"/>
        <w:ind w:left="1440" w:firstLine="360"/>
        <w:rPr>
          <w:rFonts w:cs="Times New Roman"/>
        </w:rPr>
      </w:pPr>
      <w:r w:rsidRPr="00A25AE2">
        <w:rPr>
          <w:rFonts w:cs="Times New Roman"/>
        </w:rPr>
        <w:t>In an enactment a reference to another enactment of the Province or of Canada is a reference to the other enactment as amended, whether amended before or after the commencement of the enactment in which the reference occurs.</w:t>
      </w:r>
    </w:p>
    <w:p w:rsidR="00C526E4" w:rsidRPr="00A25AE2" w:rsidRDefault="00C526E4" w:rsidP="00C526E4">
      <w:pPr>
        <w:pStyle w:val="ParaNoNdepar-AltN"/>
        <w:rPr>
          <w:rFonts w:cs="Times New Roman"/>
        </w:rPr>
      </w:pPr>
      <w:r w:rsidRPr="00A25AE2">
        <w:rPr>
          <w:rFonts w:cs="Times New Roman"/>
        </w:rPr>
        <w:t xml:space="preserve">Indeed, the courts in British Columbia have held that s. 133 of the </w:t>
      </w:r>
      <w:r w:rsidRPr="00A25AE2">
        <w:rPr>
          <w:rFonts w:cs="Times New Roman"/>
          <w:i/>
        </w:rPr>
        <w:t>Offence Act</w:t>
      </w:r>
      <w:r w:rsidRPr="00A25AE2">
        <w:rPr>
          <w:rFonts w:cs="Times New Roman"/>
        </w:rPr>
        <w:t xml:space="preserve"> “refer[s] to the </w:t>
      </w:r>
      <w:r w:rsidRPr="00A25AE2">
        <w:rPr>
          <w:rFonts w:cs="Times New Roman"/>
          <w:i/>
        </w:rPr>
        <w:t>Criminal Code</w:t>
      </w:r>
      <w:r w:rsidRPr="00A25AE2">
        <w:rPr>
          <w:rFonts w:cs="Times New Roman"/>
        </w:rPr>
        <w:t xml:space="preserve"> as amended from time to time” and that “section 133 of the Offence Act</w:t>
      </w:r>
      <w:r w:rsidRPr="00A25AE2">
        <w:rPr>
          <w:rFonts w:cs="Times New Roman"/>
          <w:i/>
        </w:rPr>
        <w:t xml:space="preserve"> </w:t>
      </w:r>
      <w:r w:rsidRPr="00A25AE2">
        <w:rPr>
          <w:rFonts w:cs="Times New Roman"/>
        </w:rPr>
        <w:t xml:space="preserve">should not be given a static interpretation but should incorporate contemporary sections of the </w:t>
      </w:r>
      <w:r w:rsidRPr="00A25AE2">
        <w:rPr>
          <w:rFonts w:cs="Times New Roman"/>
          <w:i/>
        </w:rPr>
        <w:t>Criminal Code</w:t>
      </w:r>
      <w:r w:rsidRPr="00A25AE2">
        <w:rPr>
          <w:rFonts w:cs="Times New Roman"/>
        </w:rPr>
        <w:t xml:space="preserve"> as required” (</w:t>
      </w:r>
      <w:r w:rsidRPr="00A25AE2">
        <w:rPr>
          <w:rFonts w:cs="Times New Roman"/>
          <w:i/>
        </w:rPr>
        <w:t>Wiseberg</w:t>
      </w:r>
      <w:r w:rsidRPr="00A25AE2">
        <w:rPr>
          <w:rFonts w:cs="Times New Roman"/>
        </w:rPr>
        <w:t xml:space="preserve">, at paras. 32-35; </w:t>
      </w:r>
      <w:r w:rsidRPr="00A25AE2">
        <w:rPr>
          <w:rFonts w:cs="Times New Roman"/>
          <w:i/>
        </w:rPr>
        <w:t>R. v. Trow</w:t>
      </w:r>
      <w:r w:rsidRPr="00A25AE2">
        <w:rPr>
          <w:rFonts w:cs="Times New Roman"/>
        </w:rPr>
        <w:t xml:space="preserve"> (1977), 5 B.C.L.R. 133 (S.C.), at p. 136).</w:t>
      </w:r>
    </w:p>
    <w:p w:rsidR="00C526E4" w:rsidRPr="00A25AE2" w:rsidRDefault="00C526E4" w:rsidP="00C526E4">
      <w:pPr>
        <w:pStyle w:val="ParaNoNdepar-AltN"/>
        <w:rPr>
          <w:rFonts w:cs="Times New Roman"/>
        </w:rPr>
      </w:pPr>
      <w:r w:rsidRPr="00A25AE2">
        <w:rPr>
          <w:rFonts w:cs="Times New Roman"/>
        </w:rPr>
        <w:t>Relatedly, the Attorney General emphasizes the fact that, in 1971, the British Columbia legislature abandoned legislation which would have granted British Columbia courts the discretion to conduct proceedings in French. The Attorney General argues that this abandonment illustrates that, absent further legislative action, there is no ability for British Columbia courts to conduct trials in French (</w:t>
      </w:r>
      <w:r w:rsidR="00D650C2">
        <w:rPr>
          <w:rFonts w:cs="Times New Roman"/>
          <w:i/>
        </w:rPr>
        <w:t xml:space="preserve">Official Report of </w:t>
      </w:r>
      <w:r w:rsidRPr="00A25AE2">
        <w:rPr>
          <w:rFonts w:cs="Times New Roman"/>
          <w:i/>
        </w:rPr>
        <w:t>Debates of the Legislative Assembly</w:t>
      </w:r>
      <w:r w:rsidRPr="00A25AE2">
        <w:rPr>
          <w:rFonts w:cs="Times New Roman"/>
        </w:rPr>
        <w:t>, 2nd Sess., 29th Parl.</w:t>
      </w:r>
      <w:r w:rsidR="00D650C2">
        <w:rPr>
          <w:rFonts w:cs="Times New Roman"/>
        </w:rPr>
        <w:t>,</w:t>
      </w:r>
      <w:r w:rsidRPr="00A25AE2">
        <w:rPr>
          <w:rFonts w:cs="Times New Roman"/>
        </w:rPr>
        <w:t xml:space="preserve"> March 10, 1971, at p. 646). </w:t>
      </w:r>
    </w:p>
    <w:p w:rsidR="00C526E4" w:rsidRPr="00A25AE2" w:rsidRDefault="00C526E4" w:rsidP="00C526E4">
      <w:pPr>
        <w:pStyle w:val="ParaNoNdepar-AltN"/>
        <w:rPr>
          <w:rFonts w:cs="Times New Roman"/>
        </w:rPr>
      </w:pPr>
      <w:r w:rsidRPr="00A25AE2">
        <w:rPr>
          <w:rFonts w:cs="Times New Roman"/>
        </w:rPr>
        <w:t xml:space="preserve">Even if the legislature’s reasoning for abandoning this legislation could be ascertained, this decision was made nearly 50 years ago. As such, it cannot reasonably have any bearing on this Court’s interpretation of the </w:t>
      </w:r>
      <w:r w:rsidRPr="00A25AE2">
        <w:rPr>
          <w:rFonts w:cs="Times New Roman"/>
          <w:i/>
        </w:rPr>
        <w:t xml:space="preserve">Offence Act </w:t>
      </w:r>
      <w:r w:rsidRPr="00A25AE2">
        <w:rPr>
          <w:rFonts w:cs="Times New Roman"/>
        </w:rPr>
        <w:t xml:space="preserve">as that statute reads today. It goes without saying that an </w:t>
      </w:r>
      <w:r w:rsidRPr="00A25AE2">
        <w:rPr>
          <w:rFonts w:cs="Times New Roman"/>
          <w:i/>
        </w:rPr>
        <w:t xml:space="preserve">enactment </w:t>
      </w:r>
      <w:r w:rsidRPr="00A25AE2">
        <w:rPr>
          <w:rFonts w:cs="Times New Roman"/>
        </w:rPr>
        <w:t xml:space="preserve">tells us a great deal more about a legislature’s intent than that legislature’s </w:t>
      </w:r>
      <w:r w:rsidRPr="00A25AE2">
        <w:rPr>
          <w:rFonts w:cs="Times New Roman"/>
          <w:i/>
        </w:rPr>
        <w:t xml:space="preserve">failure to enact </w:t>
      </w:r>
      <w:r w:rsidRPr="00A25AE2">
        <w:rPr>
          <w:rFonts w:cs="Times New Roman"/>
        </w:rPr>
        <w:t>something. Any meaning that could be ascribed to the legislature’s inaction in 1971 cannot compete with the plain meaning of s. 133. Section 133 sets out the applicable law; silence or inaction does not.</w:t>
      </w:r>
    </w:p>
    <w:p w:rsidR="00C526E4" w:rsidRPr="00A25AE2" w:rsidRDefault="00C526E4" w:rsidP="00C526E4">
      <w:pPr>
        <w:pStyle w:val="ParaNoNdepar-AltN"/>
        <w:rPr>
          <w:rFonts w:cs="Times New Roman"/>
        </w:rPr>
      </w:pPr>
      <w:r w:rsidRPr="00A25AE2">
        <w:rPr>
          <w:rFonts w:cs="Times New Roman"/>
        </w:rPr>
        <w:t xml:space="preserve">The plain intent of s. 133 of the </w:t>
      </w:r>
      <w:r w:rsidRPr="00A25AE2">
        <w:rPr>
          <w:rFonts w:cs="Times New Roman"/>
          <w:i/>
        </w:rPr>
        <w:t xml:space="preserve">Offence Act </w:t>
      </w:r>
      <w:r w:rsidRPr="00A25AE2">
        <w:rPr>
          <w:rFonts w:cs="Times New Roman"/>
        </w:rPr>
        <w:t xml:space="preserve">is to allow for incorporation of certain </w:t>
      </w:r>
      <w:r w:rsidRPr="00A25AE2">
        <w:rPr>
          <w:rFonts w:cs="Times New Roman"/>
          <w:i/>
        </w:rPr>
        <w:t xml:space="preserve">Criminal Code </w:t>
      </w:r>
      <w:r w:rsidRPr="00A25AE2">
        <w:rPr>
          <w:rFonts w:cs="Times New Roman"/>
        </w:rPr>
        <w:t xml:space="preserve">provisions in broad and general terms. We cannot glean from the words of s. 133 a specific intent to exclude s. 530 of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 xml:space="preserve">To insist on such an exclusion of s. 530 is to demote the importance of language rights, or to assume that the province does not intend to make provision for the French language in its courts. This intention is clearly not present in s. 133 or elsewhere in the </w:t>
      </w:r>
      <w:r w:rsidRPr="00A25AE2">
        <w:rPr>
          <w:rFonts w:cs="Times New Roman"/>
          <w:i/>
        </w:rPr>
        <w:t>Offence Act</w:t>
      </w:r>
      <w:r w:rsidRPr="00A25AE2">
        <w:rPr>
          <w:rFonts w:cs="Times New Roman"/>
        </w:rPr>
        <w:t xml:space="preserve">. </w:t>
      </w:r>
    </w:p>
    <w:p w:rsidR="00C526E4" w:rsidRPr="00A25AE2" w:rsidRDefault="00C526E4" w:rsidP="00C526E4">
      <w:pPr>
        <w:pStyle w:val="ParaNoNdepar-AltN"/>
        <w:rPr>
          <w:rFonts w:cs="Times New Roman"/>
        </w:rPr>
      </w:pPr>
      <w:r w:rsidRPr="00A25AE2">
        <w:rPr>
          <w:rFonts w:cs="Times New Roman"/>
        </w:rPr>
        <w:t xml:space="preserve">As a final point, we note that both the Attorney General and the provincial court judge rely on the division of powers between the provinces and the federal government to suggest that the language of provincial offence trials in British Columbia should not readily be determined by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 xml:space="preserve">a federal statute. While it is true that the language used in courts is a matter falling under provincial powers, British Columbia has exercised that power in favour of granting French trials for provincial offences, by legislating to incorporate s. 530 of the </w:t>
      </w:r>
      <w:r w:rsidRPr="00A25AE2">
        <w:rPr>
          <w:rFonts w:cs="Times New Roman"/>
          <w:i/>
        </w:rPr>
        <w:t>Criminal Code</w:t>
      </w:r>
      <w:r w:rsidRPr="00A25AE2">
        <w:rPr>
          <w:rFonts w:cs="Times New Roman"/>
        </w:rPr>
        <w:t xml:space="preserve"> into the </w:t>
      </w:r>
      <w:r w:rsidRPr="00A25AE2">
        <w:rPr>
          <w:rFonts w:cs="Times New Roman"/>
          <w:i/>
        </w:rPr>
        <w:t>Offence</w:t>
      </w:r>
      <w:r w:rsidRPr="00A25AE2">
        <w:rPr>
          <w:rFonts w:cs="Times New Roman"/>
        </w:rPr>
        <w:t xml:space="preserve"> </w:t>
      </w:r>
      <w:r w:rsidRPr="00A25AE2">
        <w:rPr>
          <w:rFonts w:cs="Times New Roman"/>
          <w:i/>
        </w:rPr>
        <w:t>Act</w:t>
      </w:r>
      <w:r w:rsidRPr="00A25AE2">
        <w:rPr>
          <w:rFonts w:cs="Times New Roman"/>
        </w:rPr>
        <w:t xml:space="preserve">. Interpreting s. 133 of the </w:t>
      </w:r>
      <w:r w:rsidRPr="00A25AE2">
        <w:rPr>
          <w:rFonts w:cs="Times New Roman"/>
          <w:i/>
        </w:rPr>
        <w:t xml:space="preserve">Offence Act </w:t>
      </w:r>
      <w:r w:rsidRPr="00A25AE2">
        <w:rPr>
          <w:rFonts w:cs="Times New Roman"/>
        </w:rPr>
        <w:t xml:space="preserve">as incorporating s. 530 of the </w:t>
      </w:r>
      <w:r w:rsidRPr="00A25AE2">
        <w:rPr>
          <w:rFonts w:cs="Times New Roman"/>
          <w:i/>
        </w:rPr>
        <w:t xml:space="preserve">Criminal Code </w:t>
      </w:r>
      <w:r w:rsidRPr="00A25AE2">
        <w:rPr>
          <w:rFonts w:cs="Times New Roman"/>
        </w:rPr>
        <w:t xml:space="preserve">does not equate to imposing or inserting a federal provision into a British Columbia Act. Rather, by virtue of their incorporation, the language provisions found under s. 530 </w:t>
      </w:r>
      <w:r w:rsidRPr="00A25AE2">
        <w:rPr>
          <w:rFonts w:cs="Times New Roman"/>
          <w:i/>
        </w:rPr>
        <w:t xml:space="preserve">form part of </w:t>
      </w:r>
      <w:r w:rsidRPr="00A25AE2">
        <w:rPr>
          <w:rFonts w:cs="Times New Roman"/>
        </w:rPr>
        <w:t xml:space="preserve">the </w:t>
      </w:r>
      <w:r w:rsidRPr="00A25AE2">
        <w:rPr>
          <w:rFonts w:cs="Times New Roman"/>
          <w:i/>
        </w:rPr>
        <w:t xml:space="preserve">Offence Act </w:t>
      </w:r>
      <w:r w:rsidRPr="00A25AE2">
        <w:rPr>
          <w:rFonts w:cs="Times New Roman"/>
        </w:rPr>
        <w:t xml:space="preserve">itself. </w:t>
      </w:r>
    </w:p>
    <w:p w:rsidR="00C526E4" w:rsidRPr="00A25AE2" w:rsidRDefault="00C526E4" w:rsidP="00C526E4">
      <w:pPr>
        <w:pStyle w:val="Title3LevelTitre3Niveau"/>
        <w:rPr>
          <w:rFonts w:cs="Times New Roman"/>
        </w:rPr>
      </w:pPr>
      <w:r w:rsidRPr="00A25AE2">
        <w:rPr>
          <w:rFonts w:cs="Times New Roman"/>
        </w:rPr>
        <w:t>Implied Repeal</w:t>
      </w:r>
    </w:p>
    <w:p w:rsidR="00C526E4" w:rsidRPr="00A25AE2" w:rsidRDefault="00C526E4" w:rsidP="00C526E4">
      <w:pPr>
        <w:pStyle w:val="ParaNoNdepar-AltN"/>
        <w:rPr>
          <w:rFonts w:cs="Times New Roman"/>
        </w:rPr>
      </w:pPr>
      <w:r w:rsidRPr="00A25AE2">
        <w:rPr>
          <w:rFonts w:cs="Times New Roman"/>
        </w:rPr>
        <w:t>In their submissions before this Court, the parties agreed that if</w:t>
      </w:r>
      <w:r w:rsidRPr="00A25AE2">
        <w:rPr>
          <w:rFonts w:cs="Times New Roman"/>
          <w:i/>
        </w:rPr>
        <w:t xml:space="preserve"> </w:t>
      </w:r>
      <w:r w:rsidRPr="00A25AE2">
        <w:rPr>
          <w:rFonts w:cs="Times New Roman"/>
        </w:rPr>
        <w:t xml:space="preserve">s. 133 of the </w:t>
      </w:r>
      <w:r w:rsidRPr="00A25AE2">
        <w:rPr>
          <w:rFonts w:cs="Times New Roman"/>
          <w:i/>
        </w:rPr>
        <w:t>Offence Act</w:t>
      </w:r>
      <w:r w:rsidRPr="00A25AE2">
        <w:rPr>
          <w:rFonts w:cs="Times New Roman"/>
        </w:rPr>
        <w:t xml:space="preserve"> were found to incorporate s. 530 of the </w:t>
      </w:r>
      <w:r w:rsidRPr="00A25AE2">
        <w:rPr>
          <w:rFonts w:cs="Times New Roman"/>
          <w:i/>
        </w:rPr>
        <w:t>Criminal Code</w:t>
      </w:r>
      <w:r w:rsidRPr="00A25AE2">
        <w:rPr>
          <w:rFonts w:cs="Times New Roman"/>
        </w:rPr>
        <w:t xml:space="preserve">, the </w:t>
      </w:r>
      <w:r w:rsidRPr="00A25AE2">
        <w:rPr>
          <w:rFonts w:cs="Times New Roman"/>
          <w:i/>
        </w:rPr>
        <w:t xml:space="preserve">1731 Act </w:t>
      </w:r>
      <w:r w:rsidRPr="00A25AE2">
        <w:rPr>
          <w:rFonts w:cs="Times New Roman"/>
        </w:rPr>
        <w:t xml:space="preserve">would be implicitly repealed in respect of </w:t>
      </w:r>
      <w:r w:rsidRPr="00A25AE2">
        <w:rPr>
          <w:rFonts w:cs="Times New Roman"/>
          <w:i/>
        </w:rPr>
        <w:t xml:space="preserve">Offence Act </w:t>
      </w:r>
      <w:r w:rsidRPr="00A25AE2">
        <w:rPr>
          <w:rFonts w:cs="Times New Roman"/>
        </w:rPr>
        <w:t xml:space="preserve">prosecutions. The Attorney General conceded this point in oral submissions (transcript, at pp. 75-76.) </w:t>
      </w:r>
    </w:p>
    <w:p w:rsidR="00C526E4" w:rsidRPr="00A25AE2" w:rsidRDefault="00C526E4" w:rsidP="00C526E4">
      <w:pPr>
        <w:pStyle w:val="ParaNoNdepar-AltN"/>
        <w:rPr>
          <w:rFonts w:cs="Times New Roman"/>
        </w:rPr>
      </w:pPr>
      <w:r w:rsidRPr="00A25AE2">
        <w:rPr>
          <w:rFonts w:cs="Times New Roman"/>
        </w:rPr>
        <w:t xml:space="preserve">We agree. By virtue of its incorporation into the </w:t>
      </w:r>
      <w:r w:rsidRPr="00A25AE2">
        <w:rPr>
          <w:rFonts w:cs="Times New Roman"/>
          <w:i/>
        </w:rPr>
        <w:t>Offence Act</w:t>
      </w:r>
      <w:r w:rsidRPr="00A25AE2">
        <w:rPr>
          <w:rFonts w:cs="Times New Roman"/>
        </w:rPr>
        <w:t>,</w:t>
      </w:r>
      <w:r w:rsidRPr="00A25AE2">
        <w:rPr>
          <w:rFonts w:cs="Times New Roman"/>
          <w:i/>
        </w:rPr>
        <w:t xml:space="preserve"> </w:t>
      </w:r>
      <w:r w:rsidRPr="00A25AE2">
        <w:rPr>
          <w:rFonts w:cs="Times New Roman"/>
        </w:rPr>
        <w:t>s</w:t>
      </w:r>
      <w:r w:rsidRPr="00A25AE2">
        <w:rPr>
          <w:rFonts w:cs="Times New Roman"/>
          <w:i/>
        </w:rPr>
        <w:t>.</w:t>
      </w:r>
      <w:r w:rsidRPr="00A25AE2">
        <w:rPr>
          <w:rFonts w:cs="Times New Roman"/>
        </w:rPr>
        <w:t xml:space="preserve"> 530 enjoys the same status in that Act as it does in the </w:t>
      </w:r>
      <w:r w:rsidRPr="00A25AE2">
        <w:rPr>
          <w:rFonts w:cs="Times New Roman"/>
          <w:i/>
        </w:rPr>
        <w:t>Criminal Code</w:t>
      </w:r>
      <w:r w:rsidRPr="00A25AE2">
        <w:rPr>
          <w:rFonts w:cs="Times New Roman"/>
        </w:rPr>
        <w:t>.</w:t>
      </w:r>
      <w:r w:rsidRPr="00A25AE2">
        <w:rPr>
          <w:rFonts w:cs="Times New Roman"/>
          <w:i/>
        </w:rPr>
        <w:t xml:space="preserve"> </w:t>
      </w:r>
      <w:r w:rsidRPr="00A25AE2">
        <w:rPr>
          <w:rFonts w:cs="Times New Roman"/>
        </w:rPr>
        <w:t xml:space="preserve">Therefore, just as s. 530 of the </w:t>
      </w:r>
      <w:r w:rsidRPr="00A25AE2">
        <w:rPr>
          <w:rFonts w:cs="Times New Roman"/>
          <w:i/>
        </w:rPr>
        <w:t xml:space="preserve">Criminal Code </w:t>
      </w:r>
      <w:r w:rsidRPr="00A25AE2">
        <w:rPr>
          <w:rFonts w:cs="Times New Roman"/>
        </w:rPr>
        <w:t xml:space="preserve">implicitly repealed the </w:t>
      </w:r>
      <w:r w:rsidRPr="00A25AE2">
        <w:rPr>
          <w:rFonts w:cs="Times New Roman"/>
          <w:i/>
        </w:rPr>
        <w:t xml:space="preserve">1731 Act </w:t>
      </w:r>
      <w:r w:rsidRPr="00A25AE2">
        <w:rPr>
          <w:rFonts w:cs="Times New Roman"/>
        </w:rPr>
        <w:t>in respect of criminal trials (</w:t>
      </w:r>
      <w:r w:rsidRPr="00A25AE2">
        <w:rPr>
          <w:rFonts w:cs="Times New Roman"/>
          <w:i/>
        </w:rPr>
        <w:t>Conseil scolaire francophone</w:t>
      </w:r>
      <w:r w:rsidRPr="00A25AE2">
        <w:rPr>
          <w:rFonts w:cs="Times New Roman"/>
        </w:rPr>
        <w:t xml:space="preserve">, at para. 48), it implicitly repeals the </w:t>
      </w:r>
      <w:r w:rsidRPr="00A25AE2">
        <w:rPr>
          <w:rFonts w:cs="Times New Roman"/>
          <w:i/>
        </w:rPr>
        <w:t xml:space="preserve">1731 Act </w:t>
      </w:r>
      <w:r w:rsidRPr="00A25AE2">
        <w:rPr>
          <w:rFonts w:cs="Times New Roman"/>
        </w:rPr>
        <w:t xml:space="preserve">in respect of </w:t>
      </w:r>
      <w:r w:rsidRPr="00A25AE2">
        <w:rPr>
          <w:rFonts w:cs="Times New Roman"/>
          <w:i/>
        </w:rPr>
        <w:t xml:space="preserve">Offence Act </w:t>
      </w:r>
      <w:r w:rsidRPr="00A25AE2">
        <w:rPr>
          <w:rFonts w:cs="Times New Roman"/>
        </w:rPr>
        <w:t xml:space="preserve">trials. </w:t>
      </w:r>
    </w:p>
    <w:p w:rsidR="00C526E4" w:rsidRPr="00A25AE2" w:rsidRDefault="00C526E4" w:rsidP="00C526E4">
      <w:pPr>
        <w:pStyle w:val="ParaNoNdepar-AltN"/>
        <w:rPr>
          <w:rFonts w:cs="Times New Roman"/>
        </w:rPr>
      </w:pPr>
      <w:r w:rsidRPr="00A25AE2">
        <w:rPr>
          <w:rFonts w:cs="Times New Roman"/>
        </w:rPr>
        <w:t xml:space="preserve">Section 2 of the </w:t>
      </w:r>
      <w:r w:rsidRPr="00A25AE2">
        <w:rPr>
          <w:rFonts w:cs="Times New Roman"/>
          <w:i/>
        </w:rPr>
        <w:t xml:space="preserve">Law and Equity Act </w:t>
      </w:r>
      <w:r w:rsidRPr="00A25AE2">
        <w:rPr>
          <w:rFonts w:cs="Times New Roman"/>
        </w:rPr>
        <w:t>lends further support to this conclusion.</w:t>
      </w:r>
      <w:r w:rsidRPr="00A25AE2">
        <w:rPr>
          <w:rFonts w:cs="Times New Roman"/>
          <w:b/>
        </w:rPr>
        <w:t xml:space="preserve"> </w:t>
      </w:r>
      <w:r w:rsidRPr="00A25AE2">
        <w:rPr>
          <w:rFonts w:cs="Times New Roman"/>
        </w:rPr>
        <w:t>It states that “</w:t>
      </w:r>
      <w:r w:rsidRPr="00A25AE2">
        <w:rPr>
          <w:rFonts w:cs="Times New Roman"/>
          <w:lang w:val="en-US"/>
        </w:rPr>
        <w:t xml:space="preserve">the Civil and Criminal Laws of England . . . must be held to be modified and altered by all legislation that has the force of law in British Columbia”. As s. 133 of the </w:t>
      </w:r>
      <w:r w:rsidRPr="00A25AE2">
        <w:rPr>
          <w:rFonts w:cs="Times New Roman"/>
          <w:i/>
          <w:lang w:val="en-US"/>
        </w:rPr>
        <w:t>Offence Act</w:t>
      </w:r>
      <w:r w:rsidRPr="00A25AE2">
        <w:rPr>
          <w:rFonts w:cs="Times New Roman"/>
          <w:lang w:val="en-US"/>
        </w:rPr>
        <w:t xml:space="preserve"> incorporates s. 530 of the </w:t>
      </w:r>
      <w:r w:rsidRPr="00A25AE2">
        <w:rPr>
          <w:rFonts w:cs="Times New Roman"/>
          <w:i/>
          <w:lang w:val="en-US"/>
        </w:rPr>
        <w:t>Criminal Code</w:t>
      </w:r>
      <w:r w:rsidRPr="00A25AE2">
        <w:rPr>
          <w:rFonts w:cs="Times New Roman"/>
          <w:lang w:val="en-US"/>
        </w:rPr>
        <w:t>,</w:t>
      </w:r>
      <w:r w:rsidRPr="00A25AE2">
        <w:rPr>
          <w:rFonts w:cs="Times New Roman"/>
          <w:i/>
          <w:lang w:val="en-US"/>
        </w:rPr>
        <w:t xml:space="preserve"> </w:t>
      </w:r>
      <w:r w:rsidRPr="00A25AE2">
        <w:rPr>
          <w:rFonts w:cs="Times New Roman"/>
          <w:lang w:val="en-US"/>
        </w:rPr>
        <w:t xml:space="preserve">s. 530 is, in effect, a provision of the </w:t>
      </w:r>
      <w:r w:rsidRPr="00A25AE2">
        <w:rPr>
          <w:rFonts w:cs="Times New Roman"/>
          <w:i/>
          <w:lang w:val="en-US"/>
        </w:rPr>
        <w:t xml:space="preserve">Offence Act </w:t>
      </w:r>
      <w:r w:rsidRPr="00A25AE2">
        <w:rPr>
          <w:rFonts w:cs="Times New Roman"/>
          <w:lang w:val="en-US"/>
        </w:rPr>
        <w:t xml:space="preserve">itself and therefore constitutes “legislation that has the force of law in British Columbia”. As such, the imperial </w:t>
      </w:r>
      <w:r w:rsidRPr="00A25AE2">
        <w:rPr>
          <w:rFonts w:cs="Times New Roman"/>
          <w:i/>
          <w:lang w:val="en-US"/>
        </w:rPr>
        <w:t xml:space="preserve">1731 Act </w:t>
      </w:r>
      <w:r w:rsidRPr="00A25AE2">
        <w:rPr>
          <w:rFonts w:cs="Times New Roman"/>
          <w:lang w:val="en-US"/>
        </w:rPr>
        <w:t xml:space="preserve">must give way to the </w:t>
      </w:r>
      <w:r w:rsidRPr="00A25AE2">
        <w:rPr>
          <w:rFonts w:cs="Times New Roman"/>
          <w:i/>
          <w:lang w:val="en-US"/>
        </w:rPr>
        <w:t>Offence Act</w:t>
      </w:r>
      <w:r w:rsidRPr="00A25AE2">
        <w:rPr>
          <w:rFonts w:cs="Times New Roman"/>
          <w:lang w:val="en-US"/>
        </w:rPr>
        <w:t>’s provision for trials in either official language.</w:t>
      </w:r>
    </w:p>
    <w:p w:rsidR="00C526E4" w:rsidRPr="00A25AE2" w:rsidRDefault="00C526E4" w:rsidP="00C526E4">
      <w:pPr>
        <w:pStyle w:val="Title1LevelTitre1Niveau-AltL"/>
        <w:rPr>
          <w:rFonts w:cs="Times New Roman"/>
        </w:rPr>
      </w:pPr>
      <w:r w:rsidRPr="00A25AE2">
        <w:rPr>
          <w:rFonts w:cs="Times New Roman"/>
        </w:rPr>
        <w:t>Conclusion</w:t>
      </w:r>
    </w:p>
    <w:p w:rsidR="00C526E4" w:rsidRPr="00A25AE2" w:rsidRDefault="00C526E4" w:rsidP="00C526E4">
      <w:pPr>
        <w:pStyle w:val="ParaNoNdepar-AltN"/>
        <w:rPr>
          <w:rFonts w:cs="Times New Roman"/>
        </w:rPr>
      </w:pPr>
      <w:r w:rsidRPr="00A25AE2">
        <w:rPr>
          <w:rFonts w:cs="Times New Roman"/>
        </w:rPr>
        <w:t xml:space="preserve">For the above reasons, we conclude that s. 133 of the </w:t>
      </w:r>
      <w:r w:rsidRPr="00A25AE2">
        <w:rPr>
          <w:rFonts w:cs="Times New Roman"/>
          <w:i/>
        </w:rPr>
        <w:t xml:space="preserve">Offence Act </w:t>
      </w:r>
      <w:r w:rsidRPr="00A25AE2">
        <w:rPr>
          <w:rFonts w:cs="Times New Roman"/>
        </w:rPr>
        <w:t xml:space="preserve">incorporates s. 530 of the </w:t>
      </w:r>
      <w:r w:rsidRPr="00A25AE2">
        <w:rPr>
          <w:rFonts w:cs="Times New Roman"/>
          <w:i/>
        </w:rPr>
        <w:t xml:space="preserve">Criminal Code </w:t>
      </w:r>
      <w:r w:rsidRPr="00A25AE2">
        <w:rPr>
          <w:rFonts w:cs="Times New Roman"/>
        </w:rPr>
        <w:t xml:space="preserve">and that this incorporation implicitly repeals the </w:t>
      </w:r>
      <w:r w:rsidRPr="00A25AE2">
        <w:rPr>
          <w:rFonts w:cs="Times New Roman"/>
          <w:i/>
        </w:rPr>
        <w:t xml:space="preserve">1731 Act </w:t>
      </w:r>
      <w:r w:rsidRPr="00A25AE2">
        <w:rPr>
          <w:rFonts w:cs="Times New Roman"/>
        </w:rPr>
        <w:t xml:space="preserve">in respect of </w:t>
      </w:r>
      <w:r w:rsidRPr="00A25AE2">
        <w:rPr>
          <w:rFonts w:cs="Times New Roman"/>
          <w:i/>
        </w:rPr>
        <w:t xml:space="preserve">Offence Act </w:t>
      </w:r>
      <w:r w:rsidRPr="00A25AE2">
        <w:rPr>
          <w:rFonts w:cs="Times New Roman"/>
        </w:rPr>
        <w:t xml:space="preserve">proceedings. The provincial court judge erred in holding otherwise and in denying Mr. Bessette his right to a trial in French. This failure to comply with s. 530 constituted a jurisdictional error, resulting in the Provincial Court’s loss of jurisdiction over Mr. Bessette’s trial. The Supreme Court of British Columbia failed to recognize the jurisdictional nature of the provincial court judge’s ruling, its serious effects on Mr. Bessette’s language rights, and the clear benefits of adjudicating the matter pre-trial. This failure caused it to err in declining to entertain Mr. Bessette’s petition for prerogative relief. The Court of Appeal for British Columbia similarly erred in upholding the Supreme Court’s decision. </w:t>
      </w:r>
    </w:p>
    <w:p w:rsidR="00C526E4" w:rsidRPr="00A25AE2" w:rsidRDefault="00C526E4" w:rsidP="00C526E4">
      <w:pPr>
        <w:pStyle w:val="ParaNoNdepar-AltN"/>
        <w:rPr>
          <w:rFonts w:cs="Times New Roman"/>
        </w:rPr>
      </w:pPr>
      <w:r w:rsidRPr="00A25AE2">
        <w:rPr>
          <w:rFonts w:cs="Times New Roman"/>
        </w:rPr>
        <w:t>We would therefore allow the appeal, quash the order of the Provincial Court, and order that Mr. Bessette be allowed to stand trial in French.</w:t>
      </w:r>
    </w:p>
    <w:p w:rsidR="00C526E4" w:rsidRPr="00A25AE2" w:rsidRDefault="00C526E4" w:rsidP="00C526E4">
      <w:pPr>
        <w:pStyle w:val="Title1LevelTitre1Niveau-AltL"/>
        <w:rPr>
          <w:rFonts w:cs="Times New Roman"/>
          <w:u w:val="none"/>
        </w:rPr>
      </w:pPr>
      <w:r w:rsidRPr="00A25AE2">
        <w:rPr>
          <w:rFonts w:cs="Times New Roman"/>
        </w:rPr>
        <w:t>Costs</w:t>
      </w:r>
    </w:p>
    <w:p w:rsidR="00C526E4" w:rsidRPr="00A25AE2" w:rsidRDefault="00C526E4" w:rsidP="00C526E4">
      <w:pPr>
        <w:pStyle w:val="ParaNoNdepar-AltN"/>
        <w:rPr>
          <w:rStyle w:val="reflex3-alt"/>
        </w:rPr>
      </w:pPr>
      <w:r w:rsidRPr="00A25AE2">
        <w:rPr>
          <w:rFonts w:cs="Times New Roman"/>
        </w:rPr>
        <w:t xml:space="preserve">Mr. Bessette has requested that costs be awarded to him, both in this Court and the courts below. Cost awards in criminal cases are very rare, particularly in the absence of any </w:t>
      </w:r>
      <w:r w:rsidRPr="00A25AE2">
        <w:rPr>
          <w:rFonts w:cs="Times New Roman"/>
          <w:i/>
        </w:rPr>
        <w:t xml:space="preserve">Charter </w:t>
      </w:r>
      <w:r w:rsidRPr="00A25AE2">
        <w:rPr>
          <w:rFonts w:cs="Times New Roman"/>
        </w:rPr>
        <w:t>violation (</w:t>
      </w:r>
      <w:r w:rsidRPr="00A25AE2">
        <w:rPr>
          <w:rStyle w:val="Emphasis"/>
          <w:rFonts w:cs="Times New Roman"/>
        </w:rPr>
        <w:t>R. v. M. (C.A.)</w:t>
      </w:r>
      <w:r w:rsidRPr="00A25AE2">
        <w:rPr>
          <w:rStyle w:val="reflex3-block"/>
          <w:rFonts w:cs="Times New Roman"/>
        </w:rPr>
        <w:t xml:space="preserve">, </w:t>
      </w:r>
      <w:r w:rsidRPr="00A25AE2">
        <w:rPr>
          <w:rStyle w:val="reflex3-alt"/>
        </w:rPr>
        <w:t>[1996] 1 S.C.R. 500</w:t>
      </w:r>
      <w:r w:rsidRPr="00A25AE2">
        <w:rPr>
          <w:rStyle w:val="reflex3-block"/>
          <w:rFonts w:cs="Times New Roman"/>
        </w:rPr>
        <w:t xml:space="preserve">; </w:t>
      </w:r>
      <w:r w:rsidRPr="00A25AE2">
        <w:rPr>
          <w:rStyle w:val="Emphasis"/>
          <w:rFonts w:cs="Times New Roman"/>
        </w:rPr>
        <w:t>R. v. 974649 Ontario Inc.</w:t>
      </w:r>
      <w:r w:rsidRPr="00A25AE2">
        <w:rPr>
          <w:rFonts w:cs="Times New Roman"/>
        </w:rPr>
        <w:t xml:space="preserve">, 2001 SCC 81, </w:t>
      </w:r>
      <w:r w:rsidRPr="00A25AE2">
        <w:rPr>
          <w:rStyle w:val="reflex3-alt"/>
        </w:rPr>
        <w:t>[2001] 3 S.C.R. 575). Costs are typically awarded as a consequence of acts of bad faith or intentional misconduct on the part of the Crown (</w:t>
      </w:r>
      <w:r w:rsidRPr="00A25AE2">
        <w:rPr>
          <w:rStyle w:val="reflex3-alt"/>
          <w:i/>
        </w:rPr>
        <w:t>Munkonda</w:t>
      </w:r>
      <w:r w:rsidRPr="00A25AE2">
        <w:rPr>
          <w:rStyle w:val="reflex3-alt"/>
        </w:rPr>
        <w:t>,</w:t>
      </w:r>
      <w:r w:rsidRPr="00A25AE2">
        <w:rPr>
          <w:rStyle w:val="reflex3-alt"/>
          <w:i/>
        </w:rPr>
        <w:t xml:space="preserve"> </w:t>
      </w:r>
      <w:r w:rsidRPr="00A25AE2">
        <w:rPr>
          <w:rStyle w:val="reflex3-alt"/>
        </w:rPr>
        <w:t xml:space="preserve">at para. 142; </w:t>
      </w:r>
      <w:r w:rsidRPr="00A25AE2">
        <w:rPr>
          <w:rStyle w:val="reflex3-alt"/>
          <w:i/>
        </w:rPr>
        <w:t>M. (C.A.)</w:t>
      </w:r>
      <w:r w:rsidRPr="00A25AE2">
        <w:rPr>
          <w:rStyle w:val="reflex3-alt"/>
        </w:rPr>
        <w:t>,</w:t>
      </w:r>
      <w:r w:rsidRPr="00A25AE2">
        <w:rPr>
          <w:rStyle w:val="reflex3-alt"/>
          <w:i/>
        </w:rPr>
        <w:t xml:space="preserve"> </w:t>
      </w:r>
      <w:r w:rsidRPr="00A25AE2">
        <w:rPr>
          <w:rStyle w:val="reflex3-alt"/>
        </w:rPr>
        <w:t xml:space="preserve">at para. 97). This was the case in </w:t>
      </w:r>
      <w:r w:rsidRPr="00A25AE2">
        <w:rPr>
          <w:rStyle w:val="reflex3-alt"/>
          <w:i/>
        </w:rPr>
        <w:t>Munkonda</w:t>
      </w:r>
      <w:r w:rsidRPr="00290502">
        <w:rPr>
          <w:rStyle w:val="reflex3-alt"/>
        </w:rPr>
        <w:t>,</w:t>
      </w:r>
      <w:r w:rsidRPr="00A25AE2">
        <w:rPr>
          <w:rStyle w:val="reflex3-alt"/>
          <w:i/>
        </w:rPr>
        <w:t xml:space="preserve"> </w:t>
      </w:r>
      <w:r w:rsidRPr="00A25AE2">
        <w:rPr>
          <w:rStyle w:val="reflex3-alt"/>
        </w:rPr>
        <w:t xml:space="preserve">where the prosecution failed in several ways to respect the appellant’s language rights, and afforded superior treatment to the accused who had chosen to have their preliminary inquiry held in English than to the accused who had chosen to proceed in French (para. 146). </w:t>
      </w:r>
    </w:p>
    <w:p w:rsidR="00C526E4" w:rsidRPr="00A25AE2" w:rsidRDefault="00C526E4" w:rsidP="00C526E4">
      <w:pPr>
        <w:pStyle w:val="ParaNoNdepar-AltN"/>
        <w:rPr>
          <w:rStyle w:val="reflex3-alt"/>
        </w:rPr>
      </w:pPr>
      <w:r w:rsidRPr="00A25AE2">
        <w:rPr>
          <w:rStyle w:val="reflex3-alt"/>
        </w:rPr>
        <w:t xml:space="preserve">There may be unique circumstances in which an accused should recover his or her legal costs even where there is no evidence of bad faith on the part of the Crown. In </w:t>
      </w:r>
      <w:r w:rsidRPr="00A25AE2">
        <w:rPr>
          <w:rStyle w:val="reflex3-alt"/>
          <w:i/>
        </w:rPr>
        <w:t>R. v. Curragh Inc.</w:t>
      </w:r>
      <w:r w:rsidRPr="00A25AE2">
        <w:rPr>
          <w:rStyle w:val="reflex3-alt"/>
        </w:rPr>
        <w:t>,</w:t>
      </w:r>
      <w:r w:rsidRPr="00A25AE2">
        <w:rPr>
          <w:rStyle w:val="reflex3-alt"/>
          <w:i/>
        </w:rPr>
        <w:t xml:space="preserve"> </w:t>
      </w:r>
      <w:r w:rsidRPr="00A25AE2">
        <w:rPr>
          <w:rStyle w:val="reflex3-alt"/>
        </w:rPr>
        <w:t xml:space="preserve">[1997] 1 S.C.R. 537, costs were awarded to the accused as a result of delays occasioned by the words and actions of the trial judge which gave rise to an apprehension of bias (para. 13). </w:t>
      </w:r>
    </w:p>
    <w:p w:rsidR="00C526E4" w:rsidRPr="006729D1" w:rsidRDefault="00C526E4" w:rsidP="00C526E4">
      <w:pPr>
        <w:pStyle w:val="ParaNoNdepar-AltN"/>
      </w:pPr>
      <w:r w:rsidRPr="00A25AE2">
        <w:rPr>
          <w:rStyle w:val="reflex3-alt"/>
        </w:rPr>
        <w:t>In our view, the circumstances which might justify awarding costs against the Crown are not present in Mr. Bessette’s case. Consequently, we would allow the appeal without costs.</w:t>
      </w:r>
    </w:p>
    <w:p w:rsidR="00C526E4" w:rsidRDefault="00C526E4" w:rsidP="00C526E4">
      <w:pPr>
        <w:pStyle w:val="SCCNormalDoubleSpacing"/>
        <w:spacing w:after="480"/>
      </w:pPr>
      <w:r w:rsidRPr="009F090B">
        <w:rPr>
          <w:lang w:val="en-US"/>
        </w:rPr>
        <w:tab/>
      </w:r>
      <w:r w:rsidRPr="00D010C4">
        <w:rPr>
          <w:i/>
        </w:rPr>
        <w:t>Appeal</w:t>
      </w:r>
      <w:r w:rsidRPr="00D010C4">
        <w:t xml:space="preserve"> </w:t>
      </w:r>
      <w:r w:rsidRPr="00D010C4">
        <w:rPr>
          <w:i/>
        </w:rPr>
        <w:t>allowed.</w:t>
      </w:r>
    </w:p>
    <w:p w:rsidR="00C526E4" w:rsidRDefault="00C526E4" w:rsidP="00C526E4">
      <w:pPr>
        <w:pStyle w:val="SCCLawFirm"/>
        <w:spacing w:after="480"/>
      </w:pPr>
      <w:r>
        <w:tab/>
        <w:t xml:space="preserve">Solicitors for the appellant:  Power Law, Vancouver; </w:t>
      </w:r>
      <w:r w:rsidRPr="000A1C1B">
        <w:t>Martin + Associates,</w:t>
      </w:r>
      <w:r w:rsidRPr="0048538C">
        <w:t xml:space="preserve"> Vancouver.</w:t>
      </w:r>
    </w:p>
    <w:p w:rsidR="00C526E4" w:rsidRDefault="00C526E4" w:rsidP="00C526E4">
      <w:pPr>
        <w:pStyle w:val="SCCLawFirm"/>
        <w:spacing w:after="480"/>
      </w:pPr>
      <w:r>
        <w:tab/>
        <w:t>Solicitor for the respondent: Attorney General of British Columbia, Victoria.</w:t>
      </w:r>
    </w:p>
    <w:p w:rsidR="00C526E4" w:rsidRPr="0074324B" w:rsidRDefault="00C526E4" w:rsidP="00C526E4">
      <w:pPr>
        <w:pStyle w:val="SCCLawFirm"/>
        <w:spacing w:after="480"/>
        <w:rPr>
          <w:i w:val="0"/>
        </w:rPr>
      </w:pPr>
      <w:r>
        <w:tab/>
        <w:t xml:space="preserve">Solicitor for the intervener the Commissioner of Official Languages of Canada: </w:t>
      </w:r>
      <w:r>
        <w:rPr>
          <w:lang w:val="en"/>
        </w:rPr>
        <w:t>Office of the Commissioner of Official Languages, Gatineau.</w:t>
      </w:r>
    </w:p>
    <w:p w:rsidR="00C526E4" w:rsidRPr="0001072B" w:rsidRDefault="00C526E4" w:rsidP="00C526E4">
      <w:pPr>
        <w:pStyle w:val="SCCLawFirm"/>
        <w:spacing w:after="480"/>
        <w:rPr>
          <w:lang w:val="fr-CA"/>
        </w:rPr>
      </w:pPr>
      <w:r>
        <w:tab/>
      </w:r>
      <w:r>
        <w:rPr>
          <w:lang w:val="fr-CA"/>
        </w:rPr>
        <w:t>Solicitor</w:t>
      </w:r>
      <w:r w:rsidRPr="0001072B">
        <w:rPr>
          <w:lang w:val="fr-CA"/>
        </w:rPr>
        <w:t>s for the intervener Fédération des associations de juristes d</w:t>
      </w:r>
      <w:r>
        <w:rPr>
          <w:lang w:val="fr-CA"/>
        </w:rPr>
        <w:t>’</w:t>
      </w:r>
      <w:r w:rsidRPr="0001072B">
        <w:rPr>
          <w:lang w:val="fr-CA"/>
        </w:rPr>
        <w:t>expression</w:t>
      </w:r>
      <w:r>
        <w:rPr>
          <w:lang w:val="fr-CA"/>
        </w:rPr>
        <w:t xml:space="preserve"> française de common law inc.: </w:t>
      </w:r>
      <w:r w:rsidRPr="0001072B">
        <w:rPr>
          <w:lang w:val="fr-CA"/>
        </w:rPr>
        <w:t>Shapray Cramer Fitterman Lamer, Vancouver.</w:t>
      </w:r>
    </w:p>
    <w:p w:rsidR="00803999" w:rsidRPr="00C526E4" w:rsidRDefault="00803999">
      <w:pPr>
        <w:rPr>
          <w:lang w:val="fr-CA"/>
        </w:rPr>
      </w:pPr>
    </w:p>
    <w:sectPr w:rsidR="00803999" w:rsidRPr="00C526E4"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E7" w:rsidRDefault="003616E7">
      <w:r>
        <w:separator/>
      </w:r>
    </w:p>
  </w:endnote>
  <w:endnote w:type="continuationSeparator" w:id="0">
    <w:p w:rsidR="003616E7" w:rsidRDefault="0036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E7" w:rsidRDefault="003616E7">
      <w:r>
        <w:separator/>
      </w:r>
    </w:p>
  </w:footnote>
  <w:footnote w:type="continuationSeparator" w:id="0">
    <w:p w:rsidR="003616E7" w:rsidRDefault="00361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6254C70"/>
    <w:multiLevelType w:val="multilevel"/>
    <w:tmpl w:val="335C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1892E0BA"/>
    <w:lvl w:ilvl="0">
      <w:start w:val="1"/>
      <w:numFmt w:val="decimal"/>
      <w:pStyle w:val="ParaNoNdepar-AltN"/>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8A51D7"/>
    <w:multiLevelType w:val="hybridMultilevel"/>
    <w:tmpl w:val="E8E6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22E3"/>
    <w:rsid w:val="00006BC0"/>
    <w:rsid w:val="000E1BB3"/>
    <w:rsid w:val="001A67D3"/>
    <w:rsid w:val="001E73C7"/>
    <w:rsid w:val="001F38F2"/>
    <w:rsid w:val="00217A0C"/>
    <w:rsid w:val="002639B7"/>
    <w:rsid w:val="00273815"/>
    <w:rsid w:val="00286C84"/>
    <w:rsid w:val="00290502"/>
    <w:rsid w:val="00311D0D"/>
    <w:rsid w:val="003616E7"/>
    <w:rsid w:val="003936F1"/>
    <w:rsid w:val="00491D38"/>
    <w:rsid w:val="004B0141"/>
    <w:rsid w:val="004C5346"/>
    <w:rsid w:val="006248BE"/>
    <w:rsid w:val="006444D9"/>
    <w:rsid w:val="006700C1"/>
    <w:rsid w:val="006729D1"/>
    <w:rsid w:val="00724677"/>
    <w:rsid w:val="00803999"/>
    <w:rsid w:val="008C0902"/>
    <w:rsid w:val="00924E61"/>
    <w:rsid w:val="00945C66"/>
    <w:rsid w:val="009B7DF6"/>
    <w:rsid w:val="009C5626"/>
    <w:rsid w:val="00A21CF5"/>
    <w:rsid w:val="00A61C99"/>
    <w:rsid w:val="00AB1374"/>
    <w:rsid w:val="00B16155"/>
    <w:rsid w:val="00BA5D1C"/>
    <w:rsid w:val="00BE0416"/>
    <w:rsid w:val="00C526E4"/>
    <w:rsid w:val="00CB3031"/>
    <w:rsid w:val="00CB5EC4"/>
    <w:rsid w:val="00CE4E5C"/>
    <w:rsid w:val="00D16C87"/>
    <w:rsid w:val="00D452FA"/>
    <w:rsid w:val="00D650C2"/>
    <w:rsid w:val="00DD32FD"/>
    <w:rsid w:val="00F35F62"/>
    <w:rsid w:val="00F61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E4"/>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C526E4"/>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C526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526E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526E4"/>
    <w:pPr>
      <w:keepNext/>
      <w:keepLines/>
      <w:spacing w:before="40"/>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E4"/>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C526E4"/>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C526E4"/>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semiHidden/>
    <w:rsid w:val="00C526E4"/>
    <w:rPr>
      <w:rFonts w:asciiTheme="majorHAnsi" w:eastAsiaTheme="majorEastAsia" w:hAnsiTheme="majorHAnsi" w:cstheme="majorBidi"/>
      <w:i/>
      <w:iCs/>
      <w:color w:val="2E74B5" w:themeColor="accent1" w:themeShade="BF"/>
      <w:sz w:val="24"/>
      <w:szCs w:val="24"/>
      <w:lang w:eastAsia="en-CA"/>
    </w:rPr>
  </w:style>
  <w:style w:type="paragraph" w:customStyle="1" w:styleId="1">
    <w:name w:val="1"/>
    <w:aliases w:val=" 2, 3, A"/>
    <w:basedOn w:val="Normal"/>
    <w:uiPriority w:val="1"/>
    <w:rsid w:val="00C526E4"/>
    <w:pPr>
      <w:widowControl w:val="0"/>
    </w:pPr>
  </w:style>
  <w:style w:type="paragraph" w:customStyle="1" w:styleId="SCCNormalDoubleSpacing">
    <w:name w:val="SCC.Normal.DoubleSpacing"/>
    <w:basedOn w:val="Normal"/>
    <w:link w:val="SCCNormalDoubleSpacingChar"/>
    <w:rsid w:val="00C526E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526E4"/>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C526E4"/>
    <w:rPr>
      <w:b/>
      <w:bCs/>
    </w:rPr>
  </w:style>
  <w:style w:type="paragraph" w:styleId="Quote">
    <w:name w:val="Quote"/>
    <w:basedOn w:val="Normal"/>
    <w:next w:val="Normal"/>
    <w:link w:val="QuoteChar"/>
    <w:uiPriority w:val="29"/>
    <w:qFormat/>
    <w:rsid w:val="00C526E4"/>
    <w:rPr>
      <w:i/>
      <w:iCs/>
      <w:color w:val="000000" w:themeColor="text1"/>
    </w:rPr>
  </w:style>
  <w:style w:type="character" w:customStyle="1" w:styleId="QuoteChar">
    <w:name w:val="Quote Char"/>
    <w:basedOn w:val="DefaultParagraphFont"/>
    <w:link w:val="Quote"/>
    <w:uiPriority w:val="29"/>
    <w:rsid w:val="00C526E4"/>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C526E4"/>
    <w:rPr>
      <w:color w:val="808080"/>
    </w:rPr>
  </w:style>
  <w:style w:type="paragraph" w:styleId="BalloonText">
    <w:name w:val="Balloon Text"/>
    <w:basedOn w:val="Normal"/>
    <w:link w:val="BalloonTextChar"/>
    <w:uiPriority w:val="99"/>
    <w:semiHidden/>
    <w:unhideWhenUsed/>
    <w:rsid w:val="00C526E4"/>
    <w:rPr>
      <w:rFonts w:ascii="Tahoma" w:hAnsi="Tahoma" w:cs="Tahoma"/>
      <w:sz w:val="16"/>
      <w:szCs w:val="16"/>
    </w:rPr>
  </w:style>
  <w:style w:type="character" w:customStyle="1" w:styleId="BalloonTextChar">
    <w:name w:val="Balloon Text Char"/>
    <w:basedOn w:val="DefaultParagraphFont"/>
    <w:link w:val="BalloonText"/>
    <w:uiPriority w:val="99"/>
    <w:semiHidden/>
    <w:rsid w:val="00C526E4"/>
    <w:rPr>
      <w:rFonts w:ascii="Tahoma" w:eastAsia="Times New Roman" w:hAnsi="Tahoma" w:cs="Tahoma"/>
      <w:sz w:val="16"/>
      <w:szCs w:val="16"/>
      <w:lang w:eastAsia="en-CA"/>
    </w:rPr>
  </w:style>
  <w:style w:type="paragraph" w:styleId="Header">
    <w:name w:val="header"/>
    <w:basedOn w:val="Normal"/>
    <w:link w:val="HeaderChar"/>
    <w:uiPriority w:val="99"/>
    <w:unhideWhenUsed/>
    <w:rsid w:val="00C526E4"/>
    <w:pPr>
      <w:tabs>
        <w:tab w:val="center" w:pos="4680"/>
        <w:tab w:val="right" w:pos="9360"/>
      </w:tabs>
    </w:pPr>
  </w:style>
  <w:style w:type="character" w:customStyle="1" w:styleId="HeaderChar">
    <w:name w:val="Header Char"/>
    <w:basedOn w:val="DefaultParagraphFont"/>
    <w:link w:val="Header"/>
    <w:uiPriority w:val="99"/>
    <w:rsid w:val="00C526E4"/>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C526E4"/>
    <w:pPr>
      <w:tabs>
        <w:tab w:val="center" w:pos="4680"/>
        <w:tab w:val="right" w:pos="9360"/>
      </w:tabs>
    </w:pPr>
  </w:style>
  <w:style w:type="character" w:customStyle="1" w:styleId="FooterChar">
    <w:name w:val="Footer Char"/>
    <w:basedOn w:val="DefaultParagraphFont"/>
    <w:link w:val="Footer"/>
    <w:uiPriority w:val="99"/>
    <w:rsid w:val="00C526E4"/>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C526E4"/>
    <w:pPr>
      <w:tabs>
        <w:tab w:val="right" w:pos="8222"/>
      </w:tabs>
      <w:jc w:val="both"/>
    </w:pPr>
    <w:rPr>
      <w:b/>
    </w:rPr>
  </w:style>
  <w:style w:type="character" w:customStyle="1" w:styleId="SCCLsocPartyChar">
    <w:name w:val="SCC.Lsoc.Party Char"/>
    <w:basedOn w:val="DefaultParagraphFont"/>
    <w:link w:val="SCCLsocParty"/>
    <w:rsid w:val="00C526E4"/>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C526E4"/>
    <w:pPr>
      <w:spacing w:after="720"/>
    </w:pPr>
    <w:rPr>
      <w:i/>
    </w:rPr>
  </w:style>
  <w:style w:type="character" w:customStyle="1" w:styleId="SCCLsocVersusChar">
    <w:name w:val="SCC.Lsoc.Versus Char"/>
    <w:basedOn w:val="DefaultParagraphFont"/>
    <w:link w:val="SCCLsocVersus"/>
    <w:rsid w:val="00C526E4"/>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C526E4"/>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C526E4"/>
    <w:pPr>
      <w:spacing w:after="720"/>
    </w:pPr>
  </w:style>
  <w:style w:type="character" w:customStyle="1" w:styleId="SCCLsocSubfileSeparatorChar">
    <w:name w:val="SCC.Lsoc.SubfileSeparator Char"/>
    <w:basedOn w:val="DefaultParagraphFont"/>
    <w:link w:val="SCCLsocSubfileSeparator"/>
    <w:rsid w:val="00C526E4"/>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C526E4"/>
    <w:pPr>
      <w:spacing w:after="720"/>
    </w:pPr>
  </w:style>
  <w:style w:type="character" w:customStyle="1" w:styleId="SCCLsocOtherPartySeparatorChar">
    <w:name w:val="SCC.Lsoc.OtherPartySeparator Char"/>
    <w:basedOn w:val="DefaultParagraphFont"/>
    <w:link w:val="SCCLsocOtherPartySeparator"/>
    <w:rsid w:val="00C526E4"/>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C526E4"/>
    <w:pPr>
      <w:jc w:val="right"/>
    </w:pPr>
    <w:rPr>
      <w:b/>
    </w:rPr>
  </w:style>
  <w:style w:type="paragraph" w:customStyle="1" w:styleId="SCCAppellantForRunningHead">
    <w:name w:val="SCC.AppellantForRunningHead"/>
    <w:basedOn w:val="Normal"/>
    <w:next w:val="Normal"/>
    <w:link w:val="SCCAppellantForRunningHeadChar"/>
    <w:rsid w:val="00C526E4"/>
    <w:rPr>
      <w:smallCaps/>
    </w:rPr>
  </w:style>
  <w:style w:type="character" w:customStyle="1" w:styleId="SCCAppellantForRunningHeadChar">
    <w:name w:val="SCC.AppellantForRunningHead Char"/>
    <w:basedOn w:val="DefaultParagraphFont"/>
    <w:link w:val="SCCAppellantForRunningHead"/>
    <w:rsid w:val="00C526E4"/>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C526E4"/>
    <w:rPr>
      <w:smallCaps/>
    </w:rPr>
  </w:style>
  <w:style w:type="character" w:customStyle="1" w:styleId="SCCRespondentForRunningHeadChar">
    <w:name w:val="SCC.RespondentForRunningHead Char"/>
    <w:basedOn w:val="DefaultParagraphFont"/>
    <w:link w:val="SCCRespondentForRunningHead"/>
    <w:rsid w:val="00C526E4"/>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C526E4"/>
    <w:rPr>
      <w:b/>
    </w:rPr>
  </w:style>
  <w:style w:type="character" w:customStyle="1" w:styleId="SCCAppellantForIndexChar">
    <w:name w:val="SCC.AppellantForIndex Char"/>
    <w:basedOn w:val="DefaultParagraphFont"/>
    <w:link w:val="SCCAppellantForIndex"/>
    <w:rsid w:val="00C526E4"/>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C526E4"/>
    <w:rPr>
      <w:b/>
    </w:rPr>
  </w:style>
  <w:style w:type="character" w:customStyle="1" w:styleId="SCCRespondentForIndexChar">
    <w:name w:val="SCC.RespondentForIndex Char"/>
    <w:basedOn w:val="DefaultParagraphFont"/>
    <w:link w:val="SCCRespondentForIndex"/>
    <w:rsid w:val="00C526E4"/>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C526E4"/>
    <w:rPr>
      <w:b/>
    </w:rPr>
  </w:style>
  <w:style w:type="character" w:customStyle="1" w:styleId="SCCSystemYearChar">
    <w:name w:val="SCC.SystemYear Char"/>
    <w:basedOn w:val="DefaultParagraphFont"/>
    <w:link w:val="SCCSystemYear"/>
    <w:rsid w:val="00C526E4"/>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C526E4"/>
    <w:rPr>
      <w:smallCaps/>
    </w:rPr>
  </w:style>
  <w:style w:type="paragraph" w:customStyle="1" w:styleId="SCCCounselName">
    <w:name w:val="SCC.CounselName"/>
    <w:basedOn w:val="SCCNormalDoubleSpacing"/>
    <w:next w:val="SCCNormalDoubleSpacing"/>
    <w:link w:val="SCCCounselNameChar"/>
    <w:rsid w:val="00C526E4"/>
    <w:rPr>
      <w:i/>
    </w:rPr>
  </w:style>
  <w:style w:type="character" w:customStyle="1" w:styleId="SCCCounselNameChar">
    <w:name w:val="SCC.CounselName Char"/>
    <w:basedOn w:val="SCCNormalDoubleSpacingChar"/>
    <w:link w:val="SCCCounselName"/>
    <w:rsid w:val="00C526E4"/>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C526E4"/>
    <w:rPr>
      <w:i/>
    </w:rPr>
  </w:style>
  <w:style w:type="paragraph" w:customStyle="1" w:styleId="SCCAppellantForCitation">
    <w:name w:val="SCC.AppellantForCitation"/>
    <w:basedOn w:val="Normal"/>
    <w:next w:val="Normal"/>
    <w:link w:val="SCCAppellantForCitationChar"/>
    <w:rsid w:val="00C526E4"/>
    <w:rPr>
      <w:i/>
    </w:rPr>
  </w:style>
  <w:style w:type="character" w:customStyle="1" w:styleId="SCCAppellantForCitationChar">
    <w:name w:val="SCC.AppellantForCitation Char"/>
    <w:basedOn w:val="DefaultParagraphFont"/>
    <w:link w:val="SCCAppellantForCitation"/>
    <w:rsid w:val="00C526E4"/>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C526E4"/>
    <w:rPr>
      <w:i/>
    </w:rPr>
  </w:style>
  <w:style w:type="character" w:customStyle="1" w:styleId="SCCRespondentForCitationChar">
    <w:name w:val="SCC.RespondentForCitation Char"/>
    <w:basedOn w:val="DefaultParagraphFont"/>
    <w:link w:val="SCCRespondentForCitation"/>
    <w:rsid w:val="00C526E4"/>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C526E4"/>
  </w:style>
  <w:style w:type="character" w:customStyle="1" w:styleId="SCCCounselSeparatorChar">
    <w:name w:val="SCC.CounselSeparator Char"/>
    <w:basedOn w:val="SCCNormalDoubleSpacingChar"/>
    <w:link w:val="SCCCounselSeparator"/>
    <w:rsid w:val="00C526E4"/>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C526E4"/>
  </w:style>
  <w:style w:type="character" w:customStyle="1" w:styleId="SCCPartyRoleChar">
    <w:name w:val="SCC.PartyRole Char"/>
    <w:basedOn w:val="SCCNormalDoubleSpacingChar"/>
    <w:link w:val="SCCPartyRole"/>
    <w:rsid w:val="00C526E4"/>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C526E4"/>
    <w:rPr>
      <w:i/>
    </w:rPr>
  </w:style>
  <w:style w:type="character" w:customStyle="1" w:styleId="SCCLawFirmChar">
    <w:name w:val="SCC.LawFirm Char"/>
    <w:basedOn w:val="SCCNormalDoubleSpacingChar"/>
    <w:link w:val="SCCLawFirm"/>
    <w:rsid w:val="00C526E4"/>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C526E4"/>
  </w:style>
  <w:style w:type="character" w:customStyle="1" w:styleId="SCCCounselPartyRoleChar">
    <w:name w:val="SCC.CounselPartyRole Char"/>
    <w:basedOn w:val="SCCNormalDoubleSpacingChar"/>
    <w:link w:val="SCCCounselPartyRole"/>
    <w:rsid w:val="00C526E4"/>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C526E4"/>
    <w:pPr>
      <w:tabs>
        <w:tab w:val="right" w:pos="8222"/>
      </w:tabs>
      <w:spacing w:after="720"/>
    </w:pPr>
    <w:rPr>
      <w:b/>
    </w:rPr>
  </w:style>
  <w:style w:type="character" w:customStyle="1" w:styleId="SCCLsocLastPartyInRoleChar">
    <w:name w:val="SCC.Lsoc.LastPartyInRole Char"/>
    <w:basedOn w:val="SCCLsocPartyChar"/>
    <w:link w:val="SCCLsocLastPartyInRole"/>
    <w:rsid w:val="00C526E4"/>
    <w:rPr>
      <w:rFonts w:ascii="Times New Roman" w:eastAsia="Times New Roman" w:hAnsi="Times New Roman" w:cs="Times New Roman"/>
      <w:b/>
      <w:sz w:val="24"/>
      <w:szCs w:val="20"/>
      <w:lang w:eastAsia="en-CA"/>
    </w:rPr>
  </w:style>
  <w:style w:type="character" w:customStyle="1" w:styleId="reflex3-block">
    <w:name w:val="reflex3-block"/>
    <w:basedOn w:val="DefaultParagraphFont"/>
    <w:rsid w:val="00C526E4"/>
  </w:style>
  <w:style w:type="character" w:customStyle="1" w:styleId="reflex3-alt">
    <w:name w:val="reflex3-alt"/>
    <w:basedOn w:val="DefaultParagraphFont"/>
    <w:rsid w:val="00C526E4"/>
  </w:style>
  <w:style w:type="character" w:styleId="Emphasis">
    <w:name w:val="Emphasis"/>
    <w:basedOn w:val="DefaultParagraphFont"/>
    <w:uiPriority w:val="20"/>
    <w:qFormat/>
    <w:rsid w:val="00C526E4"/>
    <w:rPr>
      <w:i/>
      <w:iCs/>
    </w:rPr>
  </w:style>
  <w:style w:type="paragraph" w:customStyle="1" w:styleId="ParaNoNdepar-AltN">
    <w:name w:val="Para. No. / Nº de par. - Alt N"/>
    <w:qFormat/>
    <w:rsid w:val="00C526E4"/>
    <w:pPr>
      <w:numPr>
        <w:numId w:val="1"/>
      </w:numPr>
      <w:spacing w:before="480" w:after="480" w:line="480" w:lineRule="auto"/>
      <w:jc w:val="both"/>
    </w:pPr>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C526E4"/>
    <w:pPr>
      <w:spacing w:after="480"/>
    </w:pPr>
    <w:rPr>
      <w:rFonts w:eastAsiaTheme="minorHAnsi" w:cstheme="minorBidi"/>
      <w:szCs w:val="22"/>
      <w:lang w:eastAsia="en-US"/>
    </w:rPr>
  </w:style>
  <w:style w:type="paragraph" w:customStyle="1" w:styleId="SCCCoram">
    <w:name w:val="SCC.Coram"/>
    <w:basedOn w:val="Normal"/>
    <w:next w:val="Normal"/>
    <w:link w:val="SCCCoramChar"/>
    <w:rsid w:val="00C526E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526E4"/>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C526E4"/>
    <w:rPr>
      <w:rFonts w:ascii="Times New Roman" w:hAnsi="Times New Roman"/>
      <w:sz w:val="24"/>
    </w:rPr>
  </w:style>
  <w:style w:type="character" w:customStyle="1" w:styleId="SCCBanSummaryChar">
    <w:name w:val="SCC.BanSummary Char"/>
    <w:basedOn w:val="DefaultParagraphFont"/>
    <w:link w:val="SCCBanSummary"/>
    <w:rsid w:val="00C526E4"/>
    <w:rPr>
      <w:rFonts w:ascii="Times New Roman" w:eastAsia="Times New Roman" w:hAnsi="Times New Roman" w:cs="Times New Roman"/>
      <w:b/>
      <w:sz w:val="24"/>
      <w:szCs w:val="20"/>
      <w:lang w:eastAsia="en-CA"/>
    </w:rPr>
  </w:style>
  <w:style w:type="table" w:styleId="TableGrid">
    <w:name w:val="Table Grid"/>
    <w:basedOn w:val="TableNormal"/>
    <w:uiPriority w:val="59"/>
    <w:rsid w:val="00C526E4"/>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526E4"/>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C526E4"/>
    <w:pPr>
      <w:spacing w:before="480" w:after="480" w:line="480" w:lineRule="auto"/>
      <w:jc w:val="both"/>
    </w:pPr>
    <w:rPr>
      <w:rFonts w:ascii="Times New Roman" w:hAnsi="Times New Roman"/>
      <w:sz w:val="24"/>
    </w:rPr>
  </w:style>
  <w:style w:type="paragraph" w:customStyle="1" w:styleId="JudgeJuge">
    <w:name w:val="Judge / Juge"/>
    <w:uiPriority w:val="3"/>
    <w:rsid w:val="00C526E4"/>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C526E4"/>
    <w:pPr>
      <w:numPr>
        <w:numId w:val="7"/>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C526E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526E4"/>
    <w:pPr>
      <w:numPr>
        <w:ilvl w:val="2"/>
      </w:numPr>
      <w:outlineLvl w:val="2"/>
    </w:pPr>
  </w:style>
  <w:style w:type="paragraph" w:customStyle="1" w:styleId="Title4LevelTitre4Niveau">
    <w:name w:val="Title 4 Level / Titre 4 Niveau"/>
    <w:basedOn w:val="Title3LevelTitre3Niveau"/>
    <w:next w:val="ParaNoNdepar-AltN"/>
    <w:uiPriority w:val="4"/>
    <w:qFormat/>
    <w:rsid w:val="00C526E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526E4"/>
    <w:pPr>
      <w:numPr>
        <w:ilvl w:val="4"/>
      </w:numPr>
      <w:outlineLvl w:val="4"/>
    </w:pPr>
  </w:style>
  <w:style w:type="paragraph" w:styleId="TOC1">
    <w:name w:val="toc 1"/>
    <w:basedOn w:val="Normal"/>
    <w:next w:val="Normal"/>
    <w:autoRedefine/>
    <w:uiPriority w:val="39"/>
    <w:unhideWhenUsed/>
    <w:rsid w:val="00C526E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526E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526E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526E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526E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526E4"/>
    <w:pPr>
      <w:tabs>
        <w:tab w:val="left" w:pos="2160"/>
        <w:tab w:val="right" w:leader="dot" w:pos="8270"/>
      </w:tabs>
      <w:spacing w:after="100"/>
      <w:ind w:left="1800"/>
    </w:pPr>
    <w:rPr>
      <w:noProof/>
    </w:rPr>
  </w:style>
  <w:style w:type="table" w:customStyle="1" w:styleId="TableGrid1">
    <w:name w:val="Table Grid1"/>
    <w:basedOn w:val="TableNormal"/>
    <w:uiPriority w:val="59"/>
    <w:rsid w:val="00C526E4"/>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526E4"/>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C526E4"/>
    <w:pPr>
      <w:numPr>
        <w:ilvl w:val="5"/>
      </w:numPr>
      <w:outlineLvl w:val="5"/>
    </w:pPr>
    <w:rPr>
      <w:i/>
      <w:u w:val="none"/>
    </w:rPr>
  </w:style>
  <w:style w:type="paragraph" w:styleId="FootnoteText">
    <w:name w:val="footnote text"/>
    <w:basedOn w:val="Normal"/>
    <w:link w:val="FootnoteTextChar"/>
    <w:uiPriority w:val="99"/>
    <w:unhideWhenUsed/>
    <w:rsid w:val="00C526E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526E4"/>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C526E4"/>
    <w:rPr>
      <w:vertAlign w:val="superscript"/>
    </w:rPr>
  </w:style>
  <w:style w:type="character" w:styleId="Hyperlink">
    <w:name w:val="Hyperlink"/>
    <w:basedOn w:val="DefaultParagraphFont"/>
    <w:uiPriority w:val="99"/>
    <w:unhideWhenUsed/>
    <w:rsid w:val="00C526E4"/>
    <w:rPr>
      <w:color w:val="0563C1" w:themeColor="hyperlink"/>
      <w:u w:val="single"/>
    </w:rPr>
  </w:style>
  <w:style w:type="character" w:customStyle="1" w:styleId="secnumholder">
    <w:name w:val="secnumholder"/>
    <w:basedOn w:val="DefaultParagraphFont"/>
    <w:rsid w:val="00C526E4"/>
  </w:style>
  <w:style w:type="character" w:customStyle="1" w:styleId="canliisection">
    <w:name w:val="canlii_section"/>
    <w:basedOn w:val="DefaultParagraphFont"/>
    <w:rsid w:val="00C526E4"/>
  </w:style>
  <w:style w:type="character" w:customStyle="1" w:styleId="holder2">
    <w:name w:val="holder2"/>
    <w:basedOn w:val="DefaultParagraphFont"/>
    <w:rsid w:val="00C526E4"/>
  </w:style>
  <w:style w:type="character" w:styleId="CommentReference">
    <w:name w:val="annotation reference"/>
    <w:basedOn w:val="DefaultParagraphFont"/>
    <w:uiPriority w:val="99"/>
    <w:semiHidden/>
    <w:unhideWhenUsed/>
    <w:rsid w:val="00C526E4"/>
    <w:rPr>
      <w:sz w:val="16"/>
      <w:szCs w:val="16"/>
    </w:rPr>
  </w:style>
  <w:style w:type="paragraph" w:styleId="CommentText">
    <w:name w:val="annotation text"/>
    <w:basedOn w:val="Normal"/>
    <w:link w:val="CommentTextChar"/>
    <w:uiPriority w:val="99"/>
    <w:semiHidden/>
    <w:unhideWhenUsed/>
    <w:rsid w:val="00C526E4"/>
    <w:rPr>
      <w:sz w:val="20"/>
    </w:rPr>
  </w:style>
  <w:style w:type="character" w:customStyle="1" w:styleId="CommentTextChar">
    <w:name w:val="Comment Text Char"/>
    <w:basedOn w:val="DefaultParagraphFont"/>
    <w:link w:val="CommentText"/>
    <w:uiPriority w:val="99"/>
    <w:semiHidden/>
    <w:rsid w:val="00C526E4"/>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526E4"/>
    <w:rPr>
      <w:b/>
      <w:bCs/>
    </w:rPr>
  </w:style>
  <w:style w:type="character" w:customStyle="1" w:styleId="CommentSubjectChar">
    <w:name w:val="Comment Subject Char"/>
    <w:basedOn w:val="CommentTextChar"/>
    <w:link w:val="CommentSubject"/>
    <w:uiPriority w:val="99"/>
    <w:semiHidden/>
    <w:rsid w:val="00C526E4"/>
    <w:rPr>
      <w:rFonts w:ascii="Times New Roman" w:eastAsia="Times New Roman" w:hAnsi="Times New Roman" w:cs="Times New Roman"/>
      <w:b/>
      <w:bCs/>
      <w:sz w:val="20"/>
      <w:szCs w:val="20"/>
      <w:lang w:eastAsia="en-CA"/>
    </w:rPr>
  </w:style>
  <w:style w:type="table" w:customStyle="1" w:styleId="TableGrid2">
    <w:name w:val="Table Grid2"/>
    <w:basedOn w:val="TableNormal"/>
    <w:next w:val="TableGrid"/>
    <w:uiPriority w:val="59"/>
    <w:rsid w:val="00C526E4"/>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248BE"/>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248BE"/>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11788</Words>
  <Characters>67193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3</cp:revision>
  <dcterms:created xsi:type="dcterms:W3CDTF">2021-02-28T20:27:00Z</dcterms:created>
  <dcterms:modified xsi:type="dcterms:W3CDTF">2021-03-01T18:58:00Z</dcterms:modified>
</cp:coreProperties>
</file>