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EF2" w:rsidRPr="001C7EF2" w:rsidRDefault="001C7EF2" w:rsidP="003C72DB">
      <w:pPr>
        <w:tabs>
          <w:tab w:val="center" w:pos="4680"/>
          <w:tab w:val="right" w:pos="9360"/>
        </w:tabs>
        <w:jc w:val="center"/>
        <w:rPr>
          <w:rFonts w:eastAsia="Calibri"/>
          <w:szCs w:val="24"/>
          <w:lang w:eastAsia="en-US"/>
        </w:rPr>
      </w:pPr>
      <w:r w:rsidRPr="001C7EF2">
        <w:rPr>
          <w:rFonts w:eastAsia="Calibri"/>
          <w:szCs w:val="24"/>
          <w:lang w:eastAsia="en-US"/>
        </w:rPr>
        <w:ptab w:relativeTo="margin" w:alignment="center" w:leader="none"/>
      </w:r>
      <w:r w:rsidRPr="001C7EF2">
        <w:rPr>
          <w:rFonts w:eastAsia="Calibri"/>
          <w:szCs w:val="24"/>
          <w:lang w:eastAsia="en-US"/>
        </w:rPr>
        <w:t xml:space="preserve"> </w:t>
      </w:r>
      <w:bookmarkStart w:id="0" w:name="_GoBack"/>
      <w:r w:rsidRPr="001C7EF2">
        <w:rPr>
          <w:rFonts w:eastAsia="Calibr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64.8pt" o:ole="">
            <v:imagedata r:id="rId6" o:title=""/>
          </v:shape>
          <o:OLEObject Type="Embed" ProgID="Presentations.Drawing.13" ShapeID="_x0000_i1025" DrawAspect="Content" ObjectID="_1676112631" r:id="rId7"/>
        </w:object>
      </w:r>
      <w:bookmarkEnd w:id="0"/>
      <w:r w:rsidRPr="001C7EF2">
        <w:rPr>
          <w:rFonts w:eastAsia="Calibri"/>
          <w:szCs w:val="24"/>
          <w:lang w:eastAsia="en-US"/>
        </w:rPr>
        <w:t xml:space="preserve"> </w:t>
      </w:r>
      <w:r w:rsidRPr="001C7EF2">
        <w:rPr>
          <w:rFonts w:eastAsia="Calibri"/>
          <w:szCs w:val="24"/>
          <w:lang w:eastAsia="en-US"/>
        </w:rPr>
        <w:ptab w:relativeTo="margin" w:alignment="right" w:leader="none"/>
      </w:r>
    </w:p>
    <w:p w:rsidR="001C7EF2" w:rsidRPr="001C7EF2" w:rsidRDefault="001C7EF2" w:rsidP="001C7EF2">
      <w:pPr>
        <w:tabs>
          <w:tab w:val="center" w:pos="4680"/>
          <w:tab w:val="right" w:pos="9360"/>
        </w:tabs>
        <w:rPr>
          <w:rFonts w:eastAsia="Calibri"/>
          <w:szCs w:val="24"/>
          <w:lang w:eastAsia="en-US"/>
        </w:rPr>
      </w:pPr>
    </w:p>
    <w:p w:rsidR="001C7EF2" w:rsidRPr="001C7EF2" w:rsidRDefault="001C7EF2" w:rsidP="001C7EF2">
      <w:pPr>
        <w:jc w:val="center"/>
        <w:rPr>
          <w:rFonts w:eastAsia="Calibri"/>
          <w:b/>
          <w:szCs w:val="24"/>
          <w:lang w:eastAsia="en-US"/>
        </w:rPr>
      </w:pPr>
      <w:r w:rsidRPr="001C7EF2">
        <w:rPr>
          <w:rFonts w:eastAsia="Calibri"/>
          <w:b/>
          <w:szCs w:val="24"/>
          <w:lang w:eastAsia="en-US"/>
        </w:rPr>
        <w:t>SUPREME COURT OF CANADA</w:t>
      </w:r>
    </w:p>
    <w:p w:rsidR="001C7EF2" w:rsidRPr="001C7EF2" w:rsidRDefault="001C7EF2" w:rsidP="001C7EF2">
      <w:pPr>
        <w:rPr>
          <w:rFonts w:eastAsia="Calibri"/>
          <w:szCs w:val="24"/>
          <w:lang w:eastAsia="en-US"/>
        </w:rPr>
      </w:pPr>
    </w:p>
    <w:tbl>
      <w:tblPr>
        <w:tblStyle w:val="TableGrid11"/>
        <w:tblW w:w="53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761"/>
        <w:gridCol w:w="1756"/>
        <w:gridCol w:w="3387"/>
      </w:tblGrid>
      <w:tr w:rsidR="001C7EF2" w:rsidRPr="001C7EF2" w:rsidTr="00FD0877">
        <w:tc>
          <w:tcPr>
            <w:tcW w:w="2112" w:type="pct"/>
            <w:tcMar>
              <w:top w:w="284" w:type="dxa"/>
            </w:tcMar>
          </w:tcPr>
          <w:p w:rsidR="001C7EF2" w:rsidRPr="001C7EF2" w:rsidRDefault="001C7EF2" w:rsidP="001C7EF2">
            <w:pPr>
              <w:spacing w:before="100" w:beforeAutospacing="1"/>
              <w:rPr>
                <w:rFonts w:eastAsia="Calibri"/>
                <w:szCs w:val="24"/>
                <w:lang w:val="fr-CA"/>
              </w:rPr>
            </w:pPr>
            <w:r w:rsidRPr="001C7EF2">
              <w:rPr>
                <w:b/>
                <w:smallCaps/>
                <w:szCs w:val="24"/>
                <w:lang w:val="fr-CA"/>
              </w:rPr>
              <w:t>Citation:</w:t>
            </w:r>
            <w:r w:rsidRPr="001C7EF2">
              <w:rPr>
                <w:szCs w:val="24"/>
                <w:lang w:val="fr-CA"/>
              </w:rPr>
              <w:t xml:space="preserve"> </w:t>
            </w:r>
            <w:r w:rsidRPr="001C7EF2">
              <w:rPr>
                <w:rFonts w:eastAsia="Calibri"/>
                <w:lang w:val="fr-CA"/>
              </w:rPr>
              <w:t>R.</w:t>
            </w:r>
            <w:r w:rsidRPr="001C7EF2">
              <w:rPr>
                <w:szCs w:val="24"/>
                <w:lang w:val="fr-CA"/>
              </w:rPr>
              <w:t xml:space="preserve"> </w:t>
            </w:r>
            <w:r w:rsidRPr="001C7EF2">
              <w:rPr>
                <w:i/>
                <w:szCs w:val="24"/>
                <w:lang w:val="fr-CA"/>
              </w:rPr>
              <w:t>v.</w:t>
            </w:r>
            <w:r w:rsidRPr="001C7EF2">
              <w:rPr>
                <w:szCs w:val="24"/>
                <w:lang w:val="fr-CA"/>
              </w:rPr>
              <w:t xml:space="preserve"> </w:t>
            </w:r>
            <w:r w:rsidRPr="001C7EF2">
              <w:rPr>
                <w:rFonts w:eastAsia="Calibri"/>
                <w:lang w:val="fr-CA"/>
              </w:rPr>
              <w:t>Omar</w:t>
            </w:r>
            <w:r w:rsidRPr="001C7EF2">
              <w:rPr>
                <w:rFonts w:eastAsia="Calibri"/>
                <w:smallCaps/>
                <w:lang w:val="fr-CA"/>
              </w:rPr>
              <w:t>, 2019 SCC 32, [2019] 2 S.C.R. 576</w:t>
            </w:r>
          </w:p>
        </w:tc>
        <w:tc>
          <w:tcPr>
            <w:tcW w:w="986" w:type="pct"/>
          </w:tcPr>
          <w:p w:rsidR="001C7EF2" w:rsidRPr="001C7EF2" w:rsidRDefault="001C7EF2" w:rsidP="001C7EF2">
            <w:pPr>
              <w:rPr>
                <w:b/>
                <w:smallCaps/>
                <w:szCs w:val="24"/>
                <w:lang w:val="fr-CA"/>
              </w:rPr>
            </w:pPr>
          </w:p>
        </w:tc>
        <w:tc>
          <w:tcPr>
            <w:tcW w:w="1902" w:type="pct"/>
            <w:tcMar>
              <w:top w:w="284" w:type="dxa"/>
            </w:tcMar>
          </w:tcPr>
          <w:p w:rsidR="001C7EF2" w:rsidRPr="001C7EF2" w:rsidRDefault="001C7EF2" w:rsidP="001C7EF2">
            <w:pPr>
              <w:rPr>
                <w:szCs w:val="24"/>
              </w:rPr>
            </w:pPr>
            <w:r w:rsidRPr="001C7EF2">
              <w:rPr>
                <w:b/>
                <w:smallCaps/>
                <w:szCs w:val="24"/>
              </w:rPr>
              <w:t>Appeal Heard:</w:t>
            </w:r>
            <w:r w:rsidRPr="001C7EF2">
              <w:rPr>
                <w:szCs w:val="24"/>
              </w:rPr>
              <w:t xml:space="preserve"> May 22, 2019</w:t>
            </w:r>
          </w:p>
          <w:p w:rsidR="001C7EF2" w:rsidRPr="001C7EF2" w:rsidRDefault="001C7EF2" w:rsidP="001C7EF2">
            <w:pPr>
              <w:rPr>
                <w:szCs w:val="24"/>
              </w:rPr>
            </w:pPr>
            <w:r w:rsidRPr="001C7EF2">
              <w:rPr>
                <w:b/>
                <w:smallCaps/>
                <w:szCs w:val="24"/>
              </w:rPr>
              <w:t>Judgment Rendered:</w:t>
            </w:r>
            <w:r w:rsidRPr="001C7EF2">
              <w:rPr>
                <w:szCs w:val="24"/>
              </w:rPr>
              <w:t xml:space="preserve"> May 22, 2019</w:t>
            </w:r>
          </w:p>
          <w:p w:rsidR="001C7EF2" w:rsidRPr="001C7EF2" w:rsidRDefault="001C7EF2" w:rsidP="001C7EF2">
            <w:pPr>
              <w:rPr>
                <w:szCs w:val="24"/>
              </w:rPr>
            </w:pPr>
            <w:r w:rsidRPr="001C7EF2">
              <w:rPr>
                <w:b/>
                <w:smallCaps/>
                <w:szCs w:val="24"/>
              </w:rPr>
              <w:t>Docket:</w:t>
            </w:r>
            <w:r w:rsidRPr="001C7EF2">
              <w:rPr>
                <w:szCs w:val="24"/>
              </w:rPr>
              <w:t xml:space="preserve"> 38461</w:t>
            </w:r>
          </w:p>
        </w:tc>
      </w:tr>
    </w:tbl>
    <w:p w:rsidR="001C7EF2" w:rsidRPr="001C7EF2" w:rsidRDefault="001C7EF2" w:rsidP="001C7EF2">
      <w:pPr>
        <w:rPr>
          <w:rFonts w:eastAsia="Calibri"/>
          <w:szCs w:val="24"/>
          <w:lang w:eastAsia="en-US"/>
        </w:rPr>
      </w:pPr>
    </w:p>
    <w:p w:rsidR="001C7EF2" w:rsidRPr="001C7EF2" w:rsidRDefault="001C7EF2" w:rsidP="001C7EF2">
      <w:pPr>
        <w:rPr>
          <w:rFonts w:eastAsia="Calibri"/>
          <w:b/>
          <w:smallCaps/>
          <w:szCs w:val="24"/>
          <w:lang w:eastAsia="en-US"/>
        </w:rPr>
      </w:pPr>
      <w:r w:rsidRPr="001C7EF2">
        <w:rPr>
          <w:rFonts w:eastAsia="Calibri"/>
          <w:b/>
          <w:smallCaps/>
          <w:szCs w:val="24"/>
          <w:lang w:eastAsia="en-US"/>
        </w:rPr>
        <w:t>Between:</w:t>
      </w:r>
    </w:p>
    <w:p w:rsidR="001C7EF2" w:rsidRPr="001C7EF2" w:rsidRDefault="001C7EF2" w:rsidP="001C7EF2">
      <w:pPr>
        <w:jc w:val="center"/>
        <w:rPr>
          <w:rFonts w:eastAsia="Calibri"/>
          <w:b/>
          <w:szCs w:val="24"/>
          <w:lang w:eastAsia="en-US"/>
        </w:rPr>
      </w:pPr>
      <w:r w:rsidRPr="001C7EF2">
        <w:rPr>
          <w:rFonts w:eastAsia="Calibri"/>
          <w:b/>
          <w:szCs w:val="24"/>
          <w:lang w:val="en-US" w:eastAsia="en-US"/>
        </w:rPr>
        <w:t xml:space="preserve">Her Majesty </w:t>
      </w:r>
      <w:proofErr w:type="gramStart"/>
      <w:r w:rsidRPr="001C7EF2">
        <w:rPr>
          <w:rFonts w:eastAsia="Calibri"/>
          <w:b/>
          <w:szCs w:val="24"/>
          <w:lang w:val="en-US" w:eastAsia="en-US"/>
        </w:rPr>
        <w:t>The</w:t>
      </w:r>
      <w:proofErr w:type="gramEnd"/>
      <w:r w:rsidRPr="001C7EF2">
        <w:rPr>
          <w:rFonts w:eastAsia="Calibri"/>
          <w:b/>
          <w:szCs w:val="24"/>
          <w:lang w:val="en-US" w:eastAsia="en-US"/>
        </w:rPr>
        <w:t xml:space="preserve"> Queen</w:t>
      </w:r>
    </w:p>
    <w:p w:rsidR="001C7EF2" w:rsidRPr="001C7EF2" w:rsidRDefault="001C7EF2" w:rsidP="001C7EF2">
      <w:pPr>
        <w:jc w:val="center"/>
        <w:rPr>
          <w:rFonts w:eastAsia="Calibri"/>
          <w:szCs w:val="24"/>
          <w:lang w:eastAsia="en-US"/>
        </w:rPr>
      </w:pPr>
      <w:r w:rsidRPr="001C7EF2">
        <w:rPr>
          <w:rFonts w:eastAsia="Calibri"/>
          <w:szCs w:val="24"/>
          <w:lang w:eastAsia="en-US"/>
        </w:rPr>
        <w:t>Appellant</w:t>
      </w:r>
    </w:p>
    <w:p w:rsidR="001C7EF2" w:rsidRPr="001C7EF2" w:rsidRDefault="001C7EF2" w:rsidP="001C7EF2">
      <w:pPr>
        <w:rPr>
          <w:rFonts w:eastAsia="Calibri"/>
          <w:szCs w:val="24"/>
          <w:lang w:eastAsia="en-US"/>
        </w:rPr>
      </w:pPr>
    </w:p>
    <w:p w:rsidR="001C7EF2" w:rsidRPr="001C7EF2" w:rsidRDefault="001C7EF2" w:rsidP="001C7EF2">
      <w:pPr>
        <w:jc w:val="center"/>
        <w:rPr>
          <w:rFonts w:eastAsia="Calibri"/>
          <w:szCs w:val="24"/>
          <w:lang w:eastAsia="en-US"/>
        </w:rPr>
      </w:pPr>
      <w:proofErr w:type="gramStart"/>
      <w:r w:rsidRPr="001C7EF2">
        <w:rPr>
          <w:rFonts w:eastAsia="Calibri"/>
          <w:szCs w:val="24"/>
          <w:lang w:eastAsia="en-US"/>
        </w:rPr>
        <w:t>and</w:t>
      </w:r>
      <w:proofErr w:type="gramEnd"/>
    </w:p>
    <w:p w:rsidR="001C7EF2" w:rsidRPr="001C7EF2" w:rsidRDefault="001C7EF2" w:rsidP="001C7EF2">
      <w:pPr>
        <w:rPr>
          <w:rFonts w:eastAsia="Calibri"/>
          <w:szCs w:val="24"/>
          <w:lang w:eastAsia="en-US"/>
        </w:rPr>
      </w:pPr>
    </w:p>
    <w:p w:rsidR="001C7EF2" w:rsidRPr="001C7EF2" w:rsidRDefault="001C7EF2" w:rsidP="001C7EF2">
      <w:pPr>
        <w:jc w:val="center"/>
        <w:rPr>
          <w:rFonts w:eastAsia="Calibri"/>
          <w:b/>
          <w:szCs w:val="24"/>
          <w:lang w:eastAsia="en-US"/>
        </w:rPr>
      </w:pPr>
      <w:r w:rsidRPr="001C7EF2">
        <w:rPr>
          <w:rFonts w:eastAsia="Calibri"/>
          <w:b/>
          <w:szCs w:val="24"/>
          <w:lang w:eastAsia="en-US"/>
        </w:rPr>
        <w:t xml:space="preserve">Omar Muhammad Omar </w:t>
      </w:r>
    </w:p>
    <w:p w:rsidR="001C7EF2" w:rsidRPr="001C7EF2" w:rsidRDefault="001C7EF2" w:rsidP="001C7EF2">
      <w:pPr>
        <w:jc w:val="center"/>
        <w:rPr>
          <w:rFonts w:eastAsia="Calibri"/>
          <w:szCs w:val="24"/>
          <w:lang w:eastAsia="en-US"/>
        </w:rPr>
      </w:pPr>
      <w:r w:rsidRPr="001C7EF2">
        <w:rPr>
          <w:rFonts w:eastAsia="Calibri"/>
          <w:szCs w:val="24"/>
          <w:lang w:eastAsia="en-US"/>
        </w:rPr>
        <w:t>Respondent</w:t>
      </w:r>
    </w:p>
    <w:p w:rsidR="001C7EF2" w:rsidRPr="001C7EF2" w:rsidRDefault="001C7EF2" w:rsidP="001C7EF2">
      <w:pPr>
        <w:rPr>
          <w:rFonts w:eastAsia="Calibri"/>
          <w:szCs w:val="24"/>
          <w:lang w:eastAsia="en-US"/>
        </w:rPr>
      </w:pPr>
    </w:p>
    <w:p w:rsidR="001C7EF2" w:rsidRPr="001C7EF2" w:rsidRDefault="001C7EF2" w:rsidP="001C7EF2">
      <w:pPr>
        <w:jc w:val="center"/>
        <w:rPr>
          <w:rFonts w:eastAsia="Calibri"/>
          <w:szCs w:val="24"/>
          <w:lang w:eastAsia="en-US"/>
        </w:rPr>
      </w:pPr>
      <w:r w:rsidRPr="001C7EF2">
        <w:rPr>
          <w:rFonts w:eastAsia="Calibri"/>
          <w:szCs w:val="24"/>
          <w:lang w:eastAsia="en-US"/>
        </w:rPr>
        <w:t xml:space="preserve">- </w:t>
      </w:r>
      <w:proofErr w:type="gramStart"/>
      <w:r w:rsidRPr="001C7EF2">
        <w:rPr>
          <w:rFonts w:eastAsia="Calibri"/>
          <w:szCs w:val="24"/>
          <w:lang w:eastAsia="en-US"/>
        </w:rPr>
        <w:t>and</w:t>
      </w:r>
      <w:proofErr w:type="gramEnd"/>
      <w:r w:rsidRPr="001C7EF2">
        <w:rPr>
          <w:rFonts w:eastAsia="Calibri"/>
          <w:szCs w:val="24"/>
          <w:lang w:eastAsia="en-US"/>
        </w:rPr>
        <w:t xml:space="preserve"> -</w:t>
      </w:r>
    </w:p>
    <w:p w:rsidR="001C7EF2" w:rsidRPr="001C7EF2" w:rsidRDefault="001C7EF2" w:rsidP="001C7EF2">
      <w:pPr>
        <w:rPr>
          <w:rFonts w:eastAsia="Calibri"/>
          <w:szCs w:val="24"/>
          <w:lang w:eastAsia="en-US"/>
        </w:rPr>
      </w:pPr>
    </w:p>
    <w:p w:rsidR="001C7EF2" w:rsidRPr="001C7EF2" w:rsidRDefault="001C7EF2" w:rsidP="001C7EF2">
      <w:pPr>
        <w:jc w:val="center"/>
        <w:rPr>
          <w:rFonts w:eastAsia="Calibri"/>
          <w:b/>
          <w:szCs w:val="24"/>
          <w:lang w:eastAsia="en-US"/>
        </w:rPr>
      </w:pPr>
      <w:r w:rsidRPr="001C7EF2">
        <w:rPr>
          <w:rFonts w:eastAsia="Calibri"/>
          <w:b/>
          <w:szCs w:val="24"/>
          <w:lang w:eastAsia="en-US"/>
        </w:rPr>
        <w:t>Criminal Lawyers’ Association (Ontario)</w:t>
      </w:r>
    </w:p>
    <w:p w:rsidR="001C7EF2" w:rsidRPr="001C7EF2" w:rsidRDefault="001C7EF2" w:rsidP="001C7EF2">
      <w:pPr>
        <w:jc w:val="center"/>
        <w:rPr>
          <w:rFonts w:eastAsia="Calibri"/>
          <w:szCs w:val="24"/>
          <w:lang w:eastAsia="en-US"/>
        </w:rPr>
      </w:pPr>
      <w:r w:rsidRPr="001C7EF2">
        <w:rPr>
          <w:rFonts w:eastAsia="Calibri"/>
          <w:szCs w:val="24"/>
          <w:lang w:eastAsia="en-US"/>
        </w:rPr>
        <w:t>Intervener</w:t>
      </w:r>
    </w:p>
    <w:p w:rsidR="001C7EF2" w:rsidRPr="001C7EF2" w:rsidRDefault="001C7EF2" w:rsidP="001C7EF2">
      <w:pPr>
        <w:rPr>
          <w:rFonts w:eastAsia="Calibri"/>
          <w:szCs w:val="24"/>
          <w:lang w:eastAsia="en-US"/>
        </w:rPr>
      </w:pPr>
    </w:p>
    <w:p w:rsidR="001C7EF2" w:rsidRPr="001C7EF2" w:rsidRDefault="001C7EF2" w:rsidP="001C7EF2">
      <w:pPr>
        <w:rPr>
          <w:rFonts w:eastAsia="Calibri"/>
          <w:szCs w:val="24"/>
          <w:lang w:eastAsia="en-US"/>
        </w:rPr>
      </w:pPr>
    </w:p>
    <w:p w:rsidR="001C7EF2" w:rsidRPr="001C7EF2" w:rsidRDefault="001C7EF2" w:rsidP="001C7EF2">
      <w:pPr>
        <w:rPr>
          <w:rFonts w:eastAsia="Calibri"/>
          <w:szCs w:val="24"/>
          <w:lang w:eastAsia="en-US"/>
        </w:rPr>
      </w:pPr>
    </w:p>
    <w:p w:rsidR="001C7EF2" w:rsidRPr="001C7EF2" w:rsidRDefault="001C7EF2" w:rsidP="001C7EF2">
      <w:pPr>
        <w:jc w:val="both"/>
        <w:rPr>
          <w:rFonts w:eastAsia="Calibri"/>
          <w:szCs w:val="24"/>
          <w:lang w:eastAsia="en-US"/>
        </w:rPr>
      </w:pPr>
      <w:r w:rsidRPr="001C7EF2">
        <w:rPr>
          <w:rFonts w:eastAsia="Calibri"/>
          <w:b/>
          <w:smallCaps/>
          <w:szCs w:val="24"/>
          <w:lang w:eastAsia="en-US"/>
        </w:rPr>
        <w:t xml:space="preserve">Coram: </w:t>
      </w:r>
      <w:r w:rsidRPr="001C7EF2">
        <w:rPr>
          <w:rFonts w:eastAsia="Calibri"/>
          <w:szCs w:val="24"/>
          <w:lang w:eastAsia="en-US"/>
        </w:rPr>
        <w:t>Wagner C.J. and Moldaver, Karakatsanis, Côté, Brown, Rowe and Martin JJ.</w:t>
      </w:r>
    </w:p>
    <w:p w:rsidR="001C7EF2" w:rsidRPr="001C7EF2" w:rsidRDefault="001C7EF2" w:rsidP="001C7EF2">
      <w:pPr>
        <w:rPr>
          <w:rFonts w:eastAsia="Calibri"/>
          <w:szCs w:val="24"/>
          <w:lang w:eastAsia="en-US"/>
        </w:rPr>
      </w:pPr>
    </w:p>
    <w:p w:rsidR="001C7EF2" w:rsidRPr="001C7EF2" w:rsidRDefault="001C7EF2" w:rsidP="001C7EF2">
      <w:pPr>
        <w:rPr>
          <w:rFonts w:eastAsia="Calibr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1C7EF2" w:rsidRPr="001C7EF2" w:rsidTr="00FD0877">
        <w:trPr>
          <w:cantSplit/>
        </w:trPr>
        <w:tc>
          <w:tcPr>
            <w:tcW w:w="3618" w:type="dxa"/>
          </w:tcPr>
          <w:p w:rsidR="001C7EF2" w:rsidRPr="001C7EF2" w:rsidRDefault="001C7EF2" w:rsidP="001C7EF2">
            <w:pPr>
              <w:rPr>
                <w:b/>
                <w:smallCaps/>
              </w:rPr>
            </w:pPr>
            <w:r w:rsidRPr="001C7EF2">
              <w:rPr>
                <w:b/>
                <w:smallCaps/>
              </w:rPr>
              <w:t>Reasons for Judgment:</w:t>
            </w:r>
          </w:p>
          <w:p w:rsidR="001C7EF2" w:rsidRPr="001C7EF2" w:rsidRDefault="001C7EF2" w:rsidP="001C7EF2">
            <w:r w:rsidRPr="001C7EF2">
              <w:t>(paras. 1 to 3)</w:t>
            </w:r>
          </w:p>
        </w:tc>
        <w:tc>
          <w:tcPr>
            <w:tcW w:w="5958" w:type="dxa"/>
          </w:tcPr>
          <w:p w:rsidR="001C7EF2" w:rsidRPr="001C7EF2" w:rsidRDefault="001C7EF2" w:rsidP="001C7EF2">
            <w:r w:rsidRPr="001C7EF2">
              <w:t>Brown J. (Wagner C.J. and Moldaver, Karakatsanis, Côté, Rowe and Martin JJ. concurring)</w:t>
            </w:r>
          </w:p>
        </w:tc>
      </w:tr>
    </w:tbl>
    <w:p w:rsidR="001C7EF2" w:rsidRPr="001C7EF2" w:rsidRDefault="001C7EF2" w:rsidP="001C7EF2">
      <w:pPr>
        <w:rPr>
          <w:rFonts w:eastAsia="Calibri"/>
          <w:szCs w:val="24"/>
          <w:lang w:val="en-US" w:eastAsia="en-US"/>
        </w:rPr>
      </w:pPr>
    </w:p>
    <w:p w:rsidR="001C7EF2" w:rsidRPr="001C7EF2" w:rsidRDefault="001C7EF2" w:rsidP="001C7EF2">
      <w:pPr>
        <w:rPr>
          <w:rFonts w:eastAsia="Calibri"/>
          <w:szCs w:val="24"/>
          <w:lang w:val="en-US" w:eastAsia="en-US"/>
        </w:rPr>
      </w:pPr>
      <w:r w:rsidRPr="001C7EF2">
        <w:rPr>
          <w:rFonts w:eastAsia="Calibri"/>
          <w:noProof/>
          <w:szCs w:val="24"/>
          <w:lang w:val="en-US" w:eastAsia="en-US"/>
        </w:rPr>
        <mc:AlternateContent>
          <mc:Choice Requires="wps">
            <w:drawing>
              <wp:anchor distT="0" distB="0" distL="114300" distR="114300" simplePos="0" relativeHeight="251659264" behindDoc="0" locked="0" layoutInCell="1" allowOverlap="1" wp14:anchorId="3CC88A7E" wp14:editId="7475C8DB">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D07776"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1C7EF2" w:rsidRPr="001C7EF2" w:rsidRDefault="001C7EF2" w:rsidP="001C7EF2">
      <w:pPr>
        <w:rPr>
          <w:rFonts w:eastAsia="Calibri"/>
          <w:szCs w:val="24"/>
          <w:lang w:val="en-US" w:eastAsia="en-US"/>
        </w:rPr>
      </w:pPr>
    </w:p>
    <w:p w:rsidR="008322BD" w:rsidRPr="00BA4202" w:rsidRDefault="00BA4202" w:rsidP="0035169A">
      <w:pPr>
        <w:spacing w:line="480" w:lineRule="auto"/>
        <w:jc w:val="both"/>
        <w:rPr>
          <w:lang w:val="fr-CA"/>
        </w:rPr>
      </w:pPr>
      <w:r w:rsidRPr="00BA4202">
        <w:rPr>
          <w:rStyle w:val="SCCAppellantForRunningHeadChar"/>
          <w:lang w:val="fr-CA"/>
        </w:rPr>
        <w:t>R</w:t>
      </w:r>
      <w:r w:rsidR="009B57B3" w:rsidRPr="00BA4202">
        <w:rPr>
          <w:i/>
          <w:lang w:val="fr-CA"/>
        </w:rPr>
        <w:t>.</w:t>
      </w:r>
      <w:r w:rsidR="00B000D8" w:rsidRPr="00BA4202">
        <w:rPr>
          <w:lang w:val="fr-CA"/>
        </w:rPr>
        <w:t xml:space="preserve"> </w:t>
      </w:r>
      <w:r w:rsidR="001064B4" w:rsidRPr="00BA4202">
        <w:rPr>
          <w:i/>
          <w:lang w:val="fr-CA"/>
        </w:rPr>
        <w:t xml:space="preserve">v. </w:t>
      </w:r>
      <w:r w:rsidRPr="00BA4202">
        <w:rPr>
          <w:rStyle w:val="SCCRespondentForRunningHeadChar"/>
          <w:smallCaps w:val="0"/>
          <w:lang w:val="fr-CA"/>
        </w:rPr>
        <w:t>O</w:t>
      </w:r>
      <w:r w:rsidR="001064B4" w:rsidRPr="00BA4202">
        <w:rPr>
          <w:rStyle w:val="SCCRespondentForRunningHeadChar"/>
          <w:smallCaps w:val="0"/>
          <w:lang w:val="fr-CA"/>
        </w:rPr>
        <w:t>m</w:t>
      </w:r>
      <w:r w:rsidR="008F78E9" w:rsidRPr="00BA4202">
        <w:rPr>
          <w:rStyle w:val="SCCRespondentForRunningHeadChar"/>
          <w:smallCaps w:val="0"/>
          <w:lang w:val="fr-CA"/>
        </w:rPr>
        <w:t>ar</w:t>
      </w:r>
      <w:r w:rsidRPr="00BA4202">
        <w:rPr>
          <w:rStyle w:val="SCCRespondentForRunningHeadChar"/>
          <w:smallCaps w:val="0"/>
          <w:lang w:val="fr-CA"/>
        </w:rPr>
        <w:t xml:space="preserve">, 2019 SCC 32, [2019] 2 S.C.R. </w:t>
      </w:r>
      <w:r>
        <w:rPr>
          <w:rStyle w:val="SCCRespondentForRunningHeadChar"/>
          <w:smallCaps w:val="0"/>
          <w:lang w:val="fr-CA"/>
        </w:rPr>
        <w:t>576</w:t>
      </w:r>
    </w:p>
    <w:p w:rsidR="00766D14" w:rsidRPr="00BA4202" w:rsidRDefault="00766D14" w:rsidP="00FC4EFB">
      <w:pPr>
        <w:jc w:val="both"/>
        <w:rPr>
          <w:lang w:val="fr-CA"/>
        </w:rPr>
      </w:pPr>
    </w:p>
    <w:p w:rsidR="00A149DF" w:rsidRPr="00BA4202" w:rsidRDefault="00A149DF" w:rsidP="00FC4EFB">
      <w:pPr>
        <w:jc w:val="both"/>
        <w:rPr>
          <w:lang w:val="fr-CA"/>
        </w:rPr>
      </w:pPr>
    </w:p>
    <w:p w:rsidR="00A149DF" w:rsidRPr="00BA4202" w:rsidRDefault="00A149DF" w:rsidP="00FC4EFB">
      <w:pPr>
        <w:jc w:val="both"/>
        <w:rPr>
          <w:lang w:val="fr-CA"/>
        </w:rPr>
      </w:pPr>
    </w:p>
    <w:p w:rsidR="00E706D2" w:rsidRDefault="008265B3">
      <w:pPr>
        <w:pStyle w:val="SCCLsocLastPartyInRole"/>
      </w:pPr>
      <w:r>
        <w:t xml:space="preserve">Her Majesty </w:t>
      </w:r>
      <w:proofErr w:type="gramStart"/>
      <w:r w:rsidR="001064B4">
        <w:t>T</w:t>
      </w:r>
      <w:r>
        <w:t>he</w:t>
      </w:r>
      <w:proofErr w:type="gramEnd"/>
      <w:r>
        <w:t xml:space="preserve"> Queen</w:t>
      </w:r>
      <w:r>
        <w:rPr>
          <w:rStyle w:val="SCCLsocPartyRole"/>
        </w:rPr>
        <w:tab/>
        <w:t>Appellant</w:t>
      </w:r>
    </w:p>
    <w:p w:rsidR="00E706D2" w:rsidRDefault="008265B3">
      <w:pPr>
        <w:pStyle w:val="SCCLsocVersus"/>
      </w:pPr>
      <w:proofErr w:type="gramStart"/>
      <w:r>
        <w:lastRenderedPageBreak/>
        <w:t>v</w:t>
      </w:r>
      <w:proofErr w:type="gramEnd"/>
      <w:r>
        <w:t>.</w:t>
      </w:r>
    </w:p>
    <w:p w:rsidR="00E706D2" w:rsidRDefault="008265B3">
      <w:pPr>
        <w:pStyle w:val="SCCLsocLastPartyInRole"/>
      </w:pPr>
      <w:r>
        <w:t>Omar Muhammad Omar</w:t>
      </w:r>
      <w:r>
        <w:rPr>
          <w:rStyle w:val="SCCLsocPartyRole"/>
        </w:rPr>
        <w:tab/>
        <w:t>Respondent</w:t>
      </w:r>
    </w:p>
    <w:p w:rsidR="00E706D2" w:rsidRDefault="008265B3">
      <w:pPr>
        <w:pStyle w:val="SCCLsocOtherPartySeparator"/>
      </w:pPr>
      <w:proofErr w:type="gramStart"/>
      <w:r>
        <w:t>and</w:t>
      </w:r>
      <w:proofErr w:type="gramEnd"/>
    </w:p>
    <w:p w:rsidR="00E706D2" w:rsidRDefault="008265B3">
      <w:pPr>
        <w:pStyle w:val="SCCLsocLastPartyInRole"/>
      </w:pPr>
      <w:r>
        <w:t>Criminal Lawyers</w:t>
      </w:r>
      <w:r w:rsidR="00015E17">
        <w:t>’</w:t>
      </w:r>
      <w:r>
        <w:t xml:space="preserve"> Association (Ontario)</w:t>
      </w:r>
      <w:r>
        <w:rPr>
          <w:rStyle w:val="SCCLsocPartyRole"/>
        </w:rPr>
        <w:tab/>
        <w:t>Intervener</w:t>
      </w:r>
    </w:p>
    <w:p w:rsidR="00766D14" w:rsidRDefault="00766D14" w:rsidP="00FC4EFB">
      <w:pPr>
        <w:jc w:val="both"/>
      </w:pPr>
    </w:p>
    <w:p w:rsidR="00A149DF" w:rsidRDefault="00A149DF" w:rsidP="00FC4EFB">
      <w:pPr>
        <w:jc w:val="both"/>
      </w:pPr>
    </w:p>
    <w:p w:rsidR="00A149DF" w:rsidRPr="001426A9" w:rsidRDefault="00A149DF" w:rsidP="00FC4EFB">
      <w:pPr>
        <w:jc w:val="both"/>
      </w:pPr>
    </w:p>
    <w:p w:rsidR="00426659" w:rsidRPr="00426659" w:rsidRDefault="00426659" w:rsidP="00FC4EFB">
      <w:pPr>
        <w:jc w:val="both"/>
        <w:rPr>
          <w:b/>
        </w:rPr>
      </w:pPr>
      <w:r w:rsidRPr="00426659">
        <w:rPr>
          <w:b/>
        </w:rPr>
        <w:t>Indexed as:</w:t>
      </w:r>
      <w:r>
        <w:rPr>
          <w:b/>
        </w:rPr>
        <w:t xml:space="preserve"> </w:t>
      </w:r>
      <w:r w:rsidRPr="00426659">
        <w:rPr>
          <w:b/>
        </w:rPr>
        <w:t xml:space="preserve"> </w:t>
      </w:r>
      <w:r>
        <w:rPr>
          <w:rStyle w:val="SCCAppellantForIndexChar"/>
        </w:rPr>
        <w:t>R.</w:t>
      </w:r>
      <w:r w:rsidRPr="00426659">
        <w:rPr>
          <w:b/>
        </w:rPr>
        <w:t xml:space="preserve"> </w:t>
      </w:r>
      <w:r w:rsidRPr="00426659">
        <w:rPr>
          <w:b/>
          <w:i/>
        </w:rPr>
        <w:t>v.</w:t>
      </w:r>
      <w:r w:rsidRPr="00426659">
        <w:rPr>
          <w:b/>
        </w:rPr>
        <w:t xml:space="preserve"> </w:t>
      </w:r>
      <w:r>
        <w:rPr>
          <w:rStyle w:val="SCCRespondentForIndexChar"/>
        </w:rPr>
        <w:t>Omar</w:t>
      </w:r>
    </w:p>
    <w:p w:rsidR="00426659" w:rsidRDefault="00426659" w:rsidP="00FC4EFB">
      <w:pPr>
        <w:jc w:val="both"/>
      </w:pPr>
    </w:p>
    <w:p w:rsidR="00A149DF" w:rsidRDefault="00A149DF" w:rsidP="00FC4EFB">
      <w:pPr>
        <w:jc w:val="both"/>
      </w:pPr>
    </w:p>
    <w:p w:rsidR="00A149DF" w:rsidRDefault="00A149DF" w:rsidP="00FC4EFB">
      <w:pPr>
        <w:jc w:val="both"/>
      </w:pPr>
    </w:p>
    <w:p w:rsidR="00426659" w:rsidRPr="00C02092" w:rsidRDefault="00AE4535" w:rsidP="00FC4EFB">
      <w:pPr>
        <w:pStyle w:val="SCCSystemYear"/>
        <w:jc w:val="both"/>
      </w:pPr>
      <w:r>
        <w:t>2019</w:t>
      </w:r>
      <w:r w:rsidR="003D0399">
        <w:t xml:space="preserve"> </w:t>
      </w:r>
      <w:r w:rsidR="00426659" w:rsidRPr="00C02092">
        <w:t>SCC </w:t>
      </w:r>
      <w:r w:rsidR="001064B4">
        <w:t>32</w:t>
      </w:r>
    </w:p>
    <w:p w:rsidR="00426659" w:rsidRDefault="00426659" w:rsidP="00FC4EFB">
      <w:pPr>
        <w:jc w:val="both"/>
      </w:pPr>
    </w:p>
    <w:p w:rsidR="00A149DF" w:rsidRDefault="00A149DF" w:rsidP="00FC4EFB">
      <w:pPr>
        <w:jc w:val="both"/>
      </w:pPr>
    </w:p>
    <w:p w:rsidR="00A149DF" w:rsidRDefault="00A149DF" w:rsidP="00FC4EFB">
      <w:pPr>
        <w:jc w:val="both"/>
      </w:pPr>
    </w:p>
    <w:p w:rsidR="008322BD" w:rsidRDefault="009B57B3" w:rsidP="00FC4EFB">
      <w:pPr>
        <w:jc w:val="both"/>
      </w:pPr>
      <w:r w:rsidRPr="001426A9">
        <w:t xml:space="preserve">File No.:  </w:t>
      </w:r>
      <w:r>
        <w:t>38461</w:t>
      </w:r>
      <w:r w:rsidRPr="001426A9">
        <w:t>.</w:t>
      </w:r>
    </w:p>
    <w:p w:rsidR="00E97830" w:rsidRDefault="00E97830" w:rsidP="00FC4EFB">
      <w:pPr>
        <w:jc w:val="both"/>
      </w:pPr>
    </w:p>
    <w:p w:rsidR="00A149DF" w:rsidRDefault="00A149DF" w:rsidP="00FC4EFB">
      <w:pPr>
        <w:jc w:val="both"/>
      </w:pPr>
    </w:p>
    <w:p w:rsidR="00A149DF" w:rsidRDefault="00A149DF" w:rsidP="00FC4EFB">
      <w:pPr>
        <w:jc w:val="both"/>
      </w:pPr>
    </w:p>
    <w:p w:rsidR="008322BD" w:rsidRPr="00BF4560" w:rsidRDefault="00AE4535" w:rsidP="00FC4EFB">
      <w:pPr>
        <w:jc w:val="both"/>
      </w:pPr>
      <w:r w:rsidRPr="00BF4560">
        <w:t>2019:  May 2</w:t>
      </w:r>
      <w:r w:rsidR="00062A1E">
        <w:t>2</w:t>
      </w:r>
      <w:r w:rsidR="001064B4" w:rsidRPr="00BF4560">
        <w:t>.</w:t>
      </w:r>
    </w:p>
    <w:p w:rsidR="00E97830" w:rsidRDefault="00E97830" w:rsidP="00FC4EFB">
      <w:pPr>
        <w:jc w:val="both"/>
      </w:pPr>
    </w:p>
    <w:p w:rsidR="00A149DF" w:rsidRDefault="00A149DF" w:rsidP="00FC4EFB">
      <w:pPr>
        <w:jc w:val="both"/>
      </w:pPr>
    </w:p>
    <w:p w:rsidR="00A149DF" w:rsidRDefault="00A149DF" w:rsidP="00FC4EFB">
      <w:pPr>
        <w:jc w:val="both"/>
      </w:pPr>
    </w:p>
    <w:p w:rsidR="008322BD" w:rsidRDefault="009B57B3" w:rsidP="00FC4EFB">
      <w:pPr>
        <w:jc w:val="both"/>
      </w:pPr>
      <w:r w:rsidRPr="001426A9">
        <w:t xml:space="preserve">Present:  </w:t>
      </w:r>
      <w:r>
        <w:t>Wagner C.J. and Moldaver, Karakatsanis, Côté, Brown, Rowe and Martin JJ.</w:t>
      </w:r>
    </w:p>
    <w:p w:rsidR="00E97830" w:rsidRDefault="00E97830" w:rsidP="00FC4EFB">
      <w:pPr>
        <w:jc w:val="both"/>
      </w:pPr>
    </w:p>
    <w:p w:rsidR="006A1551" w:rsidRDefault="006A1551" w:rsidP="00FC4EFB">
      <w:pPr>
        <w:jc w:val="both"/>
      </w:pPr>
    </w:p>
    <w:p w:rsidR="00BA7DA0" w:rsidRDefault="00BA7DA0" w:rsidP="00BA7DA0">
      <w:pPr>
        <w:jc w:val="both"/>
      </w:pPr>
    </w:p>
    <w:p w:rsidR="008322BD" w:rsidRPr="001C779F" w:rsidRDefault="00656313" w:rsidP="00FC4EFB">
      <w:pPr>
        <w:pStyle w:val="SCCLowerCourtNameLowercase"/>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 xml:space="preserve">court of appeal for </w:t>
      </w:r>
      <w:proofErr w:type="spellStart"/>
      <w:r w:rsidR="009B57B3">
        <w:t>ontario</w:t>
      </w:r>
      <w:proofErr w:type="spellEnd"/>
    </w:p>
    <w:p w:rsidR="003A4C70" w:rsidRPr="001426A9" w:rsidRDefault="003A4C70" w:rsidP="00FC4EFB">
      <w:pPr>
        <w:pStyle w:val="SCCNormalDoubleSpacing"/>
      </w:pPr>
    </w:p>
    <w:p w:rsidR="008322BD" w:rsidRPr="00746BF4" w:rsidRDefault="009B57B3" w:rsidP="00FC4EFB">
      <w:pPr>
        <w:pStyle w:val="SCCNormalDoubleSpacing"/>
        <w:rPr>
          <w:i/>
        </w:rPr>
      </w:pPr>
      <w:r w:rsidRPr="00583EDE">
        <w:tab/>
      </w:r>
      <w:r w:rsidR="002F4844" w:rsidRPr="002F4844">
        <w:rPr>
          <w:i/>
        </w:rPr>
        <w:t xml:space="preserve">Constitutional </w:t>
      </w:r>
      <w:r w:rsidR="00630B95">
        <w:rPr>
          <w:i/>
        </w:rPr>
        <w:t>l</w:t>
      </w:r>
      <w:r w:rsidR="00C66DC0">
        <w:rPr>
          <w:i/>
        </w:rPr>
        <w:t>aw — Charter of R</w:t>
      </w:r>
      <w:r w:rsidR="002F4844" w:rsidRPr="002F4844">
        <w:rPr>
          <w:i/>
        </w:rPr>
        <w:t xml:space="preserve">ights </w:t>
      </w:r>
      <w:r w:rsidR="002F4844" w:rsidRPr="00630B95">
        <w:rPr>
          <w:i/>
        </w:rPr>
        <w:t>—</w:t>
      </w:r>
      <w:r w:rsidR="00630B95" w:rsidRPr="002F4844">
        <w:rPr>
          <w:i/>
        </w:rPr>
        <w:t xml:space="preserve"> </w:t>
      </w:r>
      <w:r w:rsidR="00630B95" w:rsidRPr="00C66DC0">
        <w:rPr>
          <w:i/>
        </w:rPr>
        <w:t xml:space="preserve">Remedy </w:t>
      </w:r>
      <w:r w:rsidR="007043A9" w:rsidRPr="00C66DC0">
        <w:rPr>
          <w:i/>
        </w:rPr>
        <w:t>—</w:t>
      </w:r>
      <w:r w:rsidR="00C66DC0" w:rsidRPr="00C66DC0">
        <w:rPr>
          <w:i/>
        </w:rPr>
        <w:t xml:space="preserve"> </w:t>
      </w:r>
      <w:r w:rsidR="007043A9" w:rsidRPr="00C66DC0">
        <w:rPr>
          <w:i/>
        </w:rPr>
        <w:t>Exclusion</w:t>
      </w:r>
      <w:r w:rsidR="002F4844">
        <w:rPr>
          <w:i/>
        </w:rPr>
        <w:t xml:space="preserve"> of evidence</w:t>
      </w:r>
      <w:r w:rsidR="007043A9">
        <w:t xml:space="preserve"> </w:t>
      </w:r>
      <w:r w:rsidR="00D26AC6">
        <w:t xml:space="preserve">— </w:t>
      </w:r>
      <w:r w:rsidR="002421AA">
        <w:rPr>
          <w:i/>
        </w:rPr>
        <w:t>Seriousness of</w:t>
      </w:r>
      <w:r w:rsidR="00631F2D">
        <w:rPr>
          <w:i/>
        </w:rPr>
        <w:t xml:space="preserve"> Charter-infringing state conduct</w:t>
      </w:r>
      <w:r w:rsidR="00631F2D">
        <w:t xml:space="preserve"> — </w:t>
      </w:r>
      <w:r w:rsidR="00C66DC0" w:rsidRPr="00C66DC0">
        <w:rPr>
          <w:i/>
        </w:rPr>
        <w:t xml:space="preserve">Accused found in possession of loaded handgun, ammunition and cocaine when stopped by police while </w:t>
      </w:r>
      <w:r w:rsidR="00C66DC0" w:rsidRPr="00C66DC0">
        <w:rPr>
          <w:i/>
        </w:rPr>
        <w:lastRenderedPageBreak/>
        <w:t>walking along a street late at night —</w:t>
      </w:r>
      <w:r w:rsidR="00C66DC0">
        <w:t xml:space="preserve"> </w:t>
      </w:r>
      <w:r w:rsidR="00C66DC0" w:rsidRPr="00C66DC0">
        <w:rPr>
          <w:i/>
        </w:rPr>
        <w:t>Trial judge finding that several of a</w:t>
      </w:r>
      <w:r w:rsidR="002F4844" w:rsidRPr="00C66DC0">
        <w:rPr>
          <w:i/>
        </w:rPr>
        <w:t>ccused’s</w:t>
      </w:r>
      <w:r w:rsidR="00D26AC6">
        <w:t xml:space="preserve"> </w:t>
      </w:r>
      <w:r w:rsidR="00C66DC0">
        <w:rPr>
          <w:i/>
        </w:rPr>
        <w:t>constitutional</w:t>
      </w:r>
      <w:r w:rsidR="00746BF4" w:rsidRPr="00746BF4">
        <w:rPr>
          <w:i/>
        </w:rPr>
        <w:t xml:space="preserve"> rights infringed</w:t>
      </w:r>
      <w:r w:rsidR="00C66DC0">
        <w:rPr>
          <w:i/>
        </w:rPr>
        <w:t xml:space="preserve"> by police but declining to </w:t>
      </w:r>
      <w:r w:rsidR="00746BF4">
        <w:rPr>
          <w:i/>
        </w:rPr>
        <w:t>exclude</w:t>
      </w:r>
      <w:r w:rsidR="00746BF4" w:rsidRPr="00746BF4">
        <w:rPr>
          <w:i/>
        </w:rPr>
        <w:t xml:space="preserve"> evidence </w:t>
      </w:r>
      <w:r w:rsidR="00C66DC0">
        <w:rPr>
          <w:i/>
        </w:rPr>
        <w:t>and convicting accused of various firearms offences and possession of cocaine for the purpose of trafficking</w:t>
      </w:r>
      <w:r w:rsidR="00746BF4" w:rsidRPr="00746BF4">
        <w:rPr>
          <w:i/>
        </w:rPr>
        <w:t xml:space="preserve"> —</w:t>
      </w:r>
      <w:r w:rsidR="00C66DC0">
        <w:rPr>
          <w:i/>
        </w:rPr>
        <w:t xml:space="preserve"> Majority of Court of Appeal holding that trial judge committed reversible error in assessing seriousness of Charter-infringing </w:t>
      </w:r>
      <w:r w:rsidR="0061766B">
        <w:rPr>
          <w:i/>
        </w:rPr>
        <w:t xml:space="preserve">police </w:t>
      </w:r>
      <w:r w:rsidR="00C66DC0">
        <w:rPr>
          <w:i/>
        </w:rPr>
        <w:t xml:space="preserve">conduct </w:t>
      </w:r>
      <w:r w:rsidR="00C66DC0" w:rsidRPr="00746BF4">
        <w:rPr>
          <w:i/>
        </w:rPr>
        <w:t>—</w:t>
      </w:r>
      <w:r w:rsidR="00C66DC0">
        <w:rPr>
          <w:i/>
        </w:rPr>
        <w:t xml:space="preserve"> Majority excluding evidence and entering acquittals</w:t>
      </w:r>
      <w:r w:rsidR="00354FCD">
        <w:rPr>
          <w:i/>
        </w:rPr>
        <w:t xml:space="preserve"> </w:t>
      </w:r>
      <w:r w:rsidR="00746BF4" w:rsidRPr="00746BF4">
        <w:rPr>
          <w:i/>
        </w:rPr>
        <w:t>—</w:t>
      </w:r>
      <w:r w:rsidR="007043A9">
        <w:rPr>
          <w:i/>
        </w:rPr>
        <w:t xml:space="preserve"> Disse</w:t>
      </w:r>
      <w:r w:rsidR="0057110A">
        <w:rPr>
          <w:i/>
        </w:rPr>
        <w:t>nting judge</w:t>
      </w:r>
      <w:r w:rsidR="00631F2D">
        <w:rPr>
          <w:i/>
        </w:rPr>
        <w:t xml:space="preserve"> holding </w:t>
      </w:r>
      <w:r w:rsidR="00C66DC0">
        <w:rPr>
          <w:i/>
        </w:rPr>
        <w:t xml:space="preserve">that </w:t>
      </w:r>
      <w:r w:rsidR="00631F2D">
        <w:rPr>
          <w:i/>
        </w:rPr>
        <w:t>there was no error in trial judge’s</w:t>
      </w:r>
      <w:r w:rsidR="00631F2D" w:rsidRPr="00631F2D">
        <w:t xml:space="preserve"> </w:t>
      </w:r>
      <w:r w:rsidR="00631F2D">
        <w:rPr>
          <w:i/>
        </w:rPr>
        <w:t xml:space="preserve">assessment of </w:t>
      </w:r>
      <w:r w:rsidR="00631F2D" w:rsidRPr="00631F2D">
        <w:rPr>
          <w:i/>
        </w:rPr>
        <w:t>seriousnes</w:t>
      </w:r>
      <w:r w:rsidR="00D64562">
        <w:rPr>
          <w:i/>
        </w:rPr>
        <w:t xml:space="preserve">s of </w:t>
      </w:r>
      <w:r w:rsidR="00631F2D">
        <w:rPr>
          <w:i/>
        </w:rPr>
        <w:t>state conduct</w:t>
      </w:r>
      <w:r w:rsidR="00631F2D" w:rsidRPr="00631F2D">
        <w:rPr>
          <w:i/>
        </w:rPr>
        <w:t xml:space="preserve"> that would</w:t>
      </w:r>
      <w:r w:rsidR="00631F2D">
        <w:rPr>
          <w:i/>
        </w:rPr>
        <w:t xml:space="preserve"> justify appellate intervention</w:t>
      </w:r>
      <w:r w:rsidR="00C66DC0">
        <w:rPr>
          <w:i/>
        </w:rPr>
        <w:t xml:space="preserve"> </w:t>
      </w:r>
      <w:r w:rsidR="007043A9" w:rsidRPr="00D64562">
        <w:rPr>
          <w:i/>
        </w:rPr>
        <w:t>—</w:t>
      </w:r>
      <w:r w:rsidR="007043A9">
        <w:rPr>
          <w:i/>
        </w:rPr>
        <w:t xml:space="preserve"> Convictions restored</w:t>
      </w:r>
      <w:r w:rsidR="00C66DC0">
        <w:rPr>
          <w:i/>
        </w:rPr>
        <w:t xml:space="preserve"> </w:t>
      </w:r>
      <w:r w:rsidR="00C66DC0" w:rsidRPr="00746BF4">
        <w:rPr>
          <w:i/>
        </w:rPr>
        <w:t>—</w:t>
      </w:r>
      <w:r w:rsidR="00C66DC0">
        <w:rPr>
          <w:i/>
        </w:rPr>
        <w:t xml:space="preserve"> Canadian Charter of Rights and Freedoms, s. 24(2)</w:t>
      </w:r>
      <w:r w:rsidR="007043A9">
        <w:rPr>
          <w:i/>
        </w:rPr>
        <w:t xml:space="preserve">. </w:t>
      </w:r>
    </w:p>
    <w:p w:rsidR="00A149DF" w:rsidRPr="00062A1E" w:rsidRDefault="00A149DF" w:rsidP="004E2C26">
      <w:pPr>
        <w:pStyle w:val="SCCNormalDoubleSpacing"/>
        <w:rPr>
          <w:lang w:val="en-US"/>
        </w:rPr>
      </w:pPr>
    </w:p>
    <w:p w:rsidR="003B215F" w:rsidRDefault="002E6705" w:rsidP="00FC4EFB">
      <w:pPr>
        <w:pStyle w:val="SCCNormalDoubleSpacing"/>
        <w:spacing w:line="240" w:lineRule="auto"/>
      </w:pPr>
      <w:r w:rsidRPr="00314E01">
        <w:rPr>
          <w:b/>
        </w:rPr>
        <w:t>Statutes and Regulations Cite</w:t>
      </w:r>
      <w:r w:rsidR="00A41805">
        <w:rPr>
          <w:b/>
        </w:rPr>
        <w:t>d</w:t>
      </w:r>
    </w:p>
    <w:p w:rsidR="00A41805" w:rsidRDefault="00A41805" w:rsidP="00FC4EFB">
      <w:pPr>
        <w:pStyle w:val="SCCNormalDoubleSpacing"/>
        <w:spacing w:line="240" w:lineRule="auto"/>
        <w:ind w:left="540" w:hanging="540"/>
      </w:pPr>
    </w:p>
    <w:p w:rsidR="00BF4560" w:rsidRPr="00BF4560" w:rsidRDefault="00BF4560" w:rsidP="00BF4560">
      <w:pPr>
        <w:pStyle w:val="SCCNormalDoubleSpacing"/>
        <w:spacing w:line="240" w:lineRule="auto"/>
        <w:ind w:left="540" w:hanging="540"/>
      </w:pPr>
      <w:r>
        <w:rPr>
          <w:i/>
        </w:rPr>
        <w:t>Canadian Charter of Rights and Freedoms</w:t>
      </w:r>
      <w:r>
        <w:t>, s. 24(1), (2).</w:t>
      </w:r>
    </w:p>
    <w:p w:rsidR="00935218" w:rsidRDefault="00935218" w:rsidP="00FC4EFB">
      <w:pPr>
        <w:pStyle w:val="SCCNormalDoubleSpacing"/>
        <w:spacing w:line="240" w:lineRule="auto"/>
        <w:ind w:left="540" w:hanging="540"/>
      </w:pPr>
    </w:p>
    <w:p w:rsidR="00A149DF" w:rsidRDefault="00A149DF" w:rsidP="009F1DB1">
      <w:pPr>
        <w:pStyle w:val="SCCNormalDoubleSpacing"/>
        <w:spacing w:line="240" w:lineRule="auto"/>
      </w:pPr>
    </w:p>
    <w:p w:rsidR="00A149DF" w:rsidRDefault="00A149DF" w:rsidP="00FC4EFB">
      <w:pPr>
        <w:pStyle w:val="SCCNormalDoubleSpacing"/>
        <w:spacing w:line="240" w:lineRule="auto"/>
        <w:ind w:left="540" w:hanging="540"/>
      </w:pPr>
    </w:p>
    <w:p w:rsidR="00656313" w:rsidRPr="00015E17" w:rsidRDefault="009B57B3" w:rsidP="00FC4EFB">
      <w:pPr>
        <w:pStyle w:val="SCCNormalDoubleSpacing"/>
      </w:pPr>
      <w:r w:rsidRPr="001426A9">
        <w:tab/>
        <w:t xml:space="preserve">APPEAL from a judgment of the </w:t>
      </w:r>
      <w:r w:rsidR="008E212A">
        <w:t xml:space="preserve">Ontario </w:t>
      </w:r>
      <w:r>
        <w:t xml:space="preserve">Court of Appeal </w:t>
      </w:r>
      <w:r w:rsidR="00015E17">
        <w:t xml:space="preserve">(Sharpe, Brown and Paciocco JJ.A.), 2018 ONCA 975, 144 O.R. (3d) 1, 369 C.C.C. (3d) 544, </w:t>
      </w:r>
      <w:r w:rsidR="00EC0B0A">
        <w:t xml:space="preserve">435 D.L.R. (4th) 273, </w:t>
      </w:r>
      <w:r w:rsidR="00015E17">
        <w:rPr>
          <w:lang w:val="en-US"/>
        </w:rPr>
        <w:t xml:space="preserve">[2018] O.J. No. 6346 (QL), 2018 </w:t>
      </w:r>
      <w:proofErr w:type="spellStart"/>
      <w:r w:rsidR="00015E17">
        <w:rPr>
          <w:lang w:val="en-US"/>
        </w:rPr>
        <w:t>CarswellOnt</w:t>
      </w:r>
      <w:proofErr w:type="spellEnd"/>
      <w:r w:rsidR="00015E17">
        <w:rPr>
          <w:lang w:val="en-US"/>
        </w:rPr>
        <w:t xml:space="preserve"> 20344 </w:t>
      </w:r>
      <w:r w:rsidR="00015E17" w:rsidRPr="00BF4560">
        <w:rPr>
          <w:lang w:val="en-US"/>
        </w:rPr>
        <w:t xml:space="preserve">(WL Can.), </w:t>
      </w:r>
      <w:r w:rsidR="00062A1E">
        <w:rPr>
          <w:lang w:val="en-US"/>
        </w:rPr>
        <w:t>setting aside the convictions</w:t>
      </w:r>
      <w:r w:rsidR="00CB3E65">
        <w:rPr>
          <w:lang w:val="en-US"/>
        </w:rPr>
        <w:t xml:space="preserve"> of the accused</w:t>
      </w:r>
      <w:r w:rsidR="00062A1E">
        <w:rPr>
          <w:lang w:val="en-US"/>
        </w:rPr>
        <w:t xml:space="preserve">, excluding </w:t>
      </w:r>
      <w:r w:rsidR="00062A1E" w:rsidRPr="00062A1E">
        <w:rPr>
          <w:lang w:val="en-US"/>
        </w:rPr>
        <w:t xml:space="preserve">the evidence and </w:t>
      </w:r>
      <w:r w:rsidR="00015E17" w:rsidRPr="00062A1E">
        <w:rPr>
          <w:lang w:val="en-US"/>
        </w:rPr>
        <w:t>entering acquittals</w:t>
      </w:r>
      <w:r w:rsidR="00BF4560" w:rsidRPr="00062A1E">
        <w:rPr>
          <w:lang w:val="en-US"/>
        </w:rPr>
        <w:t>. Appeal allowed</w:t>
      </w:r>
      <w:r w:rsidR="00062A1E" w:rsidRPr="00062A1E">
        <w:rPr>
          <w:lang w:val="en-US"/>
        </w:rPr>
        <w:t>, Karakatsanis, Brown and Martin JJ</w:t>
      </w:r>
      <w:r w:rsidR="008265B3" w:rsidRPr="00062A1E">
        <w:rPr>
          <w:lang w:val="en-US"/>
        </w:rPr>
        <w:t>.</w:t>
      </w:r>
      <w:r w:rsidR="00062A1E" w:rsidRPr="00062A1E">
        <w:rPr>
          <w:lang w:val="en-US"/>
        </w:rPr>
        <w:t xml:space="preserve"> </w:t>
      </w:r>
      <w:proofErr w:type="gramStart"/>
      <w:r w:rsidR="00062A1E" w:rsidRPr="00062A1E">
        <w:rPr>
          <w:lang w:val="en-US"/>
        </w:rPr>
        <w:t>dissenting</w:t>
      </w:r>
      <w:proofErr w:type="gramEnd"/>
      <w:r w:rsidR="00062A1E" w:rsidRPr="00062A1E">
        <w:rPr>
          <w:lang w:val="en-US"/>
        </w:rPr>
        <w:t>.</w:t>
      </w:r>
      <w:r w:rsidR="00062A1E">
        <w:rPr>
          <w:lang w:val="en-US"/>
        </w:rPr>
        <w:t xml:space="preserve"> </w:t>
      </w:r>
    </w:p>
    <w:p w:rsidR="00656313" w:rsidRDefault="00656313" w:rsidP="00FC4EFB">
      <w:pPr>
        <w:pStyle w:val="SCCNormalDoubleSpacing"/>
      </w:pPr>
    </w:p>
    <w:p w:rsidR="00E706D2" w:rsidRDefault="008265B3">
      <w:pPr>
        <w:pStyle w:val="SCCNormalDoubleSpacing"/>
      </w:pPr>
      <w:r>
        <w:rPr>
          <w:rStyle w:val="SCCCounselNameChar"/>
        </w:rPr>
        <w:tab/>
        <w:t>Karen Papadopoulos</w:t>
      </w:r>
      <w:r>
        <w:rPr>
          <w:rStyle w:val="SCCCounselSeparatorChar"/>
        </w:rPr>
        <w:t xml:space="preserve"> and </w:t>
      </w:r>
      <w:r>
        <w:rPr>
          <w:rStyle w:val="SCCCounselNameChar"/>
        </w:rPr>
        <w:t>Justin Reid</w:t>
      </w:r>
      <w:r>
        <w:rPr>
          <w:rStyle w:val="SCCCounselPartyRoleChar"/>
        </w:rPr>
        <w:t>, for the appellant.</w:t>
      </w:r>
    </w:p>
    <w:p w:rsidR="00E706D2" w:rsidRDefault="00E706D2">
      <w:pPr>
        <w:pStyle w:val="SCCNormalDoubleSpacing"/>
      </w:pPr>
    </w:p>
    <w:p w:rsidR="00E706D2" w:rsidRDefault="008265B3">
      <w:pPr>
        <w:pStyle w:val="SCCNormalDoubleSpacing"/>
      </w:pPr>
      <w:r>
        <w:rPr>
          <w:rStyle w:val="SCCCounselNameChar"/>
        </w:rPr>
        <w:tab/>
        <w:t>Catriona Verner</w:t>
      </w:r>
      <w:r>
        <w:rPr>
          <w:rStyle w:val="SCCCounselSeparatorChar"/>
        </w:rPr>
        <w:t xml:space="preserve"> and </w:t>
      </w:r>
      <w:r>
        <w:rPr>
          <w:rStyle w:val="SCCCounselNameChar"/>
        </w:rPr>
        <w:t>Patricia Brown</w:t>
      </w:r>
      <w:r>
        <w:rPr>
          <w:rStyle w:val="SCCCounselPartyRoleChar"/>
        </w:rPr>
        <w:t>, for the respondent.</w:t>
      </w:r>
    </w:p>
    <w:p w:rsidR="00E706D2" w:rsidRDefault="00E706D2">
      <w:pPr>
        <w:pStyle w:val="SCCNormalDoubleSpacing"/>
      </w:pPr>
    </w:p>
    <w:p w:rsidR="00E706D2" w:rsidRDefault="008265B3">
      <w:pPr>
        <w:pStyle w:val="SCCNormalDoubleSpacing"/>
        <w:rPr>
          <w:rStyle w:val="SCCCounselPartyRoleChar"/>
        </w:rPr>
      </w:pPr>
      <w:r>
        <w:rPr>
          <w:rStyle w:val="SCCCounselNameChar"/>
        </w:rPr>
        <w:tab/>
        <w:t>Faisal Mirza</w:t>
      </w:r>
      <w:r>
        <w:rPr>
          <w:rStyle w:val="SCCCounselSeparatorChar"/>
        </w:rPr>
        <w:t xml:space="preserve"> and </w:t>
      </w:r>
      <w:r>
        <w:rPr>
          <w:rStyle w:val="SCCCounselNameChar"/>
        </w:rPr>
        <w:t>Kate Robertson</w:t>
      </w:r>
      <w:r>
        <w:rPr>
          <w:rStyle w:val="SCCCounselPartyRoleChar"/>
        </w:rPr>
        <w:t>, for the</w:t>
      </w:r>
      <w:r w:rsidR="00695E79">
        <w:rPr>
          <w:rStyle w:val="SCCCounselPartyRoleChar"/>
        </w:rPr>
        <w:t xml:space="preserve"> intervener</w:t>
      </w:r>
      <w:r>
        <w:rPr>
          <w:rStyle w:val="SCCCounselPartyRoleChar"/>
        </w:rPr>
        <w:t>.</w:t>
      </w:r>
    </w:p>
    <w:p w:rsidR="008265B3" w:rsidRDefault="008265B3">
      <w:pPr>
        <w:pStyle w:val="SCCNormalDoubleSpacing"/>
      </w:pPr>
    </w:p>
    <w:p w:rsidR="00E706D2" w:rsidRDefault="00015E17" w:rsidP="001064B4">
      <w:pPr>
        <w:pStyle w:val="SCCLawFirm"/>
        <w:rPr>
          <w:i w:val="0"/>
        </w:rPr>
      </w:pPr>
      <w:r>
        <w:rPr>
          <w:i w:val="0"/>
        </w:rPr>
        <w:tab/>
        <w:t>The judgment of the Court was delivered orally by</w:t>
      </w:r>
    </w:p>
    <w:p w:rsidR="00BF4560" w:rsidRPr="00BF4560" w:rsidRDefault="00BF4560" w:rsidP="00BF4560">
      <w:pPr>
        <w:pStyle w:val="SCCNormalDoubleSpacing"/>
      </w:pPr>
    </w:p>
    <w:p w:rsidR="00BF4560" w:rsidRPr="00762602" w:rsidRDefault="00BF4560" w:rsidP="00BF4560">
      <w:pPr>
        <w:tabs>
          <w:tab w:val="left" w:pos="1170"/>
        </w:tabs>
        <w:spacing w:line="480" w:lineRule="auto"/>
        <w:jc w:val="both"/>
      </w:pPr>
      <w:r>
        <w:t>[1]</w:t>
      </w:r>
      <w:r>
        <w:tab/>
      </w:r>
      <w:r w:rsidRPr="00BF4560">
        <w:rPr>
          <w:smallCaps/>
        </w:rPr>
        <w:t>Brown J.</w:t>
      </w:r>
      <w:r>
        <w:t xml:space="preserve"> — </w:t>
      </w:r>
      <w:proofErr w:type="gramStart"/>
      <w:r w:rsidRPr="00762602">
        <w:t>A</w:t>
      </w:r>
      <w:proofErr w:type="gramEnd"/>
      <w:r w:rsidRPr="00762602">
        <w:t xml:space="preserve"> majority of this Court would allow the appeal, substantially for the reasons of Brown</w:t>
      </w:r>
      <w:r>
        <w:t xml:space="preserve"> </w:t>
      </w:r>
      <w:r w:rsidRPr="007C0835">
        <w:t xml:space="preserve">J.A. </w:t>
      </w:r>
      <w:r w:rsidRPr="00762602">
        <w:t xml:space="preserve">at the Court of Appeal. The majority adds this. It may be that </w:t>
      </w:r>
      <w:r w:rsidRPr="007C0835">
        <w:t xml:space="preserve">consideration should be given to the availability, under s. 24(1) of the </w:t>
      </w:r>
      <w:r w:rsidRPr="007C0835">
        <w:rPr>
          <w:i/>
        </w:rPr>
        <w:t>Canadian Charter of Rights and Freedoms</w:t>
      </w:r>
      <w:r w:rsidRPr="007C0835">
        <w:t>,</w:t>
      </w:r>
      <w:r w:rsidRPr="00762602">
        <w:t xml:space="preserve"> of remedies other than exclusion of evidence when dealing with s. 24(2), but the majority would leave this question for another day.</w:t>
      </w:r>
    </w:p>
    <w:p w:rsidR="00BF4560" w:rsidRDefault="00BF4560" w:rsidP="00BF4560">
      <w:pPr>
        <w:spacing w:line="480" w:lineRule="auto"/>
        <w:jc w:val="both"/>
      </w:pPr>
    </w:p>
    <w:p w:rsidR="00BF4560" w:rsidRDefault="00BF4560" w:rsidP="00BF4560">
      <w:pPr>
        <w:tabs>
          <w:tab w:val="left" w:pos="1170"/>
        </w:tabs>
        <w:spacing w:line="480" w:lineRule="auto"/>
        <w:jc w:val="both"/>
      </w:pPr>
      <w:r>
        <w:t>[2]</w:t>
      </w:r>
      <w:r>
        <w:tab/>
      </w:r>
      <w:r w:rsidRPr="00762602">
        <w:t>Justices Karakatsanis, Brown and Martin dissent, substantially for the reasons of Sharpe</w:t>
      </w:r>
      <w:r>
        <w:t xml:space="preserve"> J.</w:t>
      </w:r>
      <w:r w:rsidRPr="007C0835">
        <w:t xml:space="preserve">A. </w:t>
      </w:r>
      <w:r w:rsidRPr="00762602">
        <w:t>at the Court of Appeal.  The dissenters add this. It may be that consideration should be given to whether the police should caution persons that they stop and question that such persons need not remain or answer questions, but the dissenters would leave this for another day.</w:t>
      </w:r>
    </w:p>
    <w:p w:rsidR="00BF4560" w:rsidRDefault="00BF4560" w:rsidP="00BF4560">
      <w:pPr>
        <w:spacing w:line="480" w:lineRule="auto"/>
        <w:jc w:val="both"/>
      </w:pPr>
    </w:p>
    <w:p w:rsidR="00695E79" w:rsidRDefault="00BF4560" w:rsidP="00FC4EFB">
      <w:pPr>
        <w:pStyle w:val="SCCNormalDoubleSpacing"/>
      </w:pPr>
      <w:r>
        <w:t>[3]</w:t>
      </w:r>
      <w:r>
        <w:tab/>
      </w:r>
      <w:r w:rsidRPr="007C0835">
        <w:t>The appeal is allowed and the convictions are restored.</w:t>
      </w:r>
      <w:r w:rsidR="009B57B3" w:rsidRPr="001426A9">
        <w:tab/>
      </w:r>
    </w:p>
    <w:p w:rsidR="00695E79" w:rsidRDefault="00695E79" w:rsidP="00FC4EFB">
      <w:pPr>
        <w:pStyle w:val="SCCNormalDoubleSpacing"/>
      </w:pPr>
    </w:p>
    <w:p w:rsidR="009B57B3" w:rsidRDefault="00695E79" w:rsidP="00FC4EFB">
      <w:pPr>
        <w:pStyle w:val="SCCNormalDoubleSpacing"/>
      </w:pPr>
      <w:r>
        <w:tab/>
      </w:r>
      <w:r w:rsidR="00015E17">
        <w:rPr>
          <w:i/>
        </w:rPr>
        <w:t xml:space="preserve">Judgment accordingly. </w:t>
      </w:r>
    </w:p>
    <w:p w:rsidR="00A149DF" w:rsidRPr="001426A9" w:rsidRDefault="00A149DF" w:rsidP="00FC4EFB">
      <w:pPr>
        <w:pStyle w:val="SCCNormalDoubleSpacing"/>
      </w:pPr>
    </w:p>
    <w:p w:rsidR="00E706D2" w:rsidRDefault="008265B3">
      <w:pPr>
        <w:pStyle w:val="SCCLawFirm"/>
      </w:pPr>
      <w:r>
        <w:tab/>
        <w:t>Solicitor for the appellant:  Attorney General of Ontario, Toronto.</w:t>
      </w:r>
    </w:p>
    <w:p w:rsidR="00E706D2" w:rsidRDefault="00E706D2">
      <w:pPr>
        <w:pStyle w:val="SCCLawFirm"/>
      </w:pPr>
    </w:p>
    <w:p w:rsidR="00E706D2" w:rsidRDefault="008265B3">
      <w:pPr>
        <w:pStyle w:val="SCCLawFirm"/>
      </w:pPr>
      <w:r>
        <w:tab/>
      </w:r>
      <w:r w:rsidRPr="00062A1E">
        <w:t>Solicitors for the respondent:  Lockyer Campbell Posner, Toronto</w:t>
      </w:r>
      <w:r w:rsidR="00A70942" w:rsidRPr="00062A1E">
        <w:t>;</w:t>
      </w:r>
      <w:r w:rsidR="00015E17" w:rsidRPr="00062A1E">
        <w:t xml:space="preserve"> Law Office of Patricia Brown, </w:t>
      </w:r>
      <w:r w:rsidR="00062A1E" w:rsidRPr="00062A1E">
        <w:t>Windsor</w:t>
      </w:r>
      <w:r w:rsidRPr="00062A1E">
        <w:t>.</w:t>
      </w:r>
    </w:p>
    <w:p w:rsidR="00E706D2" w:rsidRDefault="00E706D2">
      <w:pPr>
        <w:pStyle w:val="SCCLawFirm"/>
      </w:pPr>
    </w:p>
    <w:p w:rsidR="00E706D2" w:rsidRDefault="008265B3">
      <w:pPr>
        <w:pStyle w:val="SCCLawFirm"/>
      </w:pPr>
      <w:r>
        <w:tab/>
        <w:t>Solicitor</w:t>
      </w:r>
      <w:r w:rsidR="00015E17">
        <w:t>s</w:t>
      </w:r>
      <w:r>
        <w:t xml:space="preserve"> for the intervener:  </w:t>
      </w:r>
      <w:r w:rsidRPr="00062A1E">
        <w:t>Faisal Mirza Professional Corporation, Mississauga</w:t>
      </w:r>
      <w:r w:rsidR="009F1DB1" w:rsidRPr="00062A1E">
        <w:t xml:space="preserve">; </w:t>
      </w:r>
      <w:proofErr w:type="spellStart"/>
      <w:r w:rsidR="009F1DB1" w:rsidRPr="00062A1E">
        <w:t>Markson</w:t>
      </w:r>
      <w:proofErr w:type="spellEnd"/>
      <w:r w:rsidR="009F1DB1" w:rsidRPr="00062A1E">
        <w:t xml:space="preserve"> Law Professional Corporation, Toronto</w:t>
      </w:r>
      <w:r w:rsidRPr="00062A1E">
        <w:t>.</w:t>
      </w:r>
    </w:p>
    <w:p w:rsidR="009B57B3" w:rsidRPr="00A70942" w:rsidRDefault="009B57B3" w:rsidP="007B6F4A"/>
    <w:sectPr w:rsidR="009B57B3" w:rsidRPr="00A70942" w:rsidSect="000648CC">
      <w:headerReference w:type="default" r:id="rId8"/>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BE7" w:rsidRDefault="00321BE7">
      <w:r>
        <w:separator/>
      </w:r>
    </w:p>
  </w:endnote>
  <w:endnote w:type="continuationSeparator" w:id="0">
    <w:p w:rsidR="00321BE7" w:rsidRDefault="00321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BE7" w:rsidRDefault="00321BE7">
      <w:r>
        <w:separator/>
      </w:r>
    </w:p>
  </w:footnote>
  <w:footnote w:type="continuationSeparator" w:id="0">
    <w:p w:rsidR="00321BE7" w:rsidRDefault="00321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5E17"/>
    <w:rsid w:val="00025198"/>
    <w:rsid w:val="000578A3"/>
    <w:rsid w:val="00062A1E"/>
    <w:rsid w:val="000648CC"/>
    <w:rsid w:val="000C59B8"/>
    <w:rsid w:val="000C6AF0"/>
    <w:rsid w:val="000D3500"/>
    <w:rsid w:val="00104F33"/>
    <w:rsid w:val="001064B4"/>
    <w:rsid w:val="00111DE2"/>
    <w:rsid w:val="00116B38"/>
    <w:rsid w:val="00135406"/>
    <w:rsid w:val="00135972"/>
    <w:rsid w:val="001426A9"/>
    <w:rsid w:val="00154D7C"/>
    <w:rsid w:val="001570B0"/>
    <w:rsid w:val="0015752C"/>
    <w:rsid w:val="00157737"/>
    <w:rsid w:val="00165277"/>
    <w:rsid w:val="00170592"/>
    <w:rsid w:val="001813DD"/>
    <w:rsid w:val="00186351"/>
    <w:rsid w:val="00195D83"/>
    <w:rsid w:val="001A00C1"/>
    <w:rsid w:val="001B33E0"/>
    <w:rsid w:val="001B4573"/>
    <w:rsid w:val="001C779F"/>
    <w:rsid w:val="001C7EF2"/>
    <w:rsid w:val="001D2AC1"/>
    <w:rsid w:val="001D4E88"/>
    <w:rsid w:val="00220FC2"/>
    <w:rsid w:val="002222F4"/>
    <w:rsid w:val="00224FC0"/>
    <w:rsid w:val="00225EA4"/>
    <w:rsid w:val="00226EAF"/>
    <w:rsid w:val="00231F3A"/>
    <w:rsid w:val="00234199"/>
    <w:rsid w:val="002406EE"/>
    <w:rsid w:val="002421AA"/>
    <w:rsid w:val="00243EC8"/>
    <w:rsid w:val="00270D93"/>
    <w:rsid w:val="002745CC"/>
    <w:rsid w:val="002B75A5"/>
    <w:rsid w:val="002B7924"/>
    <w:rsid w:val="002D28C3"/>
    <w:rsid w:val="002D39A4"/>
    <w:rsid w:val="002E6705"/>
    <w:rsid w:val="002F4844"/>
    <w:rsid w:val="00301D08"/>
    <w:rsid w:val="0030329A"/>
    <w:rsid w:val="0031086F"/>
    <w:rsid w:val="0031414C"/>
    <w:rsid w:val="00314E01"/>
    <w:rsid w:val="0032089D"/>
    <w:rsid w:val="00321BE7"/>
    <w:rsid w:val="003310DE"/>
    <w:rsid w:val="003323B0"/>
    <w:rsid w:val="0035169A"/>
    <w:rsid w:val="0035259D"/>
    <w:rsid w:val="00354FCD"/>
    <w:rsid w:val="00364B18"/>
    <w:rsid w:val="00381922"/>
    <w:rsid w:val="003A125D"/>
    <w:rsid w:val="003A4C70"/>
    <w:rsid w:val="003B215F"/>
    <w:rsid w:val="003C72DB"/>
    <w:rsid w:val="003C799C"/>
    <w:rsid w:val="003D0399"/>
    <w:rsid w:val="003E1C71"/>
    <w:rsid w:val="003F327B"/>
    <w:rsid w:val="00406166"/>
    <w:rsid w:val="0040704B"/>
    <w:rsid w:val="00410A55"/>
    <w:rsid w:val="00411300"/>
    <w:rsid w:val="00415417"/>
    <w:rsid w:val="00426659"/>
    <w:rsid w:val="00450352"/>
    <w:rsid w:val="00454BDB"/>
    <w:rsid w:val="00464800"/>
    <w:rsid w:val="00465132"/>
    <w:rsid w:val="00480C90"/>
    <w:rsid w:val="0048396F"/>
    <w:rsid w:val="00493C18"/>
    <w:rsid w:val="004A600C"/>
    <w:rsid w:val="004A6118"/>
    <w:rsid w:val="004C478D"/>
    <w:rsid w:val="004E2C26"/>
    <w:rsid w:val="004F36FF"/>
    <w:rsid w:val="0051118C"/>
    <w:rsid w:val="005125A8"/>
    <w:rsid w:val="00521AE8"/>
    <w:rsid w:val="00527180"/>
    <w:rsid w:val="0054201E"/>
    <w:rsid w:val="00555291"/>
    <w:rsid w:val="00566AD1"/>
    <w:rsid w:val="0057110A"/>
    <w:rsid w:val="00583EDE"/>
    <w:rsid w:val="005A6079"/>
    <w:rsid w:val="005C6715"/>
    <w:rsid w:val="005E4698"/>
    <w:rsid w:val="00610539"/>
    <w:rsid w:val="00613969"/>
    <w:rsid w:val="0061766B"/>
    <w:rsid w:val="00625C35"/>
    <w:rsid w:val="00630B95"/>
    <w:rsid w:val="00631F2D"/>
    <w:rsid w:val="00656313"/>
    <w:rsid w:val="006565F4"/>
    <w:rsid w:val="00684EEA"/>
    <w:rsid w:val="00695E79"/>
    <w:rsid w:val="0069689B"/>
    <w:rsid w:val="006A1551"/>
    <w:rsid w:val="006B5FF5"/>
    <w:rsid w:val="006F30AF"/>
    <w:rsid w:val="006F6CF2"/>
    <w:rsid w:val="00701759"/>
    <w:rsid w:val="007043A9"/>
    <w:rsid w:val="00705C15"/>
    <w:rsid w:val="0071600E"/>
    <w:rsid w:val="007208D1"/>
    <w:rsid w:val="00746BF4"/>
    <w:rsid w:val="00747288"/>
    <w:rsid w:val="00747DD3"/>
    <w:rsid w:val="007549C8"/>
    <w:rsid w:val="00754A0B"/>
    <w:rsid w:val="00766D14"/>
    <w:rsid w:val="00767A0F"/>
    <w:rsid w:val="00791D82"/>
    <w:rsid w:val="007A05F6"/>
    <w:rsid w:val="007B6F4A"/>
    <w:rsid w:val="007E1C47"/>
    <w:rsid w:val="007E337A"/>
    <w:rsid w:val="007E5C70"/>
    <w:rsid w:val="007F2FF5"/>
    <w:rsid w:val="007F3F08"/>
    <w:rsid w:val="00804CC6"/>
    <w:rsid w:val="00817190"/>
    <w:rsid w:val="00820EE5"/>
    <w:rsid w:val="008260E2"/>
    <w:rsid w:val="008265B3"/>
    <w:rsid w:val="008322BD"/>
    <w:rsid w:val="00833E0A"/>
    <w:rsid w:val="00834F73"/>
    <w:rsid w:val="00864CF8"/>
    <w:rsid w:val="00872819"/>
    <w:rsid w:val="00874914"/>
    <w:rsid w:val="00891422"/>
    <w:rsid w:val="00892E1A"/>
    <w:rsid w:val="008A3F29"/>
    <w:rsid w:val="008B660A"/>
    <w:rsid w:val="008C01DA"/>
    <w:rsid w:val="008E212A"/>
    <w:rsid w:val="008F78E9"/>
    <w:rsid w:val="00911989"/>
    <w:rsid w:val="009179F9"/>
    <w:rsid w:val="00933E5E"/>
    <w:rsid w:val="00935218"/>
    <w:rsid w:val="009403F3"/>
    <w:rsid w:val="009555B7"/>
    <w:rsid w:val="009567AA"/>
    <w:rsid w:val="00967374"/>
    <w:rsid w:val="009A343A"/>
    <w:rsid w:val="009B2F23"/>
    <w:rsid w:val="009B57B3"/>
    <w:rsid w:val="009C5B92"/>
    <w:rsid w:val="009D2920"/>
    <w:rsid w:val="009D5AEB"/>
    <w:rsid w:val="009F0E33"/>
    <w:rsid w:val="009F1DB1"/>
    <w:rsid w:val="00A030CE"/>
    <w:rsid w:val="00A149DF"/>
    <w:rsid w:val="00A1755C"/>
    <w:rsid w:val="00A21B90"/>
    <w:rsid w:val="00A41805"/>
    <w:rsid w:val="00A42DCD"/>
    <w:rsid w:val="00A52AFB"/>
    <w:rsid w:val="00A548CB"/>
    <w:rsid w:val="00A5521C"/>
    <w:rsid w:val="00A643E7"/>
    <w:rsid w:val="00A70942"/>
    <w:rsid w:val="00A73C38"/>
    <w:rsid w:val="00AB670D"/>
    <w:rsid w:val="00AE4535"/>
    <w:rsid w:val="00AF03C5"/>
    <w:rsid w:val="00B000D8"/>
    <w:rsid w:val="00B00F75"/>
    <w:rsid w:val="00B145B6"/>
    <w:rsid w:val="00B279EB"/>
    <w:rsid w:val="00B50C81"/>
    <w:rsid w:val="00B557F8"/>
    <w:rsid w:val="00B61E5B"/>
    <w:rsid w:val="00B815FC"/>
    <w:rsid w:val="00B93FBC"/>
    <w:rsid w:val="00BA4202"/>
    <w:rsid w:val="00BA7DA0"/>
    <w:rsid w:val="00BB2EE4"/>
    <w:rsid w:val="00BC2108"/>
    <w:rsid w:val="00BD0E9E"/>
    <w:rsid w:val="00BD1BEC"/>
    <w:rsid w:val="00BD32FF"/>
    <w:rsid w:val="00BF4560"/>
    <w:rsid w:val="00C02092"/>
    <w:rsid w:val="00C24D91"/>
    <w:rsid w:val="00C53F14"/>
    <w:rsid w:val="00C600CF"/>
    <w:rsid w:val="00C6084F"/>
    <w:rsid w:val="00C62A66"/>
    <w:rsid w:val="00C66DC0"/>
    <w:rsid w:val="00C71458"/>
    <w:rsid w:val="00C77613"/>
    <w:rsid w:val="00C828E7"/>
    <w:rsid w:val="00C86719"/>
    <w:rsid w:val="00C921DD"/>
    <w:rsid w:val="00CA6391"/>
    <w:rsid w:val="00CB3E65"/>
    <w:rsid w:val="00CC34BD"/>
    <w:rsid w:val="00CE161A"/>
    <w:rsid w:val="00CE3171"/>
    <w:rsid w:val="00CF1601"/>
    <w:rsid w:val="00D0172F"/>
    <w:rsid w:val="00D068A7"/>
    <w:rsid w:val="00D17476"/>
    <w:rsid w:val="00D26AC6"/>
    <w:rsid w:val="00D32086"/>
    <w:rsid w:val="00D37A3F"/>
    <w:rsid w:val="00D4431D"/>
    <w:rsid w:val="00D4667A"/>
    <w:rsid w:val="00D63A1C"/>
    <w:rsid w:val="00D64562"/>
    <w:rsid w:val="00D7516F"/>
    <w:rsid w:val="00D8579F"/>
    <w:rsid w:val="00D95F8E"/>
    <w:rsid w:val="00DA0590"/>
    <w:rsid w:val="00DB7BEA"/>
    <w:rsid w:val="00DC1739"/>
    <w:rsid w:val="00DC1788"/>
    <w:rsid w:val="00DE319C"/>
    <w:rsid w:val="00DF0CA8"/>
    <w:rsid w:val="00DF2B48"/>
    <w:rsid w:val="00DF49A7"/>
    <w:rsid w:val="00E07EE2"/>
    <w:rsid w:val="00E07FD1"/>
    <w:rsid w:val="00E176D8"/>
    <w:rsid w:val="00E24573"/>
    <w:rsid w:val="00E25E1E"/>
    <w:rsid w:val="00E27EE7"/>
    <w:rsid w:val="00E35404"/>
    <w:rsid w:val="00E41C00"/>
    <w:rsid w:val="00E45109"/>
    <w:rsid w:val="00E47B7A"/>
    <w:rsid w:val="00E56A44"/>
    <w:rsid w:val="00E60269"/>
    <w:rsid w:val="00E706D2"/>
    <w:rsid w:val="00E77932"/>
    <w:rsid w:val="00E97830"/>
    <w:rsid w:val="00EC0B0A"/>
    <w:rsid w:val="00EE643C"/>
    <w:rsid w:val="00EF0683"/>
    <w:rsid w:val="00EF69D2"/>
    <w:rsid w:val="00EF766E"/>
    <w:rsid w:val="00F0070C"/>
    <w:rsid w:val="00F00EB7"/>
    <w:rsid w:val="00F36AB6"/>
    <w:rsid w:val="00F37A09"/>
    <w:rsid w:val="00F409CE"/>
    <w:rsid w:val="00F4379D"/>
    <w:rsid w:val="00F50D2D"/>
    <w:rsid w:val="00F56C8B"/>
    <w:rsid w:val="00F66810"/>
    <w:rsid w:val="00F846D9"/>
    <w:rsid w:val="00F84DF4"/>
    <w:rsid w:val="00F85C97"/>
    <w:rsid w:val="00FB26E1"/>
    <w:rsid w:val="00FB37D2"/>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table" w:customStyle="1" w:styleId="TableGrid1">
    <w:name w:val="Table Grid1"/>
    <w:basedOn w:val="TableNormal"/>
    <w:next w:val="TableGrid"/>
    <w:uiPriority w:val="59"/>
    <w:rsid w:val="001C7EF2"/>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1C7EF2"/>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1C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554</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2021-02-28T20:38:00Z</dcterms:created>
  <dcterms:modified xsi:type="dcterms:W3CDTF">2021-03-01T19:01:00Z</dcterms:modified>
</cp:coreProperties>
</file>