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54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59"/>
        <w:gridCol w:w="1262"/>
        <w:gridCol w:w="3869"/>
      </w:tblGrid>
      <w:tr w:rsidR="004D4111" w:rsidRPr="004D4111" w:rsidTr="004D4111">
        <w:trPr>
          <w:trHeight w:val="1784"/>
        </w:trPr>
        <w:tc>
          <w:tcPr>
            <w:tcW w:w="5000" w:type="pct"/>
            <w:gridSpan w:val="3"/>
          </w:tcPr>
          <w:p w:rsidR="004D4111" w:rsidRPr="004D4111" w:rsidRDefault="004D4111" w:rsidP="004D4111">
            <w:pPr>
              <w:jc w:val="center"/>
            </w:pPr>
            <w:r w:rsidRPr="004D4111">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1.8pt;height:64.8pt" o:ole="">
                  <v:imagedata r:id="rId7" o:title=""/>
                </v:shape>
                <o:OLEObject Type="Embed" ProgID="Presentations.Drawing.15" ShapeID="_x0000_i1095" DrawAspect="Content" ObjectID="_1705839096" r:id="rId8"/>
              </w:object>
            </w:r>
          </w:p>
          <w:p w:rsidR="004D4111" w:rsidRPr="004D4111" w:rsidRDefault="004D4111" w:rsidP="004D4111">
            <w:pPr>
              <w:spacing w:before="120" w:after="100" w:afterAutospacing="1"/>
              <w:jc w:val="center"/>
              <w:rPr>
                <w:rFonts w:eastAsia="Calibri"/>
              </w:rPr>
            </w:pPr>
            <w:r w:rsidRPr="004D4111">
              <w:rPr>
                <w:rFonts w:eastAsia="Calibri"/>
                <w:b/>
                <w:szCs w:val="24"/>
                <w:lang w:eastAsia="en-US"/>
              </w:rPr>
              <w:t>SUPREME COURT OF CANADA</w:t>
            </w:r>
          </w:p>
        </w:tc>
      </w:tr>
      <w:tr w:rsidR="004D4111" w:rsidRPr="004D4111" w:rsidTr="004D4111">
        <w:tc>
          <w:tcPr>
            <w:tcW w:w="2178" w:type="pct"/>
            <w:tcMar>
              <w:top w:w="284" w:type="dxa"/>
            </w:tcMar>
          </w:tcPr>
          <w:p w:rsidR="004D4111" w:rsidRPr="004D4111" w:rsidRDefault="004D4111" w:rsidP="004D4111">
            <w:pPr>
              <w:spacing w:before="100" w:beforeAutospacing="1"/>
              <w:rPr>
                <w:rFonts w:eastAsia="Calibri"/>
                <w:lang w:val="fr-CA"/>
              </w:rPr>
            </w:pPr>
            <w:r w:rsidRPr="004D4111">
              <w:rPr>
                <w:b/>
                <w:smallCaps/>
                <w:lang w:val="fr-CA"/>
              </w:rPr>
              <w:t>Citation:</w:t>
            </w:r>
            <w:r w:rsidRPr="004D4111">
              <w:rPr>
                <w:lang w:val="fr-CA"/>
              </w:rPr>
              <w:t xml:space="preserve"> </w:t>
            </w:r>
            <w:r w:rsidRPr="004D4111">
              <w:rPr>
                <w:rFonts w:eastAsiaTheme="minorHAnsi"/>
                <w:szCs w:val="24"/>
                <w:lang w:val="fr-CA"/>
              </w:rPr>
              <w:t>Denis</w:t>
            </w:r>
            <w:r w:rsidRPr="004D4111">
              <w:rPr>
                <w:szCs w:val="24"/>
                <w:lang w:val="fr-CA"/>
              </w:rPr>
              <w:t xml:space="preserve"> </w:t>
            </w:r>
            <w:r w:rsidRPr="004D4111">
              <w:rPr>
                <w:i/>
                <w:szCs w:val="24"/>
                <w:lang w:val="fr-CA"/>
              </w:rPr>
              <w:t>v.</w:t>
            </w:r>
            <w:r w:rsidRPr="004D4111">
              <w:rPr>
                <w:szCs w:val="24"/>
                <w:lang w:val="fr-CA"/>
              </w:rPr>
              <w:t xml:space="preserve"> </w:t>
            </w:r>
            <w:r w:rsidRPr="004D4111">
              <w:rPr>
                <w:rFonts w:eastAsiaTheme="minorHAnsi"/>
                <w:szCs w:val="24"/>
                <w:lang w:val="fr-CA"/>
              </w:rPr>
              <w:t>Côté, 2019 SCC 44, [2019] 3 S.C.R. 482</w:t>
            </w:r>
          </w:p>
        </w:tc>
        <w:tc>
          <w:tcPr>
            <w:tcW w:w="694" w:type="pct"/>
          </w:tcPr>
          <w:p w:rsidR="004D4111" w:rsidRPr="004D4111" w:rsidRDefault="004D4111" w:rsidP="004D4111">
            <w:pPr>
              <w:rPr>
                <w:b/>
                <w:smallCaps/>
                <w:lang w:val="fr-CA"/>
              </w:rPr>
            </w:pPr>
          </w:p>
        </w:tc>
        <w:tc>
          <w:tcPr>
            <w:tcW w:w="2128" w:type="pct"/>
            <w:tcMar>
              <w:top w:w="284" w:type="dxa"/>
            </w:tcMar>
          </w:tcPr>
          <w:p w:rsidR="004D4111" w:rsidRPr="004D4111" w:rsidRDefault="004D4111" w:rsidP="004D4111">
            <w:pPr>
              <w:ind w:left="-76" w:firstLine="14"/>
              <w:rPr>
                <w:rFonts w:eastAsiaTheme="minorHAnsi" w:cstheme="minorBidi"/>
                <w:szCs w:val="24"/>
                <w:lang w:eastAsia="en-US"/>
              </w:rPr>
            </w:pPr>
            <w:r w:rsidRPr="004D4111">
              <w:rPr>
                <w:rFonts w:eastAsiaTheme="minorHAnsi" w:cstheme="minorBidi"/>
                <w:b/>
                <w:smallCaps/>
                <w:szCs w:val="24"/>
                <w:lang w:eastAsia="en-US"/>
              </w:rPr>
              <w:t>Appeal Heard:</w:t>
            </w:r>
            <w:r w:rsidRPr="004D4111">
              <w:rPr>
                <w:rFonts w:eastAsiaTheme="minorHAnsi" w:cstheme="minorBidi"/>
                <w:szCs w:val="24"/>
                <w:lang w:eastAsia="en-US"/>
              </w:rPr>
              <w:t xml:space="preserve"> May 16, 2019</w:t>
            </w:r>
          </w:p>
          <w:p w:rsidR="004D4111" w:rsidRPr="004D4111" w:rsidRDefault="004D4111" w:rsidP="004D4111">
            <w:pPr>
              <w:ind w:left="-76" w:firstLine="18"/>
              <w:rPr>
                <w:rFonts w:eastAsiaTheme="minorHAnsi" w:cstheme="minorBidi"/>
                <w:szCs w:val="24"/>
                <w:lang w:eastAsia="en-US"/>
              </w:rPr>
            </w:pPr>
            <w:r w:rsidRPr="004D4111">
              <w:rPr>
                <w:rFonts w:eastAsiaTheme="minorHAnsi" w:cstheme="minorBidi"/>
                <w:b/>
                <w:smallCaps/>
                <w:szCs w:val="24"/>
                <w:lang w:eastAsia="en-US"/>
              </w:rPr>
              <w:t xml:space="preserve">Judgment Rendered: </w:t>
            </w:r>
            <w:r w:rsidRPr="004D4111">
              <w:rPr>
                <w:rFonts w:eastAsiaTheme="minorHAnsi" w:cstheme="minorBidi"/>
                <w:smallCaps/>
                <w:szCs w:val="24"/>
                <w:lang w:eastAsia="en-US"/>
              </w:rPr>
              <w:t>S</w:t>
            </w:r>
            <w:r w:rsidRPr="004D4111">
              <w:rPr>
                <w:rFonts w:eastAsiaTheme="minorHAnsi" w:cstheme="minorBidi"/>
                <w:szCs w:val="24"/>
                <w:lang w:eastAsia="en-US"/>
              </w:rPr>
              <w:t>eptember 27, 2019</w:t>
            </w:r>
          </w:p>
          <w:p w:rsidR="004D4111" w:rsidRPr="004D4111" w:rsidRDefault="004D4111" w:rsidP="004D4111">
            <w:r w:rsidRPr="004D4111">
              <w:rPr>
                <w:rFonts w:eastAsiaTheme="minorHAnsi" w:cstheme="minorBidi"/>
                <w:b/>
                <w:smallCaps/>
                <w:szCs w:val="24"/>
                <w:lang w:eastAsia="en-US"/>
              </w:rPr>
              <w:t>Docket:</w:t>
            </w:r>
            <w:r w:rsidRPr="004D4111">
              <w:rPr>
                <w:rFonts w:eastAsiaTheme="minorHAnsi" w:cstheme="minorBidi"/>
                <w:szCs w:val="24"/>
                <w:lang w:eastAsia="en-US"/>
              </w:rPr>
              <w:t xml:space="preserve"> 38114</w:t>
            </w:r>
          </w:p>
        </w:tc>
      </w:tr>
    </w:tbl>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4D4111" w:rsidRPr="00E32A61" w:rsidTr="004D4111">
        <w:tc>
          <w:tcPr>
            <w:tcW w:w="5000" w:type="pct"/>
          </w:tcPr>
          <w:p w:rsidR="004D4111" w:rsidRPr="004D4111" w:rsidRDefault="004D4111" w:rsidP="00752374">
            <w:pPr>
              <w:rPr>
                <w:szCs w:val="24"/>
                <w:lang w:val="fr-CA"/>
              </w:rPr>
            </w:pPr>
          </w:p>
          <w:p w:rsidR="004D4111" w:rsidRDefault="004D4111" w:rsidP="00752374">
            <w:pPr>
              <w:rPr>
                <w:b/>
                <w:smallCaps/>
                <w:szCs w:val="24"/>
                <w:lang w:val="fr-CA"/>
              </w:rPr>
            </w:pPr>
            <w:proofErr w:type="spellStart"/>
            <w:r w:rsidRPr="004D4111">
              <w:rPr>
                <w:b/>
                <w:smallCaps/>
                <w:szCs w:val="24"/>
                <w:lang w:val="fr-CA"/>
              </w:rPr>
              <w:t>Between</w:t>
            </w:r>
            <w:proofErr w:type="spellEnd"/>
            <w:r w:rsidRPr="004D4111">
              <w:rPr>
                <w:b/>
                <w:smallCaps/>
                <w:szCs w:val="24"/>
                <w:lang w:val="fr-CA"/>
              </w:rPr>
              <w:t>:</w:t>
            </w:r>
          </w:p>
          <w:p w:rsidR="000703A7" w:rsidRPr="004D4111" w:rsidRDefault="000703A7" w:rsidP="00752374">
            <w:pPr>
              <w:rPr>
                <w:b/>
                <w:smallCaps/>
                <w:szCs w:val="24"/>
                <w:lang w:val="fr-CA"/>
              </w:rPr>
            </w:pPr>
            <w:bookmarkStart w:id="0" w:name="_GoBack"/>
            <w:bookmarkEnd w:id="0"/>
          </w:p>
          <w:p w:rsidR="004D4111" w:rsidRPr="004D4111" w:rsidRDefault="004D4111" w:rsidP="00752374">
            <w:pPr>
              <w:jc w:val="center"/>
              <w:rPr>
                <w:b/>
                <w:szCs w:val="24"/>
                <w:lang w:val="fr-CA"/>
              </w:rPr>
            </w:pPr>
            <w:r w:rsidRPr="004D4111">
              <w:rPr>
                <w:b/>
                <w:szCs w:val="24"/>
                <w:lang w:val="fr-CA"/>
              </w:rPr>
              <w:t>Marie-Maude Denis</w:t>
            </w:r>
          </w:p>
          <w:p w:rsidR="004D4111" w:rsidRPr="004D4111" w:rsidRDefault="004D4111" w:rsidP="00752374">
            <w:pPr>
              <w:jc w:val="center"/>
              <w:rPr>
                <w:szCs w:val="24"/>
                <w:lang w:val="fr-CA"/>
              </w:rPr>
            </w:pPr>
            <w:proofErr w:type="spellStart"/>
            <w:r w:rsidRPr="004D4111">
              <w:rPr>
                <w:szCs w:val="24"/>
                <w:lang w:val="fr-CA"/>
              </w:rPr>
              <w:t>Appellant</w:t>
            </w:r>
            <w:proofErr w:type="spellEnd"/>
          </w:p>
          <w:p w:rsidR="004D4111" w:rsidRPr="004D4111" w:rsidRDefault="004D4111" w:rsidP="00752374">
            <w:pPr>
              <w:rPr>
                <w:szCs w:val="24"/>
                <w:lang w:val="fr-CA"/>
              </w:rPr>
            </w:pPr>
          </w:p>
          <w:p w:rsidR="004D4111" w:rsidRPr="004D4111" w:rsidRDefault="004D4111" w:rsidP="00752374">
            <w:pPr>
              <w:jc w:val="center"/>
              <w:rPr>
                <w:szCs w:val="24"/>
                <w:lang w:val="fr-CA"/>
              </w:rPr>
            </w:pPr>
            <w:r w:rsidRPr="004D4111">
              <w:rPr>
                <w:szCs w:val="24"/>
                <w:lang w:val="fr-CA"/>
              </w:rPr>
              <w:t>and</w:t>
            </w:r>
          </w:p>
          <w:p w:rsidR="004D4111" w:rsidRPr="004D4111" w:rsidRDefault="004D4111" w:rsidP="00752374">
            <w:pPr>
              <w:rPr>
                <w:szCs w:val="24"/>
                <w:lang w:val="fr-CA"/>
              </w:rPr>
            </w:pPr>
          </w:p>
          <w:p w:rsidR="004D4111" w:rsidRPr="004D4111" w:rsidRDefault="004D4111" w:rsidP="00752374">
            <w:pPr>
              <w:jc w:val="center"/>
              <w:rPr>
                <w:b/>
                <w:szCs w:val="24"/>
                <w:lang w:val="fr-CA"/>
              </w:rPr>
            </w:pPr>
            <w:r w:rsidRPr="004D4111">
              <w:rPr>
                <w:b/>
                <w:szCs w:val="24"/>
                <w:lang w:val="fr-CA"/>
              </w:rPr>
              <w:t>Marc-Yvan Côté</w:t>
            </w:r>
          </w:p>
          <w:p w:rsidR="004D4111" w:rsidRPr="004D4111" w:rsidRDefault="004D4111" w:rsidP="00752374">
            <w:pPr>
              <w:jc w:val="center"/>
              <w:rPr>
                <w:szCs w:val="24"/>
              </w:rPr>
            </w:pPr>
            <w:r w:rsidRPr="004D4111">
              <w:rPr>
                <w:szCs w:val="24"/>
              </w:rPr>
              <w:t>Respondent</w:t>
            </w:r>
          </w:p>
          <w:p w:rsidR="004D4111" w:rsidRPr="004D4111" w:rsidRDefault="004D4111" w:rsidP="00752374">
            <w:pPr>
              <w:rPr>
                <w:szCs w:val="24"/>
              </w:rPr>
            </w:pPr>
          </w:p>
          <w:p w:rsidR="004D4111" w:rsidRPr="004D4111" w:rsidRDefault="004D4111" w:rsidP="00752374">
            <w:pPr>
              <w:jc w:val="center"/>
              <w:rPr>
                <w:szCs w:val="24"/>
              </w:rPr>
            </w:pPr>
            <w:r w:rsidRPr="004D4111">
              <w:rPr>
                <w:szCs w:val="24"/>
              </w:rPr>
              <w:t>- and -</w:t>
            </w:r>
          </w:p>
          <w:p w:rsidR="004D4111" w:rsidRPr="004D4111" w:rsidRDefault="004D4111" w:rsidP="00752374">
            <w:pPr>
              <w:rPr>
                <w:szCs w:val="24"/>
              </w:rPr>
            </w:pPr>
          </w:p>
          <w:p w:rsidR="004D4111" w:rsidRPr="004D4111" w:rsidRDefault="004D4111" w:rsidP="00752374">
            <w:pPr>
              <w:jc w:val="center"/>
              <w:rPr>
                <w:b/>
                <w:szCs w:val="24"/>
              </w:rPr>
            </w:pPr>
            <w:r w:rsidRPr="004D4111">
              <w:rPr>
                <w:b/>
                <w:szCs w:val="24"/>
              </w:rPr>
              <w:t xml:space="preserve">Her Majesty The Queen, Attorney General of Quebec, </w:t>
            </w:r>
            <w:proofErr w:type="spellStart"/>
            <w:r w:rsidRPr="004D4111">
              <w:rPr>
                <w:b/>
                <w:szCs w:val="24"/>
              </w:rPr>
              <w:t>Fédération</w:t>
            </w:r>
            <w:proofErr w:type="spellEnd"/>
            <w:r w:rsidRPr="004D4111">
              <w:rPr>
                <w:b/>
                <w:szCs w:val="24"/>
              </w:rPr>
              <w:t xml:space="preserve"> </w:t>
            </w:r>
            <w:proofErr w:type="spellStart"/>
            <w:r w:rsidRPr="004D4111">
              <w:rPr>
                <w:b/>
                <w:szCs w:val="24"/>
              </w:rPr>
              <w:t>professionnelle</w:t>
            </w:r>
            <w:proofErr w:type="spellEnd"/>
            <w:r w:rsidRPr="004D4111">
              <w:rPr>
                <w:b/>
                <w:szCs w:val="24"/>
              </w:rPr>
              <w:t xml:space="preserve"> des </w:t>
            </w:r>
            <w:proofErr w:type="spellStart"/>
            <w:r w:rsidRPr="004D4111">
              <w:rPr>
                <w:b/>
                <w:szCs w:val="24"/>
              </w:rPr>
              <w:t>journalistes</w:t>
            </w:r>
            <w:proofErr w:type="spellEnd"/>
            <w:r w:rsidRPr="004D4111">
              <w:rPr>
                <w:b/>
                <w:szCs w:val="24"/>
              </w:rPr>
              <w:t xml:space="preserve"> du Québec, Canadian Association of Journalists, Canadian Journalists for Freedom of Expression, Reporters Without Borders, La </w:t>
            </w:r>
            <w:proofErr w:type="spellStart"/>
            <w:r w:rsidRPr="004D4111">
              <w:rPr>
                <w:b/>
                <w:szCs w:val="24"/>
              </w:rPr>
              <w:t>Presse</w:t>
            </w:r>
            <w:proofErr w:type="spellEnd"/>
            <w:r w:rsidRPr="004D4111">
              <w:rPr>
                <w:b/>
                <w:szCs w:val="24"/>
              </w:rPr>
              <w:t xml:space="preserve"> (2018) Inc., Canadian Civil Liberties Association, AD IDEM/Canadian Media Lawyers Association, CTV, a Division of Bell Media Inc., Global News, a division of Corus Television Limited Partnership, The Globe and Mail Inc., Postmedia Network Inc. and Vice Studio Canada Inc.</w:t>
            </w:r>
          </w:p>
          <w:p w:rsidR="004D4111" w:rsidRPr="004D4111" w:rsidRDefault="004D4111" w:rsidP="00752374">
            <w:pPr>
              <w:jc w:val="center"/>
              <w:rPr>
                <w:szCs w:val="24"/>
                <w:lang w:val="en-US"/>
              </w:rPr>
            </w:pPr>
            <w:r w:rsidRPr="004D4111">
              <w:rPr>
                <w:szCs w:val="24"/>
                <w:lang w:val="en-US"/>
              </w:rPr>
              <w:t>Interveners</w:t>
            </w:r>
          </w:p>
          <w:p w:rsidR="004D4111" w:rsidRPr="004D4111" w:rsidRDefault="004D4111" w:rsidP="00752374">
            <w:pPr>
              <w:rPr>
                <w:szCs w:val="24"/>
                <w:lang w:val="en-US"/>
              </w:rPr>
            </w:pPr>
          </w:p>
          <w:p w:rsidR="004D4111" w:rsidRPr="004D4111" w:rsidRDefault="004D4111" w:rsidP="00752374">
            <w:pPr>
              <w:jc w:val="center"/>
              <w:rPr>
                <w:b/>
                <w:bCs/>
                <w:smallCaps/>
                <w:color w:val="000000"/>
                <w:szCs w:val="24"/>
              </w:rPr>
            </w:pPr>
          </w:p>
          <w:p w:rsidR="004D4111" w:rsidRPr="004D4111" w:rsidRDefault="004D4111" w:rsidP="00752374">
            <w:pPr>
              <w:jc w:val="center"/>
              <w:rPr>
                <w:szCs w:val="24"/>
              </w:rPr>
            </w:pPr>
            <w:r w:rsidRPr="004D4111">
              <w:rPr>
                <w:b/>
                <w:bCs/>
                <w:smallCaps/>
                <w:color w:val="000000"/>
                <w:szCs w:val="24"/>
              </w:rPr>
              <w:t>Official English Translation: </w:t>
            </w:r>
            <w:r w:rsidRPr="004D4111">
              <w:rPr>
                <w:color w:val="000000"/>
                <w:szCs w:val="24"/>
              </w:rPr>
              <w:t xml:space="preserve">Reasons of </w:t>
            </w:r>
            <w:r w:rsidRPr="004D4111">
              <w:rPr>
                <w:szCs w:val="24"/>
              </w:rPr>
              <w:t>Wagner C.J.</w:t>
            </w:r>
          </w:p>
          <w:p w:rsidR="004D4111" w:rsidRPr="004D4111" w:rsidRDefault="004D4111" w:rsidP="00752374">
            <w:pPr>
              <w:jc w:val="center"/>
              <w:rPr>
                <w:szCs w:val="24"/>
              </w:rPr>
            </w:pPr>
          </w:p>
          <w:p w:rsidR="004D4111" w:rsidRPr="004D4111" w:rsidRDefault="004D4111" w:rsidP="00752374">
            <w:pPr>
              <w:jc w:val="center"/>
              <w:rPr>
                <w:szCs w:val="24"/>
              </w:rPr>
            </w:pPr>
          </w:p>
          <w:p w:rsidR="004D4111" w:rsidRPr="004D4111" w:rsidRDefault="004D4111" w:rsidP="00752374">
            <w:pPr>
              <w:rPr>
                <w:szCs w:val="24"/>
              </w:rPr>
            </w:pPr>
            <w:r w:rsidRPr="004D4111">
              <w:rPr>
                <w:b/>
                <w:smallCaps/>
                <w:szCs w:val="24"/>
              </w:rPr>
              <w:t>Coram:</w:t>
            </w:r>
            <w:r w:rsidRPr="004D4111">
              <w:rPr>
                <w:szCs w:val="24"/>
              </w:rPr>
              <w:t xml:space="preserve"> Wagner C.J. and </w:t>
            </w:r>
            <w:proofErr w:type="spellStart"/>
            <w:r w:rsidRPr="004D4111">
              <w:rPr>
                <w:szCs w:val="24"/>
              </w:rPr>
              <w:t>Abella</w:t>
            </w:r>
            <w:proofErr w:type="spellEnd"/>
            <w:r w:rsidRPr="004D4111">
              <w:rPr>
                <w:szCs w:val="24"/>
              </w:rPr>
              <w:t xml:space="preserve">, </w:t>
            </w:r>
            <w:proofErr w:type="spellStart"/>
            <w:r w:rsidRPr="004D4111">
              <w:rPr>
                <w:szCs w:val="24"/>
              </w:rPr>
              <w:t>Moldaver</w:t>
            </w:r>
            <w:proofErr w:type="spellEnd"/>
            <w:r w:rsidRPr="004D4111">
              <w:rPr>
                <w:szCs w:val="24"/>
              </w:rPr>
              <w:t xml:space="preserve">, </w:t>
            </w:r>
            <w:proofErr w:type="spellStart"/>
            <w:r w:rsidRPr="004D4111">
              <w:rPr>
                <w:szCs w:val="24"/>
              </w:rPr>
              <w:t>Karakatsanis</w:t>
            </w:r>
            <w:proofErr w:type="spellEnd"/>
            <w:r w:rsidRPr="004D4111">
              <w:rPr>
                <w:szCs w:val="24"/>
              </w:rPr>
              <w:t xml:space="preserve">, </w:t>
            </w:r>
            <w:proofErr w:type="spellStart"/>
            <w:r w:rsidRPr="004D4111">
              <w:rPr>
                <w:szCs w:val="24"/>
              </w:rPr>
              <w:t>Gascon</w:t>
            </w:r>
            <w:proofErr w:type="spellEnd"/>
            <w:r w:rsidRPr="004D4111">
              <w:rPr>
                <w:szCs w:val="24"/>
              </w:rPr>
              <w:t xml:space="preserve">, </w:t>
            </w:r>
            <w:proofErr w:type="spellStart"/>
            <w:r w:rsidRPr="004D4111">
              <w:rPr>
                <w:szCs w:val="24"/>
              </w:rPr>
              <w:t>Côté</w:t>
            </w:r>
            <w:proofErr w:type="spellEnd"/>
            <w:r w:rsidRPr="004D4111">
              <w:rPr>
                <w:szCs w:val="24"/>
              </w:rPr>
              <w:t>, Brown, Rowe and Martin JJ.</w:t>
            </w:r>
          </w:p>
          <w:p w:rsidR="004D4111" w:rsidRPr="00423823" w:rsidRDefault="004D4111" w:rsidP="00752374">
            <w:pPr>
              <w:jc w:val="center"/>
              <w:rPr>
                <w:b/>
                <w:smallCaps/>
              </w:rPr>
            </w:pPr>
          </w:p>
        </w:tc>
      </w:tr>
    </w:tbl>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4D4111" w:rsidRPr="004D4111" w:rsidTr="004D4111">
        <w:trPr>
          <w:trHeight w:val="756"/>
        </w:trPr>
        <w:tc>
          <w:tcPr>
            <w:tcW w:w="3618" w:type="dxa"/>
          </w:tcPr>
          <w:p w:rsidR="004D4111" w:rsidRPr="004D4111" w:rsidRDefault="004D4111" w:rsidP="004D4111">
            <w:pPr>
              <w:rPr>
                <w:b/>
                <w:smallCaps/>
              </w:rPr>
            </w:pPr>
            <w:r w:rsidRPr="004D4111">
              <w:rPr>
                <w:b/>
                <w:smallCaps/>
              </w:rPr>
              <w:t>Reasons for Judgment:</w:t>
            </w:r>
          </w:p>
          <w:p w:rsidR="004D4111" w:rsidRPr="004D4111" w:rsidRDefault="004D4111" w:rsidP="004D4111">
            <w:r w:rsidRPr="004D4111">
              <w:rPr>
                <w:smallCaps/>
              </w:rPr>
              <w:t>(</w:t>
            </w:r>
            <w:r w:rsidRPr="004D4111">
              <w:t>paras. 1 to 65)</w:t>
            </w:r>
          </w:p>
        </w:tc>
        <w:tc>
          <w:tcPr>
            <w:tcW w:w="5742" w:type="dxa"/>
          </w:tcPr>
          <w:p w:rsidR="004D4111" w:rsidRPr="004D4111" w:rsidRDefault="004D4111" w:rsidP="004D4111">
            <w:r w:rsidRPr="004D4111">
              <w:t>Wagner C.J. (</w:t>
            </w:r>
            <w:proofErr w:type="spellStart"/>
            <w:r w:rsidRPr="004D4111">
              <w:t>Moldaver</w:t>
            </w:r>
            <w:proofErr w:type="spellEnd"/>
            <w:r w:rsidRPr="004D4111">
              <w:t xml:space="preserve">, </w:t>
            </w:r>
            <w:proofErr w:type="spellStart"/>
            <w:r w:rsidRPr="004D4111">
              <w:t>Karakatsanis</w:t>
            </w:r>
            <w:proofErr w:type="spellEnd"/>
            <w:r w:rsidRPr="004D4111">
              <w:t xml:space="preserve">, </w:t>
            </w:r>
            <w:proofErr w:type="spellStart"/>
            <w:r w:rsidRPr="004D4111">
              <w:t>Gascon</w:t>
            </w:r>
            <w:proofErr w:type="spellEnd"/>
            <w:r w:rsidRPr="004D4111">
              <w:t xml:space="preserve">, </w:t>
            </w:r>
            <w:proofErr w:type="spellStart"/>
            <w:r w:rsidRPr="004D4111">
              <w:t>Côté</w:t>
            </w:r>
            <w:proofErr w:type="spellEnd"/>
            <w:r w:rsidRPr="004D4111">
              <w:t>, Brown, Rowe and Martin JJ. concurring)</w:t>
            </w:r>
          </w:p>
        </w:tc>
      </w:tr>
      <w:tr w:rsidR="004D4111" w:rsidRPr="004D4111" w:rsidTr="004D4111">
        <w:trPr>
          <w:trHeight w:val="624"/>
        </w:trPr>
        <w:tc>
          <w:tcPr>
            <w:tcW w:w="3618" w:type="dxa"/>
          </w:tcPr>
          <w:p w:rsidR="004D4111" w:rsidRPr="004D4111" w:rsidRDefault="004D4111" w:rsidP="004D4111">
            <w:r w:rsidRPr="004D4111">
              <w:rPr>
                <w:b/>
                <w:bCs/>
                <w:smallCaps/>
                <w:color w:val="000000"/>
              </w:rPr>
              <w:lastRenderedPageBreak/>
              <w:t>Dissenting Reasons:</w:t>
            </w:r>
            <w:r w:rsidRPr="004D4111">
              <w:t xml:space="preserve"> </w:t>
            </w:r>
          </w:p>
          <w:p w:rsidR="004D4111" w:rsidRPr="004D4111" w:rsidRDefault="004D4111" w:rsidP="004D4111">
            <w:pPr>
              <w:rPr>
                <w:b/>
                <w:smallCaps/>
              </w:rPr>
            </w:pPr>
            <w:r w:rsidRPr="004D4111">
              <w:t>(paras. 66 to 73)</w:t>
            </w:r>
          </w:p>
        </w:tc>
        <w:tc>
          <w:tcPr>
            <w:tcW w:w="5742" w:type="dxa"/>
          </w:tcPr>
          <w:p w:rsidR="004D4111" w:rsidRPr="004D4111" w:rsidRDefault="004D4111" w:rsidP="004D4111">
            <w:proofErr w:type="spellStart"/>
            <w:r w:rsidRPr="004D4111">
              <w:t>Abella</w:t>
            </w:r>
            <w:proofErr w:type="spellEnd"/>
            <w:r w:rsidRPr="004D4111">
              <w:t xml:space="preserve"> J.</w:t>
            </w:r>
          </w:p>
          <w:p w:rsidR="004D4111" w:rsidRPr="004D4111" w:rsidRDefault="004D4111" w:rsidP="004D4111"/>
        </w:tc>
      </w:tr>
    </w:tbl>
    <w:p w:rsidR="004D4111" w:rsidRPr="004D4111" w:rsidRDefault="004D4111" w:rsidP="004D4111">
      <w:pPr>
        <w:spacing w:after="0" w:line="240" w:lineRule="auto"/>
        <w:rPr>
          <w:rFonts w:ascii="Times New Roman" w:hAnsi="Times New Roman"/>
          <w:sz w:val="24"/>
          <w:szCs w:val="24"/>
        </w:rPr>
      </w:pPr>
    </w:p>
    <w:p w:rsidR="004D4111" w:rsidRPr="004D4111" w:rsidRDefault="004D4111" w:rsidP="004D4111">
      <w:pPr>
        <w:spacing w:after="0" w:line="240" w:lineRule="auto"/>
        <w:rPr>
          <w:rFonts w:ascii="Times New Roman" w:hAnsi="Times New Roman"/>
          <w:sz w:val="24"/>
          <w:szCs w:val="24"/>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1"/>
        <w:gridCol w:w="2699"/>
      </w:tblGrid>
      <w:tr w:rsidR="004D4111" w:rsidTr="004D4111">
        <w:tc>
          <w:tcPr>
            <w:tcW w:w="1442" w:type="pct"/>
            <w:tcMar>
              <w:top w:w="284" w:type="dxa"/>
            </w:tcMar>
          </w:tcPr>
          <w:p w:rsidR="004D4111" w:rsidRDefault="004D4111" w:rsidP="00752374">
            <w:pPr>
              <w:rPr>
                <w:rFonts w:eastAsia="Calibri"/>
                <w:szCs w:val="24"/>
              </w:rPr>
            </w:pPr>
          </w:p>
        </w:tc>
        <w:tc>
          <w:tcPr>
            <w:tcW w:w="2116" w:type="pct"/>
            <w:tcBorders>
              <w:bottom w:val="single" w:sz="4" w:space="0" w:color="auto"/>
            </w:tcBorders>
            <w:tcMar>
              <w:top w:w="284" w:type="dxa"/>
            </w:tcMar>
          </w:tcPr>
          <w:p w:rsidR="004D4111" w:rsidRDefault="004D4111" w:rsidP="00752374">
            <w:pPr>
              <w:rPr>
                <w:rFonts w:eastAsia="Calibri"/>
                <w:szCs w:val="24"/>
              </w:rPr>
            </w:pPr>
          </w:p>
        </w:tc>
        <w:tc>
          <w:tcPr>
            <w:tcW w:w="1442" w:type="pct"/>
            <w:tcMar>
              <w:top w:w="284" w:type="dxa"/>
            </w:tcMar>
          </w:tcPr>
          <w:p w:rsidR="004D4111" w:rsidRDefault="004D4111" w:rsidP="00752374">
            <w:pPr>
              <w:rPr>
                <w:rFonts w:eastAsia="Calibri"/>
                <w:szCs w:val="24"/>
              </w:rPr>
            </w:pPr>
          </w:p>
        </w:tc>
      </w:tr>
    </w:tbl>
    <w:p w:rsidR="004D4111" w:rsidRPr="004D4111" w:rsidRDefault="004D4111" w:rsidP="00B025ED">
      <w:pPr>
        <w:spacing w:after="720"/>
        <w:jc w:val="both"/>
        <w:rPr>
          <w:rStyle w:val="SCCAppellantForRunningHeadChar"/>
          <w:rFonts w:eastAsiaTheme="minorHAnsi"/>
          <w:smallCaps w:val="0"/>
          <w:szCs w:val="24"/>
        </w:rPr>
      </w:pPr>
    </w:p>
    <w:p w:rsidR="00B025ED" w:rsidRPr="00586CC8" w:rsidRDefault="00817C6C" w:rsidP="00B025ED">
      <w:pPr>
        <w:spacing w:after="720"/>
        <w:jc w:val="both"/>
        <w:rPr>
          <w:rFonts w:ascii="Times New Roman" w:hAnsi="Times New Roman" w:cs="Times New Roman"/>
          <w:sz w:val="24"/>
          <w:szCs w:val="24"/>
          <w:lang w:val="fr-CA"/>
        </w:rPr>
      </w:pPr>
      <w:r w:rsidRPr="00817C6C">
        <w:rPr>
          <w:rStyle w:val="SCCAppellantForRunningHeadChar"/>
          <w:rFonts w:eastAsiaTheme="minorHAnsi"/>
          <w:smallCaps w:val="0"/>
          <w:szCs w:val="24"/>
          <w:lang w:val="fr-CA"/>
        </w:rPr>
        <w:t>Denis</w:t>
      </w:r>
      <w:r w:rsidRPr="00586CC8">
        <w:rPr>
          <w:rFonts w:ascii="Times New Roman" w:hAnsi="Times New Roman" w:cs="Times New Roman"/>
          <w:sz w:val="24"/>
          <w:szCs w:val="24"/>
          <w:lang w:val="fr-CA"/>
        </w:rPr>
        <w:t xml:space="preserve"> </w:t>
      </w:r>
      <w:r w:rsidR="00B025ED" w:rsidRPr="00586CC8">
        <w:rPr>
          <w:rFonts w:ascii="Times New Roman" w:hAnsi="Times New Roman" w:cs="Times New Roman"/>
          <w:i/>
          <w:sz w:val="24"/>
          <w:szCs w:val="24"/>
          <w:lang w:val="fr-CA"/>
        </w:rPr>
        <w:t>v.</w:t>
      </w:r>
      <w:r w:rsidR="00B025ED" w:rsidRPr="00586CC8">
        <w:rPr>
          <w:rFonts w:ascii="Times New Roman" w:hAnsi="Times New Roman" w:cs="Times New Roman"/>
          <w:sz w:val="24"/>
          <w:szCs w:val="24"/>
          <w:lang w:val="fr-CA"/>
        </w:rPr>
        <w:t xml:space="preserve"> </w:t>
      </w:r>
      <w:r w:rsidRPr="00817C6C">
        <w:rPr>
          <w:rStyle w:val="SCCRespondentForRunningHeadChar"/>
          <w:rFonts w:eastAsiaTheme="minorHAnsi"/>
          <w:smallCaps w:val="0"/>
          <w:szCs w:val="24"/>
          <w:lang w:val="fr-CA"/>
        </w:rPr>
        <w:t>Côté</w:t>
      </w:r>
      <w:r>
        <w:rPr>
          <w:rStyle w:val="SCCRespondentForRunningHeadChar"/>
          <w:rFonts w:eastAsiaTheme="minorHAnsi"/>
          <w:smallCaps w:val="0"/>
          <w:szCs w:val="24"/>
          <w:lang w:val="fr-CA"/>
        </w:rPr>
        <w:t xml:space="preserve">, </w:t>
      </w:r>
      <w:r w:rsidRPr="00817C6C">
        <w:rPr>
          <w:rStyle w:val="SCCRespondentForRunningHeadChar"/>
          <w:rFonts w:eastAsiaTheme="minorHAnsi"/>
          <w:smallCaps w:val="0"/>
          <w:szCs w:val="24"/>
          <w:lang w:val="fr-CA"/>
        </w:rPr>
        <w:t>2019 SCC 44</w:t>
      </w:r>
      <w:r>
        <w:rPr>
          <w:rStyle w:val="SCCRespondentForRunningHeadChar"/>
          <w:rFonts w:eastAsiaTheme="minorHAnsi"/>
          <w:smallCaps w:val="0"/>
          <w:szCs w:val="24"/>
          <w:lang w:val="fr-CA"/>
        </w:rPr>
        <w:t>, [2019] 3 S.C.R. 482</w:t>
      </w:r>
    </w:p>
    <w:p w:rsidR="00B025ED" w:rsidRPr="00586CC8" w:rsidRDefault="00B025ED" w:rsidP="00B025ED">
      <w:pPr>
        <w:pStyle w:val="SCCLsocLastPartyInRole"/>
        <w:rPr>
          <w:szCs w:val="24"/>
          <w:lang w:val="fr-CA"/>
        </w:rPr>
      </w:pPr>
      <w:r w:rsidRPr="00586CC8">
        <w:rPr>
          <w:szCs w:val="24"/>
          <w:lang w:val="fr-CA"/>
        </w:rPr>
        <w:t>Marie</w:t>
      </w:r>
      <w:r w:rsidRPr="00586CC8">
        <w:rPr>
          <w:szCs w:val="24"/>
          <w:lang w:val="fr-CA"/>
        </w:rPr>
        <w:noBreakHyphen/>
        <w:t>Maude Denis</w:t>
      </w:r>
      <w:r w:rsidRPr="00586CC8">
        <w:rPr>
          <w:rStyle w:val="SCCLsocPartyRole"/>
          <w:szCs w:val="24"/>
          <w:lang w:val="fr-CA"/>
        </w:rPr>
        <w:tab/>
      </w:r>
      <w:proofErr w:type="spellStart"/>
      <w:r w:rsidRPr="00586CC8">
        <w:rPr>
          <w:rStyle w:val="SCCLsocPartyRole"/>
          <w:szCs w:val="24"/>
          <w:lang w:val="fr-CA"/>
        </w:rPr>
        <w:t>Appellant</w:t>
      </w:r>
      <w:proofErr w:type="spellEnd"/>
    </w:p>
    <w:p w:rsidR="00B025ED" w:rsidRPr="00586CC8" w:rsidRDefault="00B025ED" w:rsidP="00B025ED">
      <w:pPr>
        <w:pStyle w:val="SCCLsocVersus"/>
        <w:rPr>
          <w:szCs w:val="24"/>
          <w:lang w:val="fr-CA"/>
        </w:rPr>
      </w:pPr>
      <w:r w:rsidRPr="00586CC8">
        <w:rPr>
          <w:szCs w:val="24"/>
          <w:lang w:val="fr-CA"/>
        </w:rPr>
        <w:t>v.</w:t>
      </w:r>
    </w:p>
    <w:p w:rsidR="00B025ED" w:rsidRPr="00586CC8" w:rsidRDefault="00B025ED" w:rsidP="00B025ED">
      <w:pPr>
        <w:pStyle w:val="SCCLsocLastPartyInRole"/>
        <w:rPr>
          <w:szCs w:val="24"/>
          <w:lang w:val="fr-CA"/>
        </w:rPr>
      </w:pPr>
      <w:r w:rsidRPr="00586CC8">
        <w:rPr>
          <w:szCs w:val="24"/>
          <w:lang w:val="fr-CA"/>
        </w:rPr>
        <w:t>Marc</w:t>
      </w:r>
      <w:r w:rsidRPr="00586CC8">
        <w:rPr>
          <w:szCs w:val="24"/>
          <w:lang w:val="fr-CA"/>
        </w:rPr>
        <w:noBreakHyphen/>
        <w:t>Yvan Côté</w:t>
      </w:r>
      <w:r w:rsidRPr="00586CC8">
        <w:rPr>
          <w:rStyle w:val="SCCLsocPartyRole"/>
          <w:szCs w:val="24"/>
          <w:lang w:val="fr-CA"/>
        </w:rPr>
        <w:tab/>
      </w:r>
      <w:proofErr w:type="spellStart"/>
      <w:r w:rsidRPr="00586CC8">
        <w:rPr>
          <w:rStyle w:val="SCCLsocPartyRole"/>
          <w:szCs w:val="24"/>
          <w:lang w:val="fr-CA"/>
        </w:rPr>
        <w:t>Respondent</w:t>
      </w:r>
      <w:proofErr w:type="spellEnd"/>
    </w:p>
    <w:p w:rsidR="00B025ED" w:rsidRPr="00586CC8" w:rsidRDefault="00B025ED" w:rsidP="00B025ED">
      <w:pPr>
        <w:pStyle w:val="SCCLsocOtherPartySeparator"/>
        <w:rPr>
          <w:szCs w:val="24"/>
          <w:lang w:val="en-US"/>
        </w:rPr>
      </w:pPr>
      <w:proofErr w:type="gramStart"/>
      <w:r w:rsidRPr="00586CC8">
        <w:rPr>
          <w:szCs w:val="24"/>
          <w:lang w:val="en-US"/>
        </w:rPr>
        <w:t>and</w:t>
      </w:r>
      <w:proofErr w:type="gramEnd"/>
    </w:p>
    <w:p w:rsidR="00B025ED" w:rsidRPr="00586CC8" w:rsidRDefault="00B025ED" w:rsidP="00B025ED">
      <w:pPr>
        <w:pStyle w:val="SCCLsocParty"/>
        <w:rPr>
          <w:szCs w:val="24"/>
        </w:rPr>
      </w:pPr>
      <w:r w:rsidRPr="00586CC8">
        <w:rPr>
          <w:szCs w:val="24"/>
        </w:rPr>
        <w:t xml:space="preserve">Her Majesty </w:t>
      </w:r>
      <w:proofErr w:type="gramStart"/>
      <w:r w:rsidRPr="00586CC8">
        <w:rPr>
          <w:szCs w:val="24"/>
        </w:rPr>
        <w:t>The</w:t>
      </w:r>
      <w:proofErr w:type="gramEnd"/>
      <w:r w:rsidRPr="00586CC8">
        <w:rPr>
          <w:szCs w:val="24"/>
        </w:rPr>
        <w:t xml:space="preserve"> Queen,</w:t>
      </w:r>
    </w:p>
    <w:p w:rsidR="00B025ED" w:rsidRPr="00586CC8" w:rsidRDefault="00B025ED" w:rsidP="00B025ED">
      <w:pPr>
        <w:pStyle w:val="SCCLsocParty"/>
        <w:rPr>
          <w:szCs w:val="24"/>
          <w:lang w:val="fr-CA"/>
        </w:rPr>
      </w:pPr>
      <w:r w:rsidRPr="00586CC8">
        <w:rPr>
          <w:szCs w:val="24"/>
          <w:lang w:val="fr-CA"/>
        </w:rPr>
        <w:t>Attorney General of Quebec,</w:t>
      </w:r>
    </w:p>
    <w:p w:rsidR="00B025ED" w:rsidRPr="00586CC8" w:rsidRDefault="00B025ED" w:rsidP="00B025ED">
      <w:pPr>
        <w:pStyle w:val="SCCLsocParty"/>
        <w:rPr>
          <w:szCs w:val="24"/>
          <w:lang w:val="fr-CA"/>
        </w:rPr>
      </w:pPr>
      <w:r w:rsidRPr="00586CC8">
        <w:rPr>
          <w:szCs w:val="24"/>
          <w:lang w:val="fr-CA"/>
        </w:rPr>
        <w:t>Fédération professionnelle des journalistes du Québec,</w:t>
      </w:r>
    </w:p>
    <w:p w:rsidR="00B025ED" w:rsidRPr="00586CC8" w:rsidRDefault="00B025ED" w:rsidP="00B025ED">
      <w:pPr>
        <w:pStyle w:val="SCCLsocParty"/>
        <w:rPr>
          <w:szCs w:val="24"/>
        </w:rPr>
      </w:pPr>
      <w:r w:rsidRPr="00586CC8">
        <w:rPr>
          <w:szCs w:val="24"/>
        </w:rPr>
        <w:t>Canadian Association of Journalists,</w:t>
      </w:r>
    </w:p>
    <w:p w:rsidR="00B025ED" w:rsidRPr="00586CC8" w:rsidRDefault="00B025ED" w:rsidP="00B025ED">
      <w:pPr>
        <w:pStyle w:val="SCCLsocParty"/>
        <w:rPr>
          <w:szCs w:val="24"/>
        </w:rPr>
      </w:pPr>
      <w:r w:rsidRPr="00586CC8">
        <w:rPr>
          <w:szCs w:val="24"/>
        </w:rPr>
        <w:t>Canadian Journalists for Freedom of Expression,</w:t>
      </w:r>
    </w:p>
    <w:p w:rsidR="00B025ED" w:rsidRPr="00586CC8" w:rsidRDefault="00B025ED" w:rsidP="00B025ED">
      <w:pPr>
        <w:pStyle w:val="SCCLsocParty"/>
        <w:rPr>
          <w:szCs w:val="24"/>
        </w:rPr>
      </w:pPr>
      <w:r w:rsidRPr="00586CC8">
        <w:rPr>
          <w:szCs w:val="24"/>
        </w:rPr>
        <w:t xml:space="preserve">Reporters </w:t>
      </w:r>
      <w:proofErr w:type="gramStart"/>
      <w:r w:rsidRPr="00586CC8">
        <w:rPr>
          <w:szCs w:val="24"/>
        </w:rPr>
        <w:t>Without</w:t>
      </w:r>
      <w:proofErr w:type="gramEnd"/>
      <w:r w:rsidRPr="00586CC8">
        <w:rPr>
          <w:szCs w:val="24"/>
        </w:rPr>
        <w:t xml:space="preserve"> Borders, </w:t>
      </w:r>
      <w:r w:rsidRPr="00586CC8">
        <w:rPr>
          <w:szCs w:val="24"/>
          <w:lang w:val="en-US"/>
        </w:rPr>
        <w:t xml:space="preserve">La </w:t>
      </w:r>
      <w:proofErr w:type="spellStart"/>
      <w:r w:rsidRPr="00586CC8">
        <w:rPr>
          <w:szCs w:val="24"/>
          <w:lang w:val="en-US"/>
        </w:rPr>
        <w:t>Presse</w:t>
      </w:r>
      <w:proofErr w:type="spellEnd"/>
      <w:r w:rsidRPr="00586CC8">
        <w:rPr>
          <w:szCs w:val="24"/>
          <w:lang w:val="en-US"/>
        </w:rPr>
        <w:t xml:space="preserve"> (2018) Inc.,</w:t>
      </w:r>
    </w:p>
    <w:p w:rsidR="00B025ED" w:rsidRPr="00586CC8" w:rsidRDefault="00B025ED" w:rsidP="00B025ED">
      <w:pPr>
        <w:pStyle w:val="SCCLsocParty"/>
        <w:rPr>
          <w:szCs w:val="24"/>
          <w:lang w:val="en-US"/>
        </w:rPr>
      </w:pPr>
      <w:r w:rsidRPr="00586CC8">
        <w:rPr>
          <w:szCs w:val="24"/>
          <w:lang w:val="en-US"/>
        </w:rPr>
        <w:t>Canadian Civil Liberties Association,</w:t>
      </w:r>
    </w:p>
    <w:p w:rsidR="00B025ED" w:rsidRPr="00586CC8" w:rsidRDefault="00B025ED" w:rsidP="00B025ED">
      <w:pPr>
        <w:pStyle w:val="SCCLsocParty"/>
        <w:rPr>
          <w:szCs w:val="24"/>
        </w:rPr>
      </w:pPr>
      <w:r w:rsidRPr="00586CC8">
        <w:rPr>
          <w:szCs w:val="24"/>
        </w:rPr>
        <w:t>AD IDEM/Canadian Media Lawyers Association,</w:t>
      </w:r>
    </w:p>
    <w:p w:rsidR="00B025ED" w:rsidRPr="00586CC8" w:rsidRDefault="00B025ED" w:rsidP="00B025ED">
      <w:pPr>
        <w:pStyle w:val="SCCLsocParty"/>
        <w:rPr>
          <w:szCs w:val="24"/>
        </w:rPr>
      </w:pPr>
      <w:r w:rsidRPr="00586CC8">
        <w:rPr>
          <w:szCs w:val="24"/>
        </w:rPr>
        <w:t>CTV, a Division of Bell Media Inc.,</w:t>
      </w:r>
    </w:p>
    <w:p w:rsidR="00B025ED" w:rsidRPr="00586CC8" w:rsidRDefault="00B025ED" w:rsidP="00B025ED">
      <w:pPr>
        <w:pStyle w:val="SCCLsocParty"/>
        <w:rPr>
          <w:szCs w:val="24"/>
        </w:rPr>
      </w:pPr>
      <w:r w:rsidRPr="00586CC8">
        <w:rPr>
          <w:szCs w:val="24"/>
        </w:rPr>
        <w:t>Global News, a division of Corus Television Limited Partnership,</w:t>
      </w:r>
    </w:p>
    <w:p w:rsidR="00B025ED" w:rsidRPr="00586CC8" w:rsidRDefault="00B025ED" w:rsidP="00B025ED">
      <w:pPr>
        <w:pStyle w:val="SCCLsocParty"/>
        <w:rPr>
          <w:szCs w:val="24"/>
        </w:rPr>
      </w:pPr>
      <w:r w:rsidRPr="00586CC8">
        <w:rPr>
          <w:szCs w:val="24"/>
        </w:rPr>
        <w:t>The Globe and Mail Inc., Postmedia Network Inc. and</w:t>
      </w:r>
    </w:p>
    <w:p w:rsidR="00B025ED" w:rsidRPr="00586CC8" w:rsidRDefault="00B025ED" w:rsidP="00B025ED">
      <w:pPr>
        <w:pStyle w:val="SCCLsocLastPartyInRole"/>
        <w:rPr>
          <w:szCs w:val="24"/>
        </w:rPr>
      </w:pPr>
      <w:r w:rsidRPr="00586CC8">
        <w:rPr>
          <w:szCs w:val="24"/>
        </w:rPr>
        <w:t>Vice Studio Canada Inc.</w:t>
      </w:r>
      <w:r w:rsidRPr="00586CC8">
        <w:rPr>
          <w:rStyle w:val="SCCLsocPartyRole"/>
          <w:szCs w:val="24"/>
        </w:rPr>
        <w:tab/>
        <w:t>Interveners</w:t>
      </w:r>
    </w:p>
    <w:p w:rsidR="00B025ED" w:rsidRPr="00586CC8" w:rsidRDefault="00B025ED" w:rsidP="00B025ED">
      <w:pPr>
        <w:spacing w:after="720"/>
        <w:jc w:val="both"/>
        <w:rPr>
          <w:rFonts w:ascii="Times New Roman" w:hAnsi="Times New Roman" w:cs="Times New Roman"/>
          <w:b/>
          <w:sz w:val="24"/>
          <w:szCs w:val="24"/>
        </w:rPr>
      </w:pPr>
      <w:r w:rsidRPr="00586CC8">
        <w:rPr>
          <w:rFonts w:ascii="Times New Roman" w:hAnsi="Times New Roman" w:cs="Times New Roman"/>
          <w:b/>
          <w:sz w:val="24"/>
          <w:szCs w:val="24"/>
        </w:rPr>
        <w:t xml:space="preserve">Indexed as: </w:t>
      </w:r>
      <w:r w:rsidRPr="00586CC8">
        <w:rPr>
          <w:rStyle w:val="SCCAppellantForIndexChar"/>
          <w:rFonts w:eastAsiaTheme="minorHAnsi"/>
          <w:szCs w:val="24"/>
        </w:rPr>
        <w:t>Denis</w:t>
      </w:r>
      <w:r w:rsidRPr="00586CC8">
        <w:rPr>
          <w:rFonts w:ascii="Times New Roman" w:hAnsi="Times New Roman" w:cs="Times New Roman"/>
          <w:b/>
          <w:sz w:val="24"/>
          <w:szCs w:val="24"/>
        </w:rPr>
        <w:t xml:space="preserve"> </w:t>
      </w:r>
      <w:r w:rsidRPr="00586CC8">
        <w:rPr>
          <w:rFonts w:ascii="Times New Roman" w:hAnsi="Times New Roman" w:cs="Times New Roman"/>
          <w:b/>
          <w:i/>
          <w:sz w:val="24"/>
          <w:szCs w:val="24"/>
        </w:rPr>
        <w:t>v.</w:t>
      </w:r>
      <w:r w:rsidRPr="00586CC8">
        <w:rPr>
          <w:rFonts w:ascii="Times New Roman" w:hAnsi="Times New Roman" w:cs="Times New Roman"/>
          <w:b/>
          <w:sz w:val="24"/>
          <w:szCs w:val="24"/>
        </w:rPr>
        <w:t xml:space="preserve"> </w:t>
      </w:r>
      <w:proofErr w:type="spellStart"/>
      <w:r w:rsidRPr="00586CC8">
        <w:rPr>
          <w:rStyle w:val="SCCRespondentForIndexChar"/>
          <w:rFonts w:eastAsiaTheme="minorHAnsi"/>
          <w:szCs w:val="24"/>
        </w:rPr>
        <w:t>Côté</w:t>
      </w:r>
      <w:proofErr w:type="spellEnd"/>
    </w:p>
    <w:p w:rsidR="00B025ED" w:rsidRPr="00586CC8" w:rsidRDefault="00B025ED" w:rsidP="00B025ED">
      <w:pPr>
        <w:pStyle w:val="SCCSystemYear"/>
        <w:spacing w:after="720"/>
        <w:jc w:val="both"/>
        <w:rPr>
          <w:szCs w:val="24"/>
        </w:rPr>
      </w:pPr>
      <w:r w:rsidRPr="00586CC8">
        <w:rPr>
          <w:szCs w:val="24"/>
        </w:rPr>
        <w:lastRenderedPageBreak/>
        <w:t>2019</w:t>
      </w:r>
      <w:r w:rsidR="000F1DF2">
        <w:rPr>
          <w:szCs w:val="24"/>
        </w:rPr>
        <w:t> </w:t>
      </w:r>
      <w:r w:rsidRPr="00586CC8">
        <w:rPr>
          <w:szCs w:val="24"/>
        </w:rPr>
        <w:t>SCC 44</w:t>
      </w:r>
    </w:p>
    <w:p w:rsidR="00B025ED" w:rsidRPr="00586CC8" w:rsidRDefault="00B025ED" w:rsidP="00B025ED">
      <w:pPr>
        <w:spacing w:after="720"/>
        <w:jc w:val="both"/>
        <w:rPr>
          <w:rFonts w:ascii="Times New Roman" w:hAnsi="Times New Roman" w:cs="Times New Roman"/>
          <w:sz w:val="24"/>
          <w:szCs w:val="24"/>
        </w:rPr>
      </w:pPr>
      <w:r w:rsidRPr="00586CC8">
        <w:rPr>
          <w:rFonts w:ascii="Times New Roman" w:hAnsi="Times New Roman" w:cs="Times New Roman"/>
          <w:sz w:val="24"/>
          <w:szCs w:val="24"/>
        </w:rPr>
        <w:t>File No.: 38114.</w:t>
      </w:r>
    </w:p>
    <w:p w:rsidR="00B025ED" w:rsidRPr="00586CC8" w:rsidRDefault="000F1DF2" w:rsidP="00B025ED">
      <w:pPr>
        <w:spacing w:after="720"/>
        <w:jc w:val="both"/>
        <w:rPr>
          <w:rFonts w:ascii="Times New Roman" w:hAnsi="Times New Roman" w:cs="Times New Roman"/>
          <w:sz w:val="24"/>
          <w:szCs w:val="24"/>
        </w:rPr>
      </w:pPr>
      <w:r>
        <w:rPr>
          <w:rFonts w:ascii="Times New Roman" w:hAnsi="Times New Roman" w:cs="Times New Roman"/>
          <w:sz w:val="24"/>
          <w:szCs w:val="24"/>
        </w:rPr>
        <w:t xml:space="preserve">2019: </w:t>
      </w:r>
      <w:r w:rsidR="00B025ED" w:rsidRPr="00586CC8">
        <w:rPr>
          <w:rFonts w:ascii="Times New Roman" w:hAnsi="Times New Roman" w:cs="Times New Roman"/>
          <w:sz w:val="24"/>
          <w:szCs w:val="24"/>
        </w:rPr>
        <w:t xml:space="preserve">May 16; 2019: </w:t>
      </w:r>
      <w:r w:rsidR="00B025ED" w:rsidRPr="00586CC8">
        <w:rPr>
          <w:rFonts w:ascii="Times New Roman" w:hAnsi="Times New Roman" w:cs="Times New Roman"/>
          <w:smallCaps/>
          <w:sz w:val="24"/>
          <w:szCs w:val="24"/>
        </w:rPr>
        <w:t>S</w:t>
      </w:r>
      <w:r w:rsidR="00B025ED" w:rsidRPr="00586CC8">
        <w:rPr>
          <w:rFonts w:ascii="Times New Roman" w:hAnsi="Times New Roman" w:cs="Times New Roman"/>
          <w:sz w:val="24"/>
          <w:szCs w:val="24"/>
        </w:rPr>
        <w:t>eptember 27.</w:t>
      </w:r>
    </w:p>
    <w:p w:rsidR="00B025ED" w:rsidRPr="00586CC8" w:rsidRDefault="00B025ED" w:rsidP="00B025ED">
      <w:pPr>
        <w:spacing w:after="720"/>
        <w:jc w:val="both"/>
        <w:rPr>
          <w:rFonts w:ascii="Times New Roman" w:hAnsi="Times New Roman" w:cs="Times New Roman"/>
          <w:sz w:val="24"/>
          <w:szCs w:val="24"/>
        </w:rPr>
      </w:pPr>
      <w:r w:rsidRPr="00586CC8">
        <w:rPr>
          <w:rFonts w:ascii="Times New Roman" w:hAnsi="Times New Roman" w:cs="Times New Roman"/>
          <w:sz w:val="24"/>
          <w:szCs w:val="24"/>
        </w:rPr>
        <w:t xml:space="preserve">Present: Wagner C.J. and </w:t>
      </w:r>
      <w:proofErr w:type="spellStart"/>
      <w:r w:rsidRPr="00586CC8">
        <w:rPr>
          <w:rFonts w:ascii="Times New Roman" w:hAnsi="Times New Roman" w:cs="Times New Roman"/>
          <w:sz w:val="24"/>
          <w:szCs w:val="24"/>
        </w:rPr>
        <w:t>Abella</w:t>
      </w:r>
      <w:proofErr w:type="spellEnd"/>
      <w:r w:rsidRPr="00586CC8">
        <w:rPr>
          <w:rFonts w:ascii="Times New Roman" w:hAnsi="Times New Roman" w:cs="Times New Roman"/>
          <w:sz w:val="24"/>
          <w:szCs w:val="24"/>
        </w:rPr>
        <w:t xml:space="preserve">, </w:t>
      </w:r>
      <w:proofErr w:type="spellStart"/>
      <w:r w:rsidRPr="00586CC8">
        <w:rPr>
          <w:rFonts w:ascii="Times New Roman" w:hAnsi="Times New Roman" w:cs="Times New Roman"/>
          <w:sz w:val="24"/>
          <w:szCs w:val="24"/>
        </w:rPr>
        <w:t>Moldaver</w:t>
      </w:r>
      <w:proofErr w:type="spellEnd"/>
      <w:r w:rsidRPr="00586CC8">
        <w:rPr>
          <w:rFonts w:ascii="Times New Roman" w:hAnsi="Times New Roman" w:cs="Times New Roman"/>
          <w:sz w:val="24"/>
          <w:szCs w:val="24"/>
        </w:rPr>
        <w:t xml:space="preserve">, </w:t>
      </w:r>
      <w:proofErr w:type="spellStart"/>
      <w:r w:rsidRPr="00586CC8">
        <w:rPr>
          <w:rFonts w:ascii="Times New Roman" w:hAnsi="Times New Roman" w:cs="Times New Roman"/>
          <w:sz w:val="24"/>
          <w:szCs w:val="24"/>
        </w:rPr>
        <w:t>Karakatsanis</w:t>
      </w:r>
      <w:proofErr w:type="spellEnd"/>
      <w:r w:rsidRPr="00586CC8">
        <w:rPr>
          <w:rFonts w:ascii="Times New Roman" w:hAnsi="Times New Roman" w:cs="Times New Roman"/>
          <w:sz w:val="24"/>
          <w:szCs w:val="24"/>
        </w:rPr>
        <w:t xml:space="preserve">, </w:t>
      </w:r>
      <w:proofErr w:type="spellStart"/>
      <w:r w:rsidRPr="00586CC8">
        <w:rPr>
          <w:rFonts w:ascii="Times New Roman" w:hAnsi="Times New Roman" w:cs="Times New Roman"/>
          <w:sz w:val="24"/>
          <w:szCs w:val="24"/>
        </w:rPr>
        <w:t>Gascon</w:t>
      </w:r>
      <w:proofErr w:type="spellEnd"/>
      <w:r w:rsidRPr="00586CC8">
        <w:rPr>
          <w:rFonts w:ascii="Times New Roman" w:hAnsi="Times New Roman" w:cs="Times New Roman"/>
          <w:sz w:val="24"/>
          <w:szCs w:val="24"/>
        </w:rPr>
        <w:t xml:space="preserve">, </w:t>
      </w:r>
      <w:proofErr w:type="spellStart"/>
      <w:r w:rsidRPr="00586CC8">
        <w:rPr>
          <w:rFonts w:ascii="Times New Roman" w:hAnsi="Times New Roman" w:cs="Times New Roman"/>
          <w:sz w:val="24"/>
          <w:szCs w:val="24"/>
        </w:rPr>
        <w:t>Côté</w:t>
      </w:r>
      <w:proofErr w:type="spellEnd"/>
      <w:r w:rsidRPr="00586CC8">
        <w:rPr>
          <w:rFonts w:ascii="Times New Roman" w:hAnsi="Times New Roman" w:cs="Times New Roman"/>
          <w:sz w:val="24"/>
          <w:szCs w:val="24"/>
        </w:rPr>
        <w:t>, Brown, Rowe and Martin JJ.</w:t>
      </w:r>
    </w:p>
    <w:p w:rsidR="00B025ED" w:rsidRPr="00586CC8" w:rsidRDefault="00B025ED" w:rsidP="00B025ED">
      <w:pPr>
        <w:pStyle w:val="SCCLowerCourtNameLowercase"/>
        <w:spacing w:after="720" w:line="240" w:lineRule="auto"/>
        <w:rPr>
          <w:szCs w:val="24"/>
        </w:rPr>
      </w:pPr>
      <w:r w:rsidRPr="00586CC8">
        <w:rPr>
          <w:szCs w:val="24"/>
        </w:rPr>
        <w:t xml:space="preserve">on appeal from the court of appeal for </w:t>
      </w:r>
      <w:proofErr w:type="spellStart"/>
      <w:r w:rsidRPr="00586CC8">
        <w:rPr>
          <w:szCs w:val="24"/>
        </w:rPr>
        <w:t>quebec</w:t>
      </w:r>
      <w:proofErr w:type="spellEnd"/>
    </w:p>
    <w:p w:rsidR="00B025ED" w:rsidRPr="00B82888" w:rsidRDefault="00B025ED" w:rsidP="00B025ED">
      <w:pPr>
        <w:pStyle w:val="SCCNormalDoubleSpacing"/>
        <w:spacing w:after="480"/>
        <w:rPr>
          <w:i/>
          <w:szCs w:val="24"/>
        </w:rPr>
      </w:pPr>
      <w:r w:rsidRPr="00B82888">
        <w:tab/>
      </w:r>
      <w:r w:rsidRPr="00B82888">
        <w:rPr>
          <w:i/>
        </w:rPr>
        <w:t xml:space="preserve">Criminal law — Evidence — Journalists — </w:t>
      </w:r>
      <w:r w:rsidRPr="00B82888">
        <w:rPr>
          <w:i/>
          <w:lang w:bidi="en-US"/>
        </w:rPr>
        <w:t>Disclosure of information that identifies or is likely to identify journalistic source</w:t>
      </w:r>
      <w:r w:rsidRPr="00B82888">
        <w:rPr>
          <w:i/>
        </w:rPr>
        <w:t xml:space="preserve"> — </w:t>
      </w:r>
      <w:r w:rsidRPr="00B82888">
        <w:rPr>
          <w:i/>
          <w:szCs w:val="24"/>
        </w:rPr>
        <w:t xml:space="preserve">Accused charged with </w:t>
      </w:r>
      <w:r w:rsidRPr="00B82888">
        <w:rPr>
          <w:i/>
          <w:szCs w:val="24"/>
          <w:lang w:bidi="en-US"/>
        </w:rPr>
        <w:t>fraud, breach of trust and bribery of officers</w:t>
      </w:r>
      <w:r w:rsidRPr="00B82888">
        <w:rPr>
          <w:i/>
          <w:szCs w:val="24"/>
        </w:rPr>
        <w:t xml:space="preserve"> — Reports by journalist presenting information about investigation into accused that had been obtained from confidential sources — Subpoena served on journalist </w:t>
      </w:r>
      <w:r w:rsidRPr="00B82888">
        <w:rPr>
          <w:i/>
          <w:szCs w:val="24"/>
          <w:lang w:bidi="en-US"/>
        </w:rPr>
        <w:t>for purpose of obtaining evidence in support of motion by accused for stay of proceedings</w:t>
      </w:r>
      <w:r w:rsidRPr="00B82888">
        <w:rPr>
          <w:i/>
          <w:szCs w:val="24"/>
        </w:rPr>
        <w:t xml:space="preserve"> — N</w:t>
      </w:r>
      <w:r w:rsidRPr="00B82888">
        <w:rPr>
          <w:i/>
          <w:szCs w:val="24"/>
          <w:lang w:bidi="en-US"/>
        </w:rPr>
        <w:t xml:space="preserve">ew federal statutory scheme for protection of journalistic sources </w:t>
      </w:r>
      <w:r w:rsidRPr="00B82888">
        <w:rPr>
          <w:i/>
          <w:szCs w:val="24"/>
        </w:rPr>
        <w:t>— Canada Evidence Act, R.S.C. 1985, c. C</w:t>
      </w:r>
      <w:r w:rsidRPr="00B82888">
        <w:rPr>
          <w:i/>
          <w:szCs w:val="24"/>
        </w:rPr>
        <w:noBreakHyphen/>
      </w:r>
      <w:r>
        <w:rPr>
          <w:i/>
          <w:szCs w:val="24"/>
        </w:rPr>
        <w:t>5, s. </w:t>
      </w:r>
      <w:r w:rsidRPr="00B82888">
        <w:rPr>
          <w:i/>
          <w:szCs w:val="24"/>
        </w:rPr>
        <w:t>39.1.</w:t>
      </w:r>
    </w:p>
    <w:p w:rsidR="00B025ED" w:rsidRPr="00B82888" w:rsidRDefault="00B025ED" w:rsidP="00B025ED">
      <w:pPr>
        <w:pStyle w:val="SCCNormalDoubleSpacing"/>
        <w:spacing w:after="480"/>
        <w:rPr>
          <w:i/>
          <w:szCs w:val="24"/>
        </w:rPr>
      </w:pPr>
      <w:r w:rsidRPr="00B82888">
        <w:rPr>
          <w:i/>
          <w:szCs w:val="24"/>
        </w:rPr>
        <w:tab/>
        <w:t xml:space="preserve">Courts — Jurisdiction — Subpoena served on journalist — Court of Québec quashing subpoena pursuant to new federal statutory scheme for protection of journalistic sources — Superior Court confirming </w:t>
      </w:r>
      <w:r>
        <w:rPr>
          <w:i/>
          <w:szCs w:val="24"/>
        </w:rPr>
        <w:t xml:space="preserve">on appeal </w:t>
      </w:r>
      <w:r w:rsidRPr="00B82888">
        <w:rPr>
          <w:i/>
          <w:szCs w:val="24"/>
        </w:rPr>
        <w:t>that subpoena valid — Whether Court of Appeal has jurisdiction to rule on merits of appeal from Superior Court’s decision — Canada Evidence Act, R.S.C. 1985, c. C</w:t>
      </w:r>
      <w:r w:rsidRPr="00B82888">
        <w:rPr>
          <w:i/>
          <w:szCs w:val="24"/>
        </w:rPr>
        <w:noBreakHyphen/>
        <w:t xml:space="preserve">5, </w:t>
      </w:r>
      <w:r>
        <w:rPr>
          <w:i/>
          <w:szCs w:val="24"/>
        </w:rPr>
        <w:t>s. </w:t>
      </w:r>
      <w:r w:rsidRPr="00B82888">
        <w:rPr>
          <w:i/>
          <w:szCs w:val="24"/>
        </w:rPr>
        <w:t>39.1.</w:t>
      </w:r>
    </w:p>
    <w:p w:rsidR="00B025ED" w:rsidRPr="00B82888" w:rsidRDefault="00B025ED" w:rsidP="00B025ED">
      <w:pPr>
        <w:pStyle w:val="SCCNormalDoubleSpacing"/>
        <w:spacing w:after="480"/>
      </w:pPr>
      <w:r w:rsidRPr="00B82888">
        <w:lastRenderedPageBreak/>
        <w:tab/>
        <w:t xml:space="preserve">C </w:t>
      </w:r>
      <w:r w:rsidRPr="00B82888">
        <w:rPr>
          <w:lang w:bidi="en-US"/>
        </w:rPr>
        <w:t>was arrested and charged with numerous offences, including fraud, breach of trust and bribery of officers</w:t>
      </w:r>
      <w:r w:rsidRPr="00B82888">
        <w:t xml:space="preserve">. C </w:t>
      </w:r>
      <w:r w:rsidRPr="00B82888">
        <w:rPr>
          <w:lang w:bidi="en-US"/>
        </w:rPr>
        <w:t>sought to have the proceedings stayed on the ground that they were abusive in that there had been state conduct that risked undermining the integrity of the justice system</w:t>
      </w:r>
      <w:r w:rsidRPr="00B82888">
        <w:t xml:space="preserve">. C </w:t>
      </w:r>
      <w:r w:rsidRPr="00B82888">
        <w:rPr>
          <w:lang w:bidi="en-US"/>
        </w:rPr>
        <w:t>submitted that high</w:t>
      </w:r>
      <w:r w:rsidRPr="00B82888">
        <w:rPr>
          <w:lang w:bidi="en-US"/>
        </w:rPr>
        <w:noBreakHyphen/>
        <w:t>ranking government representatives had provided journalists with a significant quantity of confidential information for the purpose of prejudicing him</w:t>
      </w:r>
      <w:r w:rsidRPr="00B82888">
        <w:t xml:space="preserve">. C therefore </w:t>
      </w:r>
      <w:r w:rsidRPr="00B82888">
        <w:rPr>
          <w:lang w:bidi="en-US"/>
        </w:rPr>
        <w:t>served a subpoena on D, a journalist who had published information from the leaks</w:t>
      </w:r>
      <w:r w:rsidRPr="00B82888">
        <w:t xml:space="preserve">. </w:t>
      </w:r>
      <w:r w:rsidRPr="00B82888">
        <w:rPr>
          <w:lang w:bidi="en-US"/>
        </w:rPr>
        <w:t>He hoped that the disclosure of the sources would make it possible to identify those who were responsible for the leaks</w:t>
      </w:r>
      <w:r w:rsidRPr="00B82888">
        <w:t xml:space="preserve">. D contested her subpoena. The Court of Québec proceeded to the balancing exercise required by the new federal statutory scheme for the protection of journalistic sources </w:t>
      </w:r>
      <w:r w:rsidRPr="00B82888">
        <w:rPr>
          <w:lang w:bidi="en-US"/>
        </w:rPr>
        <w:t xml:space="preserve">set out in s. 39.1 of the </w:t>
      </w:r>
      <w:r w:rsidRPr="00B82888">
        <w:rPr>
          <w:i/>
          <w:lang w:bidi="en-US"/>
        </w:rPr>
        <w:t>Canada Evidence Act</w:t>
      </w:r>
      <w:r>
        <w:rPr>
          <w:i/>
          <w:lang w:bidi="en-US"/>
        </w:rPr>
        <w:t xml:space="preserve"> </w:t>
      </w:r>
      <w:r w:rsidRPr="00DD74B2">
        <w:rPr>
          <w:lang w:bidi="en-US"/>
        </w:rPr>
        <w:t>(</w:t>
      </w:r>
      <w:r>
        <w:rPr>
          <w:lang w:bidi="en-US"/>
        </w:rPr>
        <w:t>“</w:t>
      </w:r>
      <w:r w:rsidRPr="00193082">
        <w:rPr>
          <w:lang w:bidi="en-US"/>
        </w:rPr>
        <w:t>CEA</w:t>
      </w:r>
      <w:r w:rsidRPr="00B82888">
        <w:rPr>
          <w:lang w:bidi="en-US"/>
        </w:rPr>
        <w:t>”</w:t>
      </w:r>
      <w:r w:rsidRPr="00DD74B2">
        <w:rPr>
          <w:lang w:bidi="en-US"/>
        </w:rPr>
        <w:t>)</w:t>
      </w:r>
      <w:r w:rsidRPr="00B82888">
        <w:t xml:space="preserve"> — a new provision that had been </w:t>
      </w:r>
      <w:r w:rsidRPr="00B82888">
        <w:rPr>
          <w:lang w:bidi="en-US"/>
        </w:rPr>
        <w:t xml:space="preserve">enacted by the </w:t>
      </w:r>
      <w:r w:rsidRPr="00B82888">
        <w:rPr>
          <w:i/>
          <w:lang w:bidi="en-US"/>
        </w:rPr>
        <w:t>Journalistic Sources Protection Act</w:t>
      </w:r>
      <w:r w:rsidRPr="00B82888">
        <w:rPr>
          <w:lang w:bidi="en-US"/>
        </w:rPr>
        <w:t>, S.C. 2017, c. 22 —</w:t>
      </w:r>
      <w:r w:rsidRPr="00B82888">
        <w:t xml:space="preserve"> and quashed the subpoena. </w:t>
      </w:r>
      <w:r w:rsidRPr="00B82888">
        <w:rPr>
          <w:lang w:bidi="en-US"/>
        </w:rPr>
        <w:t>The Superior Court, hearing an appeal, applied s. 39.1 CEA anew and confirmed that the subpoena was valid</w:t>
      </w:r>
      <w:r w:rsidRPr="00B82888">
        <w:t xml:space="preserve">. </w:t>
      </w:r>
      <w:r w:rsidRPr="00B82888">
        <w:rPr>
          <w:lang w:bidi="en-US"/>
        </w:rPr>
        <w:t>That decision was appealed to the Quebec Court of Appeal, which held that it did not have jurisdiction to</w:t>
      </w:r>
      <w:r w:rsidRPr="00B82888">
        <w:rPr>
          <w:rFonts w:eastAsiaTheme="minorHAnsi"/>
          <w:szCs w:val="22"/>
          <w:lang w:val="en-US" w:eastAsia="en-US" w:bidi="en-US"/>
        </w:rPr>
        <w:t xml:space="preserve"> </w:t>
      </w:r>
      <w:r w:rsidRPr="00B82888">
        <w:rPr>
          <w:lang w:val="en-US" w:bidi="en-US"/>
        </w:rPr>
        <w:t>rule on the appeal.</w:t>
      </w:r>
    </w:p>
    <w:p w:rsidR="00B025ED" w:rsidRPr="00B82888" w:rsidRDefault="00B025ED" w:rsidP="00B025ED">
      <w:pPr>
        <w:pStyle w:val="SCCNormalDoubleSpacing"/>
        <w:spacing w:after="480"/>
      </w:pPr>
      <w:r w:rsidRPr="00B82888">
        <w:tab/>
      </w:r>
      <w:r w:rsidRPr="00B82888">
        <w:rPr>
          <w:i/>
        </w:rPr>
        <w:t xml:space="preserve">Held </w:t>
      </w:r>
      <w:r w:rsidRPr="00B82888">
        <w:t>(</w:t>
      </w:r>
      <w:proofErr w:type="spellStart"/>
      <w:r w:rsidRPr="00B82888">
        <w:t>Abella</w:t>
      </w:r>
      <w:proofErr w:type="spellEnd"/>
      <w:r w:rsidRPr="00B82888">
        <w:t xml:space="preserve"> J. dissenting): The </w:t>
      </w:r>
      <w:r w:rsidRPr="00B82888">
        <w:rPr>
          <w:lang w:bidi="en-US"/>
        </w:rPr>
        <w:t>appeal against the Superior Court’s decision should be allowed in part, the order authorizing disclosure should be set aside, and the case should be remanded to the court of original jurisdiction for reconsideration</w:t>
      </w:r>
      <w:r w:rsidRPr="00B82888">
        <w:t xml:space="preserve">. The </w:t>
      </w:r>
      <w:r w:rsidRPr="00B82888">
        <w:rPr>
          <w:lang w:bidi="en-US"/>
        </w:rPr>
        <w:t>appeal against the Court of Appeal’s decision should be dismissed</w:t>
      </w:r>
      <w:r w:rsidRPr="00B82888">
        <w:t>.</w:t>
      </w:r>
    </w:p>
    <w:p w:rsidR="00B025ED" w:rsidRPr="00B82888" w:rsidRDefault="00B025ED" w:rsidP="00B025ED">
      <w:pPr>
        <w:pStyle w:val="SCCNormalDoubleSpacing"/>
        <w:spacing w:after="480"/>
      </w:pPr>
      <w:r w:rsidRPr="00B82888">
        <w:lastRenderedPageBreak/>
        <w:tab/>
      </w:r>
      <w:r w:rsidRPr="00B82888">
        <w:rPr>
          <w:i/>
        </w:rPr>
        <w:t xml:space="preserve">Per </w:t>
      </w:r>
      <w:r w:rsidRPr="003B48FC">
        <w:t>Wagner</w:t>
      </w:r>
      <w:r w:rsidRPr="00B82888">
        <w:t xml:space="preserve"> C.J. and </w:t>
      </w:r>
      <w:proofErr w:type="spellStart"/>
      <w:r w:rsidRPr="00B82888">
        <w:t>Moldaver</w:t>
      </w:r>
      <w:proofErr w:type="spellEnd"/>
      <w:r w:rsidRPr="00B82888">
        <w:t xml:space="preserve">, </w:t>
      </w:r>
      <w:proofErr w:type="spellStart"/>
      <w:r w:rsidRPr="00B82888">
        <w:t>Karakatsanis</w:t>
      </w:r>
      <w:proofErr w:type="spellEnd"/>
      <w:r w:rsidRPr="00B82888">
        <w:t xml:space="preserve">, </w:t>
      </w:r>
      <w:proofErr w:type="spellStart"/>
      <w:r w:rsidRPr="00B82888">
        <w:t>Gasco</w:t>
      </w:r>
      <w:r w:rsidR="003B48FC">
        <w:t>n</w:t>
      </w:r>
      <w:proofErr w:type="spellEnd"/>
      <w:r w:rsidR="003B48FC">
        <w:t xml:space="preserve">, </w:t>
      </w:r>
      <w:proofErr w:type="spellStart"/>
      <w:r w:rsidR="003B48FC">
        <w:t>Côté</w:t>
      </w:r>
      <w:proofErr w:type="spellEnd"/>
      <w:r w:rsidR="003B48FC">
        <w:t>, Brown, Rowe and Martin </w:t>
      </w:r>
      <w:r w:rsidRPr="00B82888">
        <w:t xml:space="preserve">JJ.: </w:t>
      </w:r>
      <w:r w:rsidRPr="00B82888">
        <w:rPr>
          <w:lang w:bidi="en-US"/>
        </w:rPr>
        <w:t>Section 39.1 CEA concerns subpoenas to give testimony or orders to produce documents that are issued to journalists and are likely to reveal the identities of confidential sources</w:t>
      </w:r>
      <w:r w:rsidRPr="00B82888">
        <w:t xml:space="preserve">. </w:t>
      </w:r>
      <w:r w:rsidRPr="00B82888">
        <w:rPr>
          <w:lang w:bidi="en-US"/>
        </w:rPr>
        <w:t>In carrying out its plan to modernize the law by including s. 39.1 in the CEA, Parliament drew upon the various decisions of the Court, but modified the structure of the test and the weights of the identified criteria. It thus created a scheme of new law from which a clear intention emerges: to afford enhanced protection to the confidentiality of journalistic sources in the context of journalists’ relations with those sources</w:t>
      </w:r>
      <w:r w:rsidRPr="00B82888">
        <w:rPr>
          <w:szCs w:val="24"/>
        </w:rPr>
        <w:t>.</w:t>
      </w:r>
    </w:p>
    <w:p w:rsidR="00B025ED" w:rsidRPr="00B82888" w:rsidRDefault="00B025ED" w:rsidP="00B025ED">
      <w:pPr>
        <w:pStyle w:val="SCCNormalDoubleSpacing"/>
        <w:spacing w:after="480"/>
      </w:pPr>
      <w:r w:rsidRPr="00B82888">
        <w:tab/>
        <w:t>A</w:t>
      </w:r>
      <w:r w:rsidRPr="00B82888">
        <w:rPr>
          <w:lang w:bidi="en-US"/>
        </w:rPr>
        <w:t xml:space="preserve"> threshold requirement for the application of the new scheme is that</w:t>
      </w:r>
      <w:r w:rsidRPr="00B82888">
        <w:t xml:space="preserve"> </w:t>
      </w:r>
      <w:r w:rsidRPr="00B82888">
        <w:rPr>
          <w:lang w:bidi="en-US"/>
        </w:rPr>
        <w:t xml:space="preserve">the person objecting to the disclosure </w:t>
      </w:r>
      <w:r w:rsidRPr="00B82888">
        <w:rPr>
          <w:lang w:val="en-US" w:bidi="en-US"/>
        </w:rPr>
        <w:t xml:space="preserve">of information or a document that identifies or is likely to identify a journalistic source </w:t>
      </w:r>
      <w:r w:rsidRPr="00B82888">
        <w:rPr>
          <w:lang w:bidi="en-US"/>
        </w:rPr>
        <w:t xml:space="preserve">must show that he or she is a “journalist”, </w:t>
      </w:r>
      <w:r w:rsidRPr="00B82888">
        <w:rPr>
          <w:lang w:val="en-US" w:bidi="en-US"/>
        </w:rPr>
        <w:t xml:space="preserve">and his or her source a “journalistic source”, </w:t>
      </w:r>
      <w:r w:rsidRPr="00B82888">
        <w:rPr>
          <w:lang w:bidi="en-US"/>
        </w:rPr>
        <w:t>as defined in the CEA</w:t>
      </w:r>
      <w:r w:rsidRPr="00B82888">
        <w:t>. Next, if the person succeeds in doing so</w:t>
      </w:r>
      <w:r w:rsidRPr="00B82888">
        <w:rPr>
          <w:lang w:bidi="en-US"/>
        </w:rPr>
        <w:t xml:space="preserve">, it is the party who seeks </w:t>
      </w:r>
      <w:r w:rsidRPr="00B82888">
        <w:rPr>
          <w:lang w:val="en-US" w:bidi="en-US"/>
        </w:rPr>
        <w:t>to know the source’s</w:t>
      </w:r>
      <w:r w:rsidRPr="00B82888">
        <w:rPr>
          <w:lang w:bidi="en-US"/>
        </w:rPr>
        <w:t xml:space="preserve"> </w:t>
      </w:r>
      <w:r w:rsidRPr="00B82888">
        <w:rPr>
          <w:lang w:val="en-US" w:bidi="en-US"/>
        </w:rPr>
        <w:t xml:space="preserve">identity </w:t>
      </w:r>
      <w:r w:rsidRPr="00B82888">
        <w:rPr>
          <w:lang w:bidi="en-US"/>
        </w:rPr>
        <w:t>who must then prove that the conditions for judicial authorization of the disclosure are met.</w:t>
      </w:r>
      <w:r w:rsidRPr="00B82888">
        <w:t xml:space="preserve"> </w:t>
      </w:r>
      <w:r w:rsidRPr="00B82888">
        <w:rPr>
          <w:lang w:bidi="en-US"/>
        </w:rPr>
        <w:t>If a journalist objects to the disclosure of information on the ground that it is likely to identify a confidential source, non</w:t>
      </w:r>
      <w:r w:rsidRPr="00B82888">
        <w:rPr>
          <w:lang w:bidi="en-US"/>
        </w:rPr>
        <w:noBreakHyphen/>
        <w:t>disclosure should be the starting point for the analysis. It is then up to the party seeking to obtain the information to rebut this presumption.</w:t>
      </w:r>
      <w:r w:rsidRPr="00B82888">
        <w:t xml:space="preserve"> </w:t>
      </w:r>
      <w:r w:rsidRPr="00B82888">
        <w:rPr>
          <w:lang w:bidi="en-US"/>
        </w:rPr>
        <w:t>This shifting of the burden of proof is the most important difference between the former common law scheme and the new federal statutory scheme. Whereas the applicability of the journalist</w:t>
      </w:r>
      <w:r w:rsidRPr="00B82888">
        <w:rPr>
          <w:lang w:bidi="en-US"/>
        </w:rPr>
        <w:noBreakHyphen/>
        <w:t>source privilege was the exception in the former scheme, it has now become the rule</w:t>
      </w:r>
      <w:r w:rsidRPr="00B82888">
        <w:t>. T</w:t>
      </w:r>
      <w:r w:rsidRPr="00B82888">
        <w:rPr>
          <w:lang w:bidi="en-US"/>
        </w:rPr>
        <w:t xml:space="preserve">he court may not authorize the disclosure </w:t>
      </w:r>
      <w:r w:rsidRPr="00B82888">
        <w:rPr>
          <w:lang w:bidi="en-US"/>
        </w:rPr>
        <w:lastRenderedPageBreak/>
        <w:t>of information unless the party seeking its disclosure shows that the condition based on reasonable necessity is met and that the balancing exercise under the CEA weighs in favour of disclosure</w:t>
      </w:r>
      <w:r w:rsidRPr="00B82888">
        <w:t>.</w:t>
      </w:r>
    </w:p>
    <w:p w:rsidR="00B025ED" w:rsidRPr="00B82888" w:rsidRDefault="00B025ED" w:rsidP="00B025ED">
      <w:pPr>
        <w:pStyle w:val="SCCNormalDoubleSpacing"/>
        <w:spacing w:after="480"/>
      </w:pPr>
      <w:r w:rsidRPr="00B82888">
        <w:tab/>
      </w:r>
      <w:r w:rsidRPr="00B82888">
        <w:rPr>
          <w:lang w:bidi="en-US"/>
        </w:rPr>
        <w:t>The party seeking the disclosure of information or a document that identifies or is likely to identify a journalistic source must show that the disclosure is reasonably necessary, that is, that the information being sought cannot be produced in evidence by any other reasonable means. If this is not shown, the case is closed, and the application for disclosure will be dismissed</w:t>
      </w:r>
      <w:r w:rsidRPr="00B82888">
        <w:t xml:space="preserve">. </w:t>
      </w:r>
      <w:r w:rsidRPr="00B82888">
        <w:rPr>
          <w:lang w:bidi="en-US"/>
        </w:rPr>
        <w:t>If the party seeking the disclosure of information meets this requirement, he or she must then convince the court that the public interest in the administration of justice outweighs the public interest in preserving the confidentiality of the journalistic source. This balancing exercise requires considering, on the one hand, the importance of the document or information being sought to a central issue in the proceeding and, on the other hand, the impact on freedom of the press and on the journalist and the source. To be successful, a party must convince the court that the document or information at issue is so important that this balancing exercise weighs in favour of disclosure</w:t>
      </w:r>
      <w:r w:rsidRPr="00B82888">
        <w:t>. T</w:t>
      </w:r>
      <w:r w:rsidRPr="00B82888">
        <w:rPr>
          <w:lang w:bidi="en-US"/>
        </w:rPr>
        <w:t>he court must bear in mind that disclosing information that identifies or is likely to identify a source is an appropriate remedy only where the advantages of doing so outweigh the disadvantages</w:t>
      </w:r>
      <w:r w:rsidRPr="00B82888">
        <w:t xml:space="preserve">. </w:t>
      </w:r>
      <w:r w:rsidRPr="00B82888">
        <w:rPr>
          <w:lang w:bidi="en-US"/>
        </w:rPr>
        <w:t>It is only as a last resort that a court should require a journalist to breach a confidentiality undertaking with a source</w:t>
      </w:r>
      <w:r w:rsidRPr="00B82888">
        <w:t>.</w:t>
      </w:r>
    </w:p>
    <w:p w:rsidR="00B025ED" w:rsidRPr="00B82888" w:rsidRDefault="00B025ED" w:rsidP="00B025ED">
      <w:pPr>
        <w:pStyle w:val="SCCNormalDoubleSpacing"/>
        <w:spacing w:after="480"/>
      </w:pPr>
      <w:r w:rsidRPr="00B82888">
        <w:lastRenderedPageBreak/>
        <w:tab/>
      </w:r>
      <w:r>
        <w:t>In</w:t>
      </w:r>
      <w:r w:rsidRPr="00B82888">
        <w:t xml:space="preserve"> the Court, </w:t>
      </w:r>
      <w:r w:rsidRPr="00B82888">
        <w:rPr>
          <w:lang w:bidi="en-US"/>
        </w:rPr>
        <w:t xml:space="preserve">the Crown abandoned its original position with respect to C’s motion for a stay of proceedings, </w:t>
      </w:r>
      <w:r w:rsidRPr="00B82888">
        <w:t xml:space="preserve">and it </w:t>
      </w:r>
      <w:r w:rsidRPr="00B82888">
        <w:rPr>
          <w:lang w:bidi="en-US"/>
        </w:rPr>
        <w:t>now maintains that the disclosure of new information alters the factual matrix</w:t>
      </w:r>
      <w:r w:rsidRPr="00B82888">
        <w:t xml:space="preserve">. </w:t>
      </w:r>
      <w:r w:rsidRPr="00B82888">
        <w:rPr>
          <w:lang w:bidi="en-US"/>
        </w:rPr>
        <w:t>The Crown’s change of position is serious enough to justify an intervention by the Court, but it</w:t>
      </w:r>
      <w:r w:rsidRPr="00B82888">
        <w:t xml:space="preserve"> </w:t>
      </w:r>
      <w:r w:rsidRPr="00B82888">
        <w:rPr>
          <w:lang w:bidi="en-US"/>
        </w:rPr>
        <w:t>precludes appellate review of the Superior Court’s decision on the merits</w:t>
      </w:r>
      <w:r w:rsidRPr="00B82888">
        <w:t xml:space="preserve">. </w:t>
      </w:r>
      <w:r w:rsidRPr="00B82888">
        <w:rPr>
          <w:lang w:bidi="en-US"/>
        </w:rPr>
        <w:t>This change of position instead justifies remanding the case to the court of original jurisdiction in order to have that court conduct anew, once the new evidence has been adduced by the Crown, the analysis required by s. 39.1 CEA</w:t>
      </w:r>
      <w:r w:rsidRPr="00B82888">
        <w:t>.</w:t>
      </w:r>
    </w:p>
    <w:p w:rsidR="00B025ED" w:rsidRPr="00B82888" w:rsidRDefault="00B025ED" w:rsidP="00B025ED">
      <w:pPr>
        <w:pStyle w:val="SCCNormalDoubleSpacing"/>
        <w:spacing w:after="480"/>
      </w:pPr>
      <w:r w:rsidRPr="00B82888">
        <w:tab/>
      </w:r>
      <w:r w:rsidRPr="00B82888">
        <w:rPr>
          <w:lang w:bidi="en-US"/>
        </w:rPr>
        <w:t>The Court of Appeal was right to find that it did not have jurisdiction to hear the appeal</w:t>
      </w:r>
      <w:r w:rsidRPr="00B82888">
        <w:t xml:space="preserve"> from the Superior Court’s decision confirming that the subpoena was valid. </w:t>
      </w:r>
      <w:r w:rsidRPr="00B82888">
        <w:rPr>
          <w:lang w:bidi="en-US"/>
        </w:rPr>
        <w:t>First, the right of appeal is a statutory right. It is an exceptional right that cannot exist if no legislation provides for it. Second, where there are two levels of appeal, they are provided for in legislation</w:t>
      </w:r>
      <w:r w:rsidRPr="00B82888">
        <w:t xml:space="preserve">, which is not the case here with the CEA. </w:t>
      </w:r>
      <w:r w:rsidRPr="00B82888">
        <w:rPr>
          <w:lang w:bidi="en-US"/>
        </w:rPr>
        <w:t>The existence of a single level of appeal is, moreover, consistent with the purpose of efficiency and expeditiousness being pursued in</w:t>
      </w:r>
      <w:r w:rsidRPr="00B82888">
        <w:t xml:space="preserve"> s. 39.1 CEA.</w:t>
      </w:r>
    </w:p>
    <w:p w:rsidR="00B025ED" w:rsidRPr="00B82888" w:rsidRDefault="00B025ED" w:rsidP="00B025ED">
      <w:pPr>
        <w:pStyle w:val="SCCNormalDoubleSpacing"/>
        <w:spacing w:after="480"/>
        <w:rPr>
          <w:szCs w:val="24"/>
        </w:rPr>
      </w:pPr>
      <w:r w:rsidRPr="00B82888">
        <w:rPr>
          <w:i/>
        </w:rPr>
        <w:tab/>
        <w:t>Per</w:t>
      </w:r>
      <w:r w:rsidRPr="00B82888">
        <w:t xml:space="preserve"> </w:t>
      </w:r>
      <w:proofErr w:type="spellStart"/>
      <w:r w:rsidRPr="007F3438">
        <w:t>Abella</w:t>
      </w:r>
      <w:proofErr w:type="spellEnd"/>
      <w:r w:rsidRPr="00B82888">
        <w:t xml:space="preserve"> J. (dissenting): </w:t>
      </w:r>
      <w:r w:rsidRPr="00B82888">
        <w:rPr>
          <w:lang w:val="en-US"/>
        </w:rPr>
        <w:t>T</w:t>
      </w:r>
      <w:r w:rsidRPr="00B82888">
        <w:t xml:space="preserve">he </w:t>
      </w:r>
      <w:r w:rsidRPr="00B82888">
        <w:rPr>
          <w:i/>
        </w:rPr>
        <w:t xml:space="preserve">Journalistic Sources Protection Act </w:t>
      </w:r>
      <w:r w:rsidRPr="00B82888">
        <w:t>is legislation of historic weight.</w:t>
      </w:r>
      <w:r w:rsidRPr="00B82888">
        <w:rPr>
          <w:szCs w:val="24"/>
        </w:rPr>
        <w:t xml:space="preserve"> </w:t>
      </w:r>
      <w:r w:rsidRPr="00B82888">
        <w:rPr>
          <w:szCs w:val="24"/>
          <w:lang w:val="en-US"/>
        </w:rPr>
        <w:t>The new scheme anticipates that absent exceptional circumstances, a presumption of protection for journalistic sources will prevail. T</w:t>
      </w:r>
      <w:r w:rsidRPr="00B82888">
        <w:rPr>
          <w:szCs w:val="24"/>
        </w:rPr>
        <w:t xml:space="preserve">he burden is on the party seeking disclosure to demonstrate both that </w:t>
      </w:r>
      <w:r w:rsidRPr="00B82888">
        <w:t xml:space="preserve">there is no other reasonable means of getting the information and that the public interest in preserving the confidentiality of journalistic sources is outweighed by the public interest in the administration of justice. Through the </w:t>
      </w:r>
      <w:r w:rsidRPr="00B82888">
        <w:rPr>
          <w:i/>
        </w:rPr>
        <w:t>Act</w:t>
      </w:r>
      <w:r w:rsidRPr="00B82888">
        <w:t xml:space="preserve">, Parliament clearly asserted its intention to </w:t>
      </w:r>
      <w:r w:rsidRPr="00B82888">
        <w:lastRenderedPageBreak/>
        <w:t>provide journalists with more robust statutory protections than existed under the common law.</w:t>
      </w:r>
    </w:p>
    <w:p w:rsidR="00B025ED" w:rsidRPr="00B82888" w:rsidRDefault="00B025ED" w:rsidP="00B025ED">
      <w:pPr>
        <w:pStyle w:val="SCCNormalDoubleSpacing"/>
        <w:spacing w:after="480"/>
        <w:rPr>
          <w:caps/>
        </w:rPr>
      </w:pPr>
      <w:r w:rsidRPr="00B82888">
        <w:tab/>
      </w:r>
      <w:r w:rsidRPr="00B82888">
        <w:rPr>
          <w:szCs w:val="24"/>
          <w:lang w:val="en-US"/>
        </w:rPr>
        <w:t>While the factual terrain in this appeal may have shifted, the legal foundation for the Superior Court</w:t>
      </w:r>
      <w:r>
        <w:rPr>
          <w:szCs w:val="24"/>
          <w:lang w:val="en-US"/>
        </w:rPr>
        <w:t xml:space="preserve"> of Que</w:t>
      </w:r>
      <w:r w:rsidRPr="00B82888">
        <w:rPr>
          <w:szCs w:val="24"/>
          <w:lang w:val="en-US"/>
        </w:rPr>
        <w:t xml:space="preserve">bec’s conclusion that a disclosure authorization was appropriate is unsustainable in light of the language and purposes of the </w:t>
      </w:r>
      <w:r w:rsidRPr="00B82888">
        <w:rPr>
          <w:i/>
          <w:szCs w:val="24"/>
          <w:lang w:val="en-US"/>
        </w:rPr>
        <w:t>Act</w:t>
      </w:r>
      <w:r w:rsidRPr="00B82888">
        <w:rPr>
          <w:szCs w:val="24"/>
        </w:rPr>
        <w:t>. T</w:t>
      </w:r>
      <w:r w:rsidRPr="00B82888">
        <w:rPr>
          <w:szCs w:val="24"/>
          <w:lang w:val="en-US"/>
        </w:rPr>
        <w:t>he Superior Court effectively placed a burden on the journalist to demonstrate why she should not be forced to reveal her sources, rather than requiring the party seeking disclosure to prove why those sources should be revealed. Moreover, the Superior Court applied the new legislation in a way that mirrored, rather than departed from, the former common law regime, and failed to recognize the paramount objective of protecting journalistic sources. Given these fundamental legal errors in the interpretation and application of the legislation, the disclosure authorization issued against the journalist should be set aside and the subpoena quashed.</w:t>
      </w:r>
    </w:p>
    <w:p w:rsidR="00B025ED" w:rsidRPr="00B82888" w:rsidRDefault="00B025ED" w:rsidP="00B025ED">
      <w:pPr>
        <w:pStyle w:val="SCCNormalDoubleSpacing"/>
        <w:spacing w:after="720" w:line="240" w:lineRule="auto"/>
        <w:rPr>
          <w:b/>
        </w:rPr>
      </w:pPr>
      <w:r w:rsidRPr="00B82888">
        <w:rPr>
          <w:b/>
        </w:rPr>
        <w:t>Cases Cited</w:t>
      </w:r>
    </w:p>
    <w:p w:rsidR="00B025ED" w:rsidRPr="00B82888" w:rsidRDefault="00B025ED" w:rsidP="00B025ED">
      <w:pPr>
        <w:pStyle w:val="SCCNormalDoubleSpacing"/>
        <w:spacing w:after="720" w:line="240" w:lineRule="auto"/>
      </w:pPr>
      <w:r w:rsidRPr="00B82888">
        <w:t>By Wagner C.J.</w:t>
      </w:r>
    </w:p>
    <w:p w:rsidR="00B025ED" w:rsidRPr="00B82888" w:rsidRDefault="00B025ED" w:rsidP="00B025ED">
      <w:pPr>
        <w:pStyle w:val="SCCNormalDoubleSpacing"/>
        <w:spacing w:after="480"/>
      </w:pPr>
      <w:r w:rsidRPr="00B82888">
        <w:tab/>
      </w:r>
      <w:r w:rsidRPr="00B82888">
        <w:rPr>
          <w:b/>
        </w:rPr>
        <w:t>Referred to:</w:t>
      </w:r>
      <w:r w:rsidRPr="00B82888">
        <w:t xml:space="preserve"> </w:t>
      </w:r>
      <w:r w:rsidRPr="00B82888">
        <w:rPr>
          <w:i/>
        </w:rPr>
        <w:t xml:space="preserve">R. v. </w:t>
      </w:r>
      <w:proofErr w:type="spellStart"/>
      <w:r w:rsidRPr="00B82888">
        <w:rPr>
          <w:i/>
        </w:rPr>
        <w:t>Babos</w:t>
      </w:r>
      <w:proofErr w:type="spellEnd"/>
      <w:r w:rsidRPr="00B82888">
        <w:t xml:space="preserve">, </w:t>
      </w:r>
      <w:r w:rsidRPr="00B82888">
        <w:rPr>
          <w:szCs w:val="24"/>
        </w:rPr>
        <w:t xml:space="preserve">2014 SCC 16, [2014] 1 S.C.R. 309; </w:t>
      </w:r>
      <w:r w:rsidRPr="00B82888">
        <w:rPr>
          <w:i/>
          <w:szCs w:val="24"/>
          <w:lang w:val="en-US"/>
        </w:rPr>
        <w:t>R. v. O’Connor</w:t>
      </w:r>
      <w:r w:rsidRPr="00B82888">
        <w:rPr>
          <w:szCs w:val="24"/>
          <w:lang w:val="en-US"/>
        </w:rPr>
        <w:t xml:space="preserve">, [1995] 4 S.C.R. 411; </w:t>
      </w:r>
      <w:r w:rsidRPr="00B82888">
        <w:rPr>
          <w:i/>
        </w:rPr>
        <w:t>R. v. Vice Media Canada Inc.</w:t>
      </w:r>
      <w:r w:rsidRPr="00B82888">
        <w:t xml:space="preserve">, 2018 </w:t>
      </w:r>
      <w:r w:rsidRPr="00B82888">
        <w:rPr>
          <w:szCs w:val="24"/>
        </w:rPr>
        <w:t xml:space="preserve">SCC </w:t>
      </w:r>
      <w:r w:rsidRPr="00B82888">
        <w:t>53</w:t>
      </w:r>
      <w:r w:rsidR="007F3438">
        <w:t>, [2018] 3 S.C.R. 374</w:t>
      </w:r>
      <w:r w:rsidRPr="00B82888">
        <w:t xml:space="preserve">; </w:t>
      </w:r>
      <w:r w:rsidRPr="00B82888">
        <w:rPr>
          <w:i/>
          <w:iCs/>
          <w:szCs w:val="24"/>
        </w:rPr>
        <w:t>R. v. National Post</w:t>
      </w:r>
      <w:r w:rsidRPr="00B82888">
        <w:rPr>
          <w:szCs w:val="24"/>
        </w:rPr>
        <w:t xml:space="preserve">, 2010 SCC 16, [2010] 1 S.C.R. 477; </w:t>
      </w:r>
      <w:r w:rsidRPr="00B82888">
        <w:rPr>
          <w:i/>
          <w:iCs/>
          <w:szCs w:val="24"/>
        </w:rPr>
        <w:t>Globe and Mail v. Canada (Attorney General)</w:t>
      </w:r>
      <w:r w:rsidRPr="00B82888">
        <w:rPr>
          <w:szCs w:val="24"/>
        </w:rPr>
        <w:t xml:space="preserve">, 2010 SCC 41, [2010] 2 S.C.R. 592; </w:t>
      </w:r>
      <w:r w:rsidRPr="00B82888">
        <w:rPr>
          <w:i/>
          <w:iCs/>
          <w:szCs w:val="24"/>
        </w:rPr>
        <w:t xml:space="preserve">Canadian Broadcasting Corp. v. </w:t>
      </w:r>
      <w:proofErr w:type="spellStart"/>
      <w:r w:rsidRPr="00B82888">
        <w:rPr>
          <w:i/>
          <w:iCs/>
          <w:szCs w:val="24"/>
        </w:rPr>
        <w:t>Lessard</w:t>
      </w:r>
      <w:proofErr w:type="spellEnd"/>
      <w:r w:rsidRPr="00B82888">
        <w:rPr>
          <w:szCs w:val="24"/>
        </w:rPr>
        <w:t xml:space="preserve">, [1991] 3 S.C.R. 421; </w:t>
      </w:r>
      <w:r w:rsidRPr="00B82888">
        <w:rPr>
          <w:i/>
          <w:szCs w:val="24"/>
        </w:rPr>
        <w:t xml:space="preserve">Edmonton Journal v. Alberta </w:t>
      </w:r>
      <w:r w:rsidRPr="00B82888">
        <w:rPr>
          <w:i/>
          <w:szCs w:val="24"/>
        </w:rPr>
        <w:lastRenderedPageBreak/>
        <w:t>(</w:t>
      </w:r>
      <w:r w:rsidRPr="00B82888">
        <w:rPr>
          <w:i/>
          <w:iCs/>
          <w:szCs w:val="24"/>
        </w:rPr>
        <w:t>Attorney General</w:t>
      </w:r>
      <w:r w:rsidRPr="00B82888">
        <w:rPr>
          <w:i/>
          <w:szCs w:val="24"/>
        </w:rPr>
        <w:t>)</w:t>
      </w:r>
      <w:r w:rsidRPr="00B82888">
        <w:rPr>
          <w:szCs w:val="24"/>
        </w:rPr>
        <w:t xml:space="preserve">, [1989] 2 S.C.R. 1326; </w:t>
      </w:r>
      <w:r w:rsidRPr="00B82888">
        <w:rPr>
          <w:i/>
          <w:szCs w:val="24"/>
        </w:rPr>
        <w:t>Grant v. Torstar Corp.</w:t>
      </w:r>
      <w:r w:rsidRPr="00B82888">
        <w:rPr>
          <w:szCs w:val="24"/>
        </w:rPr>
        <w:t xml:space="preserve">, 2009 SCC 61, [2009] 3 S.C.R. 640; </w:t>
      </w:r>
      <w:r w:rsidRPr="00B82888">
        <w:rPr>
          <w:i/>
          <w:iCs/>
          <w:spacing w:val="-3"/>
        </w:rPr>
        <w:t>Ford v. Quebec (</w:t>
      </w:r>
      <w:r w:rsidRPr="00B82888">
        <w:rPr>
          <w:i/>
          <w:iCs/>
          <w:szCs w:val="24"/>
        </w:rPr>
        <w:t>Attorney General</w:t>
      </w:r>
      <w:r w:rsidRPr="00B82888">
        <w:rPr>
          <w:i/>
          <w:iCs/>
          <w:spacing w:val="-3"/>
        </w:rPr>
        <w:t>)</w:t>
      </w:r>
      <w:r w:rsidRPr="00B82888">
        <w:rPr>
          <w:spacing w:val="-3"/>
        </w:rPr>
        <w:t xml:space="preserve">, [1988] 2 </w:t>
      </w:r>
      <w:r w:rsidRPr="00B82888">
        <w:rPr>
          <w:szCs w:val="24"/>
        </w:rPr>
        <w:t xml:space="preserve">S.C.R. </w:t>
      </w:r>
      <w:r w:rsidRPr="00B82888">
        <w:rPr>
          <w:spacing w:val="-3"/>
        </w:rPr>
        <w:t xml:space="preserve">712; </w:t>
      </w:r>
      <w:r w:rsidRPr="00B82888">
        <w:rPr>
          <w:i/>
        </w:rPr>
        <w:t>Irwin Toy Ltd. v. Quebec (</w:t>
      </w:r>
      <w:r w:rsidRPr="00B82888">
        <w:rPr>
          <w:i/>
          <w:iCs/>
          <w:szCs w:val="24"/>
        </w:rPr>
        <w:t>Attorney General</w:t>
      </w:r>
      <w:r w:rsidRPr="00B82888">
        <w:rPr>
          <w:i/>
        </w:rPr>
        <w:t>)</w:t>
      </w:r>
      <w:r w:rsidRPr="00B82888">
        <w:t xml:space="preserve">, [1989] 1 </w:t>
      </w:r>
      <w:r w:rsidRPr="00B82888">
        <w:rPr>
          <w:szCs w:val="24"/>
        </w:rPr>
        <w:t xml:space="preserve">S.C.R. </w:t>
      </w:r>
      <w:r w:rsidRPr="00B82888">
        <w:t xml:space="preserve">927; </w:t>
      </w:r>
      <w:r w:rsidRPr="00B82888">
        <w:rPr>
          <w:i/>
        </w:rPr>
        <w:t>R. v. Jordan</w:t>
      </w:r>
      <w:r w:rsidRPr="00B82888">
        <w:t xml:space="preserve">, 2016 </w:t>
      </w:r>
      <w:r w:rsidRPr="00B82888">
        <w:rPr>
          <w:szCs w:val="24"/>
        </w:rPr>
        <w:t xml:space="preserve">SCC </w:t>
      </w:r>
      <w:r w:rsidRPr="00B82888">
        <w:t>27, [2016] 1 S.C.R. 631.</w:t>
      </w:r>
    </w:p>
    <w:p w:rsidR="00B025ED" w:rsidRPr="00B82888" w:rsidRDefault="00B025ED" w:rsidP="00B025ED">
      <w:pPr>
        <w:pStyle w:val="SCCNormalDoubleSpacing"/>
        <w:spacing w:after="480"/>
      </w:pPr>
      <w:r w:rsidRPr="00B82888">
        <w:t xml:space="preserve">By </w:t>
      </w:r>
      <w:proofErr w:type="spellStart"/>
      <w:r w:rsidRPr="00B82888">
        <w:t>Abella</w:t>
      </w:r>
      <w:proofErr w:type="spellEnd"/>
      <w:r w:rsidRPr="00B82888">
        <w:t xml:space="preserve"> J. (dissenting)</w:t>
      </w:r>
    </w:p>
    <w:p w:rsidR="00B025ED" w:rsidRPr="00B82888" w:rsidRDefault="00B025ED" w:rsidP="00B025ED">
      <w:pPr>
        <w:pStyle w:val="SCCNormalDoubleSpacing"/>
        <w:spacing w:after="720" w:line="240" w:lineRule="auto"/>
      </w:pPr>
      <w:r w:rsidRPr="00B82888">
        <w:tab/>
      </w:r>
      <w:r w:rsidRPr="00B82888">
        <w:rPr>
          <w:i/>
          <w:szCs w:val="24"/>
        </w:rPr>
        <w:t>R. v. National Post</w:t>
      </w:r>
      <w:r w:rsidRPr="00B82888">
        <w:rPr>
          <w:szCs w:val="24"/>
        </w:rPr>
        <w:t>, 2010 SCC 16, [2010] 1 S.C.R. 477.</w:t>
      </w:r>
    </w:p>
    <w:p w:rsidR="00B025ED" w:rsidRPr="00B82888" w:rsidRDefault="00B025ED" w:rsidP="00B025ED">
      <w:pPr>
        <w:pStyle w:val="SCCNormalDoubleSpacing"/>
        <w:spacing w:after="720" w:line="240" w:lineRule="auto"/>
      </w:pPr>
      <w:r w:rsidRPr="00B82888">
        <w:rPr>
          <w:b/>
        </w:rPr>
        <w:t>Statutes and Regulations Cited</w:t>
      </w:r>
    </w:p>
    <w:p w:rsidR="00B025ED" w:rsidRPr="00B82888" w:rsidRDefault="00B025ED" w:rsidP="00B025ED">
      <w:pPr>
        <w:pStyle w:val="SCCNormalDoubleSpacing"/>
        <w:spacing w:after="240" w:line="240" w:lineRule="auto"/>
        <w:rPr>
          <w:lang w:val="en-US"/>
        </w:rPr>
      </w:pPr>
      <w:r w:rsidRPr="00B82888">
        <w:rPr>
          <w:i/>
          <w:lang w:val="en-US"/>
        </w:rPr>
        <w:t>Canada Evidence Act</w:t>
      </w:r>
      <w:r w:rsidRPr="00B82888">
        <w:rPr>
          <w:lang w:val="en-US"/>
        </w:rPr>
        <w:t>,</w:t>
      </w:r>
      <w:r w:rsidRPr="00B82888">
        <w:rPr>
          <w:szCs w:val="24"/>
          <w:lang w:val="en-US"/>
        </w:rPr>
        <w:t xml:space="preserve"> R.S.C. </w:t>
      </w:r>
      <w:r w:rsidRPr="00B82888">
        <w:rPr>
          <w:lang w:val="en-US"/>
        </w:rPr>
        <w:t>1985, c. C</w:t>
      </w:r>
      <w:r w:rsidRPr="00B82888">
        <w:rPr>
          <w:lang w:val="en-US"/>
        </w:rPr>
        <w:noBreakHyphen/>
        <w:t>5, s. 39.1.</w:t>
      </w:r>
    </w:p>
    <w:p w:rsidR="00B025ED" w:rsidRPr="00B82888" w:rsidRDefault="00B025ED" w:rsidP="00B025ED">
      <w:pPr>
        <w:pStyle w:val="SCCNormalDoubleSpacing"/>
        <w:spacing w:after="240" w:line="240" w:lineRule="auto"/>
        <w:rPr>
          <w:i/>
          <w:lang w:val="en-US"/>
        </w:rPr>
      </w:pPr>
      <w:r w:rsidRPr="00B82888">
        <w:rPr>
          <w:i/>
          <w:szCs w:val="24"/>
        </w:rPr>
        <w:t>Canadian Charter of Rights and Freedoms</w:t>
      </w:r>
      <w:r w:rsidRPr="00B82888">
        <w:rPr>
          <w:szCs w:val="24"/>
        </w:rPr>
        <w:t>, s. </w:t>
      </w:r>
      <w:r w:rsidRPr="00B82888">
        <w:rPr>
          <w:lang w:val="en-US"/>
        </w:rPr>
        <w:t>2(</w:t>
      </w:r>
      <w:r w:rsidRPr="00B82888">
        <w:rPr>
          <w:i/>
          <w:lang w:val="en-US"/>
        </w:rPr>
        <w:t>b</w:t>
      </w:r>
      <w:r w:rsidRPr="00B82888">
        <w:rPr>
          <w:lang w:val="en-US"/>
        </w:rPr>
        <w:t>).</w:t>
      </w:r>
    </w:p>
    <w:p w:rsidR="00B025ED" w:rsidRPr="00B82888" w:rsidRDefault="00B025ED" w:rsidP="00B025ED">
      <w:pPr>
        <w:pStyle w:val="SCCNormalDoubleSpacing"/>
        <w:spacing w:after="240" w:line="240" w:lineRule="auto"/>
        <w:rPr>
          <w:lang w:val="fr-CA"/>
        </w:rPr>
      </w:pPr>
      <w:proofErr w:type="spellStart"/>
      <w:r w:rsidRPr="00B82888">
        <w:rPr>
          <w:i/>
          <w:iCs/>
          <w:szCs w:val="24"/>
          <w:lang w:val="fr-CA"/>
        </w:rPr>
        <w:t>Criminal</w:t>
      </w:r>
      <w:proofErr w:type="spellEnd"/>
      <w:r w:rsidRPr="00B82888">
        <w:rPr>
          <w:i/>
          <w:iCs/>
          <w:szCs w:val="24"/>
          <w:lang w:val="fr-CA"/>
        </w:rPr>
        <w:t xml:space="preserve"> Code</w:t>
      </w:r>
      <w:r w:rsidRPr="00B82888">
        <w:rPr>
          <w:szCs w:val="24"/>
          <w:lang w:val="fr-CA"/>
        </w:rPr>
        <w:t>, R.S.C. 1985, c. C</w:t>
      </w:r>
      <w:r w:rsidRPr="00B82888">
        <w:rPr>
          <w:szCs w:val="24"/>
          <w:lang w:val="fr-CA"/>
        </w:rPr>
        <w:noBreakHyphen/>
        <w:t>46,</w:t>
      </w:r>
      <w:r w:rsidRPr="00B82888">
        <w:rPr>
          <w:lang w:val="fr-CA"/>
        </w:rPr>
        <w:t xml:space="preserve"> s. 488.01.</w:t>
      </w:r>
    </w:p>
    <w:p w:rsidR="00B025ED" w:rsidRPr="00B82888" w:rsidRDefault="00B025ED" w:rsidP="00B025ED">
      <w:pPr>
        <w:pStyle w:val="SCCNormalDoubleSpacing"/>
        <w:spacing w:after="240" w:line="240" w:lineRule="auto"/>
        <w:rPr>
          <w:lang w:val="en-US"/>
        </w:rPr>
      </w:pPr>
      <w:r w:rsidRPr="00B82888">
        <w:rPr>
          <w:i/>
          <w:lang w:val="en-US"/>
        </w:rPr>
        <w:t>Journalistic Sources Protection Act</w:t>
      </w:r>
      <w:r w:rsidRPr="00B82888">
        <w:rPr>
          <w:lang w:val="en-US"/>
        </w:rPr>
        <w:t>, S.C. 2017, c. 22, ss. 2, 3.</w:t>
      </w:r>
    </w:p>
    <w:p w:rsidR="00B025ED" w:rsidRPr="00B82888" w:rsidRDefault="00B025ED" w:rsidP="00B025ED">
      <w:pPr>
        <w:pStyle w:val="SCCNormalDoubleSpacing"/>
        <w:spacing w:after="720" w:line="240" w:lineRule="auto"/>
        <w:rPr>
          <w:i/>
          <w:lang w:val="en-US"/>
        </w:rPr>
      </w:pPr>
      <w:r w:rsidRPr="00B82888">
        <w:rPr>
          <w:i/>
          <w:iCs/>
          <w:szCs w:val="24"/>
          <w:lang w:val="en-US"/>
        </w:rPr>
        <w:t>Supreme Court Act</w:t>
      </w:r>
      <w:r w:rsidRPr="00B82888">
        <w:rPr>
          <w:iCs/>
          <w:szCs w:val="24"/>
          <w:lang w:val="en-US"/>
        </w:rPr>
        <w:t>,</w:t>
      </w:r>
      <w:r w:rsidRPr="00B82888">
        <w:rPr>
          <w:i/>
          <w:iCs/>
          <w:szCs w:val="24"/>
          <w:lang w:val="en-US"/>
        </w:rPr>
        <w:t xml:space="preserve"> </w:t>
      </w:r>
      <w:r w:rsidRPr="00B82888">
        <w:rPr>
          <w:szCs w:val="24"/>
          <w:lang w:val="en-US"/>
        </w:rPr>
        <w:t>R.S.C. 1985</w:t>
      </w:r>
      <w:r w:rsidRPr="00B82888">
        <w:rPr>
          <w:lang w:val="en-US"/>
        </w:rPr>
        <w:t>, c. S</w:t>
      </w:r>
      <w:r w:rsidRPr="00B82888">
        <w:rPr>
          <w:lang w:val="en-US"/>
        </w:rPr>
        <w:noBreakHyphen/>
        <w:t>26, s. 40.</w:t>
      </w:r>
    </w:p>
    <w:p w:rsidR="00B025ED" w:rsidRPr="00996B90" w:rsidRDefault="00B025ED" w:rsidP="00B025ED">
      <w:pPr>
        <w:pStyle w:val="SCCNormalDoubleSpacing"/>
        <w:spacing w:after="720" w:line="240" w:lineRule="auto"/>
        <w:rPr>
          <w:b/>
          <w:szCs w:val="24"/>
        </w:rPr>
      </w:pPr>
      <w:r w:rsidRPr="00996B90">
        <w:rPr>
          <w:b/>
          <w:szCs w:val="24"/>
        </w:rPr>
        <w:t>Authors Cited</w:t>
      </w:r>
    </w:p>
    <w:p w:rsidR="00B025ED" w:rsidRPr="00996B90" w:rsidRDefault="00B025ED" w:rsidP="00B025ED">
      <w:pPr>
        <w:tabs>
          <w:tab w:val="left" w:pos="1168"/>
        </w:tabs>
        <w:spacing w:after="240"/>
        <w:ind w:left="360" w:hanging="360"/>
        <w:jc w:val="both"/>
        <w:rPr>
          <w:rFonts w:ascii="Times New Roman" w:hAnsi="Times New Roman" w:cs="Times New Roman"/>
          <w:sz w:val="24"/>
          <w:szCs w:val="24"/>
        </w:rPr>
      </w:pPr>
      <w:r w:rsidRPr="00996B90">
        <w:rPr>
          <w:rFonts w:ascii="Times New Roman" w:hAnsi="Times New Roman" w:cs="Times New Roman"/>
          <w:sz w:val="24"/>
          <w:szCs w:val="24"/>
          <w:lang w:val="en-US"/>
        </w:rPr>
        <w:t xml:space="preserve">Canada. </w:t>
      </w:r>
      <w:r w:rsidRPr="00996B90">
        <w:rPr>
          <w:rFonts w:ascii="Times New Roman" w:hAnsi="Times New Roman" w:cs="Times New Roman"/>
          <w:sz w:val="24"/>
          <w:szCs w:val="24"/>
        </w:rPr>
        <w:t xml:space="preserve">House of Commons. </w:t>
      </w:r>
      <w:r w:rsidRPr="00996B90">
        <w:rPr>
          <w:rFonts w:ascii="Times New Roman" w:hAnsi="Times New Roman" w:cs="Times New Roman"/>
          <w:i/>
          <w:sz w:val="24"/>
          <w:szCs w:val="24"/>
        </w:rPr>
        <w:t>Debates of the House of Commons</w:t>
      </w:r>
      <w:r w:rsidRPr="00996B90">
        <w:rPr>
          <w:rFonts w:ascii="Times New Roman" w:hAnsi="Times New Roman" w:cs="Times New Roman"/>
          <w:sz w:val="24"/>
          <w:szCs w:val="24"/>
        </w:rPr>
        <w:t>, vol. 148, No. </w:t>
      </w:r>
      <w:r w:rsidR="00996B90">
        <w:rPr>
          <w:rFonts w:ascii="Times New Roman" w:hAnsi="Times New Roman" w:cs="Times New Roman"/>
          <w:sz w:val="24"/>
          <w:szCs w:val="24"/>
        </w:rPr>
        <w:t>191, 1st </w:t>
      </w:r>
      <w:r w:rsidRPr="00996B90">
        <w:rPr>
          <w:rFonts w:ascii="Times New Roman" w:hAnsi="Times New Roman" w:cs="Times New Roman"/>
          <w:sz w:val="24"/>
          <w:szCs w:val="24"/>
        </w:rPr>
        <w:t>Sess.</w:t>
      </w:r>
      <w:r w:rsidR="00996B90">
        <w:rPr>
          <w:rFonts w:ascii="Times New Roman" w:hAnsi="Times New Roman" w:cs="Times New Roman"/>
          <w:sz w:val="24"/>
          <w:szCs w:val="24"/>
        </w:rPr>
        <w:t>, 42nd </w:t>
      </w:r>
      <w:r w:rsidRPr="00996B90">
        <w:rPr>
          <w:rFonts w:ascii="Times New Roman" w:hAnsi="Times New Roman" w:cs="Times New Roman"/>
          <w:sz w:val="24"/>
          <w:szCs w:val="24"/>
        </w:rPr>
        <w:t>Parl., June 9, 2017, pp. 12447</w:t>
      </w:r>
      <w:r w:rsidRPr="00996B90">
        <w:rPr>
          <w:rFonts w:ascii="Times New Roman" w:hAnsi="Times New Roman" w:cs="Times New Roman"/>
          <w:sz w:val="24"/>
          <w:szCs w:val="24"/>
        </w:rPr>
        <w:noBreakHyphen/>
        <w:t>48.</w:t>
      </w:r>
    </w:p>
    <w:p w:rsidR="00B025ED" w:rsidRPr="00996B90" w:rsidRDefault="00B025ED" w:rsidP="00B025ED">
      <w:pPr>
        <w:tabs>
          <w:tab w:val="left" w:pos="1168"/>
        </w:tabs>
        <w:spacing w:after="240"/>
        <w:ind w:left="360" w:hanging="360"/>
        <w:jc w:val="both"/>
        <w:rPr>
          <w:rFonts w:ascii="Times New Roman" w:hAnsi="Times New Roman" w:cs="Times New Roman"/>
          <w:sz w:val="24"/>
          <w:szCs w:val="24"/>
        </w:rPr>
      </w:pPr>
      <w:r w:rsidRPr="00996B90">
        <w:rPr>
          <w:rFonts w:ascii="Times New Roman" w:hAnsi="Times New Roman" w:cs="Times New Roman"/>
          <w:sz w:val="24"/>
          <w:szCs w:val="24"/>
        </w:rPr>
        <w:t xml:space="preserve">Canada. Senate. </w:t>
      </w:r>
      <w:r w:rsidRPr="00996B90">
        <w:rPr>
          <w:rFonts w:ascii="Times New Roman" w:hAnsi="Times New Roman" w:cs="Times New Roman"/>
          <w:i/>
          <w:sz w:val="24"/>
          <w:szCs w:val="24"/>
        </w:rPr>
        <w:t>Debates of the Senate</w:t>
      </w:r>
      <w:r w:rsidRPr="00996B90">
        <w:rPr>
          <w:rFonts w:ascii="Times New Roman" w:hAnsi="Times New Roman" w:cs="Times New Roman"/>
          <w:sz w:val="24"/>
          <w:szCs w:val="24"/>
        </w:rPr>
        <w:t>, vol. 150, No. 86, 1st </w:t>
      </w:r>
      <w:r w:rsidR="00366DA2">
        <w:rPr>
          <w:rFonts w:ascii="Times New Roman" w:hAnsi="Times New Roman" w:cs="Times New Roman"/>
          <w:sz w:val="24"/>
          <w:szCs w:val="24"/>
        </w:rPr>
        <w:t>Sess., 42nd </w:t>
      </w:r>
      <w:r w:rsidRPr="00996B90">
        <w:rPr>
          <w:rFonts w:ascii="Times New Roman" w:hAnsi="Times New Roman" w:cs="Times New Roman"/>
          <w:sz w:val="24"/>
          <w:szCs w:val="24"/>
        </w:rPr>
        <w:t>Parl., December 12, 2016, pp. 2056</w:t>
      </w:r>
      <w:r w:rsidRPr="00996B90">
        <w:rPr>
          <w:rFonts w:ascii="Times New Roman" w:hAnsi="Times New Roman" w:cs="Times New Roman"/>
          <w:sz w:val="24"/>
          <w:szCs w:val="24"/>
        </w:rPr>
        <w:noBreakHyphen/>
        <w:t>59.</w:t>
      </w:r>
    </w:p>
    <w:p w:rsidR="00B025ED" w:rsidRPr="00996B90" w:rsidRDefault="00B025ED" w:rsidP="00B025ED">
      <w:pPr>
        <w:tabs>
          <w:tab w:val="left" w:pos="1168"/>
        </w:tabs>
        <w:spacing w:after="240"/>
        <w:ind w:left="360" w:hanging="360"/>
        <w:jc w:val="both"/>
        <w:rPr>
          <w:rFonts w:ascii="Times New Roman" w:hAnsi="Times New Roman" w:cs="Times New Roman"/>
          <w:sz w:val="24"/>
          <w:szCs w:val="24"/>
        </w:rPr>
      </w:pPr>
      <w:r w:rsidRPr="00996B90">
        <w:rPr>
          <w:rFonts w:ascii="Times New Roman" w:hAnsi="Times New Roman" w:cs="Times New Roman"/>
          <w:sz w:val="24"/>
          <w:szCs w:val="24"/>
        </w:rPr>
        <w:t xml:space="preserve">Canada. Senate. </w:t>
      </w:r>
      <w:r w:rsidRPr="00996B90">
        <w:rPr>
          <w:rFonts w:ascii="Times New Roman" w:hAnsi="Times New Roman" w:cs="Times New Roman"/>
          <w:i/>
          <w:sz w:val="24"/>
          <w:szCs w:val="24"/>
        </w:rPr>
        <w:t>Debates of the Senate</w:t>
      </w:r>
      <w:r w:rsidRPr="00996B90">
        <w:rPr>
          <w:rFonts w:ascii="Times New Roman" w:hAnsi="Times New Roman" w:cs="Times New Roman"/>
          <w:sz w:val="24"/>
          <w:szCs w:val="24"/>
        </w:rPr>
        <w:t>, vol. 150, No.</w:t>
      </w:r>
      <w:r w:rsidR="001A1983">
        <w:rPr>
          <w:rFonts w:ascii="Times New Roman" w:hAnsi="Times New Roman" w:cs="Times New Roman"/>
          <w:sz w:val="24"/>
          <w:szCs w:val="24"/>
        </w:rPr>
        <w:t> </w:t>
      </w:r>
      <w:r w:rsidRPr="00996B90">
        <w:rPr>
          <w:rFonts w:ascii="Times New Roman" w:hAnsi="Times New Roman" w:cs="Times New Roman"/>
          <w:sz w:val="24"/>
          <w:szCs w:val="24"/>
        </w:rPr>
        <w:t xml:space="preserve">110, </w:t>
      </w:r>
      <w:r w:rsidR="00E73EE9">
        <w:rPr>
          <w:rFonts w:ascii="Times New Roman" w:hAnsi="Times New Roman" w:cs="Times New Roman"/>
          <w:sz w:val="24"/>
          <w:szCs w:val="24"/>
        </w:rPr>
        <w:t>1st </w:t>
      </w:r>
      <w:r w:rsidR="001A1983">
        <w:rPr>
          <w:rFonts w:ascii="Times New Roman" w:hAnsi="Times New Roman" w:cs="Times New Roman"/>
          <w:sz w:val="24"/>
          <w:szCs w:val="24"/>
        </w:rPr>
        <w:t>Sess., 42nd </w:t>
      </w:r>
      <w:r w:rsidR="00FD0E1B">
        <w:rPr>
          <w:rFonts w:ascii="Times New Roman" w:hAnsi="Times New Roman" w:cs="Times New Roman"/>
          <w:sz w:val="24"/>
          <w:szCs w:val="24"/>
        </w:rPr>
        <w:t xml:space="preserve">Parl., April 6, </w:t>
      </w:r>
      <w:r w:rsidRPr="00996B90">
        <w:rPr>
          <w:rFonts w:ascii="Times New Roman" w:hAnsi="Times New Roman" w:cs="Times New Roman"/>
          <w:sz w:val="24"/>
          <w:szCs w:val="24"/>
        </w:rPr>
        <w:t>2017, pp. 2738</w:t>
      </w:r>
      <w:r w:rsidRPr="00996B90">
        <w:rPr>
          <w:rFonts w:ascii="Times New Roman" w:hAnsi="Times New Roman" w:cs="Times New Roman"/>
          <w:sz w:val="24"/>
          <w:szCs w:val="24"/>
        </w:rPr>
        <w:noBreakHyphen/>
        <w:t>40.</w:t>
      </w:r>
    </w:p>
    <w:p w:rsidR="00B025ED" w:rsidRPr="00996B90" w:rsidRDefault="00B025ED" w:rsidP="00B025ED">
      <w:pPr>
        <w:tabs>
          <w:tab w:val="left" w:pos="1168"/>
        </w:tabs>
        <w:spacing w:after="240"/>
        <w:ind w:left="360" w:hanging="360"/>
        <w:jc w:val="both"/>
        <w:rPr>
          <w:rFonts w:ascii="Times New Roman" w:hAnsi="Times New Roman" w:cs="Times New Roman"/>
          <w:sz w:val="24"/>
          <w:szCs w:val="24"/>
          <w:lang w:val="en-US"/>
        </w:rPr>
      </w:pPr>
      <w:r w:rsidRPr="00996B90">
        <w:rPr>
          <w:rFonts w:ascii="Times New Roman" w:hAnsi="Times New Roman" w:cs="Times New Roman"/>
          <w:sz w:val="24"/>
          <w:szCs w:val="24"/>
          <w:lang w:val="en-US"/>
        </w:rPr>
        <w:lastRenderedPageBreak/>
        <w:t xml:space="preserve">Oliphant, Benjamin. “Freedom of the Press as a Discrete Constitutional Guarantee” (2013), 59 </w:t>
      </w:r>
      <w:r w:rsidRPr="00996B90">
        <w:rPr>
          <w:rFonts w:ascii="Times New Roman" w:hAnsi="Times New Roman" w:cs="Times New Roman"/>
          <w:i/>
          <w:sz w:val="24"/>
          <w:szCs w:val="24"/>
          <w:lang w:val="en-US"/>
        </w:rPr>
        <w:t xml:space="preserve">McGill L.J. </w:t>
      </w:r>
      <w:r w:rsidRPr="00996B90">
        <w:rPr>
          <w:rFonts w:ascii="Times New Roman" w:hAnsi="Times New Roman" w:cs="Times New Roman"/>
          <w:sz w:val="24"/>
          <w:szCs w:val="24"/>
          <w:lang w:val="en-US"/>
        </w:rPr>
        <w:t>283.</w:t>
      </w:r>
    </w:p>
    <w:p w:rsidR="00B025ED" w:rsidRPr="00996B90" w:rsidRDefault="00B025ED" w:rsidP="00B025ED">
      <w:pPr>
        <w:tabs>
          <w:tab w:val="left" w:pos="1168"/>
        </w:tabs>
        <w:spacing w:after="720"/>
        <w:ind w:left="360" w:hanging="360"/>
        <w:jc w:val="both"/>
        <w:rPr>
          <w:rFonts w:ascii="Times New Roman" w:hAnsi="Times New Roman" w:cs="Times New Roman"/>
          <w:sz w:val="24"/>
          <w:szCs w:val="24"/>
        </w:rPr>
      </w:pPr>
      <w:r w:rsidRPr="00996B90">
        <w:rPr>
          <w:rFonts w:ascii="Times New Roman" w:hAnsi="Times New Roman" w:cs="Times New Roman"/>
          <w:sz w:val="24"/>
          <w:szCs w:val="24"/>
          <w:lang w:val="fr-CA"/>
        </w:rPr>
        <w:t xml:space="preserve">Québec. </w:t>
      </w:r>
      <w:r w:rsidRPr="00996B90">
        <w:rPr>
          <w:rFonts w:ascii="Times New Roman" w:hAnsi="Times New Roman" w:cs="Times New Roman"/>
          <w:i/>
          <w:sz w:val="24"/>
          <w:szCs w:val="24"/>
          <w:lang w:val="fr-CA"/>
        </w:rPr>
        <w:t>Commission d’enquête sur la protection de la confidentialité des sources journalistiques — Rapport</w:t>
      </w:r>
      <w:r w:rsidRPr="00996B90">
        <w:rPr>
          <w:rFonts w:ascii="Times New Roman" w:hAnsi="Times New Roman" w:cs="Times New Roman"/>
          <w:sz w:val="24"/>
          <w:szCs w:val="24"/>
          <w:lang w:val="fr-CA"/>
        </w:rPr>
        <w:t xml:space="preserve">. </w:t>
      </w:r>
      <w:r w:rsidRPr="00996B90">
        <w:rPr>
          <w:rFonts w:ascii="Times New Roman" w:hAnsi="Times New Roman" w:cs="Times New Roman"/>
          <w:sz w:val="24"/>
          <w:szCs w:val="24"/>
        </w:rPr>
        <w:t>Québec: Publications du Québec, 2017.</w:t>
      </w:r>
    </w:p>
    <w:p w:rsidR="00B025ED" w:rsidRPr="00996B90" w:rsidRDefault="00B025ED" w:rsidP="008862BF">
      <w:pPr>
        <w:tabs>
          <w:tab w:val="left" w:pos="1170"/>
        </w:tabs>
        <w:spacing w:after="480" w:line="480" w:lineRule="auto"/>
        <w:jc w:val="both"/>
        <w:rPr>
          <w:rFonts w:ascii="Times New Roman" w:hAnsi="Times New Roman" w:cs="Times New Roman"/>
          <w:sz w:val="24"/>
          <w:szCs w:val="24"/>
        </w:rPr>
      </w:pPr>
      <w:r w:rsidRPr="00996B90">
        <w:rPr>
          <w:rFonts w:ascii="Times New Roman" w:hAnsi="Times New Roman" w:cs="Times New Roman"/>
          <w:sz w:val="24"/>
          <w:szCs w:val="24"/>
        </w:rPr>
        <w:tab/>
        <w:t xml:space="preserve">APPEAL from a judgment of the Quebec Court </w:t>
      </w:r>
      <w:r w:rsidR="002C736F">
        <w:rPr>
          <w:rFonts w:ascii="Times New Roman" w:hAnsi="Times New Roman" w:cs="Times New Roman"/>
          <w:sz w:val="24"/>
          <w:szCs w:val="24"/>
        </w:rPr>
        <w:t>of Appeal (</w:t>
      </w:r>
      <w:proofErr w:type="spellStart"/>
      <w:r w:rsidR="002C736F">
        <w:rPr>
          <w:rFonts w:ascii="Times New Roman" w:hAnsi="Times New Roman" w:cs="Times New Roman"/>
          <w:sz w:val="24"/>
          <w:szCs w:val="24"/>
        </w:rPr>
        <w:t>Dutil</w:t>
      </w:r>
      <w:proofErr w:type="spellEnd"/>
      <w:r w:rsidR="002C736F">
        <w:rPr>
          <w:rFonts w:ascii="Times New Roman" w:hAnsi="Times New Roman" w:cs="Times New Roman"/>
          <w:sz w:val="24"/>
          <w:szCs w:val="24"/>
        </w:rPr>
        <w:t xml:space="preserve">, </w:t>
      </w:r>
      <w:proofErr w:type="spellStart"/>
      <w:r w:rsidR="002C736F">
        <w:rPr>
          <w:rFonts w:ascii="Times New Roman" w:hAnsi="Times New Roman" w:cs="Times New Roman"/>
          <w:sz w:val="24"/>
          <w:szCs w:val="24"/>
        </w:rPr>
        <w:t>Bich</w:t>
      </w:r>
      <w:proofErr w:type="spellEnd"/>
      <w:r w:rsidR="002C736F">
        <w:rPr>
          <w:rFonts w:ascii="Times New Roman" w:hAnsi="Times New Roman" w:cs="Times New Roman"/>
          <w:sz w:val="24"/>
          <w:szCs w:val="24"/>
        </w:rPr>
        <w:t xml:space="preserve"> and </w:t>
      </w:r>
      <w:proofErr w:type="spellStart"/>
      <w:r w:rsidR="002C736F">
        <w:rPr>
          <w:rFonts w:ascii="Times New Roman" w:hAnsi="Times New Roman" w:cs="Times New Roman"/>
          <w:sz w:val="24"/>
          <w:szCs w:val="24"/>
        </w:rPr>
        <w:t>Ruel</w:t>
      </w:r>
      <w:proofErr w:type="spellEnd"/>
      <w:r w:rsidR="002C736F">
        <w:rPr>
          <w:rFonts w:ascii="Times New Roman" w:hAnsi="Times New Roman" w:cs="Times New Roman"/>
          <w:sz w:val="24"/>
          <w:szCs w:val="24"/>
        </w:rPr>
        <w:t> </w:t>
      </w:r>
      <w:r w:rsidRPr="00996B90">
        <w:rPr>
          <w:rFonts w:ascii="Times New Roman" w:hAnsi="Times New Roman" w:cs="Times New Roman"/>
          <w:sz w:val="24"/>
          <w:szCs w:val="24"/>
        </w:rPr>
        <w:t xml:space="preserve">JJ.A.), 2018 QCCA 611, </w:t>
      </w:r>
      <w:r w:rsidR="001B1928" w:rsidRPr="00996B90">
        <w:rPr>
          <w:rFonts w:ascii="Times New Roman" w:hAnsi="Times New Roman" w:cs="Times New Roman"/>
          <w:sz w:val="24"/>
          <w:szCs w:val="24"/>
        </w:rPr>
        <w:t>[2018]</w:t>
      </w:r>
      <w:r w:rsidR="001B1928">
        <w:rPr>
          <w:rFonts w:ascii="Times New Roman" w:hAnsi="Times New Roman" w:cs="Times New Roman"/>
          <w:sz w:val="24"/>
          <w:szCs w:val="24"/>
        </w:rPr>
        <w:t xml:space="preserve"> </w:t>
      </w:r>
      <w:r w:rsidRPr="00996B90">
        <w:rPr>
          <w:rFonts w:ascii="Times New Roman" w:hAnsi="Times New Roman" w:cs="Times New Roman"/>
          <w:sz w:val="24"/>
          <w:szCs w:val="24"/>
        </w:rPr>
        <w:t>AZ</w:t>
      </w:r>
      <w:r w:rsidRPr="00996B90">
        <w:rPr>
          <w:rFonts w:ascii="Times New Roman" w:hAnsi="Times New Roman" w:cs="Times New Roman"/>
          <w:sz w:val="24"/>
          <w:szCs w:val="24"/>
        </w:rPr>
        <w:noBreakHyphen/>
        <w:t>51484765, [2018] J.Q. n</w:t>
      </w:r>
      <w:r w:rsidRPr="00A579EF">
        <w:rPr>
          <w:rFonts w:ascii="Times New Roman" w:hAnsi="Times New Roman" w:cs="Times New Roman"/>
          <w:sz w:val="24"/>
          <w:szCs w:val="24"/>
          <w:vertAlign w:val="superscript"/>
        </w:rPr>
        <w:t>o</w:t>
      </w:r>
      <w:r w:rsidRPr="00996B90">
        <w:rPr>
          <w:rFonts w:ascii="Times New Roman" w:hAnsi="Times New Roman" w:cs="Times New Roman"/>
          <w:sz w:val="24"/>
          <w:szCs w:val="24"/>
        </w:rPr>
        <w:t xml:space="preserve"> 3149 (QL), 2018 </w:t>
      </w:r>
      <w:proofErr w:type="spellStart"/>
      <w:r w:rsidRPr="00996B90">
        <w:rPr>
          <w:rFonts w:ascii="Times New Roman" w:hAnsi="Times New Roman" w:cs="Times New Roman"/>
          <w:sz w:val="24"/>
          <w:szCs w:val="24"/>
        </w:rPr>
        <w:t>CarswellQue</w:t>
      </w:r>
      <w:proofErr w:type="spellEnd"/>
      <w:r w:rsidR="007702EA">
        <w:rPr>
          <w:rFonts w:ascii="Times New Roman" w:hAnsi="Times New Roman" w:cs="Times New Roman"/>
          <w:sz w:val="24"/>
          <w:szCs w:val="24"/>
        </w:rPr>
        <w:t xml:space="preserve"> </w:t>
      </w:r>
      <w:r w:rsidRPr="00996B90">
        <w:rPr>
          <w:rFonts w:ascii="Times New Roman" w:hAnsi="Times New Roman" w:cs="Times New Roman"/>
          <w:sz w:val="24"/>
          <w:szCs w:val="24"/>
        </w:rPr>
        <w:t>2585 (WL Can.)</w:t>
      </w:r>
      <w:r w:rsidR="007702EA">
        <w:rPr>
          <w:rFonts w:ascii="Times New Roman" w:hAnsi="Times New Roman" w:cs="Times New Roman"/>
          <w:sz w:val="24"/>
          <w:szCs w:val="24"/>
        </w:rPr>
        <w:t xml:space="preserve">, affirming a decision of </w:t>
      </w:r>
      <w:proofErr w:type="spellStart"/>
      <w:r w:rsidR="007702EA">
        <w:rPr>
          <w:rFonts w:ascii="Times New Roman" w:hAnsi="Times New Roman" w:cs="Times New Roman"/>
          <w:sz w:val="24"/>
          <w:szCs w:val="24"/>
        </w:rPr>
        <w:t>Émond</w:t>
      </w:r>
      <w:proofErr w:type="spellEnd"/>
      <w:r w:rsidR="007702EA">
        <w:rPr>
          <w:rFonts w:ascii="Times New Roman" w:hAnsi="Times New Roman" w:cs="Times New Roman"/>
          <w:sz w:val="24"/>
          <w:szCs w:val="24"/>
        </w:rPr>
        <w:t> </w:t>
      </w:r>
      <w:r w:rsidRPr="00996B90">
        <w:rPr>
          <w:rFonts w:ascii="Times New Roman" w:hAnsi="Times New Roman" w:cs="Times New Roman"/>
          <w:sz w:val="24"/>
          <w:szCs w:val="24"/>
        </w:rPr>
        <w:t xml:space="preserve">J., 2018 QCCS 1138, </w:t>
      </w:r>
      <w:r w:rsidR="007D280F" w:rsidRPr="00996B90">
        <w:rPr>
          <w:rFonts w:ascii="Times New Roman" w:hAnsi="Times New Roman" w:cs="Times New Roman"/>
          <w:sz w:val="24"/>
          <w:szCs w:val="24"/>
        </w:rPr>
        <w:t>[2018]</w:t>
      </w:r>
      <w:r w:rsidR="007D280F">
        <w:rPr>
          <w:rFonts w:ascii="Times New Roman" w:hAnsi="Times New Roman" w:cs="Times New Roman"/>
          <w:sz w:val="24"/>
          <w:szCs w:val="24"/>
        </w:rPr>
        <w:t xml:space="preserve"> </w:t>
      </w:r>
      <w:r w:rsidRPr="00996B90">
        <w:rPr>
          <w:rFonts w:ascii="Times New Roman" w:hAnsi="Times New Roman" w:cs="Times New Roman"/>
          <w:sz w:val="24"/>
          <w:szCs w:val="24"/>
        </w:rPr>
        <w:t>AZ</w:t>
      </w:r>
      <w:r w:rsidRPr="00996B90">
        <w:rPr>
          <w:rFonts w:ascii="Times New Roman" w:hAnsi="Times New Roman" w:cs="Times New Roman"/>
          <w:sz w:val="24"/>
          <w:szCs w:val="24"/>
        </w:rPr>
        <w:noBreakHyphen/>
        <w:t>51479332, [2018] J.Q. n</w:t>
      </w:r>
      <w:r w:rsidRPr="007D280F">
        <w:rPr>
          <w:rFonts w:ascii="Times New Roman" w:hAnsi="Times New Roman" w:cs="Times New Roman"/>
          <w:sz w:val="24"/>
          <w:szCs w:val="24"/>
          <w:vertAlign w:val="superscript"/>
        </w:rPr>
        <w:t>o</w:t>
      </w:r>
      <w:r w:rsidRPr="00996B90">
        <w:rPr>
          <w:rFonts w:ascii="Times New Roman" w:hAnsi="Times New Roman" w:cs="Times New Roman"/>
          <w:sz w:val="24"/>
          <w:szCs w:val="24"/>
        </w:rPr>
        <w:t xml:space="preserve"> 2236 (QL), 2018 </w:t>
      </w:r>
      <w:proofErr w:type="spellStart"/>
      <w:r w:rsidRPr="00996B90">
        <w:rPr>
          <w:rFonts w:ascii="Times New Roman" w:hAnsi="Times New Roman" w:cs="Times New Roman"/>
          <w:sz w:val="24"/>
          <w:szCs w:val="24"/>
        </w:rPr>
        <w:t>CarswellQue</w:t>
      </w:r>
      <w:proofErr w:type="spellEnd"/>
      <w:r w:rsidRPr="00996B90">
        <w:rPr>
          <w:rFonts w:ascii="Times New Roman" w:hAnsi="Times New Roman" w:cs="Times New Roman"/>
          <w:sz w:val="24"/>
          <w:szCs w:val="24"/>
        </w:rPr>
        <w:t xml:space="preserve"> 2254 (WL Can.), settin</w:t>
      </w:r>
      <w:r w:rsidR="00EF33A4">
        <w:rPr>
          <w:rFonts w:ascii="Times New Roman" w:hAnsi="Times New Roman" w:cs="Times New Roman"/>
          <w:sz w:val="24"/>
          <w:szCs w:val="24"/>
        </w:rPr>
        <w:t>g aside a decision of Perreault </w:t>
      </w:r>
      <w:r w:rsidRPr="00996B90">
        <w:rPr>
          <w:rFonts w:ascii="Times New Roman" w:hAnsi="Times New Roman" w:cs="Times New Roman"/>
          <w:sz w:val="24"/>
          <w:szCs w:val="24"/>
        </w:rPr>
        <w:t xml:space="preserve">J.C.Q., 2018 QCCQ 547, </w:t>
      </w:r>
      <w:r w:rsidR="003B0140" w:rsidRPr="00996B90">
        <w:rPr>
          <w:rFonts w:ascii="Times New Roman" w:hAnsi="Times New Roman" w:cs="Times New Roman"/>
          <w:sz w:val="24"/>
          <w:szCs w:val="24"/>
        </w:rPr>
        <w:t>[2018]</w:t>
      </w:r>
      <w:r w:rsidR="003B0140">
        <w:rPr>
          <w:rFonts w:ascii="Times New Roman" w:hAnsi="Times New Roman" w:cs="Times New Roman"/>
          <w:sz w:val="24"/>
          <w:szCs w:val="24"/>
        </w:rPr>
        <w:t xml:space="preserve"> </w:t>
      </w:r>
      <w:r w:rsidRPr="00996B90">
        <w:rPr>
          <w:rFonts w:ascii="Times New Roman" w:hAnsi="Times New Roman" w:cs="Times New Roman"/>
          <w:sz w:val="24"/>
          <w:szCs w:val="24"/>
        </w:rPr>
        <w:t>AZ</w:t>
      </w:r>
      <w:r w:rsidRPr="00996B90">
        <w:rPr>
          <w:rFonts w:ascii="Times New Roman" w:hAnsi="Times New Roman" w:cs="Times New Roman"/>
          <w:sz w:val="24"/>
          <w:szCs w:val="24"/>
        </w:rPr>
        <w:noBreakHyphen/>
        <w:t xml:space="preserve">51467457, [2018] Q.J. No. 809 (QL), 2018 </w:t>
      </w:r>
      <w:proofErr w:type="spellStart"/>
      <w:r w:rsidRPr="00996B90">
        <w:rPr>
          <w:rFonts w:ascii="Times New Roman" w:hAnsi="Times New Roman" w:cs="Times New Roman"/>
          <w:sz w:val="24"/>
          <w:szCs w:val="24"/>
        </w:rPr>
        <w:t>CarswellQue</w:t>
      </w:r>
      <w:proofErr w:type="spellEnd"/>
      <w:r w:rsidRPr="00996B90">
        <w:rPr>
          <w:rFonts w:ascii="Times New Roman" w:hAnsi="Times New Roman" w:cs="Times New Roman"/>
          <w:sz w:val="24"/>
          <w:szCs w:val="24"/>
        </w:rPr>
        <w:t xml:space="preserve"> 3098 (WL Can.). Appeal dismissed.</w:t>
      </w:r>
    </w:p>
    <w:p w:rsidR="00B025ED" w:rsidRPr="00996B90" w:rsidRDefault="00B025ED" w:rsidP="008862BF">
      <w:pPr>
        <w:tabs>
          <w:tab w:val="left" w:pos="1170"/>
        </w:tabs>
        <w:spacing w:after="480" w:line="480" w:lineRule="auto"/>
        <w:jc w:val="both"/>
        <w:rPr>
          <w:rFonts w:ascii="Times New Roman" w:hAnsi="Times New Roman" w:cs="Times New Roman"/>
          <w:sz w:val="24"/>
          <w:szCs w:val="24"/>
        </w:rPr>
      </w:pPr>
      <w:r w:rsidRPr="00996B90">
        <w:rPr>
          <w:rFonts w:ascii="Times New Roman" w:hAnsi="Times New Roman" w:cs="Times New Roman"/>
          <w:sz w:val="24"/>
          <w:szCs w:val="24"/>
        </w:rPr>
        <w:tab/>
        <w:t xml:space="preserve">APPEAL from a judgment of the </w:t>
      </w:r>
      <w:r w:rsidR="00782113">
        <w:rPr>
          <w:rFonts w:ascii="Times New Roman" w:hAnsi="Times New Roman" w:cs="Times New Roman"/>
          <w:sz w:val="24"/>
          <w:szCs w:val="24"/>
        </w:rPr>
        <w:t>Superior Court of Quebec (</w:t>
      </w:r>
      <w:proofErr w:type="spellStart"/>
      <w:r w:rsidR="00782113">
        <w:rPr>
          <w:rFonts w:ascii="Times New Roman" w:hAnsi="Times New Roman" w:cs="Times New Roman"/>
          <w:sz w:val="24"/>
          <w:szCs w:val="24"/>
        </w:rPr>
        <w:t>Émond</w:t>
      </w:r>
      <w:proofErr w:type="spellEnd"/>
      <w:r w:rsidR="00782113">
        <w:rPr>
          <w:rFonts w:ascii="Times New Roman" w:hAnsi="Times New Roman" w:cs="Times New Roman"/>
          <w:sz w:val="24"/>
          <w:szCs w:val="24"/>
        </w:rPr>
        <w:t> </w:t>
      </w:r>
      <w:r w:rsidRPr="00996B90">
        <w:rPr>
          <w:rFonts w:ascii="Times New Roman" w:hAnsi="Times New Roman" w:cs="Times New Roman"/>
          <w:sz w:val="24"/>
          <w:szCs w:val="24"/>
        </w:rPr>
        <w:t xml:space="preserve">J.), 2018 QCCS 1138, </w:t>
      </w:r>
      <w:r w:rsidR="00724BF6" w:rsidRPr="00996B90">
        <w:rPr>
          <w:rFonts w:ascii="Times New Roman" w:hAnsi="Times New Roman" w:cs="Times New Roman"/>
          <w:sz w:val="24"/>
          <w:szCs w:val="24"/>
        </w:rPr>
        <w:t>[2018]</w:t>
      </w:r>
      <w:r w:rsidR="00724BF6">
        <w:rPr>
          <w:rFonts w:ascii="Times New Roman" w:hAnsi="Times New Roman" w:cs="Times New Roman"/>
          <w:sz w:val="24"/>
          <w:szCs w:val="24"/>
        </w:rPr>
        <w:t xml:space="preserve"> </w:t>
      </w:r>
      <w:r w:rsidRPr="00996B90">
        <w:rPr>
          <w:rFonts w:ascii="Times New Roman" w:hAnsi="Times New Roman" w:cs="Times New Roman"/>
          <w:sz w:val="24"/>
          <w:szCs w:val="24"/>
        </w:rPr>
        <w:t>AZ-51479332, [2018] J.Q. n</w:t>
      </w:r>
      <w:r w:rsidRPr="00996B90">
        <w:rPr>
          <w:rFonts w:ascii="Times New Roman" w:hAnsi="Times New Roman" w:cs="Times New Roman"/>
          <w:sz w:val="24"/>
          <w:szCs w:val="24"/>
          <w:vertAlign w:val="superscript"/>
        </w:rPr>
        <w:t>o</w:t>
      </w:r>
      <w:r w:rsidRPr="00996B90">
        <w:rPr>
          <w:rFonts w:ascii="Times New Roman" w:hAnsi="Times New Roman" w:cs="Times New Roman"/>
          <w:sz w:val="24"/>
          <w:szCs w:val="24"/>
        </w:rPr>
        <w:t xml:space="preserve"> 2236 (QL), 2018 </w:t>
      </w:r>
      <w:proofErr w:type="spellStart"/>
      <w:r w:rsidRPr="00996B90">
        <w:rPr>
          <w:rFonts w:ascii="Times New Roman" w:hAnsi="Times New Roman" w:cs="Times New Roman"/>
          <w:sz w:val="24"/>
          <w:szCs w:val="24"/>
        </w:rPr>
        <w:t>CarswellQue</w:t>
      </w:r>
      <w:proofErr w:type="spellEnd"/>
      <w:r w:rsidRPr="00996B90">
        <w:rPr>
          <w:rFonts w:ascii="Times New Roman" w:hAnsi="Times New Roman" w:cs="Times New Roman"/>
          <w:sz w:val="24"/>
          <w:szCs w:val="24"/>
        </w:rPr>
        <w:t xml:space="preserve"> 2254 (WL Can.), settin</w:t>
      </w:r>
      <w:r w:rsidR="00782113">
        <w:rPr>
          <w:rFonts w:ascii="Times New Roman" w:hAnsi="Times New Roman" w:cs="Times New Roman"/>
          <w:sz w:val="24"/>
          <w:szCs w:val="24"/>
        </w:rPr>
        <w:t>g aside a decision of Perreault </w:t>
      </w:r>
      <w:r w:rsidRPr="00996B90">
        <w:rPr>
          <w:rFonts w:ascii="Times New Roman" w:hAnsi="Times New Roman" w:cs="Times New Roman"/>
          <w:sz w:val="24"/>
          <w:szCs w:val="24"/>
        </w:rPr>
        <w:t xml:space="preserve">J.C.Q., 2018 QCCQ 547, </w:t>
      </w:r>
      <w:r w:rsidR="00724BF6" w:rsidRPr="00996B90">
        <w:rPr>
          <w:rFonts w:ascii="Times New Roman" w:hAnsi="Times New Roman" w:cs="Times New Roman"/>
          <w:sz w:val="24"/>
          <w:szCs w:val="24"/>
        </w:rPr>
        <w:t>[2018]</w:t>
      </w:r>
      <w:r w:rsidR="00724BF6">
        <w:rPr>
          <w:rFonts w:ascii="Times New Roman" w:hAnsi="Times New Roman" w:cs="Times New Roman"/>
          <w:sz w:val="24"/>
          <w:szCs w:val="24"/>
        </w:rPr>
        <w:t xml:space="preserve"> </w:t>
      </w:r>
      <w:r w:rsidRPr="00996B90">
        <w:rPr>
          <w:rFonts w:ascii="Times New Roman" w:hAnsi="Times New Roman" w:cs="Times New Roman"/>
          <w:sz w:val="24"/>
          <w:szCs w:val="24"/>
        </w:rPr>
        <w:t>AZ</w:t>
      </w:r>
      <w:r w:rsidRPr="00996B90">
        <w:rPr>
          <w:rFonts w:ascii="Times New Roman" w:hAnsi="Times New Roman" w:cs="Times New Roman"/>
          <w:sz w:val="24"/>
          <w:szCs w:val="24"/>
        </w:rPr>
        <w:noBreakHyphen/>
        <w:t xml:space="preserve">51467457, [2018] Q.J. No. 809 (QL), 2018 </w:t>
      </w:r>
      <w:proofErr w:type="spellStart"/>
      <w:r w:rsidRPr="00996B90">
        <w:rPr>
          <w:rFonts w:ascii="Times New Roman" w:hAnsi="Times New Roman" w:cs="Times New Roman"/>
          <w:sz w:val="24"/>
          <w:szCs w:val="24"/>
        </w:rPr>
        <w:t>CarswellQue</w:t>
      </w:r>
      <w:proofErr w:type="spellEnd"/>
      <w:r w:rsidRPr="00996B90">
        <w:rPr>
          <w:rFonts w:ascii="Times New Roman" w:hAnsi="Times New Roman" w:cs="Times New Roman"/>
          <w:sz w:val="24"/>
          <w:szCs w:val="24"/>
        </w:rPr>
        <w:t xml:space="preserve"> 3098 (WL Can.).</w:t>
      </w:r>
      <w:r w:rsidR="00782113">
        <w:rPr>
          <w:rFonts w:ascii="Times New Roman" w:hAnsi="Times New Roman" w:cs="Times New Roman"/>
          <w:sz w:val="24"/>
          <w:szCs w:val="24"/>
        </w:rPr>
        <w:t xml:space="preserve"> Appeal allowed in part, </w:t>
      </w:r>
      <w:proofErr w:type="spellStart"/>
      <w:r w:rsidR="00782113">
        <w:rPr>
          <w:rFonts w:ascii="Times New Roman" w:hAnsi="Times New Roman" w:cs="Times New Roman"/>
          <w:sz w:val="24"/>
          <w:szCs w:val="24"/>
        </w:rPr>
        <w:t>Abella</w:t>
      </w:r>
      <w:proofErr w:type="spellEnd"/>
      <w:r w:rsidR="00782113">
        <w:rPr>
          <w:rFonts w:ascii="Times New Roman" w:hAnsi="Times New Roman" w:cs="Times New Roman"/>
          <w:sz w:val="24"/>
          <w:szCs w:val="24"/>
        </w:rPr>
        <w:t> </w:t>
      </w:r>
      <w:r w:rsidRPr="00996B90">
        <w:rPr>
          <w:rFonts w:ascii="Times New Roman" w:hAnsi="Times New Roman" w:cs="Times New Roman"/>
          <w:sz w:val="24"/>
          <w:szCs w:val="24"/>
        </w:rPr>
        <w:t>J. dissenting.</w:t>
      </w:r>
    </w:p>
    <w:p w:rsidR="00B025ED" w:rsidRPr="00B82888" w:rsidRDefault="00B025ED" w:rsidP="00B025ED">
      <w:pPr>
        <w:pStyle w:val="SCCNormalDoubleSpacing"/>
        <w:spacing w:after="480"/>
      </w:pPr>
      <w:r w:rsidRPr="00B82888">
        <w:rPr>
          <w:rStyle w:val="SCCCounselNameChar"/>
        </w:rPr>
        <w:tab/>
        <w:t>Christian Leblanc</w:t>
      </w:r>
      <w:r w:rsidRPr="00C55A24">
        <w:rPr>
          <w:rStyle w:val="SCCCounselNameChar"/>
          <w:i w:val="0"/>
        </w:rPr>
        <w:t>,</w:t>
      </w:r>
      <w:r w:rsidRPr="00B82888">
        <w:rPr>
          <w:rStyle w:val="SCCCounselSeparatorChar"/>
          <w:rFonts w:eastAsiaTheme="minorEastAsia"/>
        </w:rPr>
        <w:t xml:space="preserve"> </w:t>
      </w:r>
      <w:r w:rsidRPr="00B82888">
        <w:rPr>
          <w:rStyle w:val="SCCCounselNameChar"/>
        </w:rPr>
        <w:t xml:space="preserve">Patricia </w:t>
      </w:r>
      <w:proofErr w:type="spellStart"/>
      <w:r w:rsidRPr="00B82888">
        <w:rPr>
          <w:rStyle w:val="SCCCounselNameChar"/>
        </w:rPr>
        <w:t>Hénault</w:t>
      </w:r>
      <w:proofErr w:type="spellEnd"/>
      <w:r w:rsidRPr="00B82888">
        <w:rPr>
          <w:rStyle w:val="SCCCounselNameChar"/>
        </w:rPr>
        <w:t xml:space="preserve"> </w:t>
      </w:r>
      <w:r w:rsidRPr="00C55A24">
        <w:rPr>
          <w:rStyle w:val="SCCCounselNameChar"/>
          <w:i w:val="0"/>
        </w:rPr>
        <w:t>and</w:t>
      </w:r>
      <w:r w:rsidRPr="00B82888">
        <w:rPr>
          <w:rStyle w:val="SCCCounselNameChar"/>
        </w:rPr>
        <w:t xml:space="preserve"> Geneviève </w:t>
      </w:r>
      <w:proofErr w:type="spellStart"/>
      <w:r w:rsidRPr="00B82888">
        <w:rPr>
          <w:rStyle w:val="SCCCounselNameChar"/>
        </w:rPr>
        <w:t>McSween</w:t>
      </w:r>
      <w:proofErr w:type="spellEnd"/>
      <w:r w:rsidRPr="00B82888">
        <w:rPr>
          <w:rStyle w:val="SCCCounselPartyRoleChar"/>
        </w:rPr>
        <w:t>, for the appellant.</w:t>
      </w:r>
    </w:p>
    <w:p w:rsidR="00B025ED" w:rsidRPr="00B82888" w:rsidRDefault="00B025ED" w:rsidP="00B025ED">
      <w:pPr>
        <w:pStyle w:val="SCCNormalDoubleSpacing"/>
        <w:spacing w:after="480"/>
      </w:pPr>
      <w:r w:rsidRPr="00B82888">
        <w:rPr>
          <w:rStyle w:val="SCCCounselNameChar"/>
        </w:rPr>
        <w:tab/>
        <w:t xml:space="preserve">Jacques </w:t>
      </w:r>
      <w:proofErr w:type="spellStart"/>
      <w:r w:rsidRPr="00B82888">
        <w:rPr>
          <w:rStyle w:val="SCCCounselNameChar"/>
        </w:rPr>
        <w:t>Larochelle</w:t>
      </w:r>
      <w:proofErr w:type="spellEnd"/>
      <w:r w:rsidRPr="00B82888">
        <w:rPr>
          <w:rStyle w:val="SCCCounselSeparatorChar"/>
          <w:rFonts w:eastAsiaTheme="minorEastAsia"/>
        </w:rPr>
        <w:t xml:space="preserve"> and </w:t>
      </w:r>
      <w:r w:rsidRPr="00B82888">
        <w:rPr>
          <w:rStyle w:val="SCCCounselNameChar"/>
        </w:rPr>
        <w:t>Olivier Desjardins</w:t>
      </w:r>
      <w:r w:rsidRPr="00B82888">
        <w:rPr>
          <w:rStyle w:val="SCCCounselPartyRoleChar"/>
        </w:rPr>
        <w:t>, for the respondent.</w:t>
      </w:r>
    </w:p>
    <w:p w:rsidR="00B025ED" w:rsidRPr="00B82888" w:rsidRDefault="00B025ED" w:rsidP="00B025ED">
      <w:pPr>
        <w:pStyle w:val="SCCNormalDoubleSpacing"/>
        <w:spacing w:after="480"/>
      </w:pPr>
      <w:r w:rsidRPr="00B82888">
        <w:rPr>
          <w:rStyle w:val="SCCCounselNameChar"/>
        </w:rPr>
        <w:tab/>
        <w:t>Robert Rouleau</w:t>
      </w:r>
      <w:r w:rsidRPr="00B82888">
        <w:rPr>
          <w:rStyle w:val="SCCCounselPartyRoleChar"/>
        </w:rPr>
        <w:t xml:space="preserve">, </w:t>
      </w:r>
      <w:r w:rsidRPr="00B82888">
        <w:rPr>
          <w:rStyle w:val="SCCCounselPartyRoleChar"/>
          <w:i/>
        </w:rPr>
        <w:t xml:space="preserve">Julie </w:t>
      </w:r>
      <w:proofErr w:type="spellStart"/>
      <w:r w:rsidRPr="00B82888">
        <w:rPr>
          <w:rStyle w:val="SCCCounselPartyRoleChar"/>
          <w:i/>
        </w:rPr>
        <w:t>Desbiens</w:t>
      </w:r>
      <w:proofErr w:type="spellEnd"/>
      <w:r w:rsidRPr="00B82888">
        <w:rPr>
          <w:rStyle w:val="SCCCounselPartyRoleChar"/>
          <w:i/>
        </w:rPr>
        <w:t xml:space="preserve"> </w:t>
      </w:r>
      <w:r w:rsidRPr="00B82888">
        <w:rPr>
          <w:rStyle w:val="SCCCounselPartyRoleChar"/>
        </w:rPr>
        <w:t xml:space="preserve">and </w:t>
      </w:r>
      <w:r w:rsidRPr="00B82888">
        <w:rPr>
          <w:rStyle w:val="SCCCounselPartyRoleChar"/>
          <w:i/>
        </w:rPr>
        <w:t xml:space="preserve">Richard </w:t>
      </w:r>
      <w:proofErr w:type="spellStart"/>
      <w:r w:rsidRPr="00B82888">
        <w:rPr>
          <w:rStyle w:val="SCCCounselPartyRoleChar"/>
          <w:i/>
        </w:rPr>
        <w:t>Rougeau</w:t>
      </w:r>
      <w:proofErr w:type="spellEnd"/>
      <w:r w:rsidRPr="00B82888">
        <w:rPr>
          <w:rStyle w:val="SCCCounselPartyRoleChar"/>
        </w:rPr>
        <w:t xml:space="preserve">, for the intervener Her Majesty </w:t>
      </w:r>
      <w:proofErr w:type="gramStart"/>
      <w:r w:rsidRPr="00B82888">
        <w:rPr>
          <w:rStyle w:val="SCCCounselPartyRoleChar"/>
        </w:rPr>
        <w:t>The</w:t>
      </w:r>
      <w:proofErr w:type="gramEnd"/>
      <w:r w:rsidRPr="00B82888">
        <w:rPr>
          <w:rStyle w:val="SCCCounselPartyRoleChar"/>
        </w:rPr>
        <w:t xml:space="preserve"> Queen.</w:t>
      </w:r>
    </w:p>
    <w:p w:rsidR="00B025ED" w:rsidRPr="00B82888" w:rsidRDefault="00B025ED" w:rsidP="00B025ED">
      <w:pPr>
        <w:pStyle w:val="SCCNormalDoubleSpacing"/>
        <w:spacing w:after="480"/>
      </w:pPr>
      <w:r w:rsidRPr="00B82888">
        <w:rPr>
          <w:rStyle w:val="SCCCounselNameChar"/>
        </w:rPr>
        <w:lastRenderedPageBreak/>
        <w:tab/>
        <w:t xml:space="preserve">Michel </w:t>
      </w:r>
      <w:proofErr w:type="spellStart"/>
      <w:r w:rsidRPr="00B82888">
        <w:rPr>
          <w:rStyle w:val="SCCCounselNameChar"/>
        </w:rPr>
        <w:t>Déom</w:t>
      </w:r>
      <w:proofErr w:type="spellEnd"/>
      <w:r w:rsidRPr="00B82888">
        <w:rPr>
          <w:rStyle w:val="SCCCounselSeparatorChar"/>
          <w:rFonts w:eastAsiaTheme="minorEastAsia"/>
        </w:rPr>
        <w:t xml:space="preserve"> and </w:t>
      </w:r>
      <w:r w:rsidRPr="00B82888">
        <w:rPr>
          <w:rStyle w:val="SCCCounselNameChar"/>
        </w:rPr>
        <w:t xml:space="preserve">Vincent </w:t>
      </w:r>
      <w:proofErr w:type="spellStart"/>
      <w:r w:rsidRPr="00B82888">
        <w:rPr>
          <w:rStyle w:val="SCCCounselNameChar"/>
        </w:rPr>
        <w:t>Riendeau</w:t>
      </w:r>
      <w:proofErr w:type="spellEnd"/>
      <w:r w:rsidRPr="00B82888">
        <w:rPr>
          <w:rStyle w:val="SCCCounselPartyRoleChar"/>
        </w:rPr>
        <w:t>, for the intervener the Attorney General of Quebec.</w:t>
      </w:r>
    </w:p>
    <w:p w:rsidR="00B025ED" w:rsidRPr="00B82888" w:rsidRDefault="00B025ED" w:rsidP="00B025ED">
      <w:pPr>
        <w:pStyle w:val="SCCNormalDoubleSpacing"/>
        <w:spacing w:after="480"/>
      </w:pPr>
      <w:r w:rsidRPr="00B82888">
        <w:rPr>
          <w:rStyle w:val="SCCCounselNameChar"/>
        </w:rPr>
        <w:tab/>
        <w:t xml:space="preserve">Mark </w:t>
      </w:r>
      <w:proofErr w:type="spellStart"/>
      <w:r w:rsidRPr="00B82888">
        <w:rPr>
          <w:rStyle w:val="SCCCounselNameChar"/>
        </w:rPr>
        <w:t>Bantey</w:t>
      </w:r>
      <w:proofErr w:type="spellEnd"/>
      <w:r w:rsidRPr="00B82888">
        <w:rPr>
          <w:rStyle w:val="SCCCounselNameChar"/>
        </w:rPr>
        <w:t xml:space="preserve"> </w:t>
      </w:r>
      <w:r w:rsidRPr="00AC5AA3">
        <w:rPr>
          <w:rStyle w:val="SCCCounselNameChar"/>
          <w:i w:val="0"/>
        </w:rPr>
        <w:t>and</w:t>
      </w:r>
      <w:r w:rsidRPr="00B82888">
        <w:rPr>
          <w:rStyle w:val="SCCCounselNameChar"/>
        </w:rPr>
        <w:t xml:space="preserve"> Sandra </w:t>
      </w:r>
      <w:proofErr w:type="spellStart"/>
      <w:r w:rsidRPr="00B82888">
        <w:rPr>
          <w:rStyle w:val="SCCCounselNameChar"/>
        </w:rPr>
        <w:t>Lando</w:t>
      </w:r>
      <w:proofErr w:type="spellEnd"/>
      <w:r w:rsidRPr="00B82888">
        <w:rPr>
          <w:rStyle w:val="SCCCounselPartyRoleChar"/>
        </w:rPr>
        <w:t xml:space="preserve">, for the interveners </w:t>
      </w:r>
      <w:proofErr w:type="spellStart"/>
      <w:r w:rsidRPr="00B82888">
        <w:rPr>
          <w:rStyle w:val="SCCCounselPartyRoleChar"/>
        </w:rPr>
        <w:t>Fédération</w:t>
      </w:r>
      <w:proofErr w:type="spellEnd"/>
      <w:r w:rsidRPr="00B82888">
        <w:rPr>
          <w:rStyle w:val="SCCCounselPartyRoleChar"/>
        </w:rPr>
        <w:t xml:space="preserve"> </w:t>
      </w:r>
      <w:proofErr w:type="spellStart"/>
      <w:r w:rsidRPr="00B82888">
        <w:rPr>
          <w:rStyle w:val="SCCCounselPartyRoleChar"/>
        </w:rPr>
        <w:t>professionnelle</w:t>
      </w:r>
      <w:proofErr w:type="spellEnd"/>
      <w:r w:rsidRPr="00B82888">
        <w:rPr>
          <w:rStyle w:val="SCCCounselPartyRoleChar"/>
        </w:rPr>
        <w:t xml:space="preserve"> des </w:t>
      </w:r>
      <w:proofErr w:type="spellStart"/>
      <w:r w:rsidRPr="00B82888">
        <w:rPr>
          <w:rStyle w:val="SCCCounselPartyRoleChar"/>
        </w:rPr>
        <w:t>journalistes</w:t>
      </w:r>
      <w:proofErr w:type="spellEnd"/>
      <w:r w:rsidRPr="00B82888">
        <w:rPr>
          <w:rStyle w:val="SCCCounselPartyRoleChar"/>
        </w:rPr>
        <w:t xml:space="preserve"> du Québec, the Canadian Association of Journalists, Canadian Journalists for Freedom of Expression and Reporters </w:t>
      </w:r>
      <w:proofErr w:type="gramStart"/>
      <w:r w:rsidRPr="00B82888">
        <w:rPr>
          <w:rStyle w:val="SCCCounselPartyRoleChar"/>
        </w:rPr>
        <w:t>Without</w:t>
      </w:r>
      <w:proofErr w:type="gramEnd"/>
      <w:r w:rsidRPr="00B82888">
        <w:rPr>
          <w:rStyle w:val="SCCCounselPartyRoleChar"/>
        </w:rPr>
        <w:t xml:space="preserve"> Borders.</w:t>
      </w:r>
    </w:p>
    <w:p w:rsidR="00B025ED" w:rsidRPr="00B82888" w:rsidRDefault="00B025ED" w:rsidP="00B025ED">
      <w:pPr>
        <w:pStyle w:val="SCCNormalDoubleSpacing"/>
        <w:spacing w:after="480"/>
      </w:pPr>
      <w:r w:rsidRPr="00B82888">
        <w:rPr>
          <w:rStyle w:val="SCCCounselNameChar"/>
        </w:rPr>
        <w:tab/>
        <w:t>Sébastien Pierre</w:t>
      </w:r>
      <w:r w:rsidRPr="00B82888">
        <w:rPr>
          <w:rStyle w:val="SCCCounselNameChar"/>
        </w:rPr>
        <w:noBreakHyphen/>
        <w:t>Roy</w:t>
      </w:r>
      <w:r w:rsidRPr="00B82888">
        <w:rPr>
          <w:rStyle w:val="SCCCounselPartyRoleChar"/>
        </w:rPr>
        <w:t xml:space="preserve">, for the intervener La </w:t>
      </w:r>
      <w:proofErr w:type="spellStart"/>
      <w:r w:rsidRPr="00B82888">
        <w:rPr>
          <w:rStyle w:val="SCCCounselPartyRoleChar"/>
        </w:rPr>
        <w:t>Presse</w:t>
      </w:r>
      <w:proofErr w:type="spellEnd"/>
      <w:r w:rsidRPr="00B82888">
        <w:rPr>
          <w:rStyle w:val="SCCCounselPartyRoleChar"/>
        </w:rPr>
        <w:t xml:space="preserve"> (2018) Inc.</w:t>
      </w:r>
    </w:p>
    <w:p w:rsidR="00B025ED" w:rsidRPr="00B82888" w:rsidRDefault="00B025ED" w:rsidP="00B025ED">
      <w:pPr>
        <w:pStyle w:val="SCCNormalDoubleSpacing"/>
        <w:spacing w:after="480"/>
      </w:pPr>
      <w:r w:rsidRPr="00B82888">
        <w:rPr>
          <w:rStyle w:val="SCCCounselNameChar"/>
        </w:rPr>
        <w:tab/>
        <w:t>Jamie Cameron</w:t>
      </w:r>
      <w:r w:rsidRPr="00B82888">
        <w:rPr>
          <w:rStyle w:val="SCCCounselPartyRoleChar"/>
        </w:rPr>
        <w:t xml:space="preserve">, </w:t>
      </w:r>
      <w:r w:rsidRPr="00B82888">
        <w:rPr>
          <w:rStyle w:val="SCCCounselNameChar"/>
        </w:rPr>
        <w:t xml:space="preserve">Christopher D. </w:t>
      </w:r>
      <w:proofErr w:type="spellStart"/>
      <w:r w:rsidRPr="00B82888">
        <w:rPr>
          <w:rStyle w:val="SCCCounselNameChar"/>
        </w:rPr>
        <w:t>Bredt</w:t>
      </w:r>
      <w:proofErr w:type="spellEnd"/>
      <w:r w:rsidRPr="00B82888">
        <w:rPr>
          <w:rStyle w:val="SCCCounselSeparatorChar"/>
          <w:rFonts w:eastAsiaTheme="minorEastAsia"/>
        </w:rPr>
        <w:t xml:space="preserve"> and </w:t>
      </w:r>
      <w:r w:rsidRPr="00B82888">
        <w:rPr>
          <w:rStyle w:val="SCCCounselNameChar"/>
        </w:rPr>
        <w:t xml:space="preserve">Pierre N. </w:t>
      </w:r>
      <w:proofErr w:type="spellStart"/>
      <w:r w:rsidRPr="00B82888">
        <w:rPr>
          <w:rStyle w:val="SCCCounselNameChar"/>
        </w:rPr>
        <w:t>Gemson</w:t>
      </w:r>
      <w:proofErr w:type="spellEnd"/>
      <w:r w:rsidRPr="00B82888">
        <w:rPr>
          <w:rStyle w:val="SCCCounselSeparatorChar"/>
          <w:rFonts w:eastAsiaTheme="minorEastAsia"/>
        </w:rPr>
        <w:t xml:space="preserve">, </w:t>
      </w:r>
      <w:r w:rsidRPr="00B82888">
        <w:rPr>
          <w:rStyle w:val="SCCCounselPartyRoleChar"/>
        </w:rPr>
        <w:t>for the intervener the Canadian Civil Liberties Association.</w:t>
      </w:r>
    </w:p>
    <w:p w:rsidR="00D12CDB" w:rsidRDefault="00B025ED" w:rsidP="00D12CDB">
      <w:pPr>
        <w:pStyle w:val="SCCNormalDoubleSpacing"/>
        <w:spacing w:after="480"/>
      </w:pPr>
      <w:r w:rsidRPr="00B82888">
        <w:rPr>
          <w:rStyle w:val="SCCCounselNameChar"/>
        </w:rPr>
        <w:tab/>
        <w:t xml:space="preserve">David A. </w:t>
      </w:r>
      <w:proofErr w:type="spellStart"/>
      <w:r w:rsidRPr="00B82888">
        <w:rPr>
          <w:rStyle w:val="SCCCounselNameChar"/>
        </w:rPr>
        <w:t>Crerar</w:t>
      </w:r>
      <w:proofErr w:type="spellEnd"/>
      <w:r w:rsidRPr="00B82888">
        <w:rPr>
          <w:rStyle w:val="SCCCounselSeparatorChar"/>
          <w:rFonts w:eastAsiaTheme="minorEastAsia"/>
        </w:rPr>
        <w:t xml:space="preserve"> and </w:t>
      </w:r>
      <w:r w:rsidRPr="00B82888">
        <w:rPr>
          <w:rStyle w:val="SCCCounselNameChar"/>
        </w:rPr>
        <w:t>Iain A. C. MacKinnon</w:t>
      </w:r>
      <w:r w:rsidRPr="00B82888">
        <w:rPr>
          <w:rStyle w:val="SCCCounselPartyRoleChar"/>
        </w:rPr>
        <w:t>, for the interveners the AD IDEM/Canadian Media Lawyers Association, CTV, a Division of Bell Media Inc., Global News, a division of Corus Television Limited Partnership, The Globe and Mail Inc., Postmedia Network Inc. and Vice Studio Canada Inc.</w:t>
      </w:r>
    </w:p>
    <w:p w:rsidR="00D12CDB" w:rsidRPr="00D12CDB" w:rsidRDefault="00B025ED" w:rsidP="00E601A5">
      <w:pPr>
        <w:spacing w:after="720"/>
        <w:ind w:firstLine="1170"/>
        <w:jc w:val="both"/>
        <w:rPr>
          <w:rFonts w:ascii="Times New Roman" w:hAnsi="Times New Roman" w:cs="Times New Roman"/>
          <w:sz w:val="24"/>
          <w:szCs w:val="24"/>
          <w:lang w:val="en-US"/>
        </w:rPr>
      </w:pPr>
      <w:r w:rsidRPr="00D12CDB">
        <w:rPr>
          <w:rFonts w:ascii="Times New Roman" w:hAnsi="Times New Roman" w:cs="Times New Roman"/>
          <w:sz w:val="24"/>
          <w:szCs w:val="24"/>
          <w:lang w:val="en-US"/>
        </w:rPr>
        <w:t>English ve</w:t>
      </w:r>
      <w:r w:rsidR="005C2CA9">
        <w:rPr>
          <w:rFonts w:ascii="Times New Roman" w:hAnsi="Times New Roman" w:cs="Times New Roman"/>
          <w:sz w:val="24"/>
          <w:szCs w:val="24"/>
          <w:lang w:val="en-US"/>
        </w:rPr>
        <w:t>rsion of the judgment of Wagner </w:t>
      </w:r>
      <w:r w:rsidRPr="00D12CDB">
        <w:rPr>
          <w:rFonts w:ascii="Times New Roman" w:hAnsi="Times New Roman" w:cs="Times New Roman"/>
          <w:sz w:val="24"/>
          <w:szCs w:val="24"/>
          <w:lang w:val="en-US"/>
        </w:rPr>
        <w:t xml:space="preserve">C.J. and </w:t>
      </w:r>
      <w:proofErr w:type="spellStart"/>
      <w:r w:rsidRPr="00D12CDB">
        <w:rPr>
          <w:rFonts w:ascii="Times New Roman" w:hAnsi="Times New Roman" w:cs="Times New Roman"/>
          <w:sz w:val="24"/>
          <w:szCs w:val="24"/>
          <w:lang w:val="en-US"/>
        </w:rPr>
        <w:t>Moldaver</w:t>
      </w:r>
      <w:proofErr w:type="spellEnd"/>
      <w:r w:rsidRPr="00D12CDB">
        <w:rPr>
          <w:rFonts w:ascii="Times New Roman" w:hAnsi="Times New Roman" w:cs="Times New Roman"/>
          <w:sz w:val="24"/>
          <w:szCs w:val="24"/>
          <w:lang w:val="en-US"/>
        </w:rPr>
        <w:t xml:space="preserve">, </w:t>
      </w:r>
      <w:proofErr w:type="spellStart"/>
      <w:r w:rsidRPr="00D12CDB">
        <w:rPr>
          <w:rFonts w:ascii="Times New Roman" w:hAnsi="Times New Roman" w:cs="Times New Roman"/>
          <w:sz w:val="24"/>
          <w:szCs w:val="24"/>
          <w:lang w:val="en-US"/>
        </w:rPr>
        <w:t>Karakatsanis</w:t>
      </w:r>
      <w:proofErr w:type="spellEnd"/>
      <w:r w:rsidRPr="00D12CDB">
        <w:rPr>
          <w:rFonts w:ascii="Times New Roman" w:hAnsi="Times New Roman" w:cs="Times New Roman"/>
          <w:sz w:val="24"/>
          <w:szCs w:val="24"/>
          <w:lang w:val="en-US"/>
        </w:rPr>
        <w:t xml:space="preserve">, </w:t>
      </w:r>
      <w:proofErr w:type="spellStart"/>
      <w:r w:rsidRPr="00D12CDB">
        <w:rPr>
          <w:rFonts w:ascii="Times New Roman" w:hAnsi="Times New Roman" w:cs="Times New Roman"/>
          <w:sz w:val="24"/>
          <w:szCs w:val="24"/>
          <w:lang w:val="en-US"/>
        </w:rPr>
        <w:t>Gasco</w:t>
      </w:r>
      <w:r w:rsidR="005C2CA9">
        <w:rPr>
          <w:rFonts w:ascii="Times New Roman" w:hAnsi="Times New Roman" w:cs="Times New Roman"/>
          <w:sz w:val="24"/>
          <w:szCs w:val="24"/>
          <w:lang w:val="en-US"/>
        </w:rPr>
        <w:t>n</w:t>
      </w:r>
      <w:proofErr w:type="spellEnd"/>
      <w:r w:rsidR="005C2CA9">
        <w:rPr>
          <w:rFonts w:ascii="Times New Roman" w:hAnsi="Times New Roman" w:cs="Times New Roman"/>
          <w:sz w:val="24"/>
          <w:szCs w:val="24"/>
          <w:lang w:val="en-US"/>
        </w:rPr>
        <w:t xml:space="preserve">, </w:t>
      </w:r>
      <w:proofErr w:type="spellStart"/>
      <w:r w:rsidR="005C2CA9">
        <w:rPr>
          <w:rFonts w:ascii="Times New Roman" w:hAnsi="Times New Roman" w:cs="Times New Roman"/>
          <w:sz w:val="24"/>
          <w:szCs w:val="24"/>
          <w:lang w:val="en-US"/>
        </w:rPr>
        <w:t>Côté</w:t>
      </w:r>
      <w:proofErr w:type="spellEnd"/>
      <w:r w:rsidR="005C2CA9">
        <w:rPr>
          <w:rFonts w:ascii="Times New Roman" w:hAnsi="Times New Roman" w:cs="Times New Roman"/>
          <w:sz w:val="24"/>
          <w:szCs w:val="24"/>
          <w:lang w:val="en-US"/>
        </w:rPr>
        <w:t>, Brown, Rowe and Martin </w:t>
      </w:r>
      <w:r w:rsidRPr="00D12CDB">
        <w:rPr>
          <w:rFonts w:ascii="Times New Roman" w:hAnsi="Times New Roman" w:cs="Times New Roman"/>
          <w:sz w:val="24"/>
          <w:szCs w:val="24"/>
          <w:lang w:val="en-US"/>
        </w:rPr>
        <w:t xml:space="preserve">JJ. </w:t>
      </w:r>
      <w:proofErr w:type="gramStart"/>
      <w:r w:rsidRPr="00D12CDB">
        <w:rPr>
          <w:rFonts w:ascii="Times New Roman" w:hAnsi="Times New Roman" w:cs="Times New Roman"/>
          <w:sz w:val="24"/>
          <w:szCs w:val="24"/>
          <w:lang w:val="en-US"/>
        </w:rPr>
        <w:t>delivered</w:t>
      </w:r>
      <w:proofErr w:type="gramEnd"/>
      <w:r w:rsidRPr="00D12CDB">
        <w:rPr>
          <w:rFonts w:ascii="Times New Roman" w:hAnsi="Times New Roman" w:cs="Times New Roman"/>
          <w:sz w:val="24"/>
          <w:szCs w:val="24"/>
          <w:lang w:val="en-US"/>
        </w:rPr>
        <w:t xml:space="preserve"> by</w:t>
      </w:r>
    </w:p>
    <w:p w:rsidR="00B025ED" w:rsidRPr="00D12CDB" w:rsidRDefault="00D12CDB" w:rsidP="00D12CDB">
      <w:pPr>
        <w:pStyle w:val="ParaNoNdepar-AltN"/>
      </w:pPr>
      <w:r w:rsidRPr="00D12CDB">
        <w:rPr>
          <w:smallCaps/>
          <w:lang w:bidi="en-US"/>
        </w:rPr>
        <w:t>The Chief Justice</w:t>
      </w:r>
      <w:r w:rsidRPr="00D12CDB">
        <w:rPr>
          <w:lang w:bidi="en-US"/>
        </w:rPr>
        <w:t xml:space="preserve"> </w:t>
      </w:r>
      <w:r w:rsidRPr="00D12CDB">
        <w:t xml:space="preserve">— </w:t>
      </w:r>
      <w:r w:rsidR="00B025ED" w:rsidRPr="00D12CDB">
        <w:rPr>
          <w:rFonts w:cs="Times New Roman"/>
        </w:rPr>
        <w:t>In this case, the Court is considering rare interlocutory appeals in the criminal law context. The main appeal concerns the validity of a subpoena served on a journalist, namely the appellant, Marie</w:t>
      </w:r>
      <w:r w:rsidR="00B025ED" w:rsidRPr="00D12CDB">
        <w:rPr>
          <w:rFonts w:cs="Times New Roman"/>
        </w:rPr>
        <w:noBreakHyphen/>
        <w:t xml:space="preserve">Maude Denis, for the purpose of obtaining evidence in support of a motion for a stay of proceedings falling </w:t>
      </w:r>
      <w:r w:rsidR="00B025ED" w:rsidRPr="00D12CDB">
        <w:rPr>
          <w:rFonts w:cs="Times New Roman"/>
        </w:rPr>
        <w:lastRenderedPageBreak/>
        <w:t xml:space="preserve">into the “residual” category described in </w:t>
      </w:r>
      <w:r w:rsidR="00B025ED" w:rsidRPr="00D12CDB">
        <w:rPr>
          <w:rFonts w:cs="Times New Roman"/>
          <w:i/>
        </w:rPr>
        <w:t xml:space="preserve">R. v. </w:t>
      </w:r>
      <w:proofErr w:type="spellStart"/>
      <w:r w:rsidR="00B025ED" w:rsidRPr="00D12CDB">
        <w:rPr>
          <w:rFonts w:cs="Times New Roman"/>
          <w:i/>
        </w:rPr>
        <w:t>Babos</w:t>
      </w:r>
      <w:proofErr w:type="spellEnd"/>
      <w:r w:rsidR="00B025ED" w:rsidRPr="00D12CDB">
        <w:rPr>
          <w:rFonts w:cs="Times New Roman"/>
        </w:rPr>
        <w:t xml:space="preserve">, 2014 SCC 16, [2014] 1 S.C.R. 309, at para. 31, citing </w:t>
      </w:r>
      <w:r w:rsidR="00B025ED" w:rsidRPr="00D12CDB">
        <w:rPr>
          <w:rFonts w:cs="Times New Roman"/>
          <w:i/>
        </w:rPr>
        <w:t>R. v. O’Connor</w:t>
      </w:r>
      <w:r w:rsidR="00B025ED" w:rsidRPr="00D12CDB">
        <w:rPr>
          <w:rFonts w:cs="Times New Roman"/>
        </w:rPr>
        <w:t xml:space="preserve">, </w:t>
      </w:r>
      <w:r w:rsidR="00B025ED" w:rsidRPr="00D12CDB">
        <w:rPr>
          <w:rFonts w:cs="Times New Roman"/>
          <w:lang w:bidi="en-US"/>
        </w:rPr>
        <w:t>[1995] 4 S.C.R. 411, at para. 73</w:t>
      </w:r>
      <w:r w:rsidR="00B025ED" w:rsidRPr="00D12CDB">
        <w:rPr>
          <w:rFonts w:cs="Times New Roman"/>
        </w:rPr>
        <w:t>. Ms. Denis’s testimony was likely to reveal the identities of certain of her confidential journalistic sources.</w:t>
      </w:r>
    </w:p>
    <w:p w:rsidR="00B025ED" w:rsidRPr="00173F22" w:rsidRDefault="00B025ED" w:rsidP="00B025ED">
      <w:pPr>
        <w:pStyle w:val="ParaNoNdepar-AltN"/>
        <w:spacing w:before="0"/>
        <w:rPr>
          <w:rFonts w:cs="Times New Roman"/>
        </w:rPr>
      </w:pPr>
      <w:r w:rsidRPr="00173F22">
        <w:rPr>
          <w:rFonts w:cs="Times New Roman"/>
          <w:lang w:bidi="en-US"/>
        </w:rPr>
        <w:t xml:space="preserve">This appeal on the merits of the case, which concerns freedom of the press and the limits of that freedom, is an opportunity for the Court to consider, for the first time, the new statutory scheme for the protection of journalistic sources set out in s. 39.1 of the </w:t>
      </w:r>
      <w:r w:rsidRPr="00173F22">
        <w:rPr>
          <w:rFonts w:cs="Times New Roman"/>
          <w:i/>
          <w:lang w:bidi="en-US"/>
        </w:rPr>
        <w:t>Canada Evidence Act</w:t>
      </w:r>
      <w:r w:rsidRPr="00173F22">
        <w:rPr>
          <w:rFonts w:cs="Times New Roman"/>
          <w:lang w:bidi="en-US"/>
        </w:rPr>
        <w:t>, R.S.C. 1985, c. C</w:t>
      </w:r>
      <w:r w:rsidRPr="00173F22">
        <w:rPr>
          <w:rFonts w:cs="Times New Roman"/>
          <w:lang w:bidi="en-US"/>
        </w:rPr>
        <w:noBreakHyphen/>
        <w:t>5 (“CEA”). This new federal scheme comprises both existing common law rules and new features</w:t>
      </w:r>
      <w:r w:rsidRPr="00173F22">
        <w:rPr>
          <w:rFonts w:cs="Times New Roman"/>
        </w:rPr>
        <w:t>.</w:t>
      </w:r>
    </w:p>
    <w:p w:rsidR="00B025ED" w:rsidRPr="00173F22" w:rsidRDefault="00B025ED" w:rsidP="00B025ED">
      <w:pPr>
        <w:pStyle w:val="ParaNoNdepar-AltN"/>
        <w:spacing w:before="0"/>
        <w:rPr>
          <w:rFonts w:cs="Times New Roman"/>
        </w:rPr>
      </w:pPr>
      <w:r w:rsidRPr="00173F22">
        <w:rPr>
          <w:rFonts w:cs="Times New Roman"/>
          <w:lang w:bidi="en-US"/>
        </w:rPr>
        <w:t>The Court of Québec quashed the subpoena against Ms. Denis</w:t>
      </w:r>
      <w:r w:rsidRPr="00173F22">
        <w:rPr>
          <w:rFonts w:cs="Times New Roman"/>
        </w:rPr>
        <w:t>, concluding in particular that she did not know the identities of the sources in question. The Superior Court, hearing an appeal from the Court of Québec’s decision, held that this conclusion was an error that was not only palpable — a point on which the parties agreed — but also overriding, and it then applied s. 39.1 CEA anew, which led it to confirm that the subpoena issued to Ms. Denis was valid.</w:t>
      </w:r>
    </w:p>
    <w:p w:rsidR="00B025ED" w:rsidRPr="00173F22" w:rsidRDefault="00B025ED" w:rsidP="00B025ED">
      <w:pPr>
        <w:pStyle w:val="ParaNoNdepar-AltN"/>
        <w:spacing w:before="0"/>
        <w:rPr>
          <w:rFonts w:cs="Times New Roman"/>
        </w:rPr>
      </w:pPr>
      <w:r w:rsidRPr="00173F22">
        <w:rPr>
          <w:rFonts w:cs="Times New Roman"/>
        </w:rPr>
        <w:t xml:space="preserve">That decision was appealed to the Quebec Court of Appeal, which held, relying on the words of the relevant provision as well as on the provision’s purpose of efficiency and </w:t>
      </w:r>
      <w:proofErr w:type="gramStart"/>
      <w:r w:rsidRPr="00173F22">
        <w:rPr>
          <w:rFonts w:cs="Times New Roman"/>
        </w:rPr>
        <w:t>expeditiousness, that</w:t>
      </w:r>
      <w:proofErr w:type="gramEnd"/>
      <w:r w:rsidRPr="00173F22">
        <w:rPr>
          <w:rFonts w:cs="Times New Roman"/>
        </w:rPr>
        <w:t xml:space="preserve"> it did not have jurisdiction to rule on the merits of the appeal. It accordingly granted the motion brought by the respondent, Marc</w:t>
      </w:r>
      <w:r w:rsidRPr="00173F22">
        <w:rPr>
          <w:rFonts w:cs="Times New Roman"/>
        </w:rPr>
        <w:noBreakHyphen/>
        <w:t xml:space="preserve">Yvan </w:t>
      </w:r>
      <w:proofErr w:type="spellStart"/>
      <w:r w:rsidRPr="00173F22">
        <w:rPr>
          <w:rFonts w:cs="Times New Roman"/>
        </w:rPr>
        <w:t>Côté</w:t>
      </w:r>
      <w:proofErr w:type="spellEnd"/>
      <w:r w:rsidRPr="00173F22">
        <w:rPr>
          <w:rFonts w:cs="Times New Roman"/>
        </w:rPr>
        <w:t>, to dismiss the appeal.</w:t>
      </w:r>
    </w:p>
    <w:p w:rsidR="00B025ED" w:rsidRPr="00173F22" w:rsidRDefault="00B025ED" w:rsidP="00B025ED">
      <w:pPr>
        <w:pStyle w:val="ParaNoNdepar-AltN"/>
        <w:spacing w:before="0"/>
        <w:rPr>
          <w:rFonts w:cs="Times New Roman"/>
        </w:rPr>
      </w:pPr>
      <w:r w:rsidRPr="00173F22">
        <w:rPr>
          <w:rFonts w:cs="Times New Roman"/>
        </w:rPr>
        <w:lastRenderedPageBreak/>
        <w:t xml:space="preserve">Ms. Denis was granted leave to appeal to this Court from both those </w:t>
      </w:r>
      <w:proofErr w:type="gramStart"/>
      <w:r w:rsidRPr="00173F22">
        <w:rPr>
          <w:rFonts w:cs="Times New Roman"/>
        </w:rPr>
        <w:t>decisions, that</w:t>
      </w:r>
      <w:proofErr w:type="gramEnd"/>
      <w:r w:rsidRPr="00173F22">
        <w:rPr>
          <w:rFonts w:cs="Times New Roman"/>
        </w:rPr>
        <w:t xml:space="preserve"> of the Court of Appeal with respect to jurisdiction and that of the Superior Court on the merits. These are thus two separate, but related, appeals. For the reasons that follow, I would dismiss the appeal with respect to jurisdiction, but would allow in part the appeal on the merits and remand the case to the court of original jurisdiction for reconsideration. In my opinion, the remanding of the case means that the parties must be restored to the positions they were in before the decisions of the courts below.</w:t>
      </w:r>
    </w:p>
    <w:p w:rsidR="00B025ED" w:rsidRPr="00173F22" w:rsidRDefault="00B025ED" w:rsidP="00B025ED">
      <w:pPr>
        <w:pStyle w:val="Title1LevelTitre1Niveau-AltL"/>
        <w:numPr>
          <w:ilvl w:val="0"/>
          <w:numId w:val="2"/>
        </w:numPr>
        <w:tabs>
          <w:tab w:val="left" w:pos="1166"/>
        </w:tabs>
        <w:spacing w:before="0"/>
        <w:rPr>
          <w:rFonts w:cs="Times New Roman"/>
        </w:rPr>
      </w:pPr>
      <w:r w:rsidRPr="00173F22">
        <w:rPr>
          <w:rFonts w:cs="Times New Roman"/>
        </w:rPr>
        <w:t>Facts</w:t>
      </w:r>
    </w:p>
    <w:p w:rsidR="00B025ED" w:rsidRPr="00173F22" w:rsidRDefault="00B025ED" w:rsidP="00B025ED">
      <w:pPr>
        <w:pStyle w:val="ParaNoNdepar-AltN"/>
        <w:spacing w:before="0"/>
        <w:rPr>
          <w:rFonts w:cs="Times New Roman"/>
        </w:rPr>
      </w:pPr>
      <w:r w:rsidRPr="00173F22">
        <w:rPr>
          <w:rFonts w:cs="Times New Roman"/>
        </w:rPr>
        <w:t>Mr. </w:t>
      </w:r>
      <w:proofErr w:type="spellStart"/>
      <w:r w:rsidRPr="00173F22">
        <w:rPr>
          <w:rFonts w:cs="Times New Roman"/>
        </w:rPr>
        <w:t>Côté</w:t>
      </w:r>
      <w:proofErr w:type="spellEnd"/>
      <w:r w:rsidRPr="00173F22">
        <w:rPr>
          <w:rFonts w:cs="Times New Roman"/>
        </w:rPr>
        <w:t xml:space="preserve"> was a member of the Quebec National Assembly who was responsible for various ministerial portfolios in Liberal Party governments until 1994. After that, he was vice</w:t>
      </w:r>
      <w:r w:rsidRPr="00173F22">
        <w:rPr>
          <w:rFonts w:cs="Times New Roman"/>
        </w:rPr>
        <w:noBreakHyphen/>
        <w:t>president of Roche Ltd., Consulting Group, a consulting engineering company, from 1994 to 2005. In 2016, Mr. </w:t>
      </w:r>
      <w:proofErr w:type="spellStart"/>
      <w:r w:rsidRPr="00173F22">
        <w:rPr>
          <w:rFonts w:cs="Times New Roman"/>
        </w:rPr>
        <w:t>Côté</w:t>
      </w:r>
      <w:proofErr w:type="spellEnd"/>
      <w:r w:rsidRPr="00173F22">
        <w:rPr>
          <w:rFonts w:cs="Times New Roman"/>
        </w:rPr>
        <w:t xml:space="preserve"> was arrested and charged, together with a number of co</w:t>
      </w:r>
      <w:r w:rsidRPr="00173F22">
        <w:rPr>
          <w:rFonts w:cs="Times New Roman"/>
        </w:rPr>
        <w:noBreakHyphen/>
        <w:t>accused, with numerous offences, including fraud, breach of trust and bribery of officers, in relation to events that had taken place between 2000 and 2012. They were alleged to have set up an elaborate system of secret political financing in Quebec in which consulting engineering and construction companies had made unlawful political contributions for the purpose of gaining undue advantages in public calls for tenders and applications for subsidies.</w:t>
      </w:r>
    </w:p>
    <w:p w:rsidR="00B025ED" w:rsidRPr="00173F22" w:rsidRDefault="00B025ED" w:rsidP="00B025ED">
      <w:pPr>
        <w:pStyle w:val="ParaNoNdepar-AltN"/>
        <w:spacing w:before="0"/>
        <w:rPr>
          <w:rFonts w:cs="Times New Roman"/>
        </w:rPr>
      </w:pPr>
      <w:r w:rsidRPr="00173F22">
        <w:rPr>
          <w:rFonts w:cs="Times New Roman"/>
        </w:rPr>
        <w:t>Mr. </w:t>
      </w:r>
      <w:proofErr w:type="spellStart"/>
      <w:r w:rsidRPr="00173F22">
        <w:rPr>
          <w:rFonts w:cs="Times New Roman"/>
        </w:rPr>
        <w:t>Côté</w:t>
      </w:r>
      <w:proofErr w:type="spellEnd"/>
      <w:r w:rsidRPr="00173F22">
        <w:rPr>
          <w:rFonts w:cs="Times New Roman"/>
        </w:rPr>
        <w:t xml:space="preserve"> sought to have the proceedings stayed on the ground that they were abusive, and his co</w:t>
      </w:r>
      <w:r w:rsidRPr="00173F22">
        <w:rPr>
          <w:rFonts w:cs="Times New Roman"/>
        </w:rPr>
        <w:noBreakHyphen/>
        <w:t>accused supported his motion orally at the initial hearing</w:t>
      </w:r>
      <w:r w:rsidRPr="00173F22">
        <w:rPr>
          <w:rFonts w:cs="Times New Roman"/>
          <w:szCs w:val="24"/>
        </w:rPr>
        <w:t xml:space="preserve">. </w:t>
      </w:r>
      <w:r w:rsidRPr="00173F22">
        <w:rPr>
          <w:rFonts w:cs="Times New Roman"/>
        </w:rPr>
        <w:lastRenderedPageBreak/>
        <w:t xml:space="preserve">According to </w:t>
      </w:r>
      <w:proofErr w:type="spellStart"/>
      <w:r w:rsidRPr="00173F22">
        <w:rPr>
          <w:rFonts w:cs="Times New Roman"/>
          <w:i/>
        </w:rPr>
        <w:t>Babos</w:t>
      </w:r>
      <w:proofErr w:type="spellEnd"/>
      <w:r w:rsidRPr="00173F22">
        <w:rPr>
          <w:rFonts w:cs="Times New Roman"/>
        </w:rPr>
        <w:t>, there are two types of abuse of process that can justify a stay of proceedings: state conduct that compromises the fairness of the trial of the accused (the “main” category); and state conduct that does not compromise trial fairness but risks undermining the integrity of the justice system (the “residual” category). Mr. </w:t>
      </w:r>
      <w:proofErr w:type="spellStart"/>
      <w:r w:rsidRPr="00173F22">
        <w:rPr>
          <w:rFonts w:cs="Times New Roman"/>
        </w:rPr>
        <w:t>Côté</w:t>
      </w:r>
      <w:proofErr w:type="spellEnd"/>
      <w:r w:rsidRPr="00173F22">
        <w:rPr>
          <w:rFonts w:cs="Times New Roman"/>
        </w:rPr>
        <w:t xml:space="preserve">, who hardly mentioned the first of these categories, argued primarily that the instant case concerns abuse of the second type, and thus stressed the impact on the </w:t>
      </w:r>
      <w:r w:rsidRPr="00173F22">
        <w:rPr>
          <w:rFonts w:cs="Times New Roman"/>
          <w:lang w:bidi="en-US"/>
        </w:rPr>
        <w:t>integrity of the justice system as a whole</w:t>
      </w:r>
      <w:r w:rsidRPr="00173F22">
        <w:rPr>
          <w:rFonts w:cs="Times New Roman"/>
        </w:rPr>
        <w:t xml:space="preserve">. He acknowledged that, as far as the burden of proof is concerned, the threshold in such a case is a high one. He had to show state conduct that was “so troublesome that having a trial — even a fair one — will leave the impression that the justice system condones conduct that offends society’s sense of fair play and decency”: </w:t>
      </w:r>
      <w:proofErr w:type="spellStart"/>
      <w:r w:rsidRPr="00173F22">
        <w:rPr>
          <w:rFonts w:cs="Times New Roman"/>
          <w:i/>
        </w:rPr>
        <w:t>Babos</w:t>
      </w:r>
      <w:proofErr w:type="spellEnd"/>
      <w:r w:rsidRPr="00173F22">
        <w:rPr>
          <w:rFonts w:cs="Times New Roman"/>
        </w:rPr>
        <w:t>, at para. 35.</w:t>
      </w:r>
    </w:p>
    <w:p w:rsidR="00B025ED" w:rsidRPr="00173F22" w:rsidRDefault="00B025ED" w:rsidP="00B025ED">
      <w:pPr>
        <w:pStyle w:val="ParaNoNdepar-AltN"/>
        <w:spacing w:before="0"/>
        <w:rPr>
          <w:rFonts w:cs="Times New Roman"/>
        </w:rPr>
      </w:pPr>
      <w:r w:rsidRPr="00173F22">
        <w:rPr>
          <w:rFonts w:cs="Times New Roman"/>
        </w:rPr>
        <w:t>In support of his motion for a stay of proceedings, Mr. </w:t>
      </w:r>
      <w:proofErr w:type="spellStart"/>
      <w:r w:rsidRPr="00173F22">
        <w:rPr>
          <w:rFonts w:cs="Times New Roman"/>
        </w:rPr>
        <w:t>Côté</w:t>
      </w:r>
      <w:proofErr w:type="spellEnd"/>
      <w:r w:rsidRPr="00173F22">
        <w:rPr>
          <w:rFonts w:cs="Times New Roman"/>
        </w:rPr>
        <w:t xml:space="preserve"> submitted that high</w:t>
      </w:r>
      <w:r w:rsidRPr="00173F22">
        <w:rPr>
          <w:rFonts w:cs="Times New Roman"/>
        </w:rPr>
        <w:noBreakHyphen/>
        <w:t>ranking government representatives had, between 2012 and 2017, provided journalists with a significant quantity of confidential information (hereinafter the “leaks”) for the purpose of prejudicing his co</w:t>
      </w:r>
      <w:r w:rsidRPr="00173F22">
        <w:rPr>
          <w:rFonts w:cs="Times New Roman"/>
        </w:rPr>
        <w:noBreakHyphen/>
        <w:t xml:space="preserve">accused and himself. This information came in large part from active investigation files of the </w:t>
      </w:r>
      <w:proofErr w:type="spellStart"/>
      <w:r w:rsidRPr="00173F22">
        <w:rPr>
          <w:rFonts w:cs="Times New Roman"/>
        </w:rPr>
        <w:t>Unité</w:t>
      </w:r>
      <w:proofErr w:type="spellEnd"/>
      <w:r w:rsidRPr="00173F22">
        <w:rPr>
          <w:rFonts w:cs="Times New Roman"/>
        </w:rPr>
        <w:t xml:space="preserve"> </w:t>
      </w:r>
      <w:proofErr w:type="spellStart"/>
      <w:r w:rsidRPr="00173F22">
        <w:rPr>
          <w:rFonts w:cs="Times New Roman"/>
        </w:rPr>
        <w:t>permanente</w:t>
      </w:r>
      <w:proofErr w:type="spellEnd"/>
      <w:r w:rsidRPr="00173F22">
        <w:rPr>
          <w:rFonts w:cs="Times New Roman"/>
        </w:rPr>
        <w:t xml:space="preserve"> anticorruption</w:t>
      </w:r>
      <w:r w:rsidRPr="00173F22">
        <w:rPr>
          <w:rFonts w:cs="Times New Roman"/>
          <w:i/>
        </w:rPr>
        <w:t xml:space="preserve"> </w:t>
      </w:r>
      <w:r w:rsidRPr="00173F22">
        <w:rPr>
          <w:rFonts w:cs="Times New Roman"/>
        </w:rPr>
        <w:t>(“UPAC”), a Quebec government organization whose mandate is to coordinate actions to prevent and fight corruption in the public sector. Mr. </w:t>
      </w:r>
      <w:proofErr w:type="spellStart"/>
      <w:r w:rsidRPr="00173F22">
        <w:rPr>
          <w:rFonts w:cs="Times New Roman"/>
        </w:rPr>
        <w:t>Côté</w:t>
      </w:r>
      <w:proofErr w:type="spellEnd"/>
      <w:r w:rsidRPr="00173F22">
        <w:rPr>
          <w:rFonts w:cs="Times New Roman"/>
        </w:rPr>
        <w:t xml:space="preserve"> maintained that the information had been leaked for improper tactical purposes. In his opinion, these leaks were intended to, among other things, deny him the right to a fair trial by judge and jury, as potential jurors had been [</w:t>
      </w:r>
      <w:r w:rsidRPr="00173F22">
        <w:rPr>
          <w:rFonts w:cs="Times New Roman"/>
          <w:smallCaps/>
        </w:rPr>
        <w:t>translation</w:t>
      </w:r>
      <w:r w:rsidRPr="00173F22">
        <w:rPr>
          <w:rFonts w:cs="Times New Roman"/>
        </w:rPr>
        <w:t xml:space="preserve">] “contaminated by the numerous leaks of evidence”, and deprive him of the presumption of innocence, “as </w:t>
      </w:r>
      <w:r w:rsidRPr="00173F22">
        <w:rPr>
          <w:rFonts w:cs="Times New Roman"/>
        </w:rPr>
        <w:lastRenderedPageBreak/>
        <w:t xml:space="preserve">the government has used the media to ensure his </w:t>
      </w:r>
      <w:r w:rsidRPr="00173F22">
        <w:rPr>
          <w:rFonts w:cs="Times New Roman"/>
          <w:i/>
        </w:rPr>
        <w:t>de facto</w:t>
      </w:r>
      <w:r w:rsidRPr="00173F22">
        <w:rPr>
          <w:rFonts w:cs="Times New Roman"/>
        </w:rPr>
        <w:t xml:space="preserve"> conviction”: motion for a stay of proceedings, A.R., vol. II, at pp. 26</w:t>
      </w:r>
      <w:r w:rsidRPr="00173F22">
        <w:rPr>
          <w:rFonts w:cs="Times New Roman"/>
        </w:rPr>
        <w:noBreakHyphen/>
        <w:t>27.</w:t>
      </w:r>
    </w:p>
    <w:p w:rsidR="00B025ED" w:rsidRPr="00173F22" w:rsidRDefault="00B025ED" w:rsidP="00B025ED">
      <w:pPr>
        <w:pStyle w:val="ParaNoNdepar-AltN"/>
        <w:spacing w:before="0"/>
        <w:rPr>
          <w:rFonts w:cs="Times New Roman"/>
        </w:rPr>
      </w:pPr>
      <w:r w:rsidRPr="00173F22">
        <w:rPr>
          <w:rFonts w:cs="Times New Roman"/>
        </w:rPr>
        <w:t>Mr. </w:t>
      </w:r>
      <w:proofErr w:type="spellStart"/>
      <w:r w:rsidRPr="00173F22">
        <w:rPr>
          <w:rFonts w:cs="Times New Roman"/>
        </w:rPr>
        <w:t>Côté</w:t>
      </w:r>
      <w:proofErr w:type="spellEnd"/>
      <w:r w:rsidRPr="00173F22">
        <w:rPr>
          <w:rFonts w:cs="Times New Roman"/>
        </w:rPr>
        <w:t xml:space="preserve"> asserted, citing various pieces of circumstantial </w:t>
      </w:r>
      <w:proofErr w:type="gramStart"/>
      <w:r w:rsidRPr="00173F22">
        <w:rPr>
          <w:rFonts w:cs="Times New Roman"/>
        </w:rPr>
        <w:t>evidence, that</w:t>
      </w:r>
      <w:proofErr w:type="gramEnd"/>
      <w:r w:rsidRPr="00173F22">
        <w:rPr>
          <w:rFonts w:cs="Times New Roman"/>
        </w:rPr>
        <w:t xml:space="preserve"> the leakers were acting on the government’s behalf. In his opinion, the coincidental timing of the leaks and certain specific events, the highly sensitive nature of the disclosed information, the failure of all the government’s investigations to determine who was responsible, and the failure to seek injunctions and publication bans were all factors that suggested that the leaks represented a concerted action by high</w:t>
      </w:r>
      <w:r w:rsidRPr="00173F22">
        <w:rPr>
          <w:rFonts w:cs="Times New Roman"/>
        </w:rPr>
        <w:noBreakHyphen/>
        <w:t>ranking individuals.</w:t>
      </w:r>
    </w:p>
    <w:p w:rsidR="00B025ED" w:rsidRPr="00173F22" w:rsidRDefault="00B025ED" w:rsidP="00B025ED">
      <w:pPr>
        <w:pStyle w:val="ParaNoNdepar-AltN"/>
        <w:spacing w:before="0"/>
        <w:rPr>
          <w:rFonts w:cs="Times New Roman"/>
        </w:rPr>
      </w:pPr>
      <w:r w:rsidRPr="00173F22">
        <w:rPr>
          <w:rFonts w:cs="Times New Roman"/>
        </w:rPr>
        <w:t>In her initial response to Mr. </w:t>
      </w:r>
      <w:proofErr w:type="spellStart"/>
      <w:r w:rsidRPr="00173F22">
        <w:rPr>
          <w:rFonts w:cs="Times New Roman"/>
        </w:rPr>
        <w:t>Côté’s</w:t>
      </w:r>
      <w:proofErr w:type="spellEnd"/>
      <w:r w:rsidRPr="00173F22">
        <w:rPr>
          <w:rFonts w:cs="Times New Roman"/>
        </w:rPr>
        <w:t xml:space="preserve"> motion for a stay of proceedings, the intervener Her Majesty the Queen — that is to say, Quebec’s Director of Criminal and Penal Prosecutions (hereinafter “Crown”) — conceded that the leaks seemed to come from one or more government employees, but rejected the argument that those employees were of sufficiently high rank to be acting on the government’s behalf. More specifically, the Crown agreed that, [</w:t>
      </w:r>
      <w:r w:rsidRPr="00173F22">
        <w:rPr>
          <w:rFonts w:cs="Times New Roman"/>
          <w:smallCaps/>
        </w:rPr>
        <w:t>translation</w:t>
      </w:r>
      <w:r w:rsidRPr="00173F22">
        <w:rPr>
          <w:rFonts w:cs="Times New Roman"/>
        </w:rPr>
        <w:t>] “on a balance of probabilities”, at least one government employee had been involved in leaking secret information: A.R., vol. II, at p. 66. But the Crown maintained that this “undesirable leak of confidential information” was the work of a “rogue official” in UPAC</w:t>
      </w:r>
      <w:r w:rsidR="000E5E13">
        <w:rPr>
          <w:rFonts w:cs="Times New Roman"/>
        </w:rPr>
        <w:t xml:space="preserve"> </w:t>
      </w:r>
      <w:r w:rsidRPr="00173F22">
        <w:rPr>
          <w:rFonts w:cs="Times New Roman"/>
        </w:rPr>
        <w:t>or a “group of individuals” (summary statement, A.R., vol. II, at p. 94) whose personal goals were incompatible with those of the government and whose acts could not be imputed to it.</w:t>
      </w:r>
    </w:p>
    <w:p w:rsidR="00B025ED" w:rsidRPr="00173F22" w:rsidRDefault="00B025ED" w:rsidP="00B025ED">
      <w:pPr>
        <w:pStyle w:val="ParaNoNdepar-AltN"/>
        <w:spacing w:before="0"/>
        <w:rPr>
          <w:rFonts w:cs="Times New Roman"/>
        </w:rPr>
      </w:pPr>
      <w:r w:rsidRPr="00173F22">
        <w:rPr>
          <w:rFonts w:cs="Times New Roman"/>
        </w:rPr>
        <w:lastRenderedPageBreak/>
        <w:t>Aware of his onerous burden of proof, Mr. </w:t>
      </w:r>
      <w:proofErr w:type="spellStart"/>
      <w:r w:rsidRPr="00173F22">
        <w:rPr>
          <w:rFonts w:cs="Times New Roman"/>
        </w:rPr>
        <w:t>Côté</w:t>
      </w:r>
      <w:proofErr w:type="spellEnd"/>
      <w:r w:rsidRPr="00173F22">
        <w:rPr>
          <w:rFonts w:cs="Times New Roman"/>
        </w:rPr>
        <w:t xml:space="preserve"> wished to adduce, in addition to his circumstantial evidence, direct evidence of the identities of the leakers. After filing his motion for a stay of proceedings, he therefore served subpoenas on two journalists who had published information from the leaks: Louis Lacroix (</w:t>
      </w:r>
      <w:proofErr w:type="spellStart"/>
      <w:r w:rsidRPr="00173F22">
        <w:rPr>
          <w:rFonts w:cs="Times New Roman"/>
          <w:i/>
        </w:rPr>
        <w:t>L’Actualité</w:t>
      </w:r>
      <w:proofErr w:type="spellEnd"/>
      <w:r w:rsidRPr="00173F22">
        <w:rPr>
          <w:rFonts w:cs="Times New Roman"/>
        </w:rPr>
        <w:t>) and Ms. Denis (</w:t>
      </w:r>
      <w:r w:rsidRPr="00173F22">
        <w:rPr>
          <w:rFonts w:cs="Times New Roman"/>
          <w:i/>
        </w:rPr>
        <w:t>Canadian Broadcasting Corporation</w:t>
      </w:r>
      <w:r w:rsidRPr="00173F22">
        <w:rPr>
          <w:rFonts w:cs="Times New Roman"/>
        </w:rPr>
        <w:t xml:space="preserve">). He hoped that the disclosure of their sources would make it possible to identify those who were responsible for the leaks and thereby to establish the great extent of the government’s involvement, which was essential to the success of his </w:t>
      </w:r>
      <w:proofErr w:type="spellStart"/>
      <w:r w:rsidRPr="00173F22">
        <w:rPr>
          <w:rFonts w:cs="Times New Roman"/>
          <w:i/>
        </w:rPr>
        <w:t>Babos</w:t>
      </w:r>
      <w:proofErr w:type="spellEnd"/>
      <w:r w:rsidRPr="00173F22">
        <w:rPr>
          <w:rFonts w:cs="Times New Roman"/>
        </w:rPr>
        <w:t xml:space="preserve"> motion. The subpoena issued to Mr. Lacroix was quashed after he had declared in an affidavit that he did not know the identity of his source. The case involving Mr. Lacroix is now closed.</w:t>
      </w:r>
    </w:p>
    <w:p w:rsidR="00B025ED" w:rsidRPr="00173F22" w:rsidRDefault="00B025ED" w:rsidP="00B025ED">
      <w:pPr>
        <w:pStyle w:val="ParaNoNdepar-AltN"/>
        <w:spacing w:before="0"/>
        <w:rPr>
          <w:rFonts w:cs="Times New Roman"/>
        </w:rPr>
      </w:pPr>
      <w:r w:rsidRPr="00173F22">
        <w:rPr>
          <w:rFonts w:cs="Times New Roman"/>
        </w:rPr>
        <w:t xml:space="preserve">As for Ms. Denis, between 2012 and 2016, she presented four reports on the </w:t>
      </w:r>
      <w:proofErr w:type="spellStart"/>
      <w:r w:rsidRPr="00173F22">
        <w:rPr>
          <w:rFonts w:cs="Times New Roman"/>
          <w:i/>
        </w:rPr>
        <w:t>Enquête</w:t>
      </w:r>
      <w:proofErr w:type="spellEnd"/>
      <w:r w:rsidRPr="00173F22">
        <w:rPr>
          <w:rFonts w:cs="Times New Roman"/>
        </w:rPr>
        <w:t xml:space="preserve"> public affairs program about a possible system of corruption. Sensitive information obtained from confidential journalistic sources was disclosed in those reports. Because, as she declared in an affidavit, Ms. Denis does not know the identities of the sources for the reports broadcast in 2014 and 2016, only the ones from 2012 and 2015 are at issue here.</w:t>
      </w:r>
    </w:p>
    <w:p w:rsidR="00B025ED" w:rsidRPr="00173F22" w:rsidRDefault="00B025ED" w:rsidP="00B025ED">
      <w:pPr>
        <w:pStyle w:val="ParaNoNdepar-AltN"/>
        <w:spacing w:before="0"/>
        <w:rPr>
          <w:rFonts w:cs="Times New Roman"/>
        </w:rPr>
      </w:pPr>
      <w:r w:rsidRPr="00173F22">
        <w:rPr>
          <w:rFonts w:cs="Times New Roman"/>
        </w:rPr>
        <w:t xml:space="preserve">The first of these reports, entitled </w:t>
      </w:r>
      <w:proofErr w:type="spellStart"/>
      <w:r w:rsidRPr="00173F22">
        <w:rPr>
          <w:rFonts w:cs="Times New Roman"/>
          <w:i/>
        </w:rPr>
        <w:t>Anguille</w:t>
      </w:r>
      <w:proofErr w:type="spellEnd"/>
      <w:r w:rsidRPr="00173F22">
        <w:rPr>
          <w:rFonts w:cs="Times New Roman"/>
          <w:i/>
        </w:rPr>
        <w:t xml:space="preserve"> sous Roche</w:t>
      </w:r>
      <w:r w:rsidRPr="00173F22">
        <w:rPr>
          <w:rFonts w:cs="Times New Roman"/>
        </w:rPr>
        <w:t xml:space="preserve"> (2012), presented some of the evidence against eight persons who had been arrested by UPAC in February 2011, which included a letter addressed to Mr. </w:t>
      </w:r>
      <w:proofErr w:type="spellStart"/>
      <w:r w:rsidRPr="00173F22">
        <w:rPr>
          <w:rFonts w:cs="Times New Roman"/>
        </w:rPr>
        <w:t>Côté</w:t>
      </w:r>
      <w:proofErr w:type="spellEnd"/>
      <w:r w:rsidRPr="00173F22">
        <w:rPr>
          <w:rFonts w:cs="Times New Roman"/>
        </w:rPr>
        <w:t xml:space="preserve"> and a video clip of the questioning of one of his co</w:t>
      </w:r>
      <w:r w:rsidRPr="00173F22">
        <w:rPr>
          <w:rFonts w:cs="Times New Roman"/>
        </w:rPr>
        <w:noBreakHyphen/>
        <w:t xml:space="preserve">accused. The second report, entitled </w:t>
      </w:r>
      <w:proofErr w:type="spellStart"/>
      <w:r w:rsidRPr="00173F22">
        <w:rPr>
          <w:rFonts w:cs="Times New Roman"/>
          <w:i/>
        </w:rPr>
        <w:t>Ratures</w:t>
      </w:r>
      <w:proofErr w:type="spellEnd"/>
      <w:r w:rsidRPr="00173F22">
        <w:rPr>
          <w:rFonts w:cs="Times New Roman"/>
          <w:i/>
        </w:rPr>
        <w:t xml:space="preserve"> </w:t>
      </w:r>
      <w:proofErr w:type="gramStart"/>
      <w:r w:rsidRPr="00173F22">
        <w:rPr>
          <w:rFonts w:cs="Times New Roman"/>
          <w:i/>
        </w:rPr>
        <w:t>et</w:t>
      </w:r>
      <w:proofErr w:type="gramEnd"/>
      <w:r w:rsidRPr="00173F22">
        <w:rPr>
          <w:rFonts w:cs="Times New Roman"/>
          <w:i/>
        </w:rPr>
        <w:t xml:space="preserve"> rupture</w:t>
      </w:r>
      <w:r w:rsidRPr="00173F22">
        <w:rPr>
          <w:rFonts w:cs="Times New Roman"/>
        </w:rPr>
        <w:t xml:space="preserve"> (2015), related the content of emails exchanged between the commissioners of the </w:t>
      </w:r>
      <w:r w:rsidRPr="00173F22">
        <w:rPr>
          <w:rFonts w:cs="Times New Roman"/>
        </w:rPr>
        <w:lastRenderedPageBreak/>
        <w:t>Commission of Inquiry on the Awarding and Management of Public Contracts in the Construction Industry, and of an annotated draft of the Commission’s report.</w:t>
      </w:r>
    </w:p>
    <w:p w:rsidR="00B025ED" w:rsidRPr="00173F22" w:rsidRDefault="00B025ED" w:rsidP="00B025ED">
      <w:pPr>
        <w:pStyle w:val="ParaNoNdepar-AltN"/>
        <w:spacing w:before="0"/>
        <w:rPr>
          <w:rFonts w:cs="Times New Roman"/>
        </w:rPr>
      </w:pPr>
      <w:r w:rsidRPr="00173F22">
        <w:rPr>
          <w:rFonts w:cs="Times New Roman"/>
        </w:rPr>
        <w:t>In response to the subpoena issued to Ms. Denis, the Crown originally argued in the courts below that Ms. Denis’s testimony would be unnecessary. In its view, the leaks came from people at low levels of the hierarchy whose acts could not be attributed to the government. Mr. </w:t>
      </w:r>
      <w:proofErr w:type="spellStart"/>
      <w:r w:rsidRPr="00173F22">
        <w:rPr>
          <w:rFonts w:cs="Times New Roman"/>
        </w:rPr>
        <w:t>Côté’s</w:t>
      </w:r>
      <w:proofErr w:type="spellEnd"/>
      <w:r w:rsidRPr="00173F22">
        <w:rPr>
          <w:rFonts w:cs="Times New Roman"/>
        </w:rPr>
        <w:t xml:space="preserve"> </w:t>
      </w:r>
      <w:proofErr w:type="spellStart"/>
      <w:r w:rsidRPr="00173F22">
        <w:rPr>
          <w:rFonts w:cs="Times New Roman"/>
          <w:i/>
        </w:rPr>
        <w:t>Babos</w:t>
      </w:r>
      <w:proofErr w:type="spellEnd"/>
      <w:r w:rsidRPr="00173F22">
        <w:rPr>
          <w:rFonts w:cs="Times New Roman"/>
        </w:rPr>
        <w:t xml:space="preserve"> motion for a stay of proceedings was therefore certain to fail regardless of Ms. Denis’s testimony.</w:t>
      </w:r>
    </w:p>
    <w:p w:rsidR="00B025ED" w:rsidRPr="00173F22" w:rsidRDefault="00B025ED" w:rsidP="00B025ED">
      <w:pPr>
        <w:pStyle w:val="Title1LevelTitre1Niveau-AltL"/>
        <w:numPr>
          <w:ilvl w:val="0"/>
          <w:numId w:val="2"/>
        </w:numPr>
        <w:tabs>
          <w:tab w:val="left" w:pos="1166"/>
        </w:tabs>
        <w:spacing w:before="0"/>
        <w:rPr>
          <w:rFonts w:cs="Times New Roman"/>
        </w:rPr>
      </w:pPr>
      <w:r w:rsidRPr="00173F22">
        <w:rPr>
          <w:rFonts w:cs="Times New Roman"/>
        </w:rPr>
        <w:t>Statutory Provisions</w:t>
      </w:r>
    </w:p>
    <w:p w:rsidR="00B025ED" w:rsidRPr="00173F22" w:rsidRDefault="00B025ED" w:rsidP="00B025ED">
      <w:pPr>
        <w:pStyle w:val="ParaNoNdepar-AltN"/>
        <w:spacing w:before="0"/>
        <w:rPr>
          <w:rFonts w:cs="Times New Roman"/>
        </w:rPr>
      </w:pPr>
      <w:r w:rsidRPr="00173F22">
        <w:rPr>
          <w:rFonts w:cs="Times New Roman"/>
        </w:rPr>
        <w:t xml:space="preserve">Section 39.1 CEA is reproduced in its entirety in the Appendix. The two key parts of s. 39.1 are </w:t>
      </w:r>
      <w:proofErr w:type="spellStart"/>
      <w:r w:rsidRPr="00173F22">
        <w:rPr>
          <w:rFonts w:cs="Times New Roman"/>
        </w:rPr>
        <w:t>subss</w:t>
      </w:r>
      <w:proofErr w:type="spellEnd"/>
      <w:r w:rsidRPr="00173F22">
        <w:rPr>
          <w:rFonts w:cs="Times New Roman"/>
        </w:rPr>
        <w:t>. (2) and (7). Under s. 39.1(2), a journalist is entitled to contest a subpoena to give testimony or an order to produce a document in evidence on the basis that the subpoena or order “</w:t>
      </w:r>
      <w:r w:rsidRPr="00173F22">
        <w:rPr>
          <w:rFonts w:cs="Times New Roman"/>
          <w:szCs w:val="24"/>
        </w:rPr>
        <w:t>identifies or is likely to identify a journalistic source</w:t>
      </w:r>
      <w:r w:rsidRPr="00173F22">
        <w:rPr>
          <w:rFonts w:cs="Times New Roman"/>
        </w:rPr>
        <w:t>”. It should be mentioned in this regard that s. 39.1(4) CEA provides that a court considering the disclosure of information that identifies or is likely to identify a journalistic source may raise the application of s. 39.1(2) CEA on its own initiative.</w:t>
      </w:r>
    </w:p>
    <w:p w:rsidR="00B025ED" w:rsidRPr="00173F22" w:rsidRDefault="00B025ED" w:rsidP="00B025ED">
      <w:pPr>
        <w:pStyle w:val="ParaNoNdepar-AltN"/>
        <w:spacing w:before="0"/>
        <w:rPr>
          <w:rFonts w:cs="Times New Roman"/>
        </w:rPr>
      </w:pPr>
      <w:r w:rsidRPr="00173F22">
        <w:rPr>
          <w:rFonts w:cs="Times New Roman"/>
        </w:rPr>
        <w:t xml:space="preserve">As for s. 39.1(7), it establishes the test the court must apply to determine whether to authorize the disclosure of information or a document that identifies or is likely to identify a journalistic source. This test requires the court to determine, first, whether there is no other reasonable means by which to obtain the information being sought, and then, if this first condition is met, whether </w:t>
      </w:r>
      <w:r w:rsidRPr="00173F22">
        <w:rPr>
          <w:rFonts w:cs="Times New Roman"/>
          <w:szCs w:val="24"/>
        </w:rPr>
        <w:t xml:space="preserve">the public interest in the </w:t>
      </w:r>
      <w:r w:rsidRPr="00173F22">
        <w:rPr>
          <w:rFonts w:cs="Times New Roman"/>
          <w:szCs w:val="24"/>
        </w:rPr>
        <w:lastRenderedPageBreak/>
        <w:t>administration of justice outweighs the public interest in preserving the confidentiality of the journalistic source</w:t>
      </w:r>
      <w:r w:rsidRPr="00173F22">
        <w:rPr>
          <w:rFonts w:cs="Times New Roman"/>
        </w:rPr>
        <w:t>:</w:t>
      </w:r>
    </w:p>
    <w:p w:rsidR="00B025ED" w:rsidRPr="00173F22" w:rsidRDefault="00B025ED" w:rsidP="00B025ED">
      <w:pPr>
        <w:pStyle w:val="Citation-AltC"/>
        <w:tabs>
          <w:tab w:val="left" w:pos="1530"/>
        </w:tabs>
        <w:spacing w:after="240"/>
        <w:ind w:hanging="446"/>
        <w:contextualSpacing w:val="0"/>
      </w:pPr>
      <w:r w:rsidRPr="00173F22">
        <w:rPr>
          <w:rStyle w:val="lawlabel2"/>
        </w:rPr>
        <w:tab/>
        <w:t>(7) </w:t>
      </w:r>
      <w:r w:rsidR="00DC5045">
        <w:t xml:space="preserve">The court . </w:t>
      </w:r>
      <w:r w:rsidRPr="00173F22">
        <w:t>.</w:t>
      </w:r>
      <w:r w:rsidR="00DC5045">
        <w:t xml:space="preserve"> </w:t>
      </w:r>
      <w:r w:rsidRPr="00173F22">
        <w:t>. may authorize the disclosure of information or a document only if [it] consider[s] that</w:t>
      </w:r>
    </w:p>
    <w:p w:rsidR="00B025ED" w:rsidRPr="00173F22" w:rsidRDefault="00B025ED" w:rsidP="00B025ED">
      <w:pPr>
        <w:pStyle w:val="Citation-AltC"/>
        <w:tabs>
          <w:tab w:val="left" w:pos="1530"/>
        </w:tabs>
        <w:spacing w:after="240"/>
        <w:ind w:left="1530" w:hanging="450"/>
        <w:contextualSpacing w:val="0"/>
      </w:pPr>
      <w:r w:rsidRPr="00173F22">
        <w:rPr>
          <w:rStyle w:val="lawlabel2"/>
        </w:rPr>
        <w:tab/>
        <w:t>(a) </w:t>
      </w:r>
      <w:proofErr w:type="gramStart"/>
      <w:r w:rsidRPr="00173F22">
        <w:t>the</w:t>
      </w:r>
      <w:proofErr w:type="gramEnd"/>
      <w:r w:rsidRPr="00173F22">
        <w:t xml:space="preserve"> information or document cannot be produced in evidence by any other reasonable means; and</w:t>
      </w:r>
    </w:p>
    <w:p w:rsidR="00B025ED" w:rsidRPr="00173F22" w:rsidRDefault="00B025ED" w:rsidP="00B025ED">
      <w:pPr>
        <w:pStyle w:val="Citation-AltC"/>
        <w:tabs>
          <w:tab w:val="left" w:pos="1530"/>
        </w:tabs>
        <w:spacing w:after="240"/>
        <w:ind w:left="1530" w:hanging="450"/>
        <w:contextualSpacing w:val="0"/>
      </w:pPr>
      <w:r w:rsidRPr="00173F22">
        <w:rPr>
          <w:rStyle w:val="lawlabel2"/>
        </w:rPr>
        <w:tab/>
        <w:t>(b) </w:t>
      </w:r>
      <w:proofErr w:type="gramStart"/>
      <w:r w:rsidRPr="00173F22">
        <w:t>the</w:t>
      </w:r>
      <w:proofErr w:type="gramEnd"/>
      <w:r w:rsidRPr="00173F22">
        <w:t xml:space="preserve"> public interest in the administration of justice outweighs the public interest in preserving the confidentiality of the journalistic source, having regard to, among other things,</w:t>
      </w:r>
    </w:p>
    <w:p w:rsidR="00B025ED" w:rsidRPr="00173F22" w:rsidRDefault="00B025ED" w:rsidP="00520524">
      <w:pPr>
        <w:pStyle w:val="Citation-AltC"/>
        <w:tabs>
          <w:tab w:val="left" w:pos="1890"/>
        </w:tabs>
        <w:spacing w:after="240"/>
        <w:ind w:left="1890" w:hanging="450"/>
        <w:contextualSpacing w:val="0"/>
      </w:pPr>
      <w:r w:rsidRPr="00173F22">
        <w:rPr>
          <w:rStyle w:val="lawlabel2"/>
        </w:rPr>
        <w:tab/>
        <w:t>(</w:t>
      </w:r>
      <w:proofErr w:type="spellStart"/>
      <w:r w:rsidRPr="00173F22">
        <w:rPr>
          <w:rStyle w:val="lawlabel2"/>
        </w:rPr>
        <w:t>i</w:t>
      </w:r>
      <w:proofErr w:type="spellEnd"/>
      <w:r w:rsidRPr="00173F22">
        <w:rPr>
          <w:rStyle w:val="lawlabel2"/>
        </w:rPr>
        <w:t>) </w:t>
      </w:r>
      <w:proofErr w:type="gramStart"/>
      <w:r w:rsidRPr="00173F22">
        <w:t>the</w:t>
      </w:r>
      <w:proofErr w:type="gramEnd"/>
      <w:r w:rsidRPr="00173F22">
        <w:t xml:space="preserve"> importance of the information or document to a central issue in the proceeding,</w:t>
      </w:r>
    </w:p>
    <w:p w:rsidR="00B025ED" w:rsidRPr="00173F22" w:rsidRDefault="00B025ED" w:rsidP="00520524">
      <w:pPr>
        <w:pStyle w:val="Citation-AltC"/>
        <w:tabs>
          <w:tab w:val="left" w:pos="1890"/>
        </w:tabs>
        <w:spacing w:after="240"/>
        <w:ind w:left="1890" w:hanging="450"/>
        <w:contextualSpacing w:val="0"/>
      </w:pPr>
      <w:r w:rsidRPr="00173F22">
        <w:rPr>
          <w:rStyle w:val="lawlabel2"/>
        </w:rPr>
        <w:tab/>
        <w:t>(ii)</w:t>
      </w:r>
      <w:r w:rsidRPr="00173F22">
        <w:t> </w:t>
      </w:r>
      <w:proofErr w:type="gramStart"/>
      <w:r w:rsidRPr="00173F22">
        <w:t>freedom</w:t>
      </w:r>
      <w:proofErr w:type="gramEnd"/>
      <w:r w:rsidRPr="00173F22">
        <w:t xml:space="preserve"> of the press, and</w:t>
      </w:r>
    </w:p>
    <w:p w:rsidR="00B025ED" w:rsidRPr="00173F22" w:rsidRDefault="00B025ED" w:rsidP="00520524">
      <w:pPr>
        <w:pStyle w:val="Citation-AltC"/>
        <w:tabs>
          <w:tab w:val="left" w:pos="1890"/>
        </w:tabs>
        <w:ind w:left="1890" w:hanging="450"/>
        <w:contextualSpacing w:val="0"/>
      </w:pPr>
      <w:r w:rsidRPr="00173F22">
        <w:rPr>
          <w:rStyle w:val="lawlabel2"/>
        </w:rPr>
        <w:tab/>
        <w:t>(iii) </w:t>
      </w:r>
      <w:proofErr w:type="gramStart"/>
      <w:r w:rsidRPr="00173F22">
        <w:t>the</w:t>
      </w:r>
      <w:proofErr w:type="gramEnd"/>
      <w:r w:rsidRPr="00173F22">
        <w:t xml:space="preserve"> impact of disclosure on the journalistic source and the journalist.</w:t>
      </w:r>
    </w:p>
    <w:p w:rsidR="00B025ED" w:rsidRPr="00173F22" w:rsidRDefault="00B025ED" w:rsidP="00B025ED">
      <w:pPr>
        <w:pStyle w:val="Title1LevelTitre1Niveau-AltL"/>
        <w:numPr>
          <w:ilvl w:val="0"/>
          <w:numId w:val="2"/>
        </w:numPr>
        <w:tabs>
          <w:tab w:val="left" w:pos="1166"/>
        </w:tabs>
        <w:spacing w:before="0"/>
        <w:rPr>
          <w:rFonts w:cs="Times New Roman"/>
        </w:rPr>
      </w:pPr>
      <w:r w:rsidRPr="00173F22">
        <w:rPr>
          <w:rFonts w:cs="Times New Roman"/>
        </w:rPr>
        <w:t>Procedural History</w:t>
      </w:r>
    </w:p>
    <w:p w:rsidR="00B025ED" w:rsidRPr="00173F22" w:rsidRDefault="00B025ED" w:rsidP="00520524">
      <w:pPr>
        <w:pStyle w:val="Title2LevelTitre2Niveau"/>
        <w:numPr>
          <w:ilvl w:val="0"/>
          <w:numId w:val="3"/>
        </w:numPr>
        <w:spacing w:before="0"/>
        <w:ind w:left="720" w:hanging="720"/>
        <w:rPr>
          <w:rFonts w:cs="Times New Roman"/>
          <w:szCs w:val="24"/>
        </w:rPr>
      </w:pPr>
      <w:bookmarkStart w:id="1" w:name="_Toc268074673"/>
      <w:bookmarkStart w:id="2" w:name="_Toc536456981"/>
      <w:bookmarkStart w:id="3" w:name="_Toc8393271"/>
      <w:r w:rsidRPr="00173F22">
        <w:rPr>
          <w:rFonts w:cs="Times New Roman"/>
        </w:rPr>
        <w:t xml:space="preserve">Court </w:t>
      </w:r>
      <w:bookmarkEnd w:id="1"/>
      <w:r w:rsidRPr="00173F22">
        <w:rPr>
          <w:rFonts w:cs="Times New Roman"/>
        </w:rPr>
        <w:t xml:space="preserve">of Québec </w:t>
      </w:r>
      <w:bookmarkEnd w:id="2"/>
      <w:bookmarkEnd w:id="3"/>
      <w:r w:rsidRPr="00173F22">
        <w:rPr>
          <w:rFonts w:cs="Times New Roman"/>
        </w:rPr>
        <w:t>— 2018 QCCQ 547</w:t>
      </w:r>
    </w:p>
    <w:p w:rsidR="00B025ED" w:rsidRPr="00173F22" w:rsidRDefault="00B025ED" w:rsidP="00B025ED">
      <w:pPr>
        <w:pStyle w:val="ParaNoNdepar-AltN"/>
        <w:spacing w:before="0"/>
        <w:rPr>
          <w:rFonts w:cs="Times New Roman"/>
        </w:rPr>
      </w:pPr>
      <w:r w:rsidRPr="00173F22">
        <w:rPr>
          <w:rFonts w:cs="Times New Roman"/>
        </w:rPr>
        <w:t>Ms. Denis and Mr. Lacroix contested their subpoenas in the Court of Québec. Judge Perreault, who signed the court’s decision, found that Ms. Denis and Mr. Lacroix were both “journalists” as that term is defined in s. 39.1(1) CEA and that the information in question came from “journalistic sources” as defined in that same provision: paras. 206</w:t>
      </w:r>
      <w:r w:rsidRPr="00173F22">
        <w:rPr>
          <w:rFonts w:cs="Times New Roman"/>
        </w:rPr>
        <w:noBreakHyphen/>
        <w:t>7</w:t>
      </w:r>
      <w:r w:rsidR="00E601A5">
        <w:rPr>
          <w:rFonts w:cs="Times New Roman"/>
        </w:rPr>
        <w:t xml:space="preserve"> (</w:t>
      </w:r>
      <w:proofErr w:type="spellStart"/>
      <w:r w:rsidR="00E601A5">
        <w:rPr>
          <w:rFonts w:cs="Times New Roman"/>
        </w:rPr>
        <w:t>CanLII</w:t>
      </w:r>
      <w:proofErr w:type="spellEnd"/>
      <w:r w:rsidR="00E601A5">
        <w:rPr>
          <w:rFonts w:cs="Times New Roman"/>
        </w:rPr>
        <w:t>)</w:t>
      </w:r>
      <w:r w:rsidRPr="00173F22">
        <w:rPr>
          <w:rFonts w:cs="Times New Roman"/>
        </w:rPr>
        <w:t>. He concluded that disclosure of the identities of the journalistic sources was the only reasonable means to obtain the information in question (para. 204) and that the “proceeding” (referred to in</w:t>
      </w:r>
      <w:r>
        <w:rPr>
          <w:rFonts w:cs="Times New Roman"/>
        </w:rPr>
        <w:t xml:space="preserve"> s</w:t>
      </w:r>
      <w:r w:rsidRPr="00173F22">
        <w:rPr>
          <w:rFonts w:cs="Times New Roman"/>
        </w:rPr>
        <w:t>.</w:t>
      </w:r>
      <w:r>
        <w:rPr>
          <w:rFonts w:cs="Times New Roman"/>
        </w:rPr>
        <w:t> </w:t>
      </w:r>
      <w:r w:rsidRPr="00173F22">
        <w:rPr>
          <w:rFonts w:cs="Times New Roman"/>
        </w:rPr>
        <w:t>39.1(7</w:t>
      </w:r>
      <w:proofErr w:type="gramStart"/>
      <w:r w:rsidRPr="00173F22">
        <w:rPr>
          <w:rFonts w:cs="Times New Roman"/>
        </w:rPr>
        <w:t>)(</w:t>
      </w:r>
      <w:proofErr w:type="gramEnd"/>
      <w:r w:rsidRPr="00173F22">
        <w:rPr>
          <w:rFonts w:cs="Times New Roman"/>
        </w:rPr>
        <w:t>b)(</w:t>
      </w:r>
      <w:proofErr w:type="spellStart"/>
      <w:r w:rsidRPr="00173F22">
        <w:rPr>
          <w:rFonts w:cs="Times New Roman"/>
        </w:rPr>
        <w:t>i</w:t>
      </w:r>
      <w:proofErr w:type="spellEnd"/>
      <w:r w:rsidRPr="00173F22">
        <w:rPr>
          <w:rFonts w:cs="Times New Roman"/>
        </w:rPr>
        <w:t xml:space="preserve">)) at issue </w:t>
      </w:r>
      <w:r w:rsidRPr="00173F22">
        <w:rPr>
          <w:rFonts w:cs="Times New Roman"/>
        </w:rPr>
        <w:lastRenderedPageBreak/>
        <w:t>in this case was Mr. </w:t>
      </w:r>
      <w:proofErr w:type="spellStart"/>
      <w:r w:rsidRPr="00173F22">
        <w:rPr>
          <w:rFonts w:cs="Times New Roman"/>
        </w:rPr>
        <w:t>Côté’s</w:t>
      </w:r>
      <w:proofErr w:type="spellEnd"/>
      <w:r w:rsidRPr="00173F22">
        <w:rPr>
          <w:rFonts w:cs="Times New Roman"/>
        </w:rPr>
        <w:t xml:space="preserve"> motion for a stay of proceedings: para. 212. The importance of the information being sought (the identities of the journalistic sources) was thus to be assessed in light of the central issues raised in that motion rather than in terms of those of Mr. </w:t>
      </w:r>
      <w:proofErr w:type="spellStart"/>
      <w:r w:rsidRPr="00173F22">
        <w:rPr>
          <w:rFonts w:cs="Times New Roman"/>
        </w:rPr>
        <w:t>Côté’s</w:t>
      </w:r>
      <w:proofErr w:type="spellEnd"/>
      <w:r w:rsidRPr="00173F22">
        <w:rPr>
          <w:rFonts w:cs="Times New Roman"/>
        </w:rPr>
        <w:t xml:space="preserve"> criminal trial.</w:t>
      </w:r>
    </w:p>
    <w:p w:rsidR="00B025ED" w:rsidRPr="00173F22" w:rsidRDefault="00B025ED" w:rsidP="00B025ED">
      <w:pPr>
        <w:pStyle w:val="ParaNoNdepar-AltN"/>
        <w:spacing w:before="0"/>
        <w:rPr>
          <w:rFonts w:cs="Times New Roman"/>
          <w:szCs w:val="24"/>
        </w:rPr>
      </w:pPr>
      <w:r w:rsidRPr="00173F22">
        <w:rPr>
          <w:rFonts w:cs="Times New Roman"/>
        </w:rPr>
        <w:t>Judge Perreault then proceeded to the balancing exercise required by s. 39.1(7</w:t>
      </w:r>
      <w:proofErr w:type="gramStart"/>
      <w:r w:rsidRPr="00173F22">
        <w:rPr>
          <w:rFonts w:cs="Times New Roman"/>
        </w:rPr>
        <w:t>)(</w:t>
      </w:r>
      <w:proofErr w:type="gramEnd"/>
      <w:r w:rsidRPr="00173F22">
        <w:rPr>
          <w:rFonts w:cs="Times New Roman"/>
        </w:rPr>
        <w:t xml:space="preserve">b) CEA, concluding that in this case </w:t>
      </w:r>
      <w:r w:rsidRPr="00173F22">
        <w:rPr>
          <w:rFonts w:cs="Times New Roman"/>
          <w:lang w:bidi="en-US"/>
        </w:rPr>
        <w:t>the public interest in preserving the confidentiality of the journalistic sources outweighed the public interest in the administration of justice, because the information being sought could not be</w:t>
      </w:r>
      <w:r w:rsidRPr="00173F22">
        <w:rPr>
          <w:rFonts w:cs="Times New Roman"/>
        </w:rPr>
        <w:t xml:space="preserve"> said to be important </w:t>
      </w:r>
      <w:r w:rsidRPr="00173F22">
        <w:rPr>
          <w:rFonts w:cs="Times New Roman"/>
          <w:lang w:bidi="en-US"/>
        </w:rPr>
        <w:t>to a central issue in the motion</w:t>
      </w:r>
      <w:r w:rsidRPr="00173F22">
        <w:rPr>
          <w:rFonts w:cs="Times New Roman"/>
        </w:rPr>
        <w:t xml:space="preserve"> (s. 39.1(7)(b)(</w:t>
      </w:r>
      <w:proofErr w:type="spellStart"/>
      <w:r w:rsidRPr="00173F22">
        <w:rPr>
          <w:rFonts w:cs="Times New Roman"/>
        </w:rPr>
        <w:t>i</w:t>
      </w:r>
      <w:proofErr w:type="spellEnd"/>
      <w:r w:rsidRPr="00173F22">
        <w:rPr>
          <w:rFonts w:cs="Times New Roman"/>
        </w:rPr>
        <w:t>) CEA) insofar as the two journalists did not know the identities of their sources: paras. 215</w:t>
      </w:r>
      <w:r w:rsidRPr="00173F22">
        <w:rPr>
          <w:rFonts w:cs="Times New Roman"/>
        </w:rPr>
        <w:noBreakHyphen/>
        <w:t>16. He added that even if those sources could be identified, it was not certain that this would make it possible to trace the people who were originally responsible for the leaks: para. 219. Finally, he stressed that there were other arguments Mr. </w:t>
      </w:r>
      <w:proofErr w:type="spellStart"/>
      <w:r w:rsidRPr="00173F22">
        <w:rPr>
          <w:rFonts w:cs="Times New Roman"/>
        </w:rPr>
        <w:t>Côté</w:t>
      </w:r>
      <w:proofErr w:type="spellEnd"/>
      <w:r w:rsidRPr="00173F22">
        <w:rPr>
          <w:rFonts w:cs="Times New Roman"/>
        </w:rPr>
        <w:t xml:space="preserve"> could make or other evidence he could adduce in support of his </w:t>
      </w:r>
      <w:proofErr w:type="spellStart"/>
      <w:r w:rsidRPr="00173F22">
        <w:rPr>
          <w:rFonts w:cs="Times New Roman"/>
          <w:i/>
        </w:rPr>
        <w:t>Babos</w:t>
      </w:r>
      <w:proofErr w:type="spellEnd"/>
      <w:r w:rsidRPr="00173F22">
        <w:rPr>
          <w:rFonts w:cs="Times New Roman"/>
        </w:rPr>
        <w:t xml:space="preserve"> motion: para. 224. Judge Perr</w:t>
      </w:r>
      <w:r>
        <w:rPr>
          <w:rFonts w:cs="Times New Roman"/>
        </w:rPr>
        <w:t>e</w:t>
      </w:r>
      <w:r w:rsidRPr="00173F22">
        <w:rPr>
          <w:rFonts w:cs="Times New Roman"/>
        </w:rPr>
        <w:t>ault accordingly declined to authorize the disclosure of the identities of the journalistic sources and quashed the subpoenas issued to the journalists</w:t>
      </w:r>
      <w:r w:rsidRPr="00173F22">
        <w:rPr>
          <w:rFonts w:cs="Times New Roman"/>
          <w:szCs w:val="24"/>
        </w:rPr>
        <w:t>.</w:t>
      </w:r>
    </w:p>
    <w:p w:rsidR="00B025ED" w:rsidRPr="00173F22" w:rsidRDefault="00B025ED" w:rsidP="00C85403">
      <w:pPr>
        <w:pStyle w:val="Title2LevelTitre2Niveau"/>
        <w:numPr>
          <w:ilvl w:val="0"/>
          <w:numId w:val="3"/>
        </w:numPr>
        <w:spacing w:before="0"/>
        <w:ind w:left="720" w:hanging="720"/>
        <w:rPr>
          <w:rFonts w:cs="Times New Roman"/>
          <w:szCs w:val="24"/>
        </w:rPr>
      </w:pPr>
      <w:bookmarkStart w:id="4" w:name="_Toc268074674"/>
      <w:bookmarkStart w:id="5" w:name="_Toc536456982"/>
      <w:bookmarkStart w:id="6" w:name="_Toc8393272"/>
      <w:r w:rsidRPr="00173F22">
        <w:rPr>
          <w:rFonts w:cs="Times New Roman"/>
        </w:rPr>
        <w:t xml:space="preserve">Superior Court </w:t>
      </w:r>
      <w:bookmarkEnd w:id="4"/>
      <w:bookmarkEnd w:id="5"/>
      <w:bookmarkEnd w:id="6"/>
      <w:r w:rsidRPr="00173F22">
        <w:rPr>
          <w:rFonts w:cs="Times New Roman"/>
        </w:rPr>
        <w:t>— 2018 QCCS 1138</w:t>
      </w:r>
    </w:p>
    <w:p w:rsidR="00B025ED" w:rsidRPr="00173F22" w:rsidRDefault="00B025ED" w:rsidP="00B025ED">
      <w:pPr>
        <w:pStyle w:val="ParaNoNdepar-AltN"/>
        <w:spacing w:before="0"/>
        <w:rPr>
          <w:rFonts w:cs="Times New Roman"/>
        </w:rPr>
      </w:pPr>
      <w:r w:rsidRPr="00173F22">
        <w:rPr>
          <w:rFonts w:cs="Times New Roman"/>
        </w:rPr>
        <w:t>Mr. </w:t>
      </w:r>
      <w:proofErr w:type="spellStart"/>
      <w:r w:rsidRPr="00173F22">
        <w:rPr>
          <w:rFonts w:cs="Times New Roman"/>
        </w:rPr>
        <w:t>Côté</w:t>
      </w:r>
      <w:proofErr w:type="spellEnd"/>
      <w:r w:rsidRPr="00173F22">
        <w:rPr>
          <w:rFonts w:cs="Times New Roman"/>
        </w:rPr>
        <w:t xml:space="preserve"> appealed to the Superior Court, as is provided for in s. 39.1(10</w:t>
      </w:r>
      <w:proofErr w:type="gramStart"/>
      <w:r w:rsidRPr="00173F22">
        <w:rPr>
          <w:rFonts w:cs="Times New Roman"/>
        </w:rPr>
        <w:t>)(</w:t>
      </w:r>
      <w:proofErr w:type="gramEnd"/>
      <w:r w:rsidRPr="00173F22">
        <w:rPr>
          <w:rFonts w:cs="Times New Roman"/>
        </w:rPr>
        <w:t>d) CEA. All the parties agreed that the application judge had made a palpable error of fact in stating that the journalists did not know the identities of their sources, because Ms. Denis was in fact aware of the identities of her sources for two of her fo</w:t>
      </w:r>
      <w:r w:rsidR="00210367">
        <w:rPr>
          <w:rFonts w:cs="Times New Roman"/>
        </w:rPr>
        <w:t xml:space="preserve">ur reports: </w:t>
      </w:r>
      <w:r w:rsidR="00210367">
        <w:rPr>
          <w:rFonts w:cs="Times New Roman"/>
        </w:rPr>
        <w:lastRenderedPageBreak/>
        <w:t>paras. 98</w:t>
      </w:r>
      <w:r w:rsidR="00210367">
        <w:rPr>
          <w:rFonts w:cs="Times New Roman"/>
        </w:rPr>
        <w:noBreakHyphen/>
        <w:t>99</w:t>
      </w:r>
      <w:r w:rsidR="00D00E01">
        <w:rPr>
          <w:rFonts w:cs="Times New Roman"/>
        </w:rPr>
        <w:t xml:space="preserve"> (</w:t>
      </w:r>
      <w:proofErr w:type="spellStart"/>
      <w:r w:rsidR="00D00E01">
        <w:rPr>
          <w:rFonts w:cs="Times New Roman"/>
        </w:rPr>
        <w:t>CanLII</w:t>
      </w:r>
      <w:proofErr w:type="spellEnd"/>
      <w:r w:rsidR="00D00E01">
        <w:rPr>
          <w:rFonts w:cs="Times New Roman"/>
        </w:rPr>
        <w:t>)</w:t>
      </w:r>
      <w:r w:rsidR="00210367">
        <w:rPr>
          <w:rFonts w:cs="Times New Roman"/>
        </w:rPr>
        <w:t xml:space="preserve">. </w:t>
      </w:r>
      <w:proofErr w:type="spellStart"/>
      <w:r w:rsidR="00210367">
        <w:rPr>
          <w:rFonts w:cs="Times New Roman"/>
        </w:rPr>
        <w:t>Émond</w:t>
      </w:r>
      <w:proofErr w:type="spellEnd"/>
      <w:r w:rsidR="00210367">
        <w:rPr>
          <w:rFonts w:cs="Times New Roman"/>
        </w:rPr>
        <w:t> </w:t>
      </w:r>
      <w:r w:rsidRPr="00173F22">
        <w:rPr>
          <w:rFonts w:cs="Times New Roman"/>
        </w:rPr>
        <w:t>J., who heard the appeal, concluded that this was also an overriding error in that it was central to the application judge’s reasons on the key question of the importance of the information being sought to a central issue in the proceeding: para. 137.</w:t>
      </w:r>
    </w:p>
    <w:p w:rsidR="00B025ED" w:rsidRPr="00173F22" w:rsidRDefault="00894160" w:rsidP="00B025ED">
      <w:pPr>
        <w:pStyle w:val="ParaNoNdepar-AltN"/>
        <w:spacing w:before="0"/>
        <w:rPr>
          <w:rFonts w:cs="Times New Roman"/>
        </w:rPr>
      </w:pPr>
      <w:proofErr w:type="spellStart"/>
      <w:r>
        <w:rPr>
          <w:rFonts w:cs="Times New Roman"/>
        </w:rPr>
        <w:t>Émond</w:t>
      </w:r>
      <w:proofErr w:type="spellEnd"/>
      <w:r>
        <w:rPr>
          <w:rFonts w:cs="Times New Roman"/>
        </w:rPr>
        <w:t> </w:t>
      </w:r>
      <w:r w:rsidR="00B025ED" w:rsidRPr="00173F22">
        <w:rPr>
          <w:rFonts w:cs="Times New Roman"/>
        </w:rPr>
        <w:t xml:space="preserve">J. first agreed that Ms. Denis and Mr. Lacroix were “journalists”, and their sources “journalistic sources”, within the meaning of s. 39.1(1) CEA. He then proceeded to repeat the analysis required by s. 39.1(7). Pointing out that the leaks, about which the authorities were unable to do anything, had taken place over a long period and that this represented a real risk for the integrity of the judicial process and for the justice system (para. 178), and finding on this basis that the information being sought could not be obtained by any other reasonable means, </w:t>
      </w:r>
      <w:proofErr w:type="spellStart"/>
      <w:r w:rsidR="00B025ED" w:rsidRPr="00173F22">
        <w:rPr>
          <w:rFonts w:cs="Times New Roman"/>
        </w:rPr>
        <w:t>Émond</w:t>
      </w:r>
      <w:proofErr w:type="spellEnd"/>
      <w:r w:rsidR="00B025ED" w:rsidRPr="00173F22">
        <w:rPr>
          <w:rFonts w:cs="Times New Roman"/>
        </w:rPr>
        <w:t> J. held that the criteria for disclosure of the sources’ identities were met in the cases of Ms. Denis’s two reports. In his view, the application judge had erred in concluding that the information being sought was not important to a central issue in the proceeding and that its absence did not justify a stay of proceedings. He found, rather, that the information in question was important, [</w:t>
      </w:r>
      <w:r w:rsidR="00B025ED" w:rsidRPr="00173F22">
        <w:rPr>
          <w:rFonts w:cs="Times New Roman"/>
          <w:smallCaps/>
        </w:rPr>
        <w:t>translation</w:t>
      </w:r>
      <w:r w:rsidR="00B025ED" w:rsidRPr="00173F22">
        <w:rPr>
          <w:rFonts w:cs="Times New Roman"/>
        </w:rPr>
        <w:t xml:space="preserve">] “if not crucial”: para. 137. </w:t>
      </w:r>
      <w:proofErr w:type="spellStart"/>
      <w:r w:rsidR="00B025ED" w:rsidRPr="00173F22">
        <w:rPr>
          <w:rFonts w:cs="Times New Roman"/>
        </w:rPr>
        <w:t>Émond</w:t>
      </w:r>
      <w:proofErr w:type="spellEnd"/>
      <w:r w:rsidR="009170C2">
        <w:rPr>
          <w:rFonts w:cs="Times New Roman"/>
        </w:rPr>
        <w:t> </w:t>
      </w:r>
      <w:r w:rsidR="00B025ED" w:rsidRPr="00173F22">
        <w:rPr>
          <w:rFonts w:cs="Times New Roman"/>
        </w:rPr>
        <w:t>J. accordingly reformulated the disposition of the application judge’s judgment and authorized the disclosure by Ms. Denis of information with respect to the content of the two reports for which she knew the identities of the sources.</w:t>
      </w:r>
    </w:p>
    <w:p w:rsidR="00B025ED" w:rsidRPr="00173F22" w:rsidRDefault="00B025ED" w:rsidP="0071485C">
      <w:pPr>
        <w:pStyle w:val="Title2LevelTitre2Niveau"/>
        <w:numPr>
          <w:ilvl w:val="0"/>
          <w:numId w:val="3"/>
        </w:numPr>
        <w:spacing w:before="0"/>
        <w:ind w:left="720" w:hanging="720"/>
        <w:rPr>
          <w:rFonts w:eastAsia="Times New Roman" w:cs="Times New Roman"/>
          <w:szCs w:val="24"/>
        </w:rPr>
      </w:pPr>
      <w:bookmarkStart w:id="7" w:name="_Toc8393273"/>
      <w:r w:rsidRPr="00173F22">
        <w:rPr>
          <w:rFonts w:cs="Times New Roman"/>
        </w:rPr>
        <w:t>Quebec</w:t>
      </w:r>
      <w:r w:rsidRPr="00173F22">
        <w:rPr>
          <w:rFonts w:eastAsiaTheme="minorEastAsia" w:cs="Times New Roman"/>
        </w:rPr>
        <w:t xml:space="preserve"> Court of Appeal </w:t>
      </w:r>
      <w:bookmarkEnd w:id="7"/>
      <w:r w:rsidRPr="00173F22">
        <w:rPr>
          <w:rFonts w:eastAsiaTheme="minorEastAsia" w:cs="Times New Roman"/>
        </w:rPr>
        <w:t>— 2018 QCCA 611</w:t>
      </w:r>
    </w:p>
    <w:p w:rsidR="00B025ED" w:rsidRPr="00173F22" w:rsidRDefault="00B025ED" w:rsidP="00B025ED">
      <w:pPr>
        <w:pStyle w:val="ParaNoNdepar-AltN"/>
        <w:spacing w:before="0"/>
        <w:rPr>
          <w:rFonts w:cs="Times New Roman"/>
        </w:rPr>
      </w:pPr>
      <w:r w:rsidRPr="00173F22">
        <w:rPr>
          <w:rFonts w:cs="Times New Roman"/>
        </w:rPr>
        <w:lastRenderedPageBreak/>
        <w:t xml:space="preserve">Ms. Denis appealed </w:t>
      </w:r>
      <w:proofErr w:type="spellStart"/>
      <w:r w:rsidRPr="00173F22">
        <w:rPr>
          <w:rFonts w:cs="Times New Roman"/>
        </w:rPr>
        <w:t>Émond</w:t>
      </w:r>
      <w:proofErr w:type="spellEnd"/>
      <w:r w:rsidRPr="00173F22">
        <w:rPr>
          <w:rFonts w:cs="Times New Roman"/>
        </w:rPr>
        <w:t> J.’s decision to the Quebec Court of Appeal. Mr. </w:t>
      </w:r>
      <w:proofErr w:type="spellStart"/>
      <w:r w:rsidRPr="00173F22">
        <w:rPr>
          <w:rFonts w:cs="Times New Roman"/>
        </w:rPr>
        <w:t>Côté</w:t>
      </w:r>
      <w:proofErr w:type="spellEnd"/>
      <w:r w:rsidRPr="00173F22">
        <w:rPr>
          <w:rFonts w:cs="Times New Roman"/>
        </w:rPr>
        <w:t xml:space="preserve"> then filed a motion to dismiss Ms. Denis’s appeal on the ground that, according to his own interpretation of the words of s. 39.1(10) CEA, she had no right of appeal to the Court of Appeal.</w:t>
      </w:r>
    </w:p>
    <w:p w:rsidR="00B025ED" w:rsidRPr="00173F22" w:rsidRDefault="00B025ED" w:rsidP="00B025ED">
      <w:pPr>
        <w:pStyle w:val="ParaNoNdepar-AltN"/>
        <w:spacing w:before="0"/>
        <w:rPr>
          <w:rFonts w:cs="Times New Roman"/>
        </w:rPr>
      </w:pPr>
      <w:r>
        <w:rPr>
          <w:rFonts w:cs="Times New Roman"/>
        </w:rPr>
        <w:t>The Court of Appeal allowed</w:t>
      </w:r>
      <w:r w:rsidRPr="00173F22">
        <w:rPr>
          <w:rFonts w:cs="Times New Roman"/>
        </w:rPr>
        <w:t xml:space="preserve"> Mr. </w:t>
      </w:r>
      <w:proofErr w:type="spellStart"/>
      <w:r w:rsidRPr="00173F22">
        <w:rPr>
          <w:rFonts w:cs="Times New Roman"/>
        </w:rPr>
        <w:t>Côté’s</w:t>
      </w:r>
      <w:proofErr w:type="spellEnd"/>
      <w:r w:rsidRPr="00173F22">
        <w:rPr>
          <w:rFonts w:cs="Times New Roman"/>
        </w:rPr>
        <w:t xml:space="preserve"> motion to dismiss the appeal. Noting that there is [</w:t>
      </w:r>
      <w:r w:rsidRPr="00173F22">
        <w:rPr>
          <w:rFonts w:cs="Times New Roman"/>
          <w:smallCaps/>
        </w:rPr>
        <w:t>translation</w:t>
      </w:r>
      <w:r w:rsidRPr="00173F22">
        <w:rPr>
          <w:rFonts w:cs="Times New Roman"/>
        </w:rPr>
        <w:t>] “no appeal without a provision” (para. 9</w:t>
      </w:r>
      <w:r w:rsidR="00744773">
        <w:rPr>
          <w:rFonts w:cs="Times New Roman"/>
        </w:rPr>
        <w:t xml:space="preserve"> (</w:t>
      </w:r>
      <w:proofErr w:type="spellStart"/>
      <w:r w:rsidR="00744773">
        <w:rPr>
          <w:rFonts w:cs="Times New Roman"/>
        </w:rPr>
        <w:t>CanLII</w:t>
      </w:r>
      <w:proofErr w:type="spellEnd"/>
      <w:r w:rsidR="00744773">
        <w:rPr>
          <w:rFonts w:cs="Times New Roman"/>
        </w:rPr>
        <w:t>)</w:t>
      </w:r>
      <w:r w:rsidRPr="00173F22">
        <w:rPr>
          <w:rFonts w:cs="Times New Roman"/>
        </w:rPr>
        <w:t>), it stated that s. 39.1(10)</w:t>
      </w:r>
      <w:r w:rsidR="001D10BC">
        <w:rPr>
          <w:rFonts w:cs="Times New Roman"/>
        </w:rPr>
        <w:t xml:space="preserve"> </w:t>
      </w:r>
      <w:r w:rsidRPr="00173F22">
        <w:rPr>
          <w:rFonts w:cs="Times New Roman"/>
          <w:iCs/>
        </w:rPr>
        <w:t>CEA</w:t>
      </w:r>
      <w:r w:rsidRPr="00173F22">
        <w:rPr>
          <w:rFonts w:cs="Times New Roman"/>
        </w:rPr>
        <w:t xml:space="preserve"> indicates in what circumstances an appeal is possible and in what court the appeal must be brought. In the Court of Appeal’s view, the effect of s. 39.1(10) is that the only decision that can be appealed is that of the court that first ruled on the original application for disclosure, because the “court, person or </w:t>
      </w:r>
      <w:r w:rsidR="001D10BC">
        <w:rPr>
          <w:rFonts w:cs="Times New Roman"/>
        </w:rPr>
        <w:t xml:space="preserve">body” referred to in s. 39.1(7) </w:t>
      </w:r>
      <w:r w:rsidRPr="00173F22">
        <w:rPr>
          <w:rFonts w:cs="Times New Roman"/>
          <w:iCs/>
        </w:rPr>
        <w:t>CEA is the decision</w:t>
      </w:r>
      <w:r w:rsidRPr="00173F22">
        <w:rPr>
          <w:rFonts w:cs="Times New Roman"/>
          <w:iCs/>
        </w:rPr>
        <w:noBreakHyphen/>
        <w:t>maker — the Court of Québec here — before whom the journalist originally objected to the disclosure</w:t>
      </w:r>
      <w:r w:rsidRPr="00173F22">
        <w:rPr>
          <w:rFonts w:cs="Times New Roman"/>
        </w:rPr>
        <w:t>. In this case, therefore, the appeal to the Superior Court was the only recourse provided for in and permitted by s. 39.1(10) CEA. In the end, the Court of Appeal stated that it “lack[</w:t>
      </w:r>
      <w:proofErr w:type="spellStart"/>
      <w:r w:rsidRPr="00173F22">
        <w:rPr>
          <w:rFonts w:cs="Times New Roman"/>
        </w:rPr>
        <w:t>ed</w:t>
      </w:r>
      <w:proofErr w:type="spellEnd"/>
      <w:r w:rsidRPr="00173F22">
        <w:rPr>
          <w:rFonts w:cs="Times New Roman"/>
        </w:rPr>
        <w:t>] jurisdiction” to rule on Ms. Denis’s appeal (para. 32), but mentioned that she could nonetheless apply for leave to appeal to this Court under s</w:t>
      </w:r>
      <w:r w:rsidRPr="00173F22">
        <w:rPr>
          <w:rFonts w:cs="Times New Roman"/>
          <w:szCs w:val="24"/>
        </w:rPr>
        <w:t>. 40 of the</w:t>
      </w:r>
      <w:r w:rsidR="008B5825">
        <w:rPr>
          <w:rFonts w:cs="Times New Roman"/>
          <w:szCs w:val="24"/>
        </w:rPr>
        <w:t xml:space="preserve"> </w:t>
      </w:r>
      <w:r w:rsidRPr="00173F22">
        <w:rPr>
          <w:rFonts w:cs="Times New Roman"/>
          <w:i/>
          <w:iCs/>
          <w:szCs w:val="24"/>
        </w:rPr>
        <w:t>Supreme Court Act</w:t>
      </w:r>
      <w:r w:rsidRPr="00173F22">
        <w:rPr>
          <w:rFonts w:cs="Times New Roman"/>
          <w:iCs/>
          <w:szCs w:val="24"/>
        </w:rPr>
        <w:t>, R.S.C. 1985, c. S</w:t>
      </w:r>
      <w:r w:rsidRPr="00173F22">
        <w:rPr>
          <w:rFonts w:cs="Times New Roman"/>
          <w:iCs/>
          <w:szCs w:val="24"/>
        </w:rPr>
        <w:noBreakHyphen/>
        <w:t>26</w:t>
      </w:r>
      <w:r w:rsidR="00590F0D">
        <w:rPr>
          <w:rFonts w:cs="Times New Roman"/>
          <w:iCs/>
          <w:szCs w:val="24"/>
        </w:rPr>
        <w:t>:</w:t>
      </w:r>
      <w:r w:rsidR="00590F0D">
        <w:rPr>
          <w:rFonts w:cs="Times New Roman"/>
          <w:szCs w:val="24"/>
        </w:rPr>
        <w:t xml:space="preserve"> </w:t>
      </w:r>
      <w:r w:rsidRPr="00173F22">
        <w:rPr>
          <w:rFonts w:cs="Times New Roman"/>
          <w:szCs w:val="24"/>
        </w:rPr>
        <w:t>para. 31.</w:t>
      </w:r>
    </w:p>
    <w:p w:rsidR="00B025ED" w:rsidRPr="00173F22" w:rsidRDefault="00B025ED" w:rsidP="001E517F">
      <w:pPr>
        <w:pStyle w:val="Title1LevelTitre1Niveau-AltL"/>
        <w:spacing w:before="0"/>
        <w:ind w:left="720" w:hanging="720"/>
        <w:rPr>
          <w:rFonts w:cs="Times New Roman"/>
        </w:rPr>
      </w:pPr>
      <w:r w:rsidRPr="00173F22">
        <w:rPr>
          <w:rFonts w:cs="Times New Roman"/>
          <w:u w:val="none"/>
        </w:rPr>
        <w:t>IV.</w:t>
      </w:r>
      <w:r w:rsidRPr="00173F22">
        <w:rPr>
          <w:rFonts w:cs="Times New Roman"/>
          <w:u w:val="none"/>
        </w:rPr>
        <w:tab/>
      </w:r>
      <w:r w:rsidRPr="00173F22">
        <w:rPr>
          <w:rFonts w:cs="Times New Roman"/>
        </w:rPr>
        <w:t>Analysis</w:t>
      </w:r>
    </w:p>
    <w:p w:rsidR="00B025ED" w:rsidRPr="00173F22" w:rsidRDefault="00B025ED" w:rsidP="00B025ED">
      <w:pPr>
        <w:pStyle w:val="ParaNoNdepar-AltN"/>
        <w:spacing w:before="0"/>
        <w:rPr>
          <w:rFonts w:cs="Times New Roman"/>
        </w:rPr>
      </w:pPr>
      <w:r w:rsidRPr="00173F22">
        <w:rPr>
          <w:rFonts w:cs="Times New Roman"/>
        </w:rPr>
        <w:t xml:space="preserve">The factual matrix has changed since the decisions of the courts below. In the fall of 2018, at a time when the hearing in this Court was scheduled for that December, the Crown cited new evidence that had recently been brought to its attention </w:t>
      </w:r>
      <w:r w:rsidRPr="00173F22">
        <w:rPr>
          <w:rFonts w:cs="Times New Roman"/>
        </w:rPr>
        <w:lastRenderedPageBreak/>
        <w:t>and indicated that it could no longer in this Court support the factual framework originally advanced in the Court of Québec and the Superior Court. It obtained an adjournment on that basis. It then sent the Court sealed information that it considered to be protected by the ongoing investigation privilege in order to explain this change in position to the Court. In March 2019, the Crown filed a second motion to adjourn, which was dismissed.</w:t>
      </w:r>
    </w:p>
    <w:p w:rsidR="00B025ED" w:rsidRPr="00173F22" w:rsidRDefault="00B025ED" w:rsidP="00B025ED">
      <w:pPr>
        <w:pStyle w:val="ParaNoNdepar-AltN"/>
        <w:spacing w:before="0"/>
        <w:rPr>
          <w:rFonts w:cs="Times New Roman"/>
        </w:rPr>
      </w:pPr>
      <w:r w:rsidRPr="00173F22">
        <w:rPr>
          <w:rFonts w:cs="Times New Roman"/>
        </w:rPr>
        <w:t>This change of position by the Crown has serious consequences. Its effect is to deprive the Court of a basis in fact that is sufficient for it to adequately assess the Superior Court’s decision on the merits, in particular because the Crown is now casting doubt on the fact, assumed to be true until this point, that Ms. Denis’s testimony on the identities of her journalistic sources is needed in order to rule on Mr. </w:t>
      </w:r>
      <w:proofErr w:type="spellStart"/>
      <w:r w:rsidRPr="00173F22">
        <w:rPr>
          <w:rFonts w:cs="Times New Roman"/>
        </w:rPr>
        <w:t>Côté’s</w:t>
      </w:r>
      <w:proofErr w:type="spellEnd"/>
      <w:r w:rsidRPr="00173F22">
        <w:rPr>
          <w:rFonts w:cs="Times New Roman"/>
        </w:rPr>
        <w:t xml:space="preserve"> motion for a stay of proceedings. This change justifies remanding the case to the court of original jurisdiction in order to have that court conduct anew, once the new evidence has been adduced by the Crown, the analysis required by s. 39.1 CEA. This is an exceptional remedy that is being granted in equally exceptional circumstances. I will not, therefore, proceed to review the merits of the Superior Court’s decision. Nevertheless, I feel that it would be appropriate to define the scope of the </w:t>
      </w:r>
      <w:proofErr w:type="spellStart"/>
      <w:r w:rsidRPr="00173F22">
        <w:rPr>
          <w:rFonts w:cs="Times New Roman"/>
        </w:rPr>
        <w:t>new s</w:t>
      </w:r>
      <w:proofErr w:type="spellEnd"/>
      <w:r w:rsidRPr="00173F22">
        <w:rPr>
          <w:rFonts w:cs="Times New Roman"/>
        </w:rPr>
        <w:t>. 39.1 CEA in order to provide decision</w:t>
      </w:r>
      <w:r w:rsidRPr="00173F22">
        <w:rPr>
          <w:rFonts w:cs="Times New Roman"/>
        </w:rPr>
        <w:noBreakHyphen/>
        <w:t>makers with guidance on the nature of the new federal scheme and on how it is to be applied.</w:t>
      </w:r>
    </w:p>
    <w:p w:rsidR="00B025ED" w:rsidRPr="00173F22" w:rsidRDefault="00B025ED" w:rsidP="005547EF">
      <w:pPr>
        <w:pStyle w:val="Title2LevelTitre2Niveau"/>
        <w:tabs>
          <w:tab w:val="left" w:pos="720"/>
        </w:tabs>
        <w:spacing w:before="0"/>
        <w:ind w:left="720" w:hanging="720"/>
        <w:rPr>
          <w:rFonts w:cs="Times New Roman"/>
        </w:rPr>
      </w:pPr>
      <w:r w:rsidRPr="00173F22">
        <w:rPr>
          <w:rFonts w:cs="Times New Roman"/>
          <w:i w:val="0"/>
        </w:rPr>
        <w:t>A.</w:t>
      </w:r>
      <w:r w:rsidRPr="00173F22">
        <w:rPr>
          <w:rFonts w:cs="Times New Roman"/>
          <w:i w:val="0"/>
        </w:rPr>
        <w:tab/>
      </w:r>
      <w:r w:rsidRPr="00173F22">
        <w:rPr>
          <w:rFonts w:cs="Times New Roman"/>
        </w:rPr>
        <w:t>Appeal Regarding the Jurisdiction of the Court of Appeal</w:t>
      </w:r>
    </w:p>
    <w:p w:rsidR="00B025ED" w:rsidRPr="00173F22" w:rsidRDefault="00B025ED" w:rsidP="00B025ED">
      <w:pPr>
        <w:pStyle w:val="ParaNoNdepar-AltN"/>
        <w:spacing w:before="0"/>
        <w:rPr>
          <w:rFonts w:cs="Times New Roman"/>
        </w:rPr>
      </w:pPr>
      <w:r w:rsidRPr="00173F22">
        <w:rPr>
          <w:rFonts w:cs="Times New Roman"/>
        </w:rPr>
        <w:lastRenderedPageBreak/>
        <w:t xml:space="preserve">I would stress from the outset that the Court of Appeal was right to find that, in light of both the provisions and the purposes in question in this case, it did not have jurisdiction to rule on the merits of Ms. Denis’s appeal. First, as the Court of Appeal pointed out, the right of appeal is a statutory right. It is an exceptional right that cannot exist if no legislation provides for it: C.A., at para. 9. Second, as the Court of Appeal observed, where there are two levels of appeal, as in the case of summary conviction offences, they are provided for in legislation: </w:t>
      </w:r>
      <w:r w:rsidRPr="00173F22">
        <w:rPr>
          <w:rFonts w:cs="Times New Roman"/>
          <w:szCs w:val="24"/>
        </w:rPr>
        <w:t>paras. 11</w:t>
      </w:r>
      <w:r w:rsidRPr="00173F22">
        <w:rPr>
          <w:rFonts w:cs="Times New Roman"/>
          <w:szCs w:val="24"/>
        </w:rPr>
        <w:noBreakHyphen/>
        <w:t>12.</w:t>
      </w:r>
    </w:p>
    <w:p w:rsidR="00B025ED" w:rsidRPr="00173F22" w:rsidRDefault="00B025ED" w:rsidP="00B025ED">
      <w:pPr>
        <w:pStyle w:val="ParaNoNdepar-AltN"/>
        <w:spacing w:before="0"/>
        <w:rPr>
          <w:rFonts w:cs="Times New Roman"/>
        </w:rPr>
      </w:pPr>
      <w:r w:rsidRPr="00173F22">
        <w:rPr>
          <w:rFonts w:cs="Times New Roman"/>
        </w:rPr>
        <w:t xml:space="preserve">Finally, I agree with the Court of Appeal that the existence of a single level of appeal is, moreover, consistent with the concern to ensure efficient and expeditious judicial proceedings. This purpose can be seen not only in s. 39.1 CEA, which fixes a short time limit for an appeal and requires that it be heard in a summary way </w:t>
      </w:r>
      <w:r w:rsidRPr="00173F22">
        <w:rPr>
          <w:rFonts w:cs="Times New Roman"/>
          <w:szCs w:val="24"/>
        </w:rPr>
        <w:t>(s. 39.1(11) and (12)),</w:t>
      </w:r>
      <w:r w:rsidRPr="00173F22">
        <w:rPr>
          <w:rFonts w:cs="Times New Roman"/>
        </w:rPr>
        <w:t xml:space="preserve"> but also in the sections of the CEA on related matters (e.g. objections to the disclosure of confidential information on grounds of a specified public interest, of information relating to international relations, national defence or national security, or of Cabinet confidences), which either make no provision for a right of appeal or reserve the initial decision to the Federal Court or a provincial superior court, thereby specifically excluding the possibility of two levels of review: </w:t>
      </w:r>
      <w:r w:rsidRPr="00173F22">
        <w:rPr>
          <w:rFonts w:cs="Times New Roman"/>
          <w:szCs w:val="24"/>
        </w:rPr>
        <w:t>C.A., at paras. 23</w:t>
      </w:r>
      <w:r w:rsidRPr="00173F22">
        <w:rPr>
          <w:rFonts w:cs="Times New Roman"/>
          <w:szCs w:val="24"/>
        </w:rPr>
        <w:noBreakHyphen/>
      </w:r>
      <w:r w:rsidRPr="00173F22">
        <w:rPr>
          <w:rFonts w:cs="Times New Roman"/>
        </w:rPr>
        <w:t>24. The appeal from the Court of Appeal’s decision that it lacks jurisdiction must therefore be dismissed.</w:t>
      </w:r>
    </w:p>
    <w:p w:rsidR="00B025ED" w:rsidRPr="00173F22" w:rsidRDefault="00B025ED" w:rsidP="00660B28">
      <w:pPr>
        <w:pStyle w:val="Title2LevelTitre2Niveau"/>
        <w:tabs>
          <w:tab w:val="left" w:pos="720"/>
        </w:tabs>
        <w:spacing w:before="0"/>
        <w:ind w:left="720" w:hanging="720"/>
        <w:rPr>
          <w:rFonts w:cs="Times New Roman"/>
        </w:rPr>
      </w:pPr>
      <w:r w:rsidRPr="00173F22">
        <w:rPr>
          <w:rFonts w:cs="Times New Roman"/>
          <w:i w:val="0"/>
        </w:rPr>
        <w:t>B.</w:t>
      </w:r>
      <w:r w:rsidRPr="00173F22">
        <w:rPr>
          <w:rFonts w:cs="Times New Roman"/>
          <w:i w:val="0"/>
        </w:rPr>
        <w:tab/>
      </w:r>
      <w:r w:rsidRPr="00173F22">
        <w:rPr>
          <w:rFonts w:cs="Times New Roman"/>
        </w:rPr>
        <w:t>Appeal Regarding Disclosure of the Sources’ Identities</w:t>
      </w:r>
    </w:p>
    <w:p w:rsidR="00B025ED" w:rsidRPr="00173F22" w:rsidRDefault="00B025ED" w:rsidP="00B025ED">
      <w:pPr>
        <w:pStyle w:val="ParaNoNdepar-AltN"/>
        <w:spacing w:before="0"/>
        <w:rPr>
          <w:rFonts w:cs="Times New Roman"/>
        </w:rPr>
      </w:pPr>
      <w:r w:rsidRPr="00173F22">
        <w:rPr>
          <w:rFonts w:cs="Times New Roman"/>
        </w:rPr>
        <w:lastRenderedPageBreak/>
        <w:t xml:space="preserve">Section 39.1 CEA, the statutory provision at the heart of this case, was enacted by the </w:t>
      </w:r>
      <w:r w:rsidRPr="00173F22">
        <w:rPr>
          <w:rFonts w:cs="Times New Roman"/>
          <w:i/>
        </w:rPr>
        <w:t>Journalistic Sources Protection Act</w:t>
      </w:r>
      <w:r w:rsidRPr="00173F22">
        <w:rPr>
          <w:rFonts w:cs="Times New Roman"/>
        </w:rPr>
        <w:t xml:space="preserve">, S.C. 2017, </w:t>
      </w:r>
      <w:proofErr w:type="gramStart"/>
      <w:r w:rsidRPr="00173F22">
        <w:rPr>
          <w:rFonts w:cs="Times New Roman"/>
        </w:rPr>
        <w:t>c</w:t>
      </w:r>
      <w:proofErr w:type="gramEnd"/>
      <w:r w:rsidRPr="00173F22">
        <w:rPr>
          <w:rFonts w:cs="Times New Roman"/>
        </w:rPr>
        <w:t xml:space="preserve">. 22 (“JSPA”). Sections 2 and 3 of the JSPA simultaneously amended the </w:t>
      </w:r>
      <w:r w:rsidRPr="00173F22">
        <w:rPr>
          <w:rFonts w:cs="Times New Roman"/>
          <w:i/>
        </w:rPr>
        <w:t>Criminal Code</w:t>
      </w:r>
      <w:r w:rsidRPr="00173F22">
        <w:rPr>
          <w:rFonts w:cs="Times New Roman"/>
        </w:rPr>
        <w:t>, R.S.C. 1985, c. C</w:t>
      </w:r>
      <w:r w:rsidRPr="00173F22">
        <w:rPr>
          <w:rFonts w:cs="Times New Roman"/>
        </w:rPr>
        <w:noBreakHyphen/>
        <w:t xml:space="preserve">46, and the CEA with respect to two distinct fact scenarios that were until then governed by common law principles. One amendment, the addition of s. 488.01 Cr. C., applied to warrants issued with respect to a journalist’s communications or to objects, documents or data relating to or in the possession of a journalist. The other amendment, the addition of s. 39.1 CEA, concerned subpoenas to give testimony or orders to produce documents that are issued to journalists and are likely to reveal the identities of confidential sources. As the majority of this Court indicated in the recent case of </w:t>
      </w:r>
      <w:r w:rsidRPr="00173F22">
        <w:rPr>
          <w:rFonts w:cs="Times New Roman"/>
          <w:i/>
        </w:rPr>
        <w:t>R. v. Vice Media Canada Inc.</w:t>
      </w:r>
      <w:r w:rsidRPr="00173F22">
        <w:rPr>
          <w:rFonts w:cs="Times New Roman"/>
        </w:rPr>
        <w:t>, 2018 SCC 53</w:t>
      </w:r>
      <w:r w:rsidR="00F823F1">
        <w:rPr>
          <w:rFonts w:cs="Times New Roman"/>
        </w:rPr>
        <w:t>, [2018] 3 S.C.R. 374</w:t>
      </w:r>
      <w:r w:rsidRPr="00173F22">
        <w:rPr>
          <w:rFonts w:cs="Times New Roman"/>
        </w:rPr>
        <w:t>, the purpose of these two amendments was to enhance the protection afforded to the confidentiality of journalistic sources: para. 6.</w:t>
      </w:r>
    </w:p>
    <w:p w:rsidR="00B025ED" w:rsidRPr="00173F22" w:rsidRDefault="00B025ED" w:rsidP="00B025ED">
      <w:pPr>
        <w:pStyle w:val="ParaNoNdepar-AltN"/>
        <w:spacing w:before="0"/>
        <w:rPr>
          <w:rFonts w:cs="Times New Roman"/>
          <w:szCs w:val="24"/>
        </w:rPr>
      </w:pPr>
      <w:r w:rsidRPr="00173F22">
        <w:rPr>
          <w:rFonts w:cs="Times New Roman"/>
          <w:szCs w:val="24"/>
        </w:rPr>
        <w:t xml:space="preserve">Only s. 39.1 CEA is at issue in the instant case. It is important to stress that in carrying out its plan to modernize the law by including s. 39.1 in the CEA, Parliament drew upon the various decisions rendered by the Court on this subject over the years. However, it modified the structure of the test and the weights of the identified criteria. Thus, some criteria that were but considerations are now essential conditions, while others have become less important. By this meticulous reorganization, Parliament has created a scheme of new law from which a clear intention emerges: to afford enhanced protection to the confidentiality of journalistic sources in the context of journalists’ relations with those sources. Although the clearest illustration of this </w:t>
      </w:r>
      <w:r w:rsidRPr="00173F22">
        <w:rPr>
          <w:rFonts w:cs="Times New Roman"/>
          <w:szCs w:val="24"/>
        </w:rPr>
        <w:lastRenderedPageBreak/>
        <w:t>intention lies in the shifting of the burden of proof provided for in s. 39.1(9) CEA, there are, as I will explain below, a number of other modifications that also attest to it. A brief overview of the two schemes — the old and the new — is needed in order to fully explain the scope of the change.</w:t>
      </w:r>
    </w:p>
    <w:p w:rsidR="00B025ED" w:rsidRPr="00173F22" w:rsidRDefault="00B025ED" w:rsidP="00E8685E">
      <w:pPr>
        <w:pStyle w:val="Title3LevelTitre3Niveau"/>
        <w:spacing w:before="0"/>
        <w:ind w:left="1167" w:hanging="627"/>
        <w:rPr>
          <w:rFonts w:cs="Times New Roman"/>
        </w:rPr>
      </w:pPr>
      <w:r w:rsidRPr="00173F22">
        <w:rPr>
          <w:rFonts w:cs="Times New Roman"/>
          <w:u w:val="none"/>
        </w:rPr>
        <w:t>(1)</w:t>
      </w:r>
      <w:r w:rsidRPr="00173F22">
        <w:rPr>
          <w:rFonts w:cs="Times New Roman"/>
          <w:u w:val="none"/>
        </w:rPr>
        <w:tab/>
      </w:r>
      <w:r w:rsidRPr="00173F22">
        <w:rPr>
          <w:rFonts w:cs="Times New Roman"/>
        </w:rPr>
        <w:t>Former Common Law Scheme</w:t>
      </w:r>
    </w:p>
    <w:p w:rsidR="00B025ED" w:rsidRPr="00173F22" w:rsidRDefault="00B025ED" w:rsidP="00B025ED">
      <w:pPr>
        <w:pStyle w:val="ParaNoNdepar-AltN"/>
        <w:spacing w:before="0"/>
        <w:rPr>
          <w:rFonts w:cs="Times New Roman"/>
        </w:rPr>
      </w:pPr>
      <w:r w:rsidRPr="00173F22">
        <w:rPr>
          <w:rFonts w:cs="Times New Roman"/>
        </w:rPr>
        <w:t xml:space="preserve">In the scheme developed in </w:t>
      </w:r>
      <w:r w:rsidRPr="00173F22">
        <w:rPr>
          <w:rFonts w:cs="Times New Roman"/>
          <w:i/>
          <w:iCs/>
          <w:szCs w:val="24"/>
        </w:rPr>
        <w:t>R. v. National Post</w:t>
      </w:r>
      <w:r w:rsidRPr="00173F22">
        <w:rPr>
          <w:rFonts w:cs="Times New Roman"/>
          <w:szCs w:val="24"/>
        </w:rPr>
        <w:t xml:space="preserve">, 2010 SCC 16, [2010] 1 S.C.R. 477, and </w:t>
      </w:r>
      <w:r w:rsidRPr="00173F22">
        <w:rPr>
          <w:rFonts w:cs="Times New Roman"/>
          <w:i/>
          <w:iCs/>
          <w:szCs w:val="24"/>
        </w:rPr>
        <w:t>Globe and Mail v. Canada (Attorney General)</w:t>
      </w:r>
      <w:r w:rsidRPr="00173F22">
        <w:rPr>
          <w:rFonts w:cs="Times New Roman"/>
          <w:szCs w:val="24"/>
        </w:rPr>
        <w:t>, 2010 SCC 41, [2010] 2 S.C.R. 592</w:t>
      </w:r>
      <w:r w:rsidRPr="00173F22">
        <w:rPr>
          <w:rFonts w:cs="Times New Roman"/>
        </w:rPr>
        <w:t xml:space="preserve">, the burden of proof was on a journalist who objected to the disclosure of information that might identify a source. The journalist was required to show that the four criteria of the </w:t>
      </w:r>
      <w:proofErr w:type="spellStart"/>
      <w:r w:rsidRPr="00173F22">
        <w:rPr>
          <w:rFonts w:cs="Times New Roman"/>
        </w:rPr>
        <w:t>Wigmore</w:t>
      </w:r>
      <w:proofErr w:type="spellEnd"/>
      <w:r w:rsidRPr="00173F22">
        <w:rPr>
          <w:rFonts w:cs="Times New Roman"/>
        </w:rPr>
        <w:t xml:space="preserve"> test were met: </w:t>
      </w:r>
      <w:r w:rsidRPr="00173F22">
        <w:rPr>
          <w:rFonts w:cs="Times New Roman"/>
          <w:i/>
        </w:rPr>
        <w:t>National Post</w:t>
      </w:r>
      <w:r w:rsidRPr="00173F22">
        <w:rPr>
          <w:rFonts w:cs="Times New Roman"/>
        </w:rPr>
        <w:t>, at paras. 50 et seq.</w:t>
      </w:r>
    </w:p>
    <w:p w:rsidR="00B025ED" w:rsidRPr="00173F22" w:rsidRDefault="00B025ED" w:rsidP="00B025ED">
      <w:pPr>
        <w:pStyle w:val="ParaNoNdepar-AltN"/>
        <w:spacing w:before="0"/>
        <w:rPr>
          <w:rFonts w:cs="Times New Roman"/>
        </w:rPr>
      </w:pPr>
      <w:r w:rsidRPr="00173F22">
        <w:rPr>
          <w:rFonts w:cs="Times New Roman"/>
        </w:rPr>
        <w:t xml:space="preserve">The four </w:t>
      </w:r>
      <w:proofErr w:type="spellStart"/>
      <w:r w:rsidRPr="00173F22">
        <w:rPr>
          <w:rFonts w:cs="Times New Roman"/>
        </w:rPr>
        <w:t>Wigmore</w:t>
      </w:r>
      <w:proofErr w:type="spellEnd"/>
      <w:r w:rsidRPr="00173F22">
        <w:rPr>
          <w:rFonts w:cs="Times New Roman"/>
          <w:i/>
        </w:rPr>
        <w:t xml:space="preserve"> </w:t>
      </w:r>
      <w:r w:rsidRPr="00173F22">
        <w:rPr>
          <w:rFonts w:cs="Times New Roman"/>
        </w:rPr>
        <w:t xml:space="preserve">criteria were described as follows in </w:t>
      </w:r>
      <w:r w:rsidRPr="00173F22">
        <w:rPr>
          <w:rFonts w:cs="Times New Roman"/>
          <w:i/>
        </w:rPr>
        <w:t>National Post</w:t>
      </w:r>
      <w:r w:rsidRPr="00173F22">
        <w:rPr>
          <w:rFonts w:cs="Times New Roman"/>
        </w:rPr>
        <w:t>:</w:t>
      </w:r>
    </w:p>
    <w:p w:rsidR="00B025ED" w:rsidRPr="00173F22" w:rsidRDefault="00B025ED" w:rsidP="00B025ED">
      <w:pPr>
        <w:pStyle w:val="Citation-AltC"/>
        <w:ind w:hanging="446"/>
        <w:contextualSpacing w:val="0"/>
      </w:pPr>
      <w:r w:rsidRPr="00173F22">
        <w:tab/>
        <w:t>First, the communication must originate in a confidence that the identity of the informant will not be disclosed. Second, the confidence must be essential to the relationship in which the communication arises. Third, the relationship must be one which should be “sedulously fostered” in the public good (“Sedulous[</w:t>
      </w:r>
      <w:proofErr w:type="spellStart"/>
      <w:r w:rsidRPr="00173F22">
        <w:t>ly</w:t>
      </w:r>
      <w:proofErr w:type="spellEnd"/>
      <w:r w:rsidRPr="00173F22">
        <w:t>]” being defined .</w:t>
      </w:r>
      <w:r w:rsidR="007420CD">
        <w:t xml:space="preserve"> </w:t>
      </w:r>
      <w:r w:rsidRPr="00173F22">
        <w:t>.</w:t>
      </w:r>
      <w:r w:rsidR="007420CD">
        <w:t xml:space="preserve"> </w:t>
      </w:r>
      <w:r w:rsidRPr="00173F22">
        <w:t>. as “diligent[</w:t>
      </w:r>
      <w:proofErr w:type="spellStart"/>
      <w:r w:rsidRPr="00173F22">
        <w:t>ly</w:t>
      </w:r>
      <w:proofErr w:type="spellEnd"/>
      <w:r w:rsidRPr="00173F22">
        <w:t>] . . . deliberately and consciously”). Finally, if all of these requirements are met, the court must consider whether in the instant case the public interest served by protecting the identity of the informant from disclosure outweighs the public interest in getting at the truth. [para. 53]</w:t>
      </w:r>
    </w:p>
    <w:p w:rsidR="00B025ED" w:rsidRPr="00173F22" w:rsidRDefault="00B025ED" w:rsidP="00B025ED">
      <w:pPr>
        <w:pStyle w:val="ContinueParaSuitedupar-AltP"/>
        <w:spacing w:before="0"/>
        <w:rPr>
          <w:rFonts w:cs="Times New Roman"/>
        </w:rPr>
      </w:pPr>
      <w:r w:rsidRPr="00173F22">
        <w:rPr>
          <w:rFonts w:cs="Times New Roman"/>
        </w:rPr>
        <w:t>The first three criteria were essential. If any one of them was not met, the journalist’s objection was certain to fail. But if the first three criteria were all met, the court proceeded to the balancing exercise required by the fourth.</w:t>
      </w:r>
    </w:p>
    <w:p w:rsidR="00B025ED" w:rsidRPr="00173F22" w:rsidRDefault="00B025ED" w:rsidP="00B025ED">
      <w:pPr>
        <w:pStyle w:val="ParaNoNdepar-AltN"/>
        <w:spacing w:before="0"/>
        <w:rPr>
          <w:rFonts w:cs="Times New Roman"/>
        </w:rPr>
      </w:pPr>
      <w:r w:rsidRPr="00173F22">
        <w:rPr>
          <w:rFonts w:cs="Times New Roman"/>
        </w:rPr>
        <w:lastRenderedPageBreak/>
        <w:t>The balancing exercise required by the final criterion was based on a non</w:t>
      </w:r>
      <w:r w:rsidRPr="00173F22">
        <w:rPr>
          <w:rFonts w:cs="Times New Roman"/>
        </w:rPr>
        <w:noBreakHyphen/>
        <w:t xml:space="preserve">exhaustive list of factors, including the nature and the seriousness of the offence under investigation, the importance of the issue to the proceeding, the status of the journalist in the proceeding (third party or party), the probative value of the evidence being sought, the importance of the journalist’s report for the public, and freedom of the press: </w:t>
      </w:r>
      <w:r w:rsidRPr="00173F22">
        <w:rPr>
          <w:rFonts w:cs="Times New Roman"/>
          <w:i/>
        </w:rPr>
        <w:t>National Post</w:t>
      </w:r>
      <w:r w:rsidRPr="00173F22">
        <w:rPr>
          <w:rFonts w:cs="Times New Roman"/>
        </w:rPr>
        <w:t xml:space="preserve">, at paras. 61 et seq.; </w:t>
      </w:r>
      <w:r w:rsidRPr="00173F22">
        <w:rPr>
          <w:rFonts w:cs="Times New Roman"/>
          <w:i/>
        </w:rPr>
        <w:t>Globe and Mail</w:t>
      </w:r>
      <w:r w:rsidRPr="00173F22">
        <w:rPr>
          <w:rFonts w:cs="Times New Roman"/>
        </w:rPr>
        <w:t>, at paras. 57 et seq.</w:t>
      </w:r>
    </w:p>
    <w:p w:rsidR="00B025ED" w:rsidRPr="00173F22" w:rsidRDefault="00B025ED" w:rsidP="00946E5F">
      <w:pPr>
        <w:pStyle w:val="Title3LevelTitre3Niveau"/>
        <w:spacing w:before="0"/>
        <w:ind w:left="1170" w:hanging="630"/>
        <w:rPr>
          <w:rFonts w:cs="Times New Roman"/>
        </w:rPr>
      </w:pPr>
      <w:r w:rsidRPr="00173F22">
        <w:rPr>
          <w:rFonts w:cs="Times New Roman"/>
          <w:u w:val="none"/>
        </w:rPr>
        <w:t>(2)</w:t>
      </w:r>
      <w:r w:rsidRPr="00173F22">
        <w:rPr>
          <w:rFonts w:cs="Times New Roman"/>
          <w:u w:val="none"/>
        </w:rPr>
        <w:tab/>
      </w:r>
      <w:r w:rsidRPr="00173F22">
        <w:rPr>
          <w:rFonts w:cs="Times New Roman"/>
        </w:rPr>
        <w:t>New Federal Statutory Scheme</w:t>
      </w:r>
    </w:p>
    <w:p w:rsidR="00B025ED" w:rsidRPr="00173F22" w:rsidRDefault="00B025ED" w:rsidP="00B025ED">
      <w:pPr>
        <w:pStyle w:val="ParaNoNdepar-AltN"/>
        <w:spacing w:before="0"/>
        <w:rPr>
          <w:rFonts w:cs="Times New Roman"/>
        </w:rPr>
      </w:pPr>
      <w:r w:rsidRPr="00173F22">
        <w:rPr>
          <w:rFonts w:cs="Times New Roman"/>
        </w:rPr>
        <w:t>Although the new statutory scheme under s. 39.1 CEA is based on the former common law scheme, it differs from that scheme in significant ways, including a shifting of the burden of proof (s. 39.1(9)), and the adoption of new threshold requirements (the statutory definitions of “journalist” and “journalistic source” (s. 39.1(1))</w:t>
      </w:r>
      <w:r w:rsidR="009D08FD">
        <w:rPr>
          <w:rFonts w:cs="Times New Roman"/>
        </w:rPr>
        <w:t>)</w:t>
      </w:r>
      <w:r w:rsidRPr="00173F22">
        <w:rPr>
          <w:rFonts w:cs="Times New Roman"/>
        </w:rPr>
        <w:t xml:space="preserve"> and the criterion of reasonable necessity (s. 39.1(7</w:t>
      </w:r>
      <w:proofErr w:type="gramStart"/>
      <w:r w:rsidRPr="00173F22">
        <w:rPr>
          <w:rFonts w:cs="Times New Roman"/>
        </w:rPr>
        <w:t>)(</w:t>
      </w:r>
      <w:proofErr w:type="gramEnd"/>
      <w:r w:rsidRPr="00173F22">
        <w:rPr>
          <w:rFonts w:cs="Times New Roman"/>
        </w:rPr>
        <w:t>a)). A few words are also in order on the new balancing exercise provided for in s. 39.1(7</w:t>
      </w:r>
      <w:proofErr w:type="gramStart"/>
      <w:r w:rsidRPr="00173F22">
        <w:rPr>
          <w:rFonts w:cs="Times New Roman"/>
        </w:rPr>
        <w:t>)(</w:t>
      </w:r>
      <w:proofErr w:type="gramEnd"/>
      <w:r w:rsidRPr="00173F22">
        <w:rPr>
          <w:rFonts w:cs="Times New Roman"/>
        </w:rPr>
        <w:t>b)</w:t>
      </w:r>
      <w:r>
        <w:rPr>
          <w:rFonts w:cs="Times New Roman"/>
        </w:rPr>
        <w:t xml:space="preserve"> CEA</w:t>
      </w:r>
      <w:r w:rsidRPr="00173F22">
        <w:rPr>
          <w:rFonts w:cs="Times New Roman"/>
        </w:rPr>
        <w:t>, which is different from the one that was required before the enactment of the new legislation. I will begin by reviewing the new statutory scheme and its various components, after which I will conclude by summarizing the procedure to follow in applying s. 39.1 CEA.</w:t>
      </w:r>
    </w:p>
    <w:p w:rsidR="00B025ED" w:rsidRPr="00173F22" w:rsidRDefault="00B025ED" w:rsidP="00E23525">
      <w:pPr>
        <w:pStyle w:val="Title5LevelTitre5Niveau"/>
        <w:numPr>
          <w:ilvl w:val="0"/>
          <w:numId w:val="5"/>
        </w:numPr>
        <w:tabs>
          <w:tab w:val="left" w:pos="1170"/>
        </w:tabs>
        <w:spacing w:before="0"/>
        <w:ind w:left="1170" w:hanging="630"/>
        <w:rPr>
          <w:rFonts w:cs="Times New Roman"/>
          <w:i/>
          <w:u w:val="none"/>
        </w:rPr>
      </w:pPr>
      <w:r w:rsidRPr="00173F22">
        <w:rPr>
          <w:rFonts w:cs="Times New Roman"/>
          <w:i/>
          <w:u w:val="none"/>
        </w:rPr>
        <w:t>Burden of Proof</w:t>
      </w:r>
    </w:p>
    <w:p w:rsidR="00B025ED" w:rsidRPr="00173F22" w:rsidRDefault="00B025ED" w:rsidP="00B025ED">
      <w:pPr>
        <w:pStyle w:val="ParaNoNdepar-AltN"/>
        <w:spacing w:before="0"/>
        <w:rPr>
          <w:rFonts w:cs="Times New Roman"/>
        </w:rPr>
      </w:pPr>
      <w:r w:rsidRPr="00173F22">
        <w:rPr>
          <w:rFonts w:cs="Times New Roman"/>
        </w:rPr>
        <w:t>The common law scheme included an exceptional privilege against disclosure. Journalists claiming this privilege had to show that it applied on a case</w:t>
      </w:r>
      <w:r w:rsidRPr="00173F22">
        <w:rPr>
          <w:rFonts w:cs="Times New Roman"/>
        </w:rPr>
        <w:noBreakHyphen/>
        <w:t>by</w:t>
      </w:r>
      <w:r w:rsidRPr="00173F22">
        <w:rPr>
          <w:rFonts w:cs="Times New Roman"/>
        </w:rPr>
        <w:noBreakHyphen/>
        <w:t xml:space="preserve">case basis. There was thus a presumption in favour of disclosing the identity </w:t>
      </w:r>
      <w:r w:rsidRPr="00173F22">
        <w:rPr>
          <w:rFonts w:cs="Times New Roman"/>
        </w:rPr>
        <w:lastRenderedPageBreak/>
        <w:t xml:space="preserve">of a source that applied unless the journalist met the four criteria of the </w:t>
      </w:r>
      <w:proofErr w:type="spellStart"/>
      <w:r w:rsidRPr="00173F22">
        <w:rPr>
          <w:rFonts w:cs="Times New Roman"/>
        </w:rPr>
        <w:t>Wigmore</w:t>
      </w:r>
      <w:proofErr w:type="spellEnd"/>
      <w:r w:rsidRPr="00173F22">
        <w:rPr>
          <w:rFonts w:cs="Times New Roman"/>
        </w:rPr>
        <w:t xml:space="preserve"> test. Where the test under s. 39.1 CEA is concerned, on the other hand, the journalist’s only burden is to prove that he or she is a “journalist”, and his or her confidential source a “journalistic source”, as defined in s. 39.1(1), and if the journalist discharges that burden, it is the other party — the one who seeks the disclosure of information or a document that identifies or is likely to identify a journalistic source — who must then prove that the conditions for judicial authorization of the disclosure are met.</w:t>
      </w:r>
    </w:p>
    <w:p w:rsidR="00B025ED" w:rsidRPr="00173F22" w:rsidRDefault="00B025ED" w:rsidP="00B025ED">
      <w:pPr>
        <w:pStyle w:val="ParaNoNdepar-AltN"/>
        <w:spacing w:before="0"/>
        <w:rPr>
          <w:rFonts w:cs="Times New Roman"/>
        </w:rPr>
      </w:pPr>
      <w:r w:rsidRPr="00173F22">
        <w:rPr>
          <w:rFonts w:cs="Times New Roman"/>
        </w:rPr>
        <w:t>This shifting of the burden of proof is unquestionably the most important difference between the two schemes. If a journalist objects to the disclosure of information on the ground that it is likely to identify a confidential source, non</w:t>
      </w:r>
      <w:r w:rsidRPr="00173F22">
        <w:rPr>
          <w:rFonts w:cs="Times New Roman"/>
        </w:rPr>
        <w:noBreakHyphen/>
        <w:t xml:space="preserve">disclosure should be the starting point for the analysis. It is then up to the party seeking to obtain the information to </w:t>
      </w:r>
      <w:r w:rsidRPr="00173F22">
        <w:rPr>
          <w:rFonts w:cs="Times New Roman"/>
          <w:szCs w:val="24"/>
        </w:rPr>
        <w:t>rebut this presumption. Whereas the applicability of the journalist</w:t>
      </w:r>
      <w:r w:rsidRPr="00173F22">
        <w:rPr>
          <w:rFonts w:cs="Times New Roman"/>
          <w:szCs w:val="24"/>
        </w:rPr>
        <w:noBreakHyphen/>
        <w:t>source privilege was the exception in the former scheme</w:t>
      </w:r>
      <w:r w:rsidRPr="00173F22">
        <w:rPr>
          <w:rFonts w:cs="Times New Roman"/>
        </w:rPr>
        <w:t xml:space="preserve">, it has now become the rule. I note that this allocation of the burden of proof had already been considered in relation to the fourth criterion of the </w:t>
      </w:r>
      <w:proofErr w:type="spellStart"/>
      <w:r w:rsidRPr="00173F22">
        <w:rPr>
          <w:rFonts w:cs="Times New Roman"/>
        </w:rPr>
        <w:t>Wigmore</w:t>
      </w:r>
      <w:proofErr w:type="spellEnd"/>
      <w:r w:rsidRPr="00173F22">
        <w:rPr>
          <w:rFonts w:cs="Times New Roman"/>
        </w:rPr>
        <w:t xml:space="preserve"> test before ultimately being rejected by this Court: see </w:t>
      </w:r>
      <w:r w:rsidRPr="00173F22">
        <w:rPr>
          <w:rFonts w:cs="Times New Roman"/>
          <w:i/>
        </w:rPr>
        <w:t>Globe and Mail</w:t>
      </w:r>
      <w:r w:rsidRPr="00173F22">
        <w:rPr>
          <w:rFonts w:cs="Times New Roman"/>
        </w:rPr>
        <w:t>, at para. 24. I also note that the court now has the power to raise on its own initiative the issue of the disclosure, or non</w:t>
      </w:r>
      <w:r w:rsidRPr="00173F22">
        <w:rPr>
          <w:rFonts w:cs="Times New Roman"/>
        </w:rPr>
        <w:noBreakHyphen/>
        <w:t>disclosure, of information that is likely to identify a source: s. 39.1(4) CEA. These are two significant differences that illustrate the paradigm shift that has resulted from the enactment of s. 39.1 CEA.</w:t>
      </w:r>
    </w:p>
    <w:p w:rsidR="00B025ED" w:rsidRPr="00173F22" w:rsidRDefault="00B025ED" w:rsidP="00B025ED">
      <w:pPr>
        <w:pStyle w:val="ParaNoNdepar-AltN"/>
        <w:spacing w:before="0"/>
        <w:rPr>
          <w:rFonts w:cs="Times New Roman"/>
        </w:rPr>
      </w:pPr>
      <w:r w:rsidRPr="00173F22">
        <w:rPr>
          <w:rFonts w:cs="Times New Roman"/>
        </w:rPr>
        <w:lastRenderedPageBreak/>
        <w:t>It is not unreasonable to consider that an inadequate protection of sources could contribute to their drying up. Their confidentiality must be protected in order to encourage their contributions and thereby favour the existence of strong and effective investigative journalism.</w:t>
      </w:r>
    </w:p>
    <w:p w:rsidR="00B025ED" w:rsidRPr="00173F22" w:rsidRDefault="00B025ED" w:rsidP="004D0B98">
      <w:pPr>
        <w:pStyle w:val="Title5LevelTitre5Niveau"/>
        <w:numPr>
          <w:ilvl w:val="0"/>
          <w:numId w:val="5"/>
        </w:numPr>
        <w:spacing w:before="0"/>
        <w:ind w:left="1170" w:hanging="630"/>
        <w:rPr>
          <w:rFonts w:cs="Times New Roman"/>
          <w:i/>
          <w:u w:val="none"/>
        </w:rPr>
      </w:pPr>
      <w:r w:rsidRPr="00173F22">
        <w:rPr>
          <w:rFonts w:cs="Times New Roman"/>
          <w:i/>
          <w:u w:val="none"/>
        </w:rPr>
        <w:t>Threshold Requirements: Statutory Definitions and Reasonable Necessity</w:t>
      </w:r>
    </w:p>
    <w:p w:rsidR="00B025ED" w:rsidRPr="00173F22" w:rsidRDefault="00B025ED" w:rsidP="004D0B98">
      <w:pPr>
        <w:pStyle w:val="Title5LevelTitre5Niveau"/>
        <w:numPr>
          <w:ilvl w:val="6"/>
          <w:numId w:val="1"/>
        </w:numPr>
        <w:spacing w:before="0"/>
        <w:ind w:left="1166" w:hanging="626"/>
        <w:rPr>
          <w:rFonts w:cs="Times New Roman"/>
        </w:rPr>
      </w:pPr>
      <w:r w:rsidRPr="00173F22">
        <w:rPr>
          <w:rFonts w:cs="Times New Roman"/>
        </w:rPr>
        <w:t>Statutory Definitions</w:t>
      </w:r>
    </w:p>
    <w:p w:rsidR="00B025ED" w:rsidRPr="00173F22" w:rsidRDefault="00B025ED" w:rsidP="00B025ED">
      <w:pPr>
        <w:pStyle w:val="ParaNoNdepar-AltN"/>
        <w:spacing w:before="0"/>
        <w:rPr>
          <w:rFonts w:cs="Times New Roman"/>
        </w:rPr>
      </w:pPr>
      <w:r w:rsidRPr="00173F22">
        <w:rPr>
          <w:rFonts w:cs="Times New Roman"/>
        </w:rPr>
        <w:t>Parliament took a step that the Court had not taken in its decisions (</w:t>
      </w:r>
      <w:r w:rsidRPr="00173F22">
        <w:rPr>
          <w:rFonts w:cs="Times New Roman"/>
          <w:i/>
        </w:rPr>
        <w:t>National Post</w:t>
      </w:r>
      <w:r w:rsidRPr="00173F22">
        <w:rPr>
          <w:rFonts w:cs="Times New Roman"/>
        </w:rPr>
        <w:t>, at paras. 42 et seq.) in choosing to formally define the concepts of “journalist” and “journalistic source”:</w:t>
      </w:r>
    </w:p>
    <w:p w:rsidR="00B025ED" w:rsidRPr="00173F22" w:rsidRDefault="00B025ED" w:rsidP="00B025ED">
      <w:pPr>
        <w:pStyle w:val="Citation-AltC"/>
        <w:spacing w:after="240"/>
        <w:ind w:left="1168" w:hanging="1166"/>
        <w:contextualSpacing w:val="0"/>
      </w:pPr>
      <w:r w:rsidRPr="00173F22">
        <w:tab/>
      </w:r>
      <w:r w:rsidRPr="00173F22">
        <w:rPr>
          <w:b/>
        </w:rPr>
        <w:t>39.1 (1)</w:t>
      </w:r>
      <w:r w:rsidRPr="00173F22">
        <w:t xml:space="preserve"> </w:t>
      </w:r>
      <w:proofErr w:type="gramStart"/>
      <w:r w:rsidRPr="00173F22">
        <w:t>The</w:t>
      </w:r>
      <w:proofErr w:type="gramEnd"/>
      <w:r w:rsidRPr="00173F22">
        <w:t xml:space="preserve"> following definitions apply in this section.</w:t>
      </w:r>
    </w:p>
    <w:p w:rsidR="00B025ED" w:rsidRPr="00173F22" w:rsidRDefault="00B025ED" w:rsidP="00B025ED">
      <w:pPr>
        <w:pStyle w:val="Citation-AltC"/>
        <w:spacing w:after="240"/>
        <w:ind w:left="1168" w:hanging="1166"/>
        <w:contextualSpacing w:val="0"/>
        <w:jc w:val="center"/>
      </w:pPr>
      <w:r w:rsidRPr="00173F22">
        <w:tab/>
        <w:t>.</w:t>
      </w:r>
      <w:r w:rsidR="00F12315">
        <w:t xml:space="preserve"> </w:t>
      </w:r>
      <w:r w:rsidRPr="00173F22">
        <w:t>.</w:t>
      </w:r>
      <w:r w:rsidR="00F12315">
        <w:t xml:space="preserve"> </w:t>
      </w:r>
      <w:r w:rsidRPr="00173F22">
        <w:t>.</w:t>
      </w:r>
    </w:p>
    <w:p w:rsidR="00B025ED" w:rsidRPr="00173F22" w:rsidRDefault="00B025ED" w:rsidP="00B025ED">
      <w:pPr>
        <w:pStyle w:val="Citation-AltC"/>
        <w:spacing w:after="240"/>
        <w:ind w:left="1168" w:hanging="1166"/>
        <w:contextualSpacing w:val="0"/>
      </w:pPr>
      <w:r w:rsidRPr="00173F22">
        <w:rPr>
          <w:b/>
          <w:i/>
        </w:rPr>
        <w:tab/>
      </w:r>
      <w:proofErr w:type="gramStart"/>
      <w:r w:rsidRPr="00173F22">
        <w:rPr>
          <w:b/>
          <w:i/>
        </w:rPr>
        <w:t>journalist</w:t>
      </w:r>
      <w:proofErr w:type="gramEnd"/>
      <w:r w:rsidRPr="00173F22">
        <w:t> </w:t>
      </w:r>
      <w:r w:rsidRPr="00173F22">
        <w:t>means a person whose main occupation is to contribute directly, either regularly or occasionally, for consideration, to the collection, writing or production of information for dissemination by the media, or anyone who assists such a person.</w:t>
      </w:r>
    </w:p>
    <w:p w:rsidR="00B025ED" w:rsidRPr="00173F22" w:rsidRDefault="00B025ED" w:rsidP="00B025ED">
      <w:pPr>
        <w:pStyle w:val="Citation-AltC"/>
        <w:ind w:hanging="1166"/>
      </w:pPr>
      <w:r w:rsidRPr="00173F22">
        <w:rPr>
          <w:b/>
          <w:i/>
        </w:rPr>
        <w:tab/>
      </w:r>
      <w:proofErr w:type="gramStart"/>
      <w:r w:rsidRPr="00173F22">
        <w:rPr>
          <w:b/>
          <w:i/>
        </w:rPr>
        <w:t>journalistic</w:t>
      </w:r>
      <w:proofErr w:type="gramEnd"/>
      <w:r w:rsidRPr="00173F22">
        <w:rPr>
          <w:b/>
          <w:i/>
        </w:rPr>
        <w:t xml:space="preserve"> source</w:t>
      </w:r>
      <w:r w:rsidR="004D1B97">
        <w:rPr>
          <w:b/>
          <w:i/>
        </w:rPr>
        <w:t> </w:t>
      </w:r>
      <w:r w:rsidRPr="00173F22">
        <w:t>means a source that confidentially transmits information to a journalist on the journalist’s undertaking not to divulge the identity of the source, whose anonymity is essential to the relationship between the journalist and the source.</w:t>
      </w:r>
    </w:p>
    <w:p w:rsidR="00B025ED" w:rsidRPr="00173F22" w:rsidRDefault="00B025ED" w:rsidP="00B025ED">
      <w:pPr>
        <w:pStyle w:val="ContinueParaSuitedupar-AltP"/>
        <w:spacing w:before="0"/>
        <w:rPr>
          <w:rFonts w:cs="Times New Roman"/>
        </w:rPr>
      </w:pPr>
      <w:r w:rsidRPr="00173F22">
        <w:rPr>
          <w:rFonts w:cs="Times New Roman"/>
        </w:rPr>
        <w:t xml:space="preserve">Having the status of a “journalist” and a “journalistic source” within the meaning of the CEA is a threshold requirement for the application of the new scheme. Section 39.1(3) specifies that the word “journalist” includes “an individual who was a journalist </w:t>
      </w:r>
      <w:r w:rsidRPr="00173F22">
        <w:rPr>
          <w:rFonts w:cs="Times New Roman"/>
        </w:rPr>
        <w:lastRenderedPageBreak/>
        <w:t>when information that identifies or is likely to identify the journalistic source was transmitted to that individual”.</w:t>
      </w:r>
    </w:p>
    <w:p w:rsidR="00B025ED" w:rsidRPr="00173F22" w:rsidRDefault="00B025ED" w:rsidP="00B025ED">
      <w:pPr>
        <w:pStyle w:val="ParaNoNdepar-AltN"/>
        <w:spacing w:before="0"/>
        <w:rPr>
          <w:rFonts w:cs="Times New Roman"/>
        </w:rPr>
      </w:pPr>
      <w:r w:rsidRPr="00173F22">
        <w:rPr>
          <w:rFonts w:cs="Times New Roman"/>
        </w:rPr>
        <w:t xml:space="preserve">These definitions overlap the first three criteria of the </w:t>
      </w:r>
      <w:proofErr w:type="spellStart"/>
      <w:r w:rsidRPr="00173F22">
        <w:rPr>
          <w:rFonts w:cs="Times New Roman"/>
        </w:rPr>
        <w:t>Wigmore</w:t>
      </w:r>
      <w:proofErr w:type="spellEnd"/>
      <w:r w:rsidRPr="00173F22">
        <w:rPr>
          <w:rFonts w:cs="Times New Roman"/>
        </w:rPr>
        <w:t xml:space="preserve"> test, whose role was essentially to determine whether the relationship at issue could correctly be characterized as being “journalistic”. The third criterion, that of the existence of a relationship that was “sedulously fostered”, was based on the premise that the maintenance of constant relationships between “journalist</w:t>
      </w:r>
      <w:r w:rsidR="00996372">
        <w:rPr>
          <w:rFonts w:cs="Times New Roman"/>
        </w:rPr>
        <w:t>[</w:t>
      </w:r>
      <w:r w:rsidRPr="00173F22">
        <w:rPr>
          <w:rFonts w:cs="Times New Roman"/>
        </w:rPr>
        <w:t>s</w:t>
      </w:r>
      <w:r w:rsidR="00996372">
        <w:rPr>
          <w:rFonts w:cs="Times New Roman"/>
        </w:rPr>
        <w:t>]</w:t>
      </w:r>
      <w:r w:rsidRPr="00173F22">
        <w:rPr>
          <w:rFonts w:cs="Times New Roman"/>
        </w:rPr>
        <w:t>” and “journalistic source</w:t>
      </w:r>
      <w:r w:rsidR="00996372">
        <w:rPr>
          <w:rFonts w:cs="Times New Roman"/>
        </w:rPr>
        <w:t>[</w:t>
      </w:r>
      <w:r w:rsidRPr="00173F22">
        <w:rPr>
          <w:rFonts w:cs="Times New Roman"/>
        </w:rPr>
        <w:t>s</w:t>
      </w:r>
      <w:r w:rsidR="00996372">
        <w:rPr>
          <w:rFonts w:cs="Times New Roman"/>
        </w:rPr>
        <w:t>]</w:t>
      </w:r>
      <w:r w:rsidRPr="00173F22">
        <w:rPr>
          <w:rFonts w:cs="Times New Roman"/>
        </w:rPr>
        <w:t>” is generally in the public interest. That being said, as we will see below, this premise does not bar a court, in the course of the balancing exercise, from assessing the importance of this relationship in the context of the actual facts of a specific case, especially where a clear attempt has been made to divert journalism from its legitimate purposes.</w:t>
      </w:r>
    </w:p>
    <w:p w:rsidR="00B025ED" w:rsidRPr="00173F22" w:rsidRDefault="00B025ED" w:rsidP="00B025ED">
      <w:pPr>
        <w:pStyle w:val="ParaNoNdepar-AltN"/>
        <w:spacing w:before="0"/>
        <w:rPr>
          <w:rFonts w:cs="Times New Roman"/>
        </w:rPr>
      </w:pPr>
      <w:r w:rsidRPr="00173F22">
        <w:rPr>
          <w:rFonts w:cs="Times New Roman"/>
        </w:rPr>
        <w:t>At first blush, the definitions of “journalist” and “journalistic source” in the CEA limit the spectrum of persons who can claim the privilege against disclosure. I would stress that nothing in these reasons should be regarded as deciding the question — which, moreover, is not before the Court — whether participants in a public debate who do not fall within the scope of these definitions can nonetheless invoke the common law scheme on this point on a residual basis. This question is beyond the scope of this appeal, and I will therefore not answer it.</w:t>
      </w:r>
    </w:p>
    <w:p w:rsidR="00B025ED" w:rsidRPr="00173F22" w:rsidRDefault="00B025ED" w:rsidP="003F4338">
      <w:pPr>
        <w:pStyle w:val="Title5LevelTitre5Niveau"/>
        <w:numPr>
          <w:ilvl w:val="3"/>
          <w:numId w:val="4"/>
        </w:numPr>
        <w:spacing w:before="0"/>
        <w:ind w:left="1166" w:hanging="626"/>
        <w:rPr>
          <w:rFonts w:cs="Times New Roman"/>
        </w:rPr>
      </w:pPr>
      <w:r w:rsidRPr="00173F22">
        <w:rPr>
          <w:rFonts w:cs="Times New Roman"/>
        </w:rPr>
        <w:t>Reasonable Necessity</w:t>
      </w:r>
    </w:p>
    <w:p w:rsidR="00B025ED" w:rsidRPr="00173F22" w:rsidRDefault="00B025ED" w:rsidP="00B025ED">
      <w:pPr>
        <w:pStyle w:val="ParaNoNdepar-AltN"/>
        <w:spacing w:before="0"/>
        <w:rPr>
          <w:rFonts w:cs="Times New Roman"/>
        </w:rPr>
      </w:pPr>
      <w:r w:rsidRPr="00173F22">
        <w:rPr>
          <w:rFonts w:cs="Times New Roman"/>
        </w:rPr>
        <w:lastRenderedPageBreak/>
        <w:t>Once it has been shown that the journalist and his or her journalistic source fall within the statutory definitions of those terms set out in s. 39.1(1) and (3) CEA, another threshold requirement</w:t>
      </w:r>
      <w:r w:rsidRPr="00173F22">
        <w:rPr>
          <w:rFonts w:cs="Times New Roman"/>
          <w:szCs w:val="24"/>
        </w:rPr>
        <w:t xml:space="preserve"> for the court’s balancing exercise must be met: that of reasonable necessity (s. 39.1(7)(a) CEA). An applicant who wishes to obtain the disclosure of information or of a document must establish that the information or document “cannot be produced in evidence by any other reasonable means”.</w:t>
      </w:r>
    </w:p>
    <w:p w:rsidR="00B025ED" w:rsidRPr="00173F22" w:rsidRDefault="00B025ED" w:rsidP="00B025ED">
      <w:pPr>
        <w:pStyle w:val="ParaNoNdepar-AltN"/>
        <w:spacing w:before="0"/>
        <w:rPr>
          <w:rFonts w:cs="Times New Roman"/>
        </w:rPr>
      </w:pPr>
      <w:r w:rsidRPr="00173F22">
        <w:rPr>
          <w:rFonts w:cs="Times New Roman"/>
        </w:rPr>
        <w:t>This criterion based on reasonable necessity existed in the former common law scheme in the context both of search warrants targeting the media (</w:t>
      </w:r>
      <w:r w:rsidRPr="00173F22">
        <w:rPr>
          <w:rFonts w:cs="Times New Roman"/>
          <w:i/>
          <w:iCs/>
          <w:szCs w:val="24"/>
        </w:rPr>
        <w:t>C</w:t>
      </w:r>
      <w:r>
        <w:rPr>
          <w:rFonts w:cs="Times New Roman"/>
          <w:i/>
          <w:iCs/>
          <w:szCs w:val="24"/>
        </w:rPr>
        <w:t>anadian Broadcasting Corp.</w:t>
      </w:r>
      <w:r w:rsidRPr="00173F22">
        <w:rPr>
          <w:rFonts w:cs="Times New Roman"/>
          <w:i/>
          <w:iCs/>
          <w:szCs w:val="24"/>
        </w:rPr>
        <w:t xml:space="preserve"> v. </w:t>
      </w:r>
      <w:proofErr w:type="spellStart"/>
      <w:r w:rsidRPr="00173F22">
        <w:rPr>
          <w:rFonts w:cs="Times New Roman"/>
          <w:i/>
          <w:iCs/>
          <w:szCs w:val="24"/>
        </w:rPr>
        <w:t>Lessard</w:t>
      </w:r>
      <w:proofErr w:type="spellEnd"/>
      <w:r w:rsidRPr="00173F22">
        <w:rPr>
          <w:rFonts w:cs="Times New Roman"/>
          <w:szCs w:val="24"/>
        </w:rPr>
        <w:t>, [1991] 3 S.C.R. 421</w:t>
      </w:r>
      <w:r w:rsidRPr="00173F22">
        <w:rPr>
          <w:rFonts w:cs="Times New Roman"/>
        </w:rPr>
        <w:t>, at pp. 431</w:t>
      </w:r>
      <w:r w:rsidRPr="00173F22">
        <w:rPr>
          <w:rFonts w:cs="Times New Roman"/>
        </w:rPr>
        <w:noBreakHyphen/>
        <w:t xml:space="preserve">32; </w:t>
      </w:r>
      <w:r w:rsidRPr="00173F22">
        <w:rPr>
          <w:rFonts w:cs="Times New Roman"/>
          <w:i/>
        </w:rPr>
        <w:t>Vice Media</w:t>
      </w:r>
      <w:r w:rsidRPr="00173F22">
        <w:rPr>
          <w:rFonts w:cs="Times New Roman"/>
        </w:rPr>
        <w:t xml:space="preserve">, at para. 16) and of the </w:t>
      </w:r>
      <w:proofErr w:type="spellStart"/>
      <w:r w:rsidRPr="00173F22">
        <w:rPr>
          <w:rFonts w:cs="Times New Roman"/>
        </w:rPr>
        <w:t>Wigmore</w:t>
      </w:r>
      <w:proofErr w:type="spellEnd"/>
      <w:r w:rsidRPr="00173F22">
        <w:rPr>
          <w:rFonts w:cs="Times New Roman"/>
        </w:rPr>
        <w:t xml:space="preserve"> test, of which it was one of the relevant factors (</w:t>
      </w:r>
      <w:r w:rsidRPr="00173F22">
        <w:rPr>
          <w:rFonts w:cs="Times New Roman"/>
          <w:i/>
        </w:rPr>
        <w:t>National Post</w:t>
      </w:r>
      <w:r w:rsidRPr="00173F22">
        <w:rPr>
          <w:rFonts w:cs="Times New Roman"/>
        </w:rPr>
        <w:t>, at paras. 66</w:t>
      </w:r>
      <w:r w:rsidRPr="00173F22">
        <w:rPr>
          <w:rFonts w:cs="Times New Roman"/>
        </w:rPr>
        <w:noBreakHyphen/>
        <w:t xml:space="preserve">67). Moreover, the idea that particular importance should be attached to this criterion, indeed that it should be an essential condition for the disclosure of confidential information, was expressed in two dissents: </w:t>
      </w:r>
      <w:proofErr w:type="spellStart"/>
      <w:r w:rsidRPr="00173F22">
        <w:rPr>
          <w:rFonts w:cs="Times New Roman"/>
          <w:i/>
        </w:rPr>
        <w:t>Lessard</w:t>
      </w:r>
      <w:proofErr w:type="spellEnd"/>
      <w:r w:rsidR="009C676D">
        <w:rPr>
          <w:rFonts w:cs="Times New Roman"/>
        </w:rPr>
        <w:t xml:space="preserve">, at p. 455, per </w:t>
      </w:r>
      <w:proofErr w:type="spellStart"/>
      <w:r w:rsidR="009C676D">
        <w:rPr>
          <w:rFonts w:cs="Times New Roman"/>
        </w:rPr>
        <w:t>McLachlin</w:t>
      </w:r>
      <w:proofErr w:type="spellEnd"/>
      <w:r w:rsidR="009C676D">
        <w:rPr>
          <w:rFonts w:cs="Times New Roman"/>
        </w:rPr>
        <w:t> </w:t>
      </w:r>
      <w:r w:rsidRPr="00173F22">
        <w:rPr>
          <w:rFonts w:cs="Times New Roman"/>
        </w:rPr>
        <w:t xml:space="preserve">J. (as she then was); see also </w:t>
      </w:r>
      <w:r w:rsidRPr="00173F22">
        <w:rPr>
          <w:rFonts w:cs="Times New Roman"/>
          <w:i/>
        </w:rPr>
        <w:t>National Post</w:t>
      </w:r>
      <w:r w:rsidR="009C676D">
        <w:rPr>
          <w:rFonts w:cs="Times New Roman"/>
        </w:rPr>
        <w:t>, at paras. 147</w:t>
      </w:r>
      <w:r w:rsidR="009C676D">
        <w:rPr>
          <w:rFonts w:cs="Times New Roman"/>
        </w:rPr>
        <w:noBreakHyphen/>
        <w:t xml:space="preserve">49, per </w:t>
      </w:r>
      <w:proofErr w:type="spellStart"/>
      <w:r w:rsidR="009C676D">
        <w:rPr>
          <w:rFonts w:cs="Times New Roman"/>
        </w:rPr>
        <w:t>Abella</w:t>
      </w:r>
      <w:proofErr w:type="spellEnd"/>
      <w:r w:rsidR="009C676D">
        <w:rPr>
          <w:rFonts w:cs="Times New Roman"/>
        </w:rPr>
        <w:t> </w:t>
      </w:r>
      <w:r w:rsidRPr="00173F22">
        <w:rPr>
          <w:rFonts w:cs="Times New Roman"/>
        </w:rPr>
        <w:t xml:space="preserve">J. These dissenting reasons seem to have been a source of inspiration for the reasons in </w:t>
      </w:r>
      <w:r w:rsidRPr="00173F22">
        <w:rPr>
          <w:rFonts w:cs="Times New Roman"/>
          <w:i/>
        </w:rPr>
        <w:t>Globe and Mail</w:t>
      </w:r>
      <w:r w:rsidRPr="00173F22">
        <w:rPr>
          <w:rFonts w:cs="Times New Roman"/>
        </w:rPr>
        <w:t>, in which the Court held that, although reasonable necessity was not explicitly found to be determinative, a court must determine whether the information is available by any other means. It is thus only as a last resort that a court should “[r]</w:t>
      </w:r>
      <w:proofErr w:type="spellStart"/>
      <w:r w:rsidRPr="00173F22">
        <w:rPr>
          <w:rFonts w:cs="Times New Roman"/>
        </w:rPr>
        <w:t>equir</w:t>
      </w:r>
      <w:proofErr w:type="spellEnd"/>
      <w:r w:rsidRPr="00173F22">
        <w:rPr>
          <w:rFonts w:cs="Times New Roman"/>
        </w:rPr>
        <w:t xml:space="preserve">[e] a journalist to breach a confidentiality undertaking with a source”: </w:t>
      </w:r>
      <w:r w:rsidRPr="00173F22">
        <w:rPr>
          <w:rFonts w:cs="Times New Roman"/>
          <w:i/>
        </w:rPr>
        <w:t>Globe and Mail</w:t>
      </w:r>
      <w:r w:rsidRPr="00173F22">
        <w:rPr>
          <w:rFonts w:cs="Times New Roman"/>
        </w:rPr>
        <w:t>, at paras. 62</w:t>
      </w:r>
      <w:r w:rsidRPr="00173F22">
        <w:rPr>
          <w:rFonts w:cs="Times New Roman"/>
        </w:rPr>
        <w:noBreakHyphen/>
        <w:t>63. The fact that the reasonable necessity criterion is provided for in s. 39.1(7</w:t>
      </w:r>
      <w:proofErr w:type="gramStart"/>
      <w:r w:rsidRPr="00173F22">
        <w:rPr>
          <w:rFonts w:cs="Times New Roman"/>
        </w:rPr>
        <w:t>)(</w:t>
      </w:r>
      <w:proofErr w:type="gramEnd"/>
      <w:r w:rsidRPr="00173F22">
        <w:rPr>
          <w:rFonts w:cs="Times New Roman"/>
        </w:rPr>
        <w:t xml:space="preserve">a) CEA means that it is now a threshold requirement. If the applicant </w:t>
      </w:r>
      <w:r w:rsidRPr="00173F22">
        <w:rPr>
          <w:rFonts w:cs="Times New Roman"/>
        </w:rPr>
        <w:lastRenderedPageBreak/>
        <w:t>meets this requirement, the court will turn to the core of the analysis required by the new statutory scheme: the balancing exercise under s. 39.1(7</w:t>
      </w:r>
      <w:proofErr w:type="gramStart"/>
      <w:r w:rsidRPr="00173F22">
        <w:rPr>
          <w:rFonts w:cs="Times New Roman"/>
        </w:rPr>
        <w:t>)(</w:t>
      </w:r>
      <w:proofErr w:type="gramEnd"/>
      <w:r w:rsidRPr="00173F22">
        <w:rPr>
          <w:rFonts w:cs="Times New Roman"/>
        </w:rPr>
        <w:t>b) CEA.</w:t>
      </w:r>
    </w:p>
    <w:p w:rsidR="00B025ED" w:rsidRPr="00173F22" w:rsidRDefault="00B025ED" w:rsidP="002B6FA4">
      <w:pPr>
        <w:pStyle w:val="Title5LevelTitre5Niveau"/>
        <w:numPr>
          <w:ilvl w:val="0"/>
          <w:numId w:val="5"/>
        </w:numPr>
        <w:spacing w:before="0"/>
        <w:ind w:left="1170" w:hanging="630"/>
        <w:rPr>
          <w:rFonts w:cs="Times New Roman"/>
          <w:i/>
          <w:u w:val="none"/>
        </w:rPr>
      </w:pPr>
      <w:r w:rsidRPr="00173F22">
        <w:rPr>
          <w:rFonts w:cs="Times New Roman"/>
          <w:i/>
          <w:u w:val="none"/>
        </w:rPr>
        <w:t>Balancing Exercise</w:t>
      </w:r>
    </w:p>
    <w:p w:rsidR="00B025ED" w:rsidRPr="00173F22" w:rsidRDefault="00B025ED" w:rsidP="00B025ED">
      <w:pPr>
        <w:pStyle w:val="ParaNoNdepar-AltN"/>
        <w:spacing w:before="0"/>
        <w:rPr>
          <w:rFonts w:cs="Times New Roman"/>
        </w:rPr>
      </w:pPr>
      <w:r w:rsidRPr="00173F22">
        <w:rPr>
          <w:rFonts w:cs="Times New Roman"/>
        </w:rPr>
        <w:t xml:space="preserve">The court proceeds to this balancing exercise only after the conditions with respect to the statutory definitions and to the need for the journalist’s participation in order for the information to be obtained are met. Section </w:t>
      </w:r>
      <w:r w:rsidRPr="00173F22">
        <w:rPr>
          <w:rFonts w:cs="Times New Roman"/>
          <w:lang w:bidi="en-US"/>
        </w:rPr>
        <w:t>39.1(7</w:t>
      </w:r>
      <w:proofErr w:type="gramStart"/>
      <w:r w:rsidRPr="00173F22">
        <w:rPr>
          <w:rFonts w:cs="Times New Roman"/>
          <w:lang w:bidi="en-US"/>
        </w:rPr>
        <w:t>)(</w:t>
      </w:r>
      <w:proofErr w:type="gramEnd"/>
      <w:r w:rsidRPr="00173F22">
        <w:rPr>
          <w:rFonts w:cs="Times New Roman"/>
          <w:lang w:bidi="en-US"/>
        </w:rPr>
        <w:t>b) CEA</w:t>
      </w:r>
      <w:r w:rsidRPr="00173F22">
        <w:rPr>
          <w:rFonts w:cs="Times New Roman"/>
        </w:rPr>
        <w:t>, which is in fact the heart of the new statutory scheme, requires that the court decide whether “the public interest in the administration of justice outweighs the public interest in preserving the confidentiality of the journalistic source” in question. The court must take account of the following criteria, among others: (</w:t>
      </w:r>
      <w:proofErr w:type="spellStart"/>
      <w:r w:rsidRPr="00173F22">
        <w:rPr>
          <w:rFonts w:cs="Times New Roman"/>
        </w:rPr>
        <w:t>i</w:t>
      </w:r>
      <w:proofErr w:type="spellEnd"/>
      <w:r w:rsidRPr="00173F22">
        <w:rPr>
          <w:rFonts w:cs="Times New Roman"/>
        </w:rPr>
        <w:t xml:space="preserve">) “the </w:t>
      </w:r>
      <w:r w:rsidR="00E21F37">
        <w:rPr>
          <w:rFonts w:cs="Times New Roman"/>
        </w:rPr>
        <w:t xml:space="preserve">importance of the information . </w:t>
      </w:r>
      <w:r w:rsidRPr="00173F22">
        <w:rPr>
          <w:rFonts w:cs="Times New Roman"/>
        </w:rPr>
        <w:t>.</w:t>
      </w:r>
      <w:r w:rsidR="00E21F37">
        <w:rPr>
          <w:rFonts w:cs="Times New Roman"/>
        </w:rPr>
        <w:t xml:space="preserve"> </w:t>
      </w:r>
      <w:r w:rsidRPr="00173F22">
        <w:rPr>
          <w:rFonts w:cs="Times New Roman"/>
        </w:rPr>
        <w:t>. to a central issue in the proceeding” before it; (ii) “freedom of the press”; and (iii) “the impact of disclosure on the journalistic source and the journalist”. In the balancing exercise, the disclosure must be considered in light of the actual circumstances, taking into account, among other things, the conditions that might accompany it: s. 39.1(8) CEA. I will now consider the meaning of these various criteria.</w:t>
      </w:r>
    </w:p>
    <w:p w:rsidR="00B025ED" w:rsidRPr="00173F22" w:rsidRDefault="00B025ED" w:rsidP="003442C0">
      <w:pPr>
        <w:pStyle w:val="Title4LevelTitre4Niveau"/>
        <w:numPr>
          <w:ilvl w:val="0"/>
          <w:numId w:val="7"/>
        </w:numPr>
        <w:spacing w:before="0"/>
        <w:ind w:left="1181" w:hanging="641"/>
        <w:outlineLvl w:val="0"/>
        <w:rPr>
          <w:rFonts w:cs="Times New Roman"/>
          <w:i w:val="0"/>
        </w:rPr>
      </w:pPr>
      <w:r w:rsidRPr="00173F22">
        <w:rPr>
          <w:rFonts w:cs="Times New Roman"/>
          <w:i w:val="0"/>
          <w:u w:val="single"/>
        </w:rPr>
        <w:t>Importance of the Information to a Central Issue in the Proceeding</w:t>
      </w:r>
    </w:p>
    <w:p w:rsidR="00B025ED" w:rsidRPr="00173F22" w:rsidRDefault="00B025ED" w:rsidP="00B025ED">
      <w:pPr>
        <w:pStyle w:val="ParaNoNdepar-AltN"/>
        <w:spacing w:before="0"/>
        <w:rPr>
          <w:rFonts w:cs="Times New Roman"/>
        </w:rPr>
      </w:pPr>
      <w:r w:rsidRPr="00173F22">
        <w:rPr>
          <w:rFonts w:cs="Times New Roman"/>
        </w:rPr>
        <w:t>In the courts below, the parties presented arguments on the meaning to be given to the word “proceeding” in s. 39.1(7</w:t>
      </w:r>
      <w:proofErr w:type="gramStart"/>
      <w:r w:rsidRPr="00173F22">
        <w:rPr>
          <w:rFonts w:cs="Times New Roman"/>
        </w:rPr>
        <w:t>)(</w:t>
      </w:r>
      <w:proofErr w:type="gramEnd"/>
      <w:r w:rsidRPr="00173F22">
        <w:rPr>
          <w:rFonts w:cs="Times New Roman"/>
        </w:rPr>
        <w:t>b)(</w:t>
      </w:r>
      <w:proofErr w:type="spellStart"/>
      <w:r w:rsidRPr="00173F22">
        <w:rPr>
          <w:rFonts w:cs="Times New Roman"/>
        </w:rPr>
        <w:t>i</w:t>
      </w:r>
      <w:proofErr w:type="spellEnd"/>
      <w:r w:rsidRPr="00173F22">
        <w:rPr>
          <w:rFonts w:cs="Times New Roman"/>
        </w:rPr>
        <w:t>) CEA. Ms. Denis proposed a broad definition to the effect that the word “proceeding” means the whole of the criminal trial of Mr. </w:t>
      </w:r>
      <w:proofErr w:type="spellStart"/>
      <w:r w:rsidRPr="00173F22">
        <w:rPr>
          <w:rFonts w:cs="Times New Roman"/>
        </w:rPr>
        <w:t>Côté</w:t>
      </w:r>
      <w:proofErr w:type="spellEnd"/>
      <w:r w:rsidRPr="00173F22">
        <w:rPr>
          <w:rFonts w:cs="Times New Roman"/>
        </w:rPr>
        <w:t xml:space="preserve"> and his co</w:t>
      </w:r>
      <w:r w:rsidRPr="00173F22">
        <w:rPr>
          <w:rFonts w:cs="Times New Roman"/>
        </w:rPr>
        <w:noBreakHyphen/>
        <w:t>accused, while Mr. </w:t>
      </w:r>
      <w:proofErr w:type="spellStart"/>
      <w:r w:rsidRPr="00173F22">
        <w:rPr>
          <w:rFonts w:cs="Times New Roman"/>
        </w:rPr>
        <w:t>Côté</w:t>
      </w:r>
      <w:proofErr w:type="spellEnd"/>
      <w:r w:rsidRPr="00173F22">
        <w:rPr>
          <w:rFonts w:cs="Times New Roman"/>
        </w:rPr>
        <w:t xml:space="preserve"> replied that this word should instead </w:t>
      </w:r>
      <w:r w:rsidRPr="00173F22">
        <w:rPr>
          <w:rFonts w:cs="Times New Roman"/>
        </w:rPr>
        <w:lastRenderedPageBreak/>
        <w:t>be interpreted narrowly and that, in this case, the “proceeding” is solely his motion for a stay of proceedings. The Court of Québec and Superior Court judges both agreed with Mr. </w:t>
      </w:r>
      <w:proofErr w:type="spellStart"/>
      <w:r w:rsidRPr="00173F22">
        <w:rPr>
          <w:rFonts w:cs="Times New Roman"/>
        </w:rPr>
        <w:t>Côté</w:t>
      </w:r>
      <w:proofErr w:type="spellEnd"/>
      <w:r w:rsidRPr="00173F22">
        <w:rPr>
          <w:rFonts w:cs="Times New Roman"/>
        </w:rPr>
        <w:t xml:space="preserve"> on this point, and in my opinion, that is the right conclusion.</w:t>
      </w:r>
    </w:p>
    <w:p w:rsidR="00B025ED" w:rsidRPr="00173F22" w:rsidRDefault="00B025ED" w:rsidP="00B025ED">
      <w:pPr>
        <w:pStyle w:val="ParaNoNdepar-AltN"/>
        <w:spacing w:before="0"/>
        <w:rPr>
          <w:rFonts w:cs="Times New Roman"/>
        </w:rPr>
      </w:pPr>
      <w:r w:rsidRPr="00173F22">
        <w:rPr>
          <w:rFonts w:cs="Times New Roman"/>
        </w:rPr>
        <w:t>First of all, I note that it was in the context of his motion for a stay of proceedings that Mr. </w:t>
      </w:r>
      <w:proofErr w:type="spellStart"/>
      <w:r w:rsidRPr="00173F22">
        <w:rPr>
          <w:rFonts w:cs="Times New Roman"/>
        </w:rPr>
        <w:t>Côté</w:t>
      </w:r>
      <w:proofErr w:type="spellEnd"/>
      <w:r w:rsidRPr="00173F22">
        <w:rPr>
          <w:rFonts w:cs="Times New Roman"/>
        </w:rPr>
        <w:t xml:space="preserve"> subpoenaed Ms. Denis. Mr. </w:t>
      </w:r>
      <w:proofErr w:type="spellStart"/>
      <w:r w:rsidRPr="00173F22">
        <w:rPr>
          <w:rFonts w:cs="Times New Roman"/>
        </w:rPr>
        <w:t>Côté’s</w:t>
      </w:r>
      <w:proofErr w:type="spellEnd"/>
      <w:r w:rsidRPr="00173F22">
        <w:rPr>
          <w:rFonts w:cs="Times New Roman"/>
        </w:rPr>
        <w:t xml:space="preserve"> motion is a proceeding that could put an end to the prosecution and prevent a trial from going forward. Furthermore, that motion is based on the “residual” category described in </w:t>
      </w:r>
      <w:proofErr w:type="spellStart"/>
      <w:r w:rsidRPr="00173F22">
        <w:rPr>
          <w:rFonts w:cs="Times New Roman"/>
          <w:i/>
        </w:rPr>
        <w:t>Babos</w:t>
      </w:r>
      <w:proofErr w:type="spellEnd"/>
      <w:r w:rsidRPr="00173F22">
        <w:rPr>
          <w:rFonts w:cs="Times New Roman"/>
        </w:rPr>
        <w:t xml:space="preserve">, a category that requires evidence of </w:t>
      </w:r>
      <w:r w:rsidRPr="00173F22">
        <w:rPr>
          <w:rFonts w:cs="Times New Roman"/>
          <w:lang w:bidi="en-US"/>
        </w:rPr>
        <w:t xml:space="preserve">state conduct that risks undermining the integrity of the justice system </w:t>
      </w:r>
      <w:r w:rsidRPr="00173F22">
        <w:rPr>
          <w:rFonts w:cs="Times New Roman"/>
        </w:rPr>
        <w:t>(a criterion that corresponds to the “public interest in the administration of justice” aspect of the balancing exercise under s. 39.1(7)(b) CEA). These factors suggest that the “proceeding” (s. 39.1(7</w:t>
      </w:r>
      <w:proofErr w:type="gramStart"/>
      <w:r w:rsidRPr="00173F22">
        <w:rPr>
          <w:rFonts w:cs="Times New Roman"/>
        </w:rPr>
        <w:t>)(</w:t>
      </w:r>
      <w:proofErr w:type="gramEnd"/>
      <w:r w:rsidRPr="00173F22">
        <w:rPr>
          <w:rFonts w:cs="Times New Roman"/>
        </w:rPr>
        <w:t>b)(</w:t>
      </w:r>
      <w:proofErr w:type="spellStart"/>
      <w:r w:rsidRPr="00173F22">
        <w:rPr>
          <w:rFonts w:cs="Times New Roman"/>
        </w:rPr>
        <w:t>i</w:t>
      </w:r>
      <w:proofErr w:type="spellEnd"/>
      <w:r w:rsidRPr="00173F22">
        <w:rPr>
          <w:rFonts w:cs="Times New Roman"/>
        </w:rPr>
        <w:t>) CEA) at issue in this case is Mr. </w:t>
      </w:r>
      <w:proofErr w:type="spellStart"/>
      <w:r w:rsidRPr="00173F22">
        <w:rPr>
          <w:rFonts w:cs="Times New Roman"/>
        </w:rPr>
        <w:t>Côté’s</w:t>
      </w:r>
      <w:proofErr w:type="spellEnd"/>
      <w:r w:rsidRPr="00173F22">
        <w:rPr>
          <w:rFonts w:cs="Times New Roman"/>
        </w:rPr>
        <w:t xml:space="preserve"> motion for a stay of proceedings. </w:t>
      </w:r>
      <w:r w:rsidRPr="00173F22">
        <w:rPr>
          <w:rFonts w:cs="Times New Roman"/>
          <w:lang w:bidi="en-US"/>
        </w:rPr>
        <w:t>The importance of the information being sought must therefore be assessed in light of the central issues raised in that motion rather than in terms of those of Mr. </w:t>
      </w:r>
      <w:proofErr w:type="spellStart"/>
      <w:r w:rsidRPr="00173F22">
        <w:rPr>
          <w:rFonts w:cs="Times New Roman"/>
          <w:lang w:bidi="en-US"/>
        </w:rPr>
        <w:t>Côté’s</w:t>
      </w:r>
      <w:proofErr w:type="spellEnd"/>
      <w:r w:rsidRPr="00173F22">
        <w:rPr>
          <w:rFonts w:cs="Times New Roman"/>
          <w:lang w:bidi="en-US"/>
        </w:rPr>
        <w:t xml:space="preserve"> criminal trial </w:t>
      </w:r>
      <w:r w:rsidRPr="00173F22">
        <w:rPr>
          <w:rFonts w:cs="Times New Roman"/>
        </w:rPr>
        <w:t>as a whole.</w:t>
      </w:r>
    </w:p>
    <w:p w:rsidR="00B025ED" w:rsidRPr="00173F22" w:rsidRDefault="00B025ED" w:rsidP="00B025ED">
      <w:pPr>
        <w:pStyle w:val="ParaNoNdepar-AltN"/>
        <w:spacing w:before="0"/>
        <w:rPr>
          <w:rFonts w:cs="Times New Roman"/>
        </w:rPr>
      </w:pPr>
      <w:r w:rsidRPr="00173F22">
        <w:rPr>
          <w:rFonts w:cs="Times New Roman"/>
        </w:rPr>
        <w:t>Section 39.1(7</w:t>
      </w:r>
      <w:proofErr w:type="gramStart"/>
      <w:r w:rsidRPr="00173F22">
        <w:rPr>
          <w:rFonts w:cs="Times New Roman"/>
        </w:rPr>
        <w:t>)(</w:t>
      </w:r>
      <w:proofErr w:type="gramEnd"/>
      <w:r w:rsidRPr="00173F22">
        <w:rPr>
          <w:rFonts w:cs="Times New Roman"/>
        </w:rPr>
        <w:t>b)(</w:t>
      </w:r>
      <w:proofErr w:type="spellStart"/>
      <w:r w:rsidRPr="00173F22">
        <w:rPr>
          <w:rFonts w:cs="Times New Roman"/>
        </w:rPr>
        <w:t>i</w:t>
      </w:r>
      <w:proofErr w:type="spellEnd"/>
      <w:r w:rsidRPr="00173F22">
        <w:rPr>
          <w:rFonts w:cs="Times New Roman"/>
        </w:rPr>
        <w:t xml:space="preserve">) CEA introduces two elements: “the importance of the information or document” being sought and “a central issue in the proceeding”. I find that it will be helpful to consider these two elements and their interplay. Where a court must apply this provision, I would suggest that it proceed in stages. It must first be determined whether the issue for which a party seeks to obtain privileged journalistic information is a central issue. The requirement is not that it be “the” central issue in the proceeding, but merely that it be “a” central issue as indicated in the French version of </w:t>
      </w:r>
      <w:r w:rsidRPr="00173F22">
        <w:rPr>
          <w:rFonts w:cs="Times New Roman"/>
        </w:rPr>
        <w:lastRenderedPageBreak/>
        <w:t>s. 39.1(7)(b)(</w:t>
      </w:r>
      <w:proofErr w:type="spellStart"/>
      <w:r w:rsidRPr="00173F22">
        <w:rPr>
          <w:rFonts w:cs="Times New Roman"/>
        </w:rPr>
        <w:t>i</w:t>
      </w:r>
      <w:proofErr w:type="spellEnd"/>
      <w:r w:rsidRPr="00173F22">
        <w:rPr>
          <w:rFonts w:cs="Times New Roman"/>
        </w:rPr>
        <w:t>) CEA: “</w:t>
      </w:r>
      <w:r w:rsidR="007933F6">
        <w:rPr>
          <w:rFonts w:cs="Times New Roman"/>
        </w:rPr>
        <w:t xml:space="preserve">. . . </w:t>
      </w:r>
      <w:proofErr w:type="spellStart"/>
      <w:r w:rsidRPr="00173F22">
        <w:rPr>
          <w:rFonts w:cs="Times New Roman"/>
          <w:i/>
        </w:rPr>
        <w:t>une</w:t>
      </w:r>
      <w:proofErr w:type="spellEnd"/>
      <w:r w:rsidRPr="00173F22">
        <w:rPr>
          <w:rFonts w:cs="Times New Roman"/>
          <w:i/>
        </w:rPr>
        <w:t xml:space="preserve"> question </w:t>
      </w:r>
      <w:proofErr w:type="spellStart"/>
      <w:r w:rsidRPr="00173F22">
        <w:rPr>
          <w:rFonts w:cs="Times New Roman"/>
          <w:i/>
        </w:rPr>
        <w:t>essentielle</w:t>
      </w:r>
      <w:proofErr w:type="spellEnd"/>
      <w:r w:rsidRPr="00173F22">
        <w:rPr>
          <w:rFonts w:cs="Times New Roman"/>
          <w:i/>
        </w:rPr>
        <w:t xml:space="preserve"> </w:t>
      </w:r>
      <w:proofErr w:type="spellStart"/>
      <w:r w:rsidRPr="00173F22">
        <w:rPr>
          <w:rFonts w:cs="Times New Roman"/>
          <w:i/>
        </w:rPr>
        <w:t>dans</w:t>
      </w:r>
      <w:proofErr w:type="spellEnd"/>
      <w:r w:rsidRPr="00173F22">
        <w:rPr>
          <w:rFonts w:cs="Times New Roman"/>
          <w:i/>
        </w:rPr>
        <w:t xml:space="preserve"> le cadre de </w:t>
      </w:r>
      <w:proofErr w:type="spellStart"/>
      <w:r w:rsidRPr="00173F22">
        <w:rPr>
          <w:rFonts w:cs="Times New Roman"/>
          <w:i/>
        </w:rPr>
        <w:t>l’instance</w:t>
      </w:r>
      <w:proofErr w:type="spellEnd"/>
      <w:r w:rsidRPr="00173F22">
        <w:rPr>
          <w:rFonts w:cs="Times New Roman"/>
        </w:rPr>
        <w:t>”. Thus, a peripheral issue or one whose consequences for the proceeding are limited would not favour disclosure. Once it has been determined that the issue is central to the proceeding, the importance of the information to that issue must then be considered. The more crucial the information being sought is to the resolution of a “central issue” in the proceeding, the more it can be characterized as important and the more the disclosure will be justified. By contrast, information that is quite simply not relevant cannot be characterized as important.</w:t>
      </w:r>
    </w:p>
    <w:p w:rsidR="00B025ED" w:rsidRPr="00173F22" w:rsidRDefault="00B025ED" w:rsidP="003501FE">
      <w:pPr>
        <w:pStyle w:val="Title4LevelTitre4Niveau"/>
        <w:numPr>
          <w:ilvl w:val="0"/>
          <w:numId w:val="8"/>
        </w:numPr>
        <w:spacing w:before="0"/>
        <w:ind w:left="1181" w:hanging="641"/>
        <w:outlineLvl w:val="0"/>
        <w:rPr>
          <w:rFonts w:cs="Times New Roman"/>
          <w:i w:val="0"/>
          <w:u w:val="single"/>
        </w:rPr>
      </w:pPr>
      <w:r w:rsidRPr="00173F22">
        <w:rPr>
          <w:rFonts w:cs="Times New Roman"/>
          <w:i w:val="0"/>
          <w:u w:val="single"/>
        </w:rPr>
        <w:t>Freedom of the Press</w:t>
      </w:r>
    </w:p>
    <w:p w:rsidR="00B025ED" w:rsidRPr="00173F22" w:rsidRDefault="00B025ED" w:rsidP="00B025ED">
      <w:pPr>
        <w:pStyle w:val="ParaNoNdepar-AltN"/>
        <w:spacing w:before="0"/>
        <w:rPr>
          <w:rFonts w:cs="Times New Roman"/>
          <w:szCs w:val="24"/>
        </w:rPr>
      </w:pPr>
      <w:r w:rsidRPr="00173F22">
        <w:rPr>
          <w:rFonts w:cs="Times New Roman"/>
        </w:rPr>
        <w:t xml:space="preserve">There is no doubt that the role of the media in our country is unique. By investigating, questioning, criticizing and publishing important information, the media contribute to the existence and maintenance of a free and democratic society. The work of journalists requires accountability for decisions and activities not only from public institutions such as courts (see </w:t>
      </w:r>
      <w:r w:rsidRPr="00173F22">
        <w:rPr>
          <w:rFonts w:cs="Times New Roman"/>
          <w:i/>
        </w:rPr>
        <w:t>Edmonton Journal v. Alberta (Attorney General)</w:t>
      </w:r>
      <w:r w:rsidRPr="00173F22">
        <w:rPr>
          <w:rFonts w:cs="Times New Roman"/>
        </w:rPr>
        <w:t xml:space="preserve">, [1989] 2 S.C.R. 1326) and governments (see </w:t>
      </w:r>
      <w:r w:rsidRPr="00173F22">
        <w:rPr>
          <w:rFonts w:cs="Times New Roman"/>
          <w:i/>
        </w:rPr>
        <w:t>Globe and Mail</w:t>
      </w:r>
      <w:r w:rsidRPr="00173F22">
        <w:rPr>
          <w:rFonts w:cs="Times New Roman"/>
        </w:rPr>
        <w:t>) — thus helping to “f</w:t>
      </w:r>
      <w:r w:rsidRPr="00173F22">
        <w:rPr>
          <w:rFonts w:cs="Times New Roman"/>
          <w:szCs w:val="24"/>
        </w:rPr>
        <w:t>ill what has been described as a democratic deficit in the transparency and accountability</w:t>
      </w:r>
      <w:r w:rsidRPr="00173F22">
        <w:rPr>
          <w:rFonts w:cs="Times New Roman"/>
        </w:rPr>
        <w:t>” of such institutions (</w:t>
      </w:r>
      <w:r w:rsidRPr="00173F22">
        <w:rPr>
          <w:rFonts w:cs="Times New Roman"/>
          <w:i/>
        </w:rPr>
        <w:t>National Post</w:t>
      </w:r>
      <w:r w:rsidRPr="00173F22">
        <w:rPr>
          <w:rFonts w:cs="Times New Roman"/>
        </w:rPr>
        <w:t xml:space="preserve">, at para. 55) — but also from private sector entities (see </w:t>
      </w:r>
      <w:r w:rsidRPr="00173F22">
        <w:rPr>
          <w:rFonts w:cs="Times New Roman"/>
          <w:i/>
        </w:rPr>
        <w:t>Grant v. Torstar Corp.</w:t>
      </w:r>
      <w:r w:rsidRPr="00173F22">
        <w:rPr>
          <w:rFonts w:cs="Times New Roman"/>
        </w:rPr>
        <w:t>, 2009 SCC 61, [2009] 3 S.C.R. 640). By contributing to the free flow of information, journalists also help to ensure “</w:t>
      </w:r>
      <w:r w:rsidR="00E00EC5">
        <w:rPr>
          <w:rFonts w:cs="Times New Roman"/>
        </w:rPr>
        <w:t>[</w:t>
      </w:r>
      <w:r w:rsidRPr="00173F22">
        <w:rPr>
          <w:rFonts w:cs="Times New Roman"/>
        </w:rPr>
        <w:t>p</w:t>
      </w:r>
      <w:r w:rsidR="00E00EC5">
        <w:rPr>
          <w:rFonts w:cs="Times New Roman"/>
        </w:rPr>
        <w:t>]</w:t>
      </w:r>
      <w:proofErr w:type="spellStart"/>
      <w:r w:rsidRPr="00173F22">
        <w:rPr>
          <w:rFonts w:cs="Times New Roman"/>
        </w:rPr>
        <w:t>roductive</w:t>
      </w:r>
      <w:proofErr w:type="spellEnd"/>
      <w:r w:rsidRPr="00173F22">
        <w:rPr>
          <w:rFonts w:cs="Times New Roman"/>
        </w:rPr>
        <w:t xml:space="preserve"> debate” on questions of public interest: </w:t>
      </w:r>
      <w:r w:rsidRPr="00173F22">
        <w:rPr>
          <w:rFonts w:cs="Times New Roman"/>
          <w:i/>
        </w:rPr>
        <w:t>Grant</w:t>
      </w:r>
      <w:r w:rsidRPr="00173F22">
        <w:rPr>
          <w:rFonts w:cs="Times New Roman"/>
        </w:rPr>
        <w:t>, at para. 52.</w:t>
      </w:r>
    </w:p>
    <w:p w:rsidR="00B025ED" w:rsidRPr="00173F22" w:rsidRDefault="00B025ED" w:rsidP="00B025ED">
      <w:pPr>
        <w:pStyle w:val="ParaNoNdepar-AltN"/>
        <w:spacing w:before="0"/>
        <w:rPr>
          <w:rFonts w:cs="Times New Roman"/>
        </w:rPr>
      </w:pPr>
      <w:r w:rsidRPr="00173F22">
        <w:rPr>
          <w:rFonts w:cs="Times New Roman"/>
        </w:rPr>
        <w:lastRenderedPageBreak/>
        <w:t>Freedom of the press encompasses the ability of the media to gather information, maintain confidential relationships with journalistic sources and produce and publish news without fear of obstacles to their activities. This Court’s decisions with respect to s. 2(</w:t>
      </w:r>
      <w:r w:rsidRPr="00173F22">
        <w:rPr>
          <w:rFonts w:cs="Times New Roman"/>
          <w:i/>
        </w:rPr>
        <w:t>b</w:t>
      </w:r>
      <w:r w:rsidRPr="00173F22">
        <w:rPr>
          <w:rFonts w:cs="Times New Roman"/>
        </w:rPr>
        <w:t xml:space="preserve">) of the </w:t>
      </w:r>
      <w:r w:rsidRPr="00173F22">
        <w:rPr>
          <w:rFonts w:cs="Times New Roman"/>
          <w:i/>
        </w:rPr>
        <w:t xml:space="preserve">Canadian Charter of Rights and Freedoms </w:t>
      </w:r>
      <w:r w:rsidRPr="00173F22">
        <w:rPr>
          <w:rFonts w:cs="Times New Roman"/>
        </w:rPr>
        <w:t xml:space="preserve">also confirm the principle that freedom of expression, which includes freedom of the press, protects both those who express ideas and opinions and those who read or hear them: </w:t>
      </w:r>
      <w:r w:rsidRPr="00173F22">
        <w:rPr>
          <w:rFonts w:cs="Times New Roman"/>
          <w:i/>
          <w:iCs/>
          <w:spacing w:val="-3"/>
        </w:rPr>
        <w:t>Ford v. Quebec (Attorney General)</w:t>
      </w:r>
      <w:r w:rsidRPr="00173F22">
        <w:rPr>
          <w:rFonts w:cs="Times New Roman"/>
          <w:spacing w:val="-3"/>
        </w:rPr>
        <w:t xml:space="preserve">, [1988] 2 S.C.R. 712, at p. 767; </w:t>
      </w:r>
      <w:r w:rsidRPr="00173F22">
        <w:rPr>
          <w:rFonts w:cs="Times New Roman"/>
          <w:i/>
        </w:rPr>
        <w:t>Edmonton Journal</w:t>
      </w:r>
      <w:r w:rsidRPr="00173F22">
        <w:rPr>
          <w:rFonts w:cs="Times New Roman"/>
        </w:rPr>
        <w:t xml:space="preserve">, at p. 1339; </w:t>
      </w:r>
      <w:r w:rsidRPr="00173F22">
        <w:rPr>
          <w:rFonts w:cs="Times New Roman"/>
          <w:i/>
        </w:rPr>
        <w:t>Irwin Toy Ltd. v. Quebec (</w:t>
      </w:r>
      <w:r w:rsidRPr="00173F22">
        <w:rPr>
          <w:rFonts w:cs="Times New Roman"/>
          <w:i/>
          <w:iCs/>
          <w:spacing w:val="-3"/>
        </w:rPr>
        <w:t>Attorney General</w:t>
      </w:r>
      <w:r w:rsidRPr="00173F22">
        <w:rPr>
          <w:rFonts w:cs="Times New Roman"/>
          <w:i/>
        </w:rPr>
        <w:t>)</w:t>
      </w:r>
      <w:r w:rsidRPr="00173F22">
        <w:rPr>
          <w:rFonts w:cs="Times New Roman"/>
        </w:rPr>
        <w:t>, [1989] 1 S.C.R</w:t>
      </w:r>
      <w:r w:rsidR="003F5802">
        <w:rPr>
          <w:rFonts w:cs="Times New Roman"/>
        </w:rPr>
        <w:t>. 927, at p. 1006, per McIntyre </w:t>
      </w:r>
      <w:r w:rsidRPr="00173F22">
        <w:rPr>
          <w:rFonts w:cs="Times New Roman"/>
        </w:rPr>
        <w:t xml:space="preserve">J., dissenting, but not on this point; </w:t>
      </w:r>
      <w:r w:rsidRPr="00173F22">
        <w:rPr>
          <w:rFonts w:cs="Times New Roman"/>
          <w:i/>
        </w:rPr>
        <w:t>National Post</w:t>
      </w:r>
      <w:r w:rsidRPr="00173F22">
        <w:rPr>
          <w:rFonts w:cs="Times New Roman"/>
        </w:rPr>
        <w:t>, at para. 28.</w:t>
      </w:r>
    </w:p>
    <w:p w:rsidR="00B025ED" w:rsidRPr="00173F22" w:rsidRDefault="00B025ED" w:rsidP="00B025ED">
      <w:pPr>
        <w:pStyle w:val="ParaNoNdepar-AltN"/>
        <w:spacing w:before="0"/>
        <w:rPr>
          <w:rFonts w:cs="Times New Roman"/>
        </w:rPr>
      </w:pPr>
      <w:r w:rsidRPr="00173F22">
        <w:rPr>
          <w:rFonts w:cs="Times New Roman"/>
        </w:rPr>
        <w:t xml:space="preserve">In light of these founding values, it is easy to understand why mobilizing a journalist against his or her source is incompatible with freedom of the press. Without whistleblowers and other anonymous sources, it would be very difficult for journalists to perform their important mission. As this Court has rightly pointed out, many important controversies have been unearthed only with the help of sources who would not agree to speak other than on condition of confidentiality: </w:t>
      </w:r>
      <w:r w:rsidRPr="00173F22">
        <w:rPr>
          <w:rFonts w:cs="Times New Roman"/>
          <w:i/>
        </w:rPr>
        <w:t>National Post</w:t>
      </w:r>
      <w:r w:rsidRPr="00173F22">
        <w:rPr>
          <w:rFonts w:cs="Times New Roman"/>
        </w:rPr>
        <w:t>, at para. 28. This is why Parliament, fully aware of the possible consequences of disclosure orders both at the individual and the collective levels, clearly recognized by enacting the JSPA, and in particular by adding s. 39.1 to the CEA, that it was in the public interest to provide robust statutory protection to such confidential sources of information. It can in fact be said that without such protection, the public’s very right to information would be jeopardized.</w:t>
      </w:r>
    </w:p>
    <w:p w:rsidR="00B025ED" w:rsidRPr="00173F22" w:rsidRDefault="00B025ED" w:rsidP="00B025ED">
      <w:pPr>
        <w:pStyle w:val="ParaNoNdepar-AltN"/>
        <w:spacing w:before="0"/>
        <w:rPr>
          <w:rFonts w:cs="Times New Roman"/>
        </w:rPr>
      </w:pPr>
      <w:r w:rsidRPr="00173F22">
        <w:rPr>
          <w:rFonts w:cs="Times New Roman"/>
        </w:rPr>
        <w:lastRenderedPageBreak/>
        <w:t>It is thus clear that the freedom of the press criterion will quite often weigh against disclosure of the journalistic source’s identity. This does not mean, however, that it is entirely inflexible and therefore of little assistance. In fact, given that s. 39.1 CEA is likely to apply in many different circumstances, this criterion will help the court identify news reports that relate fundamentally to the public’s right to be informed because, for instance, they are central to the democratic experience of a free society.</w:t>
      </w:r>
    </w:p>
    <w:p w:rsidR="00B025ED" w:rsidRPr="00173F22" w:rsidRDefault="00B025ED" w:rsidP="00B025ED">
      <w:pPr>
        <w:pStyle w:val="ParaNoNdepar-AltN"/>
        <w:spacing w:before="0"/>
        <w:rPr>
          <w:rFonts w:cs="Times New Roman"/>
        </w:rPr>
      </w:pPr>
      <w:r w:rsidRPr="00173F22">
        <w:rPr>
          <w:rFonts w:cs="Times New Roman"/>
        </w:rPr>
        <w:t>For example, it could happen that what motivated the journalistic source to disclose the information seems contrary to the public interest, in which case the court would be justified in paying closer attention to this factor in the balancing exercise under s. 39.1(7)(b) CEA. Great caution must of course always be exercised in such a case, given that the court asked to rule on such a question does not have the whole picture. That being said, it is possible that an applicant who seeks the disclosure of a journalistic source’s identity will submit evidence capable of convincing the court that the source’s purpose is contrary to the public interest. One such situation might involve the communication of information the source knows to be deliberately false for the purpose of hindering the orderly progress of public business. In such a case, freedom of the press would in the end not have the same weight in the balancing exercise, because upholding that freedom would then be incompatible with the very interests it is intended to protect.</w:t>
      </w:r>
    </w:p>
    <w:p w:rsidR="00B025ED" w:rsidRPr="00173F22" w:rsidRDefault="00B025ED" w:rsidP="00757CC5">
      <w:pPr>
        <w:pStyle w:val="Title4LevelTitre4Niveau"/>
        <w:numPr>
          <w:ilvl w:val="6"/>
          <w:numId w:val="6"/>
        </w:numPr>
        <w:spacing w:before="0" w:after="480" w:line="480" w:lineRule="auto"/>
        <w:ind w:left="1181" w:hanging="641"/>
        <w:outlineLvl w:val="0"/>
        <w:rPr>
          <w:rFonts w:cs="Times New Roman"/>
          <w:i w:val="0"/>
          <w:u w:val="single"/>
        </w:rPr>
      </w:pPr>
      <w:r w:rsidRPr="00173F22">
        <w:rPr>
          <w:rFonts w:cs="Times New Roman"/>
          <w:i w:val="0"/>
          <w:u w:val="single"/>
        </w:rPr>
        <w:t>Impact of Disclosure on the Journalistic Source and on the Journalist</w:t>
      </w:r>
    </w:p>
    <w:p w:rsidR="00B025ED" w:rsidRPr="00173F22" w:rsidRDefault="00B025ED" w:rsidP="00B025ED">
      <w:pPr>
        <w:pStyle w:val="ParaNoNdepar-AltN"/>
        <w:spacing w:before="0"/>
        <w:rPr>
          <w:rFonts w:cs="Times New Roman"/>
        </w:rPr>
      </w:pPr>
      <w:r w:rsidRPr="00173F22">
        <w:rPr>
          <w:rFonts w:cs="Times New Roman"/>
        </w:rPr>
        <w:lastRenderedPageBreak/>
        <w:t>Assessing the impact of disclosure on the journalistic source and on the journalist will be particularly challenging. Parliament made a conscious choice to impose on the applicant (i.e. the person who wishes to obtain the source’s identity) the burden of proving that the impact of disclosure will be minimal or insignificant. This choice clearly reflects the fact that disclosing information or a document that identifies or is likely to identify a journalistic source will generally have an adverse impact on the source as well as on the journalist. The risk of such an impact is the very reason for the anonymity of journalistic sources, and the purpose of protecting their confidentiality is to ensure that the fear of legal or social sanctions will not deter them from making situations known where such knowledge would be in the public interest.</w:t>
      </w:r>
    </w:p>
    <w:p w:rsidR="00B025ED" w:rsidRPr="00173F22" w:rsidRDefault="00B025ED" w:rsidP="00B025ED">
      <w:pPr>
        <w:pStyle w:val="ParaNoNdepar-AltN"/>
        <w:spacing w:before="0"/>
        <w:rPr>
          <w:rFonts w:cs="Times New Roman"/>
        </w:rPr>
      </w:pPr>
      <w:r w:rsidRPr="00173F22">
        <w:rPr>
          <w:rFonts w:cs="Times New Roman"/>
        </w:rPr>
        <w:t xml:space="preserve">Where a journalist objects to the disclosure of information that identifies or is likely to identify a journalistic source, the court will take into account the impact of the disclosure on the source and on the journalist in light of, among other things, the parties’ submissions on the context of the case and the nature of the information being sought. Although, as I mentioned in the preceding paragraph, the burden of proof is on the party seeking to obtain the information in question, it goes without saying that the journalist can substantiate his or her objection to the extent that it is possible to do so without thereby compromising the source’s anonymity that the objection is in fact intended to protect. It is possible to imagine various scenarios on a graduated scale of degrees of impact on the journalistic source. The impact could take the form of relatively minor personal or professional inconveniences (unwanted publicity, being </w:t>
      </w:r>
      <w:r w:rsidRPr="00173F22">
        <w:rPr>
          <w:rFonts w:cs="Times New Roman"/>
        </w:rPr>
        <w:lastRenderedPageBreak/>
        <w:t>sidelined at work), of more serious professional and therefore financial consequences (dismissal), of judicial proceedings, and even of violent reprisals.</w:t>
      </w:r>
    </w:p>
    <w:p w:rsidR="00B025ED" w:rsidRPr="00173F22" w:rsidRDefault="00B025ED" w:rsidP="00B025ED">
      <w:pPr>
        <w:pStyle w:val="Title5LevelTitre5Niveau"/>
        <w:numPr>
          <w:ilvl w:val="0"/>
          <w:numId w:val="9"/>
        </w:numPr>
        <w:spacing w:before="0"/>
        <w:ind w:left="1181" w:hanging="641"/>
        <w:rPr>
          <w:rFonts w:cs="Times New Roman"/>
        </w:rPr>
      </w:pPr>
      <w:r w:rsidRPr="00173F22">
        <w:rPr>
          <w:rFonts w:cs="Times New Roman"/>
        </w:rPr>
        <w:t>Possible Additional Criteria</w:t>
      </w:r>
    </w:p>
    <w:p w:rsidR="00B025ED" w:rsidRPr="00173F22" w:rsidRDefault="00B025ED" w:rsidP="00B025ED">
      <w:pPr>
        <w:pStyle w:val="ParaNoNdepar-AltN"/>
        <w:spacing w:before="0"/>
        <w:rPr>
          <w:rFonts w:cs="Times New Roman"/>
        </w:rPr>
      </w:pPr>
      <w:r w:rsidRPr="00173F22">
        <w:rPr>
          <w:rFonts w:cs="Times New Roman"/>
        </w:rPr>
        <w:t>It should be noted that the list of criteria that are relevant to the balancing exercise under s. 39.1(7</w:t>
      </w:r>
      <w:proofErr w:type="gramStart"/>
      <w:r w:rsidRPr="00173F22">
        <w:rPr>
          <w:rFonts w:cs="Times New Roman"/>
        </w:rPr>
        <w:t>)(</w:t>
      </w:r>
      <w:proofErr w:type="gramEnd"/>
      <w:r w:rsidRPr="00173F22">
        <w:rPr>
          <w:rFonts w:cs="Times New Roman"/>
        </w:rPr>
        <w:t xml:space="preserve">b) CEA is not exhaustive, as is expressly indicated by the words “among other things” that are used in that provision. The court is therefore not barred from taking other factors into account, such as certain of the considerations that were formerly applied in relation to the fourth criterion of the </w:t>
      </w:r>
      <w:proofErr w:type="spellStart"/>
      <w:r w:rsidRPr="00173F22">
        <w:rPr>
          <w:rFonts w:cs="Times New Roman"/>
        </w:rPr>
        <w:t>Wigmore</w:t>
      </w:r>
      <w:proofErr w:type="spellEnd"/>
      <w:r w:rsidRPr="00173F22">
        <w:rPr>
          <w:rFonts w:cs="Times New Roman"/>
        </w:rPr>
        <w:t xml:space="preserve"> test. The case law from before the enactment of s. 39.1 CEA remains relevant, although the application of such additional considerations must not have the effect of eclipsing the ones explicitly retained by Parliament. Moreover, it is clear that the required balancing exercise is not a purely mathematical operation and that the weights of the statutory criteria — importance of the information being sought to a central issue in the proceeding, freedom of the press and impact of disclosure on the journalistic source and the journalist — will be assessed on a continuum of varying situations.</w:t>
      </w:r>
    </w:p>
    <w:p w:rsidR="00B025ED" w:rsidRPr="00173F22" w:rsidRDefault="00B025ED" w:rsidP="00B025ED">
      <w:pPr>
        <w:pStyle w:val="ParaNoNdepar-AltN"/>
        <w:spacing w:before="0"/>
        <w:rPr>
          <w:rFonts w:cs="Times New Roman"/>
        </w:rPr>
      </w:pPr>
      <w:r w:rsidRPr="00173F22">
        <w:rPr>
          <w:rFonts w:cs="Times New Roman"/>
        </w:rPr>
        <w:t xml:space="preserve">Finally, when the court weighs the public interest in the administration of justice against the public interest in preserving the confidentiality of a journalistic source, it must bear in mind that disclosing information that identifies or is likely to identify such a source is an appropriate remedy only where the advantages of doing so outweigh the disadvantages. If the court decides in favour of disclosure, it should, so far as possible, keep the disadvantages of its decision to a strict minimum by </w:t>
      </w:r>
      <w:r w:rsidRPr="00173F22">
        <w:rPr>
          <w:rFonts w:cs="Times New Roman"/>
        </w:rPr>
        <w:lastRenderedPageBreak/>
        <w:t>accompanying the authorized disclosure with any conditions that are appropriate in the circumstances (s. 39.1(8) CEA), and in particular by limiting the scope of the disclosure.</w:t>
      </w:r>
    </w:p>
    <w:p w:rsidR="00B025ED" w:rsidRPr="00173F22" w:rsidRDefault="00B025ED" w:rsidP="00D16AA9">
      <w:pPr>
        <w:pStyle w:val="Title2LevelTitre2Niveau"/>
        <w:numPr>
          <w:ilvl w:val="0"/>
          <w:numId w:val="5"/>
        </w:numPr>
        <w:spacing w:before="0"/>
        <w:ind w:left="1170" w:hanging="630"/>
        <w:rPr>
          <w:rFonts w:cs="Times New Roman"/>
        </w:rPr>
      </w:pPr>
      <w:r w:rsidRPr="00173F22">
        <w:rPr>
          <w:rFonts w:cs="Times New Roman"/>
        </w:rPr>
        <w:t>Summary of the Steps to Take in Applying Section 39.1 CEA</w:t>
      </w:r>
    </w:p>
    <w:p w:rsidR="00B025ED" w:rsidRPr="00173F22" w:rsidRDefault="00B025ED" w:rsidP="00B025ED">
      <w:pPr>
        <w:pStyle w:val="ParaNoNdepar-AltN"/>
        <w:tabs>
          <w:tab w:val="clear" w:pos="1152"/>
          <w:tab w:val="left" w:pos="1170"/>
        </w:tabs>
        <w:spacing w:before="0"/>
        <w:rPr>
          <w:rFonts w:cs="Times New Roman"/>
        </w:rPr>
      </w:pPr>
      <w:r w:rsidRPr="00173F22">
        <w:rPr>
          <w:rFonts w:cs="Times New Roman"/>
        </w:rPr>
        <w:t>As I mentioned above, although s. 39.1 CEA is based on several elements of the former common law scheme, the scheme it establishes is new law. Under the new scheme, enhanced protection is afforded to the anonymity of journalistic sources, and the party seeking the disclosure of information that identifies or is likely to identify such a source bears the burden of proof in this regard. If it has been shown that the case concerns a “journalist” and a “journalistic source” as defined in s. 39.1(1) and (3) CEA, the court may not authorize the disclosure of such information unless the party seeking its disclosure shows that the condition based on reasonable necessity (s. 39.1(7</w:t>
      </w:r>
      <w:proofErr w:type="gramStart"/>
      <w:r w:rsidRPr="00173F22">
        <w:rPr>
          <w:rFonts w:cs="Times New Roman"/>
        </w:rPr>
        <w:t>)(</w:t>
      </w:r>
      <w:proofErr w:type="gramEnd"/>
      <w:r w:rsidRPr="00173F22">
        <w:rPr>
          <w:rFonts w:cs="Times New Roman"/>
        </w:rPr>
        <w:t xml:space="preserve">a) CEA) is met and that the balancing exercise under </w:t>
      </w:r>
      <w:r w:rsidRPr="00173F22">
        <w:rPr>
          <w:rFonts w:cs="Times New Roman"/>
          <w:lang w:bidi="en-US"/>
        </w:rPr>
        <w:t xml:space="preserve">s. 39.1(7)(b) CEA </w:t>
      </w:r>
      <w:r w:rsidRPr="00173F22">
        <w:rPr>
          <w:rFonts w:cs="Times New Roman"/>
        </w:rPr>
        <w:t>weighs in favour of disclosure. I will now summarize the steps to take in applying these provisions.</w:t>
      </w:r>
    </w:p>
    <w:p w:rsidR="00B025ED" w:rsidRPr="00173F22" w:rsidRDefault="00B025ED" w:rsidP="00B025ED">
      <w:pPr>
        <w:pStyle w:val="Title5LevelTitre5Niveau"/>
        <w:numPr>
          <w:ilvl w:val="0"/>
          <w:numId w:val="10"/>
        </w:numPr>
        <w:spacing w:before="0"/>
        <w:ind w:left="1170" w:hanging="630"/>
        <w:rPr>
          <w:rFonts w:cs="Times New Roman"/>
        </w:rPr>
      </w:pPr>
      <w:r w:rsidRPr="00173F22">
        <w:rPr>
          <w:rFonts w:cs="Times New Roman"/>
        </w:rPr>
        <w:t>Threshold Requirements</w:t>
      </w:r>
    </w:p>
    <w:p w:rsidR="00B025ED" w:rsidRPr="00173F22" w:rsidRDefault="00B025ED" w:rsidP="00E1234E">
      <w:pPr>
        <w:pStyle w:val="Title6LevelTitre6Niveau"/>
        <w:numPr>
          <w:ilvl w:val="0"/>
          <w:numId w:val="11"/>
        </w:numPr>
        <w:tabs>
          <w:tab w:val="left" w:pos="1170"/>
        </w:tabs>
        <w:spacing w:before="0"/>
        <w:ind w:left="1170" w:hanging="630"/>
        <w:rPr>
          <w:rFonts w:cs="Times New Roman"/>
        </w:rPr>
      </w:pPr>
      <w:r w:rsidRPr="00173F22">
        <w:rPr>
          <w:rFonts w:cs="Times New Roman"/>
        </w:rPr>
        <w:t>Application of the Definitions of “Journalist” and “Journalistic Source”</w:t>
      </w:r>
    </w:p>
    <w:p w:rsidR="00B025ED" w:rsidRPr="00173F22" w:rsidRDefault="00B025ED" w:rsidP="00B025ED">
      <w:pPr>
        <w:pStyle w:val="ParaNoNdepar-AltN"/>
        <w:spacing w:before="0"/>
        <w:rPr>
          <w:rFonts w:cs="Times New Roman"/>
        </w:rPr>
      </w:pPr>
      <w:r w:rsidRPr="00173F22">
        <w:rPr>
          <w:rFonts w:cs="Times New Roman"/>
        </w:rPr>
        <w:t>The person objecting to the disclosure must show that he or she is a “journalist” as defined in s. 39.1(1) CEA (or a former journalist to whom s. 39.1(3) CEA applies) and that the source is a “journalistic source” as defined in s. 39.1(1) CEA.</w:t>
      </w:r>
    </w:p>
    <w:p w:rsidR="00B025ED" w:rsidRPr="00173F22" w:rsidRDefault="00B025ED" w:rsidP="00E1234E">
      <w:pPr>
        <w:pStyle w:val="Title6LevelTitre6Niveau"/>
        <w:numPr>
          <w:ilvl w:val="0"/>
          <w:numId w:val="11"/>
        </w:numPr>
        <w:spacing w:before="0"/>
        <w:ind w:left="1170" w:hanging="630"/>
        <w:rPr>
          <w:rFonts w:cs="Times New Roman"/>
        </w:rPr>
      </w:pPr>
      <w:r w:rsidRPr="00173F22">
        <w:rPr>
          <w:rFonts w:cs="Times New Roman"/>
        </w:rPr>
        <w:lastRenderedPageBreak/>
        <w:t>Reasonable Necessity</w:t>
      </w:r>
    </w:p>
    <w:p w:rsidR="00B025ED" w:rsidRPr="00173F22" w:rsidRDefault="00B025ED" w:rsidP="00B025ED">
      <w:pPr>
        <w:pStyle w:val="ParaNoNdepar-AltN"/>
        <w:spacing w:before="0"/>
        <w:rPr>
          <w:rFonts w:cs="Times New Roman"/>
        </w:rPr>
      </w:pPr>
      <w:r w:rsidRPr="00173F22">
        <w:rPr>
          <w:rFonts w:cs="Times New Roman"/>
        </w:rPr>
        <w:t>The party seeking the disclosure of information or a document that identifies or is likely to identify a journalistic source must show that the disclosure is reasonably necessary, that is, that the information being sought (i.e. the source’s identity) “</w:t>
      </w:r>
      <w:r w:rsidRPr="00173F22">
        <w:rPr>
          <w:rFonts w:cs="Times New Roman"/>
          <w:lang w:bidi="en-US"/>
        </w:rPr>
        <w:t>cannot be produced in evidence by any other reasonable means</w:t>
      </w:r>
      <w:r w:rsidRPr="00173F22">
        <w:rPr>
          <w:rFonts w:cs="Times New Roman"/>
        </w:rPr>
        <w:t>”: s. 39.1(7)(a) CEA. If this is not shown, the case is closed, and the application for disclosure will be dismissed.</w:t>
      </w:r>
    </w:p>
    <w:p w:rsidR="00B025ED" w:rsidRPr="00173F22" w:rsidRDefault="00B025ED" w:rsidP="00B025ED">
      <w:pPr>
        <w:pStyle w:val="Title5LevelTitre5Niveau"/>
        <w:numPr>
          <w:ilvl w:val="0"/>
          <w:numId w:val="10"/>
        </w:numPr>
        <w:spacing w:before="0"/>
        <w:ind w:left="1170" w:hanging="630"/>
        <w:rPr>
          <w:rFonts w:cs="Times New Roman"/>
          <w:i/>
        </w:rPr>
      </w:pPr>
      <w:r w:rsidRPr="00173F22">
        <w:rPr>
          <w:rFonts w:cs="Times New Roman"/>
        </w:rPr>
        <w:t>Balancing Exercise</w:t>
      </w:r>
    </w:p>
    <w:p w:rsidR="00B025ED" w:rsidRPr="00173F22" w:rsidRDefault="00B025ED" w:rsidP="00B025ED">
      <w:pPr>
        <w:pStyle w:val="ParaNoNdepar-AltN"/>
        <w:spacing w:before="0"/>
        <w:rPr>
          <w:rFonts w:cs="Times New Roman"/>
        </w:rPr>
      </w:pPr>
      <w:r w:rsidRPr="00173F22">
        <w:rPr>
          <w:rFonts w:cs="Times New Roman"/>
        </w:rPr>
        <w:t>If the party seeking the disclosure of information meets the requirement of reasonable necessity set out in s. 39.1(7</w:t>
      </w:r>
      <w:proofErr w:type="gramStart"/>
      <w:r w:rsidRPr="00173F22">
        <w:rPr>
          <w:rFonts w:cs="Times New Roman"/>
        </w:rPr>
        <w:t>)(</w:t>
      </w:r>
      <w:proofErr w:type="gramEnd"/>
      <w:r w:rsidRPr="00173F22">
        <w:rPr>
          <w:rFonts w:cs="Times New Roman"/>
        </w:rPr>
        <w:t>a) CEA, he or she must then convince the court, in accordance with s. 39.1(7)(b), that “the public interest in the administration of justice outweighs the public interest in preserving the confidentiality of the journalistic source”. This balancing exercise requires considering, on the one hand, the importance of the document or information being sought to a central issue in the proceeding and, on the other hand, the impact on freedom of the press and on the journalist and the source. To be successful, a party must convince the court that the document or information at issue is so important that this balancing exercise weighs in favour of disclosure</w:t>
      </w:r>
      <w:r w:rsidRPr="00173F22">
        <w:rPr>
          <w:rFonts w:cs="Times New Roman"/>
          <w:lang w:bidi="en-US"/>
        </w:rPr>
        <w:t>.</w:t>
      </w:r>
    </w:p>
    <w:p w:rsidR="00B025ED" w:rsidRPr="00173F22" w:rsidRDefault="00B025ED" w:rsidP="004C038E">
      <w:pPr>
        <w:pStyle w:val="Title1LevelTitre1Niveau-AltL"/>
        <w:spacing w:before="0"/>
        <w:ind w:left="720" w:hanging="720"/>
        <w:rPr>
          <w:rFonts w:cs="Times New Roman"/>
        </w:rPr>
      </w:pPr>
      <w:r w:rsidRPr="00173F22">
        <w:rPr>
          <w:rFonts w:cs="Times New Roman"/>
          <w:u w:val="none"/>
        </w:rPr>
        <w:t>V.</w:t>
      </w:r>
      <w:r w:rsidRPr="00173F22">
        <w:rPr>
          <w:rFonts w:cs="Times New Roman"/>
          <w:u w:val="none"/>
        </w:rPr>
        <w:tab/>
      </w:r>
      <w:r w:rsidRPr="00173F22">
        <w:rPr>
          <w:rFonts w:cs="Times New Roman"/>
        </w:rPr>
        <w:t>Appropriate Order in This Case</w:t>
      </w:r>
    </w:p>
    <w:p w:rsidR="00B025ED" w:rsidRPr="00173F22" w:rsidRDefault="00B025ED" w:rsidP="00B025ED">
      <w:pPr>
        <w:pStyle w:val="ParaNoNdepar-AltN"/>
        <w:spacing w:before="0"/>
        <w:rPr>
          <w:rFonts w:cs="Times New Roman"/>
        </w:rPr>
      </w:pPr>
      <w:r w:rsidRPr="00173F22">
        <w:rPr>
          <w:rFonts w:cs="Times New Roman"/>
        </w:rPr>
        <w:lastRenderedPageBreak/>
        <w:t>The Crown’s change of position has no impact where the Court of Appeal’s decision on the jurisdiction issue is concerned. This issue is resolved in Mr. </w:t>
      </w:r>
      <w:proofErr w:type="spellStart"/>
      <w:r w:rsidRPr="00173F22">
        <w:rPr>
          <w:rFonts w:cs="Times New Roman"/>
        </w:rPr>
        <w:t>Côté’s</w:t>
      </w:r>
      <w:proofErr w:type="spellEnd"/>
      <w:r w:rsidRPr="00173F22">
        <w:rPr>
          <w:rFonts w:cs="Times New Roman"/>
        </w:rPr>
        <w:t xml:space="preserve"> favour, and Ms. Denis’s appeal against the Court of Appeal’s decision is dismissed.</w:t>
      </w:r>
    </w:p>
    <w:p w:rsidR="00B025ED" w:rsidRPr="00173F22" w:rsidRDefault="00B025ED" w:rsidP="00B025ED">
      <w:pPr>
        <w:pStyle w:val="ParaNoNdepar-AltN"/>
        <w:spacing w:before="0"/>
        <w:rPr>
          <w:rFonts w:cs="Times New Roman"/>
        </w:rPr>
      </w:pPr>
      <w:r w:rsidRPr="00173F22">
        <w:rPr>
          <w:rFonts w:cs="Times New Roman"/>
        </w:rPr>
        <w:t>As for the Superior Court’s decision on the merits, this Court notes the Crown’s abandonment of its original position with respect to Mr. </w:t>
      </w:r>
      <w:proofErr w:type="spellStart"/>
      <w:r w:rsidRPr="00173F22">
        <w:rPr>
          <w:rFonts w:cs="Times New Roman"/>
        </w:rPr>
        <w:t>Côté’s</w:t>
      </w:r>
      <w:proofErr w:type="spellEnd"/>
      <w:r w:rsidRPr="00173F22">
        <w:rPr>
          <w:rFonts w:cs="Times New Roman"/>
        </w:rPr>
        <w:t xml:space="preserve"> motion for a stay of proceedings and, by extension, of its position with respect to the application of s. 39.1 CEA: see affidavit </w:t>
      </w:r>
      <w:r w:rsidRPr="00173F22">
        <w:rPr>
          <w:rFonts w:cs="Times New Roman"/>
          <w:lang w:bidi="en-US"/>
        </w:rPr>
        <w:t>in support of the Crown’s first motion to adjourn,</w:t>
      </w:r>
      <w:r w:rsidRPr="00173F22">
        <w:rPr>
          <w:rFonts w:cs="Times New Roman"/>
        </w:rPr>
        <w:t xml:space="preserve"> at para. 22.</w:t>
      </w:r>
    </w:p>
    <w:p w:rsidR="00B025ED" w:rsidRPr="00173F22" w:rsidRDefault="00B025ED" w:rsidP="00B025ED">
      <w:pPr>
        <w:pStyle w:val="ParaNoNdepar-AltN"/>
        <w:spacing w:before="0"/>
        <w:rPr>
          <w:rFonts w:cs="Times New Roman"/>
        </w:rPr>
      </w:pPr>
      <w:r w:rsidRPr="00173F22">
        <w:rPr>
          <w:rFonts w:cs="Times New Roman"/>
        </w:rPr>
        <w:t xml:space="preserve">In the courts below, the Crown claimed that the leaks </w:t>
      </w:r>
      <w:r w:rsidRPr="00173F22">
        <w:rPr>
          <w:rFonts w:cs="Times New Roman"/>
          <w:lang w:bidi="en-US"/>
        </w:rPr>
        <w:t>had come from people at low levels of the government hierarchy who wanted to cause harm to the government and that, as a result, the information being sought by having Ms. Denis testify was of no consequence given that the motion was therefore certain to fail</w:t>
      </w:r>
      <w:r w:rsidRPr="00173F22">
        <w:rPr>
          <w:rFonts w:cs="Times New Roman"/>
        </w:rPr>
        <w:t xml:space="preserve">. It now maintains that the disclosure of new information alters the factual matrix as presented in the courts below. It stated in the factum it filed in this Court that the investigation begun by the </w:t>
      </w:r>
      <w:proofErr w:type="spellStart"/>
      <w:r w:rsidRPr="00173F22">
        <w:rPr>
          <w:rFonts w:cs="Times New Roman"/>
        </w:rPr>
        <w:t>Ministère</w:t>
      </w:r>
      <w:proofErr w:type="spellEnd"/>
      <w:r w:rsidRPr="00173F22">
        <w:rPr>
          <w:rFonts w:cs="Times New Roman"/>
        </w:rPr>
        <w:t xml:space="preserve"> de la Sécurité </w:t>
      </w:r>
      <w:proofErr w:type="spellStart"/>
      <w:r w:rsidRPr="00173F22">
        <w:rPr>
          <w:rFonts w:cs="Times New Roman"/>
        </w:rPr>
        <w:t>publique</w:t>
      </w:r>
      <w:proofErr w:type="spellEnd"/>
      <w:r w:rsidRPr="00173F22">
        <w:rPr>
          <w:rFonts w:cs="Times New Roman"/>
        </w:rPr>
        <w:t xml:space="preserve"> in October 2018 [</w:t>
      </w:r>
      <w:r w:rsidRPr="00173F22">
        <w:rPr>
          <w:rFonts w:cs="Times New Roman"/>
          <w:smallCaps/>
        </w:rPr>
        <w:t>translation</w:t>
      </w:r>
      <w:r w:rsidRPr="00173F22">
        <w:rPr>
          <w:rFonts w:cs="Times New Roman"/>
        </w:rPr>
        <w:t xml:space="preserve">] “is still under way [and that that investigation] is producing results that are directly relevant to the </w:t>
      </w:r>
      <w:proofErr w:type="spellStart"/>
      <w:r w:rsidRPr="00173F22">
        <w:rPr>
          <w:rFonts w:cs="Times New Roman"/>
          <w:i/>
        </w:rPr>
        <w:t>Babos</w:t>
      </w:r>
      <w:proofErr w:type="spellEnd"/>
      <w:r w:rsidRPr="00173F22">
        <w:rPr>
          <w:rFonts w:cs="Times New Roman"/>
        </w:rPr>
        <w:t xml:space="preserve"> motion brought by the respondent”: Crown’s factum (“CF”), at para. 16. The Crown added that these results “are liable to shed relevant light on .</w:t>
      </w:r>
      <w:r w:rsidR="00840A66">
        <w:rPr>
          <w:rFonts w:cs="Times New Roman"/>
        </w:rPr>
        <w:t xml:space="preserve"> </w:t>
      </w:r>
      <w:r w:rsidRPr="00173F22">
        <w:rPr>
          <w:rFonts w:cs="Times New Roman"/>
        </w:rPr>
        <w:t>.</w:t>
      </w:r>
      <w:r w:rsidR="00840A66">
        <w:rPr>
          <w:rFonts w:cs="Times New Roman"/>
        </w:rPr>
        <w:t xml:space="preserve"> </w:t>
      </w:r>
      <w:r w:rsidRPr="00173F22">
        <w:rPr>
          <w:rFonts w:cs="Times New Roman"/>
        </w:rPr>
        <w:t>. the availability of other reasonable means to produce the information in evidence”: CF, at para. 17; see also para. 20. This change of position by the Crown thus precludes appellate review of the Superior Court’s decision on the merits.</w:t>
      </w:r>
    </w:p>
    <w:p w:rsidR="00B025ED" w:rsidRPr="00173F22" w:rsidRDefault="00B025ED" w:rsidP="00B025ED">
      <w:pPr>
        <w:pStyle w:val="ParaNoNdepar-AltN"/>
        <w:spacing w:before="0"/>
        <w:rPr>
          <w:rFonts w:cs="Times New Roman"/>
        </w:rPr>
      </w:pPr>
      <w:r w:rsidRPr="00173F22">
        <w:rPr>
          <w:rFonts w:cs="Times New Roman"/>
        </w:rPr>
        <w:lastRenderedPageBreak/>
        <w:t>The case must be remanded to the application judge pending completion of the investigation into the media leaks in order to safeguard the parties’ rights. It is possible, as the Crown suggests, that after the case is remanded to the court of original jurisdiction, Mr. </w:t>
      </w:r>
      <w:proofErr w:type="spellStart"/>
      <w:r w:rsidRPr="00173F22">
        <w:rPr>
          <w:rFonts w:cs="Times New Roman"/>
        </w:rPr>
        <w:t>Côté</w:t>
      </w:r>
      <w:proofErr w:type="spellEnd"/>
      <w:r w:rsidRPr="00173F22">
        <w:rPr>
          <w:rFonts w:cs="Times New Roman"/>
        </w:rPr>
        <w:t xml:space="preserve"> will be in a position to examine new witnesses (other than Ms. Denis) and add evidence in support of his </w:t>
      </w:r>
      <w:proofErr w:type="spellStart"/>
      <w:r w:rsidRPr="00173F22">
        <w:rPr>
          <w:rFonts w:cs="Times New Roman"/>
          <w:i/>
        </w:rPr>
        <w:t>Babos</w:t>
      </w:r>
      <w:proofErr w:type="spellEnd"/>
      <w:r w:rsidRPr="00173F22">
        <w:rPr>
          <w:rFonts w:cs="Times New Roman"/>
        </w:rPr>
        <w:t xml:space="preserve"> motion. His application to examine Ms. Denis would thus become [</w:t>
      </w:r>
      <w:r w:rsidRPr="00173F22">
        <w:rPr>
          <w:rFonts w:cs="Times New Roman"/>
          <w:smallCaps/>
        </w:rPr>
        <w:t>translation</w:t>
      </w:r>
      <w:r w:rsidRPr="00173F22">
        <w:rPr>
          <w:rFonts w:cs="Times New Roman"/>
        </w:rPr>
        <w:t>] “</w:t>
      </w:r>
      <w:r>
        <w:rPr>
          <w:rFonts w:cs="Times New Roman"/>
        </w:rPr>
        <w:t>moot</w:t>
      </w:r>
      <w:r w:rsidRPr="00173F22">
        <w:rPr>
          <w:rFonts w:cs="Times New Roman"/>
        </w:rPr>
        <w:t>” (CF, at para. 22), as it would not meet the necessity criterion under s. 39.1(7</w:t>
      </w:r>
      <w:proofErr w:type="gramStart"/>
      <w:r w:rsidRPr="00173F22">
        <w:rPr>
          <w:rFonts w:cs="Times New Roman"/>
        </w:rPr>
        <w:t>)(</w:t>
      </w:r>
      <w:proofErr w:type="gramEnd"/>
      <w:r w:rsidRPr="00173F22">
        <w:rPr>
          <w:rFonts w:cs="Times New Roman"/>
        </w:rPr>
        <w:t>a), and the rights of all the parties woul</w:t>
      </w:r>
      <w:r w:rsidR="002260C1">
        <w:rPr>
          <w:rFonts w:cs="Times New Roman"/>
        </w:rPr>
        <w:t xml:space="preserve">d then be safeguarded. As </w:t>
      </w:r>
      <w:proofErr w:type="spellStart"/>
      <w:r w:rsidR="002260C1">
        <w:rPr>
          <w:rFonts w:cs="Times New Roman"/>
        </w:rPr>
        <w:t>LeBel</w:t>
      </w:r>
      <w:proofErr w:type="spellEnd"/>
      <w:r w:rsidR="002260C1">
        <w:rPr>
          <w:rFonts w:cs="Times New Roman"/>
        </w:rPr>
        <w:t> </w:t>
      </w:r>
      <w:r w:rsidRPr="00173F22">
        <w:rPr>
          <w:rFonts w:cs="Times New Roman"/>
        </w:rPr>
        <w:t xml:space="preserve">J. noted in </w:t>
      </w:r>
      <w:r w:rsidRPr="00173F22">
        <w:rPr>
          <w:rFonts w:cs="Times New Roman"/>
          <w:i/>
        </w:rPr>
        <w:t>Globe and Mail</w:t>
      </w:r>
      <w:r w:rsidRPr="00173F22">
        <w:rPr>
          <w:rFonts w:cs="Times New Roman"/>
        </w:rPr>
        <w:t>, “[r]</w:t>
      </w:r>
      <w:proofErr w:type="spellStart"/>
      <w:r w:rsidRPr="00173F22">
        <w:rPr>
          <w:rFonts w:cs="Times New Roman"/>
        </w:rPr>
        <w:t>equiring</w:t>
      </w:r>
      <w:proofErr w:type="spellEnd"/>
      <w:r w:rsidRPr="00173F22">
        <w:rPr>
          <w:rFonts w:cs="Times New Roman"/>
        </w:rPr>
        <w:t xml:space="preserve"> a journalist to breach a confidentiality undertaking with a source should be done only as a last resort”: para. 63.</w:t>
      </w:r>
    </w:p>
    <w:p w:rsidR="00B025ED" w:rsidRPr="00173F22" w:rsidRDefault="00B025ED" w:rsidP="00B025ED">
      <w:pPr>
        <w:pStyle w:val="ParaNoNdepar-AltN"/>
        <w:spacing w:before="0"/>
        <w:rPr>
          <w:rFonts w:cs="Times New Roman"/>
        </w:rPr>
      </w:pPr>
      <w:r w:rsidRPr="00173F22">
        <w:rPr>
          <w:rFonts w:cs="Times New Roman"/>
        </w:rPr>
        <w:t>The Crown has undertaken to communicate to the parties, [</w:t>
      </w:r>
      <w:r w:rsidRPr="00173F22">
        <w:rPr>
          <w:rFonts w:cs="Times New Roman"/>
          <w:smallCaps/>
        </w:rPr>
        <w:t>translation</w:t>
      </w:r>
      <w:r w:rsidRPr="00173F22">
        <w:rPr>
          <w:rFonts w:cs="Times New Roman"/>
        </w:rPr>
        <w:t xml:space="preserve">] “as soon as possible”, a “substantial portion of the results of the investigation” into the media leaks: CF, at para. 22. It goes without saying that the existence of other procedures — such as an eventual application for disclosure of this evidence — and the Crown’s obligation to justify delays in excess of the ceiling established in </w:t>
      </w:r>
      <w:r w:rsidRPr="00173F22">
        <w:rPr>
          <w:rFonts w:cs="Times New Roman"/>
          <w:i/>
        </w:rPr>
        <w:t>R. v. Jordan</w:t>
      </w:r>
      <w:r w:rsidRPr="00173F22">
        <w:rPr>
          <w:rFonts w:cs="Times New Roman"/>
        </w:rPr>
        <w:t>, 2016 SCC 27, [2016] 1 S.C.R. 631, are serious inducements to communicate those results as soon as possible.</w:t>
      </w:r>
    </w:p>
    <w:p w:rsidR="00B025ED" w:rsidRPr="00173F22" w:rsidRDefault="00B025ED" w:rsidP="00B025ED">
      <w:pPr>
        <w:pStyle w:val="ParaNoNdepar-AltN"/>
        <w:spacing w:before="0"/>
        <w:rPr>
          <w:rFonts w:cs="Times New Roman"/>
        </w:rPr>
      </w:pPr>
      <w:r w:rsidRPr="00173F22">
        <w:rPr>
          <w:rFonts w:cs="Times New Roman"/>
          <w:lang w:bidi="en-US"/>
        </w:rPr>
        <w:t xml:space="preserve">Remanding the case to the application judge means that the parties must be restored to the positions they were in before the decisions of the courts below. The Superior Court’s order authorizing the disclosure of information must therefore be set aside. The application judge must review the entire case, including the Crown’s new </w:t>
      </w:r>
      <w:r w:rsidRPr="00173F22">
        <w:rPr>
          <w:rFonts w:cs="Times New Roman"/>
          <w:lang w:bidi="en-US"/>
        </w:rPr>
        <w:lastRenderedPageBreak/>
        <w:t>evidence, assessing it in light of the principles established by this Court on the scope and application of s. 39.1 CEA before ruling on the legality of the subpoena served on Ms. Denis.</w:t>
      </w:r>
    </w:p>
    <w:p w:rsidR="00B025ED" w:rsidRPr="00173F22" w:rsidRDefault="00B025ED" w:rsidP="00B025ED">
      <w:pPr>
        <w:pStyle w:val="ParaNoNdepar-AltN"/>
        <w:spacing w:before="0"/>
        <w:rPr>
          <w:rFonts w:cs="Times New Roman"/>
        </w:rPr>
      </w:pPr>
      <w:r w:rsidRPr="00173F22">
        <w:rPr>
          <w:rFonts w:cs="Times New Roman"/>
        </w:rPr>
        <w:t>In conclusion, the Crown’s change of position is serious enough to justify an intervention by this Court. As a result, Ms. Denis’s appeal against the Superior Court’s decision on the merits is allowed in part, the order authorizing disclosure is set aside, and the case is remanded to the court of original jurisdiction for reconsideration once the new evidence resulting from the investigation has been communicated.</w:t>
      </w:r>
    </w:p>
    <w:p w:rsidR="00B025ED" w:rsidRPr="0008131A" w:rsidRDefault="00B025ED" w:rsidP="0008131A">
      <w:pPr>
        <w:pStyle w:val="ParaNoNdepar-AltN"/>
        <w:spacing w:before="0"/>
        <w:rPr>
          <w:rFonts w:cs="Times New Roman"/>
          <w:szCs w:val="24"/>
        </w:rPr>
      </w:pPr>
      <w:r w:rsidRPr="00173F22">
        <w:rPr>
          <w:rFonts w:cs="Times New Roman"/>
        </w:rPr>
        <w:t xml:space="preserve">Given the qualified success of the parties, and in light of the unusual circumstances of these two appeals that I have described above, I </w:t>
      </w:r>
      <w:r w:rsidRPr="0008131A">
        <w:rPr>
          <w:rFonts w:cs="Times New Roman"/>
          <w:szCs w:val="24"/>
        </w:rPr>
        <w:t>would order that the parties bear their own costs in this Court and in the courts below.</w:t>
      </w:r>
    </w:p>
    <w:p w:rsidR="00B025ED" w:rsidRPr="0008131A" w:rsidRDefault="00B025ED" w:rsidP="00973B6D">
      <w:pPr>
        <w:spacing w:after="720"/>
        <w:ind w:firstLine="1170"/>
        <w:rPr>
          <w:rFonts w:ascii="Times New Roman" w:hAnsi="Times New Roman" w:cs="Times New Roman"/>
          <w:sz w:val="24"/>
          <w:szCs w:val="24"/>
          <w:lang w:val="en-US"/>
        </w:rPr>
      </w:pPr>
      <w:r w:rsidRPr="0008131A">
        <w:rPr>
          <w:rFonts w:ascii="Times New Roman" w:hAnsi="Times New Roman" w:cs="Times New Roman"/>
          <w:sz w:val="24"/>
          <w:szCs w:val="24"/>
          <w:lang w:val="en-US"/>
        </w:rPr>
        <w:t>The following are the reasons delivered by</w:t>
      </w:r>
    </w:p>
    <w:p w:rsidR="00B025ED" w:rsidRPr="0008131A" w:rsidRDefault="0008131A" w:rsidP="0008131A">
      <w:pPr>
        <w:pStyle w:val="ParaNoNdepar-AltN"/>
      </w:pPr>
      <w:proofErr w:type="spellStart"/>
      <w:r w:rsidRPr="0008131A">
        <w:rPr>
          <w:rFonts w:cs="Times New Roman"/>
          <w:smallCaps/>
          <w:szCs w:val="24"/>
        </w:rPr>
        <w:t>Abella</w:t>
      </w:r>
      <w:proofErr w:type="spellEnd"/>
      <w:r w:rsidRPr="0008131A">
        <w:rPr>
          <w:rFonts w:cs="Times New Roman"/>
          <w:smallCaps/>
          <w:szCs w:val="24"/>
        </w:rPr>
        <w:t xml:space="preserve"> J.</w:t>
      </w:r>
      <w:r w:rsidRPr="0008131A">
        <w:rPr>
          <w:rFonts w:cs="Times New Roman"/>
          <w:szCs w:val="24"/>
        </w:rPr>
        <w:t xml:space="preserve"> </w:t>
      </w:r>
      <w:r>
        <w:rPr>
          <w:rFonts w:cs="Times New Roman"/>
          <w:szCs w:val="24"/>
        </w:rPr>
        <w:t xml:space="preserve">(dissenting) </w:t>
      </w:r>
      <w:r w:rsidRPr="0008131A">
        <w:rPr>
          <w:rFonts w:cs="Times New Roman"/>
          <w:szCs w:val="24"/>
        </w:rPr>
        <w:t xml:space="preserve">— </w:t>
      </w:r>
      <w:r w:rsidR="00B025ED" w:rsidRPr="0008131A">
        <w:rPr>
          <w:rFonts w:cs="Times New Roman"/>
          <w:szCs w:val="24"/>
          <w:lang w:val="en-US"/>
        </w:rPr>
        <w:t>T</w:t>
      </w:r>
      <w:r w:rsidR="00B025ED" w:rsidRPr="0008131A">
        <w:rPr>
          <w:rFonts w:cs="Times New Roman"/>
          <w:szCs w:val="24"/>
        </w:rPr>
        <w:t xml:space="preserve">he </w:t>
      </w:r>
      <w:r w:rsidR="00B025ED" w:rsidRPr="0008131A">
        <w:rPr>
          <w:rFonts w:cs="Times New Roman"/>
          <w:i/>
          <w:szCs w:val="24"/>
        </w:rPr>
        <w:t>Journalistic Sources Protection Act</w:t>
      </w:r>
      <w:r w:rsidR="00B025ED" w:rsidRPr="0008131A">
        <w:rPr>
          <w:rFonts w:cs="Times New Roman"/>
          <w:szCs w:val="24"/>
        </w:rPr>
        <w:t>, S</w:t>
      </w:r>
      <w:r w:rsidR="002E0EE9">
        <w:rPr>
          <w:rFonts w:cs="Times New Roman"/>
        </w:rPr>
        <w:t xml:space="preserve">.C. 2017, c. </w:t>
      </w:r>
      <w:r w:rsidR="00B025ED" w:rsidRPr="0008131A">
        <w:rPr>
          <w:rFonts w:cs="Times New Roman"/>
        </w:rPr>
        <w:t>22,</w:t>
      </w:r>
      <w:r w:rsidR="00B025ED" w:rsidRPr="0008131A">
        <w:rPr>
          <w:rFonts w:cs="Times New Roman"/>
          <w:i/>
        </w:rPr>
        <w:t xml:space="preserve"> </w:t>
      </w:r>
      <w:r w:rsidR="00B025ED" w:rsidRPr="0008131A">
        <w:rPr>
          <w:rFonts w:cs="Times New Roman"/>
        </w:rPr>
        <w:t>is legislation of “historic weight” (</w:t>
      </w:r>
      <w:r w:rsidR="00B025ED" w:rsidRPr="0008131A">
        <w:rPr>
          <w:rFonts w:cs="Times New Roman"/>
          <w:i/>
        </w:rPr>
        <w:t>Debates of the Senate</w:t>
      </w:r>
      <w:r w:rsidR="00B025ED" w:rsidRPr="0008131A">
        <w:rPr>
          <w:rFonts w:cs="Times New Roman"/>
        </w:rPr>
        <w:t>, vol. 150, No. 110, 1st Sess., 4</w:t>
      </w:r>
      <w:r w:rsidR="00F51913">
        <w:rPr>
          <w:rFonts w:cs="Times New Roman"/>
        </w:rPr>
        <w:t>2nd Parl., April 6, 2017, at p. </w:t>
      </w:r>
      <w:r w:rsidR="00B025ED" w:rsidRPr="0008131A">
        <w:rPr>
          <w:rFonts w:cs="Times New Roman"/>
        </w:rPr>
        <w:t xml:space="preserve">2740 (Hon. Claude Carignan)). Through the </w:t>
      </w:r>
      <w:r w:rsidR="00B025ED" w:rsidRPr="0008131A">
        <w:rPr>
          <w:rFonts w:cs="Times New Roman"/>
          <w:i/>
        </w:rPr>
        <w:t>Act</w:t>
      </w:r>
      <w:r w:rsidR="00B025ED" w:rsidRPr="0008131A">
        <w:rPr>
          <w:rFonts w:cs="Times New Roman"/>
        </w:rPr>
        <w:t>, Parliament clearly asserted its intention to provide journalists with more robust statutory protections tha</w:t>
      </w:r>
      <w:r>
        <w:rPr>
          <w:rFonts w:cs="Times New Roman"/>
        </w:rPr>
        <w:t>n existed under the common law.</w:t>
      </w:r>
    </w:p>
    <w:p w:rsidR="00B025ED" w:rsidRPr="00EB22C5" w:rsidRDefault="00B025ED" w:rsidP="00B025ED">
      <w:pPr>
        <w:pStyle w:val="ParaNoNdepar-AltN"/>
        <w:rPr>
          <w:rFonts w:cs="Times New Roman"/>
          <w:szCs w:val="24"/>
        </w:rPr>
      </w:pPr>
      <w:r w:rsidRPr="00EB22C5">
        <w:rPr>
          <w:rFonts w:cs="Times New Roman"/>
          <w:szCs w:val="24"/>
        </w:rPr>
        <w:t xml:space="preserve">The legislation was a response to revelations in the fall of 2016 that </w:t>
      </w:r>
      <w:r w:rsidRPr="00EB22C5">
        <w:rPr>
          <w:rFonts w:cs="Times New Roman"/>
          <w:szCs w:val="24"/>
          <w:lang w:val="en-US"/>
        </w:rPr>
        <w:t xml:space="preserve">police </w:t>
      </w:r>
      <w:r w:rsidRPr="00EB22C5">
        <w:rPr>
          <w:rFonts w:cs="Times New Roman"/>
          <w:szCs w:val="24"/>
        </w:rPr>
        <w:t xml:space="preserve">in </w:t>
      </w:r>
      <w:r w:rsidRPr="00EB22C5">
        <w:rPr>
          <w:rFonts w:cs="Times New Roman"/>
          <w:szCs w:val="24"/>
          <w:lang w:val="en-US"/>
        </w:rPr>
        <w:t>Quebec had for years been surveilling journalists (</w:t>
      </w:r>
      <w:r w:rsidRPr="00EB22C5">
        <w:rPr>
          <w:rFonts w:cs="Times New Roman"/>
          <w:i/>
          <w:szCs w:val="24"/>
        </w:rPr>
        <w:t>Debates of the Senate</w:t>
      </w:r>
      <w:r w:rsidRPr="00EB22C5">
        <w:rPr>
          <w:rFonts w:cs="Times New Roman"/>
          <w:szCs w:val="24"/>
        </w:rPr>
        <w:t xml:space="preserve">, vol. 150, </w:t>
      </w:r>
      <w:r w:rsidRPr="00EB22C5">
        <w:rPr>
          <w:rFonts w:cs="Times New Roman"/>
          <w:szCs w:val="24"/>
        </w:rPr>
        <w:lastRenderedPageBreak/>
        <w:t>No. 86, 1st Sess., 42nd P</w:t>
      </w:r>
      <w:r w:rsidR="00BE07E7">
        <w:rPr>
          <w:rFonts w:cs="Times New Roman"/>
          <w:szCs w:val="24"/>
        </w:rPr>
        <w:t>arl., December 12, 2016, at pp. </w:t>
      </w:r>
      <w:r w:rsidRPr="00EB22C5">
        <w:rPr>
          <w:rFonts w:cs="Times New Roman"/>
          <w:szCs w:val="24"/>
        </w:rPr>
        <w:t xml:space="preserve">2056-59 </w:t>
      </w:r>
      <w:r w:rsidRPr="00EB22C5">
        <w:rPr>
          <w:rFonts w:cs="Times New Roman"/>
          <w:szCs w:val="24"/>
          <w:lang w:val="en-US"/>
        </w:rPr>
        <w:t>(</w:t>
      </w:r>
      <w:r w:rsidRPr="00EB22C5">
        <w:rPr>
          <w:rFonts w:cs="Times New Roman"/>
          <w:szCs w:val="24"/>
        </w:rPr>
        <w:t xml:space="preserve">Hon. </w:t>
      </w:r>
      <w:r w:rsidRPr="00EB22C5">
        <w:rPr>
          <w:rFonts w:cs="Times New Roman"/>
          <w:bCs/>
          <w:szCs w:val="24"/>
          <w:lang w:val="en"/>
        </w:rPr>
        <w:t>André Pratte); vol. 150, No. 110, 1st Sess., 42</w:t>
      </w:r>
      <w:r w:rsidR="00BE07E7">
        <w:rPr>
          <w:rFonts w:cs="Times New Roman"/>
          <w:bCs/>
          <w:szCs w:val="24"/>
          <w:lang w:val="en"/>
        </w:rPr>
        <w:t>nd Parl., April 6, 2017, at pp. </w:t>
      </w:r>
      <w:r w:rsidRPr="00EB22C5">
        <w:rPr>
          <w:rFonts w:cs="Times New Roman"/>
          <w:bCs/>
          <w:szCs w:val="24"/>
          <w:lang w:val="en"/>
        </w:rPr>
        <w:t>2738-39 (Ho</w:t>
      </w:r>
      <w:r w:rsidRPr="00EB22C5">
        <w:rPr>
          <w:rFonts w:cs="Times New Roman"/>
          <w:szCs w:val="24"/>
        </w:rPr>
        <w:t xml:space="preserve">n. Claude Carignan); </w:t>
      </w:r>
      <w:r w:rsidRPr="00EB22C5">
        <w:rPr>
          <w:rFonts w:cs="Times New Roman"/>
          <w:i/>
          <w:szCs w:val="24"/>
        </w:rPr>
        <w:t>Debates of the House of Commons</w:t>
      </w:r>
      <w:r w:rsidRPr="00EB22C5">
        <w:rPr>
          <w:rFonts w:cs="Times New Roman"/>
          <w:szCs w:val="24"/>
        </w:rPr>
        <w:t>, vol. 148, No. 191, 1st Sess., 4</w:t>
      </w:r>
      <w:r w:rsidR="00101297">
        <w:rPr>
          <w:rFonts w:cs="Times New Roman"/>
          <w:szCs w:val="24"/>
        </w:rPr>
        <w:t>2nd Parl., June 9, 2017, at pp. </w:t>
      </w:r>
      <w:r w:rsidRPr="00EB22C5">
        <w:rPr>
          <w:rFonts w:cs="Times New Roman"/>
          <w:szCs w:val="24"/>
        </w:rPr>
        <w:t xml:space="preserve">12447-48 (Marco </w:t>
      </w:r>
      <w:proofErr w:type="spellStart"/>
      <w:r w:rsidRPr="00EB22C5">
        <w:rPr>
          <w:rFonts w:cs="Times New Roman"/>
          <w:szCs w:val="24"/>
        </w:rPr>
        <w:t>Mendicino</w:t>
      </w:r>
      <w:proofErr w:type="spellEnd"/>
      <w:r w:rsidRPr="00EB22C5">
        <w:rPr>
          <w:rFonts w:cs="Times New Roman"/>
          <w:szCs w:val="24"/>
        </w:rPr>
        <w:t xml:space="preserve">); </w:t>
      </w:r>
      <w:r w:rsidRPr="00EB22C5">
        <w:rPr>
          <w:rFonts w:cs="Times New Roman"/>
          <w:szCs w:val="24"/>
          <w:lang w:val="en-US"/>
        </w:rPr>
        <w:t xml:space="preserve">Quebec, </w:t>
      </w:r>
      <w:r w:rsidRPr="00EB22C5">
        <w:rPr>
          <w:rFonts w:cs="Times New Roman"/>
          <w:i/>
          <w:szCs w:val="24"/>
          <w:lang w:val="en-US"/>
        </w:rPr>
        <w:t xml:space="preserve">Commission </w:t>
      </w:r>
      <w:proofErr w:type="spellStart"/>
      <w:r w:rsidRPr="00EB22C5">
        <w:rPr>
          <w:rFonts w:cs="Times New Roman"/>
          <w:i/>
          <w:szCs w:val="24"/>
          <w:lang w:val="en-US"/>
        </w:rPr>
        <w:t>d’enquête</w:t>
      </w:r>
      <w:proofErr w:type="spellEnd"/>
      <w:r w:rsidRPr="00EB22C5">
        <w:rPr>
          <w:rFonts w:cs="Times New Roman"/>
          <w:i/>
          <w:szCs w:val="24"/>
          <w:lang w:val="en-US"/>
        </w:rPr>
        <w:t xml:space="preserve"> sur la protection de la </w:t>
      </w:r>
      <w:proofErr w:type="spellStart"/>
      <w:r w:rsidRPr="00EB22C5">
        <w:rPr>
          <w:rFonts w:cs="Times New Roman"/>
          <w:i/>
          <w:szCs w:val="24"/>
          <w:lang w:val="en-US"/>
        </w:rPr>
        <w:t>confidentialité</w:t>
      </w:r>
      <w:proofErr w:type="spellEnd"/>
      <w:r w:rsidRPr="00EB22C5">
        <w:rPr>
          <w:rFonts w:cs="Times New Roman"/>
          <w:i/>
          <w:szCs w:val="24"/>
          <w:lang w:val="en-US"/>
        </w:rPr>
        <w:t xml:space="preserve"> des sources </w:t>
      </w:r>
      <w:proofErr w:type="spellStart"/>
      <w:r w:rsidRPr="00EB22C5">
        <w:rPr>
          <w:rFonts w:cs="Times New Roman"/>
          <w:i/>
          <w:szCs w:val="24"/>
          <w:lang w:val="en-US"/>
        </w:rPr>
        <w:t>journalistiques</w:t>
      </w:r>
      <w:proofErr w:type="spellEnd"/>
      <w:r w:rsidRPr="00EB22C5">
        <w:rPr>
          <w:rFonts w:cs="Times New Roman"/>
          <w:i/>
          <w:szCs w:val="24"/>
          <w:lang w:val="en-US"/>
        </w:rPr>
        <w:t xml:space="preserve"> </w:t>
      </w:r>
      <w:r w:rsidRPr="00EB22C5">
        <w:rPr>
          <w:rFonts w:cs="Times New Roman"/>
          <w:szCs w:val="24"/>
          <w:lang w:val="en-US"/>
        </w:rPr>
        <w:t>(</w:t>
      </w:r>
      <w:proofErr w:type="spellStart"/>
      <w:r w:rsidRPr="00EB22C5">
        <w:rPr>
          <w:rFonts w:cs="Times New Roman"/>
          <w:i/>
          <w:szCs w:val="24"/>
          <w:lang w:val="en-US"/>
        </w:rPr>
        <w:t>Chamberland</w:t>
      </w:r>
      <w:proofErr w:type="spellEnd"/>
      <w:r w:rsidRPr="00EB22C5">
        <w:rPr>
          <w:rFonts w:cs="Times New Roman"/>
          <w:i/>
          <w:szCs w:val="24"/>
          <w:lang w:val="en-US"/>
        </w:rPr>
        <w:t xml:space="preserve"> Report</w:t>
      </w:r>
      <w:r w:rsidRPr="00EB22C5">
        <w:rPr>
          <w:rFonts w:cs="Times New Roman"/>
          <w:szCs w:val="24"/>
          <w:lang w:val="en-US"/>
        </w:rPr>
        <w:t>, 2017)). The scandal galvanized multi-party support for the protection of journalistic sources that would</w:t>
      </w:r>
      <w:r w:rsidRPr="00EB22C5">
        <w:rPr>
          <w:rFonts w:cs="Times New Roman"/>
          <w:b/>
          <w:szCs w:val="24"/>
          <w:lang w:val="en-US"/>
        </w:rPr>
        <w:t xml:space="preserve"> </w:t>
      </w:r>
      <w:r w:rsidRPr="00EB22C5">
        <w:rPr>
          <w:rFonts w:cs="Times New Roman"/>
          <w:szCs w:val="24"/>
          <w:lang w:val="en-US"/>
        </w:rPr>
        <w:t xml:space="preserve">extend well beyond the existing common law regime. The </w:t>
      </w:r>
      <w:r w:rsidRPr="00EB22C5">
        <w:rPr>
          <w:rFonts w:cs="Times New Roman"/>
          <w:i/>
          <w:szCs w:val="24"/>
          <w:lang w:val="en-US"/>
        </w:rPr>
        <w:t>Act</w:t>
      </w:r>
      <w:r w:rsidRPr="00EB22C5">
        <w:rPr>
          <w:rFonts w:cs="Times New Roman"/>
          <w:szCs w:val="24"/>
          <w:lang w:val="en-US"/>
        </w:rPr>
        <w:t xml:space="preserve"> was </w:t>
      </w:r>
      <w:r w:rsidRPr="00EB22C5">
        <w:rPr>
          <w:rFonts w:cs="Times New Roman"/>
          <w:szCs w:val="24"/>
        </w:rPr>
        <w:t>adopted unanimously by the House of Commons on October 4, 2017,</w:t>
      </w:r>
      <w:r w:rsidRPr="00EB22C5">
        <w:rPr>
          <w:rFonts w:cs="Times New Roman"/>
          <w:b/>
          <w:szCs w:val="24"/>
        </w:rPr>
        <w:t xml:space="preserve"> </w:t>
      </w:r>
      <w:r w:rsidRPr="00EB22C5">
        <w:rPr>
          <w:rFonts w:cs="Times New Roman"/>
          <w:szCs w:val="24"/>
        </w:rPr>
        <w:t>and recei</w:t>
      </w:r>
      <w:r w:rsidR="00B76E47">
        <w:rPr>
          <w:rFonts w:cs="Times New Roman"/>
          <w:szCs w:val="24"/>
        </w:rPr>
        <w:t>ved Royal Assent on October 18.</w:t>
      </w:r>
    </w:p>
    <w:p w:rsidR="00B025ED" w:rsidRPr="00EB22C5" w:rsidRDefault="00B025ED" w:rsidP="00B025ED">
      <w:pPr>
        <w:pStyle w:val="ParaNoNdepar-AltN"/>
        <w:rPr>
          <w:rFonts w:cs="Times New Roman"/>
          <w:szCs w:val="24"/>
        </w:rPr>
      </w:pPr>
      <w:r w:rsidRPr="00EB22C5">
        <w:rPr>
          <w:rFonts w:cs="Times New Roman"/>
          <w:szCs w:val="24"/>
        </w:rPr>
        <w:t>The Senate debates over the legislation left little doubt about its purpose:</w:t>
      </w:r>
    </w:p>
    <w:p w:rsidR="00E225EF" w:rsidRDefault="00B025ED" w:rsidP="00B025ED">
      <w:pPr>
        <w:pStyle w:val="Citation-AltC"/>
        <w:ind w:firstLine="274"/>
      </w:pPr>
      <w:r w:rsidRPr="00EB22C5">
        <w:t xml:space="preserve">Journalists and their sources benefitted somewhat from the ruling in the </w:t>
      </w:r>
      <w:r w:rsidRPr="00EB22C5">
        <w:rPr>
          <w:i/>
        </w:rPr>
        <w:t xml:space="preserve">Globe and Mail </w:t>
      </w:r>
      <w:r w:rsidRPr="00EB22C5">
        <w:t xml:space="preserve">case. Today, with Bill S-231, their rights will </w:t>
      </w:r>
      <w:r w:rsidR="00BC21AA">
        <w:t>be strengthened by legislation.</w:t>
      </w:r>
    </w:p>
    <w:p w:rsidR="00E225EF" w:rsidRDefault="00E225EF" w:rsidP="00E225EF">
      <w:pPr>
        <w:pStyle w:val="Citation-AltC"/>
        <w:ind w:firstLine="4"/>
      </w:pPr>
    </w:p>
    <w:p w:rsidR="00B025ED" w:rsidRPr="00EB22C5" w:rsidRDefault="00B025ED" w:rsidP="009C6FF6">
      <w:pPr>
        <w:pStyle w:val="Citation-AltC"/>
        <w:ind w:left="0"/>
      </w:pPr>
      <w:r w:rsidRPr="00EB22C5">
        <w:t>(</w:t>
      </w:r>
      <w:r w:rsidRPr="00EB22C5">
        <w:rPr>
          <w:i/>
        </w:rPr>
        <w:t>Debates of the Senate</w:t>
      </w:r>
      <w:r w:rsidRPr="00EB22C5">
        <w:t>, vol. 150, No. 110, 1st Sess., 4</w:t>
      </w:r>
      <w:r w:rsidR="00B1462B">
        <w:t>2nd Parl., April 6, 2017, at p. </w:t>
      </w:r>
      <w:r w:rsidRPr="00EB22C5">
        <w:t>2739 (Hon. Claude Carignan))</w:t>
      </w:r>
    </w:p>
    <w:p w:rsidR="00B025ED" w:rsidRPr="00EB22C5" w:rsidRDefault="00B025ED" w:rsidP="00B025ED">
      <w:pPr>
        <w:pStyle w:val="ParaNoNdepar-AltN"/>
        <w:rPr>
          <w:rFonts w:cs="Times New Roman"/>
          <w:szCs w:val="24"/>
          <w:lang w:val="en-US"/>
        </w:rPr>
      </w:pPr>
      <w:r w:rsidRPr="00EB22C5">
        <w:rPr>
          <w:rFonts w:cs="Times New Roman"/>
          <w:szCs w:val="24"/>
        </w:rPr>
        <w:t xml:space="preserve">Even a cursory review of the new legislation confirms that its pre-eminent purpose was to enhance protection for journalistic sources. The legislation, among other things, amended the </w:t>
      </w:r>
      <w:r w:rsidRPr="00EB22C5">
        <w:rPr>
          <w:rFonts w:cs="Times New Roman"/>
          <w:i/>
          <w:szCs w:val="24"/>
        </w:rPr>
        <w:t>Canada Evidence Act</w:t>
      </w:r>
      <w:r w:rsidRPr="00EB22C5">
        <w:rPr>
          <w:rFonts w:cs="Times New Roman"/>
          <w:szCs w:val="24"/>
        </w:rPr>
        <w:t xml:space="preserve">, R.S.C. 1985, </w:t>
      </w:r>
      <w:proofErr w:type="gramStart"/>
      <w:r w:rsidRPr="00EB22C5">
        <w:rPr>
          <w:rFonts w:cs="Times New Roman"/>
          <w:szCs w:val="24"/>
        </w:rPr>
        <w:t>c</w:t>
      </w:r>
      <w:proofErr w:type="gramEnd"/>
      <w:r w:rsidRPr="00EB22C5">
        <w:rPr>
          <w:rFonts w:cs="Times New Roman"/>
          <w:szCs w:val="24"/>
        </w:rPr>
        <w:t>. C-5, by adding s. 39.1.</w:t>
      </w:r>
      <w:r w:rsidRPr="00EB22C5">
        <w:rPr>
          <w:rFonts w:cs="Times New Roman"/>
          <w:b/>
          <w:szCs w:val="24"/>
        </w:rPr>
        <w:t xml:space="preserve"> </w:t>
      </w:r>
      <w:r w:rsidRPr="00EB22C5">
        <w:rPr>
          <w:rFonts w:cs="Times New Roman"/>
          <w:szCs w:val="24"/>
        </w:rPr>
        <w:t xml:space="preserve">Most notably, s. 39.1(9) of the </w:t>
      </w:r>
      <w:r w:rsidRPr="00EB22C5">
        <w:rPr>
          <w:rFonts w:cs="Times New Roman"/>
          <w:i/>
          <w:szCs w:val="24"/>
        </w:rPr>
        <w:t>CEA</w:t>
      </w:r>
      <w:r w:rsidRPr="00EB22C5">
        <w:rPr>
          <w:rFonts w:cs="Times New Roman"/>
          <w:szCs w:val="24"/>
        </w:rPr>
        <w:t xml:space="preserve"> specifies that authorization is available </w:t>
      </w:r>
      <w:r w:rsidRPr="00EB22C5">
        <w:rPr>
          <w:rFonts w:cs="Times New Roman"/>
          <w:i/>
          <w:szCs w:val="24"/>
        </w:rPr>
        <w:t xml:space="preserve">only </w:t>
      </w:r>
      <w:r w:rsidRPr="00EB22C5">
        <w:rPr>
          <w:rFonts w:cs="Times New Roman"/>
          <w:szCs w:val="24"/>
        </w:rPr>
        <w:t>if the party requesting the disclosure has proven the conditions set out in s. 39.1(7</w:t>
      </w:r>
      <w:proofErr w:type="gramStart"/>
      <w:r w:rsidRPr="00EB22C5">
        <w:rPr>
          <w:rFonts w:cs="Times New Roman"/>
          <w:szCs w:val="24"/>
        </w:rPr>
        <w:t>)(</w:t>
      </w:r>
      <w:proofErr w:type="gramEnd"/>
      <w:r w:rsidRPr="00EB22C5">
        <w:rPr>
          <w:rFonts w:cs="Times New Roman"/>
          <w:szCs w:val="24"/>
        </w:rPr>
        <w:t>a) and (b). Those conditions are:</w:t>
      </w:r>
    </w:p>
    <w:p w:rsidR="00B025ED" w:rsidRPr="00EB22C5" w:rsidRDefault="00B025ED" w:rsidP="00F52C7D">
      <w:pPr>
        <w:pStyle w:val="Citation-AltC"/>
        <w:numPr>
          <w:ilvl w:val="0"/>
          <w:numId w:val="12"/>
        </w:numPr>
        <w:ind w:left="1170" w:hanging="450"/>
      </w:pPr>
      <w:r w:rsidRPr="00EB22C5">
        <w:lastRenderedPageBreak/>
        <w:t xml:space="preserve">There is no other reasonable means of getting the information; </w:t>
      </w:r>
    </w:p>
    <w:p w:rsidR="00B025ED" w:rsidRPr="00EB22C5" w:rsidRDefault="00B025ED" w:rsidP="00B025ED">
      <w:pPr>
        <w:pStyle w:val="Citation-AltC"/>
        <w:ind w:left="1886"/>
      </w:pPr>
    </w:p>
    <w:p w:rsidR="00B025ED" w:rsidRPr="00EB22C5" w:rsidRDefault="00B025ED" w:rsidP="00B025ED">
      <w:pPr>
        <w:pStyle w:val="Citation-AltC"/>
        <w:ind w:left="0"/>
        <w:jc w:val="center"/>
        <w:rPr>
          <w:i/>
        </w:rPr>
      </w:pPr>
      <w:r w:rsidRPr="00B8245C">
        <w:t>and</w:t>
      </w:r>
    </w:p>
    <w:p w:rsidR="00B025ED" w:rsidRPr="00EB22C5" w:rsidRDefault="00B025ED" w:rsidP="00B025ED">
      <w:pPr>
        <w:pStyle w:val="Citation-AltC"/>
        <w:ind w:left="0"/>
        <w:jc w:val="center"/>
      </w:pPr>
    </w:p>
    <w:p w:rsidR="00B025ED" w:rsidRPr="00EB22C5" w:rsidRDefault="00B025ED" w:rsidP="00F52C7D">
      <w:pPr>
        <w:pStyle w:val="Citation-AltC"/>
        <w:numPr>
          <w:ilvl w:val="0"/>
          <w:numId w:val="12"/>
        </w:numPr>
        <w:ind w:left="1170" w:hanging="450"/>
      </w:pPr>
      <w:r w:rsidRPr="00EB22C5">
        <w:t>The public interest in preserving the confidentiality of journalistic sources is outweighed by the public interest in the administration of justice.</w:t>
      </w:r>
    </w:p>
    <w:p w:rsidR="00B025ED" w:rsidRPr="00EB22C5" w:rsidRDefault="00B025ED" w:rsidP="00B025ED">
      <w:pPr>
        <w:pStyle w:val="ParaNoNdepar-AltN"/>
        <w:numPr>
          <w:ilvl w:val="0"/>
          <w:numId w:val="0"/>
        </w:numPr>
        <w:rPr>
          <w:rFonts w:cs="Times New Roman"/>
          <w:szCs w:val="24"/>
        </w:rPr>
      </w:pPr>
      <w:r w:rsidRPr="00EB22C5">
        <w:rPr>
          <w:rFonts w:cs="Times New Roman"/>
          <w:szCs w:val="24"/>
        </w:rPr>
        <w:t xml:space="preserve">The burden is on the party seeking disclosure to demonstrate that </w:t>
      </w:r>
      <w:r w:rsidRPr="00EB22C5">
        <w:rPr>
          <w:rFonts w:cs="Times New Roman"/>
          <w:i/>
          <w:szCs w:val="24"/>
        </w:rPr>
        <w:t>both</w:t>
      </w:r>
      <w:r w:rsidRPr="00EB22C5">
        <w:rPr>
          <w:rFonts w:cs="Times New Roman"/>
          <w:szCs w:val="24"/>
        </w:rPr>
        <w:t xml:space="preserve"> branches of this test are met before disclosure can be authorized. </w:t>
      </w:r>
    </w:p>
    <w:p w:rsidR="00B025ED" w:rsidRPr="00EB22C5" w:rsidRDefault="00B025ED" w:rsidP="00B025ED">
      <w:pPr>
        <w:pStyle w:val="ParaNoNdepar-AltN"/>
        <w:rPr>
          <w:rFonts w:cs="Times New Roman"/>
          <w:szCs w:val="24"/>
          <w:lang w:val="en-US"/>
        </w:rPr>
      </w:pPr>
      <w:r w:rsidRPr="00EB22C5">
        <w:rPr>
          <w:rFonts w:cs="Times New Roman"/>
          <w:szCs w:val="24"/>
        </w:rPr>
        <w:t>The dual burden on the party seeking disclosure under s. 39.1(7) is a marked departure from the former</w:t>
      </w:r>
      <w:r w:rsidRPr="00EB22C5">
        <w:rPr>
          <w:rFonts w:cs="Times New Roman"/>
          <w:b/>
          <w:szCs w:val="24"/>
        </w:rPr>
        <w:t xml:space="preserve"> </w:t>
      </w:r>
      <w:r w:rsidRPr="00EB22C5">
        <w:rPr>
          <w:rFonts w:cs="Times New Roman"/>
          <w:szCs w:val="24"/>
        </w:rPr>
        <w:t>common law</w:t>
      </w:r>
      <w:r w:rsidRPr="00EB22C5">
        <w:rPr>
          <w:rFonts w:cs="Times New Roman"/>
          <w:b/>
          <w:szCs w:val="24"/>
        </w:rPr>
        <w:t xml:space="preserve"> </w:t>
      </w:r>
      <w:r w:rsidRPr="00EB22C5">
        <w:rPr>
          <w:rFonts w:cs="Times New Roman"/>
          <w:szCs w:val="24"/>
        </w:rPr>
        <w:t>regime, which had placed the onus on the journalist to satisfy the court that the identity of the source should not be revealed (</w:t>
      </w:r>
      <w:r w:rsidRPr="00EB22C5">
        <w:rPr>
          <w:rFonts w:cs="Times New Roman"/>
          <w:i/>
          <w:szCs w:val="24"/>
        </w:rPr>
        <w:t>R. v. National Post</w:t>
      </w:r>
      <w:r w:rsidRPr="00EB22C5">
        <w:rPr>
          <w:rFonts w:cs="Times New Roman"/>
          <w:szCs w:val="24"/>
        </w:rPr>
        <w:t>, [2010] 1 S.C.</w:t>
      </w:r>
      <w:r w:rsidR="00AA0589">
        <w:rPr>
          <w:rFonts w:cs="Times New Roman"/>
          <w:szCs w:val="24"/>
        </w:rPr>
        <w:t>R. 477, at para. </w:t>
      </w:r>
      <w:r w:rsidRPr="00EB22C5">
        <w:rPr>
          <w:rFonts w:cs="Times New Roman"/>
          <w:szCs w:val="24"/>
        </w:rPr>
        <w:t xml:space="preserve">60). This created an onerous hurdle for journalists (Benjamin Oliphant, “Freedom of the Press as a Discrete Constitutional Guarantee” (2013), 59 </w:t>
      </w:r>
      <w:r w:rsidRPr="00EB22C5">
        <w:rPr>
          <w:rFonts w:cs="Times New Roman"/>
          <w:i/>
          <w:szCs w:val="24"/>
        </w:rPr>
        <w:t>McGill L.J.</w:t>
      </w:r>
      <w:r w:rsidR="00EA09A4">
        <w:rPr>
          <w:rFonts w:cs="Times New Roman"/>
          <w:szCs w:val="24"/>
        </w:rPr>
        <w:t xml:space="preserve"> 283, at pp. </w:t>
      </w:r>
      <w:r w:rsidRPr="00EB22C5">
        <w:rPr>
          <w:rFonts w:cs="Times New Roman"/>
          <w:szCs w:val="24"/>
        </w:rPr>
        <w:t>325-26). Concerned that Canada was “lagging behind [other countries] when it [came] to protecting sources”, those promoting the legislation sought to remove this burden and limit the disclo</w:t>
      </w:r>
      <w:r w:rsidR="00CB292D">
        <w:rPr>
          <w:rFonts w:cs="Times New Roman"/>
          <w:szCs w:val="24"/>
        </w:rPr>
        <w:t>sure of confidential sources to</w:t>
      </w:r>
    </w:p>
    <w:p w:rsidR="00842136" w:rsidRDefault="00B025ED" w:rsidP="00B025ED">
      <w:pPr>
        <w:pStyle w:val="Citation-AltC"/>
        <w:rPr>
          <w:lang w:val="en"/>
        </w:rPr>
      </w:pPr>
      <w:proofErr w:type="gramStart"/>
      <w:r w:rsidRPr="00EB22C5">
        <w:rPr>
          <w:i/>
          <w:lang w:val="en"/>
        </w:rPr>
        <w:t>exceptional</w:t>
      </w:r>
      <w:proofErr w:type="gramEnd"/>
      <w:r w:rsidRPr="00EB22C5">
        <w:rPr>
          <w:i/>
          <w:lang w:val="en"/>
        </w:rPr>
        <w:t>, grave and serious situations</w:t>
      </w:r>
      <w:r w:rsidRPr="00EB22C5">
        <w:rPr>
          <w:lang w:val="en"/>
        </w:rPr>
        <w:t xml:space="preserve"> where the public interest will dictate that the protection must be lifted and the source’s identity disclosed. In other cases, the public interest will dictate tha</w:t>
      </w:r>
      <w:r w:rsidR="00842136">
        <w:rPr>
          <w:lang w:val="en"/>
        </w:rPr>
        <w:t>t anonymity must be maintained.</w:t>
      </w:r>
    </w:p>
    <w:p w:rsidR="00842136" w:rsidRDefault="00842136" w:rsidP="00B025ED">
      <w:pPr>
        <w:pStyle w:val="Citation-AltC"/>
        <w:rPr>
          <w:lang w:val="en"/>
        </w:rPr>
      </w:pPr>
    </w:p>
    <w:p w:rsidR="00B025ED" w:rsidRPr="00EB22C5" w:rsidRDefault="00B025ED" w:rsidP="009F7BCC">
      <w:pPr>
        <w:pStyle w:val="Citation-AltC"/>
        <w:ind w:left="0"/>
      </w:pPr>
      <w:r w:rsidRPr="00EB22C5">
        <w:rPr>
          <w:lang w:val="en"/>
        </w:rPr>
        <w:t>(</w:t>
      </w:r>
      <w:r w:rsidRPr="00EB22C5">
        <w:rPr>
          <w:i/>
        </w:rPr>
        <w:t>Debates of the Senate</w:t>
      </w:r>
      <w:r w:rsidRPr="00EB22C5">
        <w:t>, vol. 150, No. 110, 1st Sess., 42nd Parl., April 6, 2017, at pp.</w:t>
      </w:r>
      <w:r w:rsidR="00942A03">
        <w:t> </w:t>
      </w:r>
      <w:r w:rsidRPr="00EB22C5">
        <w:t>2</w:t>
      </w:r>
      <w:r w:rsidR="00973B6D">
        <w:t>737-38 (Hon. Claude Carignan) (E</w:t>
      </w:r>
      <w:r w:rsidRPr="00EB22C5">
        <w:t>mphasis added</w:t>
      </w:r>
      <w:r w:rsidR="009E39B8">
        <w:t>.</w:t>
      </w:r>
      <w:r w:rsidRPr="00EB22C5">
        <w:t>))</w:t>
      </w:r>
    </w:p>
    <w:p w:rsidR="00B025ED" w:rsidRPr="00EB22C5" w:rsidRDefault="00B025ED" w:rsidP="00B025ED">
      <w:pPr>
        <w:pStyle w:val="ParaNoNdepar-AltN"/>
        <w:rPr>
          <w:rFonts w:cs="Times New Roman"/>
          <w:szCs w:val="24"/>
          <w:lang w:val="en-US"/>
        </w:rPr>
      </w:pPr>
      <w:r w:rsidRPr="00EB22C5">
        <w:rPr>
          <w:rFonts w:cs="Times New Roman"/>
          <w:szCs w:val="24"/>
          <w:lang w:val="en-US"/>
        </w:rPr>
        <w:lastRenderedPageBreak/>
        <w:t>Far from requiring an even balancing of interests, therefore, the new scheme anticipates that absent exceptional circumstances, a presumption of protection for journalistic sources will prevail.</w:t>
      </w:r>
    </w:p>
    <w:p w:rsidR="00B025ED" w:rsidRPr="00EB22C5" w:rsidRDefault="00B025ED" w:rsidP="00B025ED">
      <w:pPr>
        <w:pStyle w:val="ParaNoNdepar-AltN"/>
        <w:rPr>
          <w:rFonts w:cs="Times New Roman"/>
          <w:szCs w:val="24"/>
          <w:lang w:val="en-US"/>
        </w:rPr>
      </w:pPr>
      <w:r w:rsidRPr="00EB22C5">
        <w:rPr>
          <w:rFonts w:cs="Times New Roman"/>
          <w:szCs w:val="24"/>
          <w:lang w:val="en-US"/>
        </w:rPr>
        <w:t>While I accept that the factual terrain in this appeal may have shifted, the legal foundation for the Superior Court</w:t>
      </w:r>
      <w:r w:rsidRPr="00EB22C5">
        <w:rPr>
          <w:rFonts w:cs="Times New Roman"/>
          <w:b/>
          <w:szCs w:val="24"/>
          <w:lang w:val="en-US"/>
        </w:rPr>
        <w:t xml:space="preserve"> </w:t>
      </w:r>
      <w:r w:rsidRPr="00EB22C5">
        <w:rPr>
          <w:rFonts w:cs="Times New Roman"/>
          <w:szCs w:val="24"/>
          <w:lang w:val="en-US"/>
        </w:rPr>
        <w:t xml:space="preserve">of Quebec’s conclusion that authorization was appropriate, is unsustainable in light of the language and purposes of the </w:t>
      </w:r>
      <w:r w:rsidRPr="00EB22C5">
        <w:rPr>
          <w:rFonts w:cs="Times New Roman"/>
          <w:i/>
          <w:szCs w:val="24"/>
          <w:lang w:val="en-US"/>
        </w:rPr>
        <w:t>Act</w:t>
      </w:r>
      <w:r w:rsidRPr="00EB22C5">
        <w:rPr>
          <w:rFonts w:cs="Times New Roman"/>
          <w:szCs w:val="24"/>
          <w:lang w:val="en-US"/>
        </w:rPr>
        <w:t>. The Superior Court effectively placed a burden on the journalist to demonstrate why she should not be forced to reveal her sources, rather than requiring the party seeking disclosure to prove why those sources should be revealed (2018 QCCS 1138, at paras. 113-14 and 160-62). Moreover, the Superior Court applied the new legislation in a way that mirrored, rather than departed from, the old common law and failed to recognize the paramount objective of protecting journalistic</w:t>
      </w:r>
      <w:r w:rsidR="00615E67">
        <w:rPr>
          <w:rFonts w:cs="Times New Roman"/>
          <w:szCs w:val="24"/>
          <w:lang w:val="en-US"/>
        </w:rPr>
        <w:t xml:space="preserve"> sources (paras. 74-77 and 81).</w:t>
      </w:r>
    </w:p>
    <w:p w:rsidR="00B025ED" w:rsidRPr="00EB22C5" w:rsidRDefault="00B025ED" w:rsidP="00B025ED">
      <w:pPr>
        <w:pStyle w:val="ParaNoNdepar-AltN"/>
        <w:rPr>
          <w:rFonts w:cs="Times New Roman"/>
          <w:szCs w:val="24"/>
          <w:lang w:val="en-US"/>
        </w:rPr>
      </w:pPr>
      <w:r w:rsidRPr="00EB22C5">
        <w:rPr>
          <w:rFonts w:cs="Times New Roman"/>
          <w:szCs w:val="24"/>
          <w:lang w:val="en-US"/>
        </w:rPr>
        <w:t>Given these fundamental legal errors in the interpretation and application of the legislation, I would set aside the disclosure authorization issued against the journalist, Marie-Maude Denis,</w:t>
      </w:r>
      <w:r w:rsidRPr="00EB22C5">
        <w:rPr>
          <w:rFonts w:cs="Times New Roman"/>
          <w:b/>
          <w:szCs w:val="24"/>
          <w:lang w:val="en-US"/>
        </w:rPr>
        <w:t xml:space="preserve"> </w:t>
      </w:r>
      <w:r w:rsidRPr="00EB22C5">
        <w:rPr>
          <w:rFonts w:cs="Times New Roman"/>
          <w:szCs w:val="24"/>
          <w:lang w:val="en-US"/>
        </w:rPr>
        <w:t>and quash the subpoena.</w:t>
      </w:r>
    </w:p>
    <w:p w:rsidR="00B025ED" w:rsidRDefault="00B025ED" w:rsidP="00B025ED">
      <w:pPr>
        <w:pStyle w:val="ParaNoNdepar-AltN"/>
        <w:numPr>
          <w:ilvl w:val="0"/>
          <w:numId w:val="0"/>
        </w:numPr>
        <w:spacing w:before="0"/>
        <w:rPr>
          <w:rFonts w:cs="Times New Roman"/>
        </w:rPr>
      </w:pPr>
    </w:p>
    <w:p w:rsidR="00B025ED" w:rsidRPr="00173F22" w:rsidRDefault="00B025ED" w:rsidP="00B025ED">
      <w:pPr>
        <w:pStyle w:val="ParaNoNdepar-AltN"/>
        <w:numPr>
          <w:ilvl w:val="0"/>
          <w:numId w:val="0"/>
        </w:numPr>
        <w:spacing w:before="0"/>
        <w:rPr>
          <w:rFonts w:cs="Times New Roman"/>
        </w:rPr>
      </w:pPr>
      <w:r w:rsidRPr="00173F22">
        <w:rPr>
          <w:rFonts w:cs="Times New Roman"/>
        </w:rPr>
        <w:br w:type="page"/>
      </w:r>
    </w:p>
    <w:p w:rsidR="00B025ED" w:rsidRPr="001D4852" w:rsidRDefault="00B025ED" w:rsidP="00B025ED">
      <w:pPr>
        <w:spacing w:after="720"/>
        <w:jc w:val="center"/>
        <w:rPr>
          <w:rFonts w:ascii="Times New Roman" w:hAnsi="Times New Roman" w:cs="Times New Roman"/>
          <w:b/>
          <w:sz w:val="24"/>
          <w:szCs w:val="24"/>
        </w:rPr>
      </w:pPr>
      <w:r w:rsidRPr="001D4852">
        <w:rPr>
          <w:rFonts w:ascii="Times New Roman" w:hAnsi="Times New Roman" w:cs="Times New Roman"/>
          <w:b/>
          <w:sz w:val="24"/>
          <w:szCs w:val="24"/>
        </w:rPr>
        <w:lastRenderedPageBreak/>
        <w:t>APPENDIX</w:t>
      </w:r>
    </w:p>
    <w:p w:rsidR="00BF3517" w:rsidRPr="001D4852" w:rsidRDefault="00B025ED" w:rsidP="00BF3517">
      <w:pPr>
        <w:spacing w:after="720"/>
        <w:jc w:val="both"/>
        <w:rPr>
          <w:rFonts w:ascii="Times New Roman" w:hAnsi="Times New Roman" w:cs="Times New Roman"/>
          <w:sz w:val="24"/>
          <w:szCs w:val="24"/>
        </w:rPr>
      </w:pPr>
      <w:r w:rsidRPr="001D4852">
        <w:rPr>
          <w:rFonts w:ascii="Times New Roman" w:hAnsi="Times New Roman" w:cs="Times New Roman"/>
          <w:i/>
          <w:sz w:val="24"/>
          <w:szCs w:val="24"/>
        </w:rPr>
        <w:t>Canada Evidence Act</w:t>
      </w:r>
      <w:r w:rsidRPr="001D4852">
        <w:rPr>
          <w:rFonts w:ascii="Times New Roman" w:hAnsi="Times New Roman" w:cs="Times New Roman"/>
          <w:sz w:val="24"/>
          <w:szCs w:val="24"/>
        </w:rPr>
        <w:t>, R.S.C. 1985, c. C</w:t>
      </w:r>
      <w:r w:rsidRPr="001D4852">
        <w:rPr>
          <w:rFonts w:ascii="Times New Roman" w:hAnsi="Times New Roman" w:cs="Times New Roman"/>
          <w:sz w:val="24"/>
          <w:szCs w:val="24"/>
        </w:rPr>
        <w:noBreakHyphen/>
        <w:t>5</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39.1 (1)</w:t>
      </w:r>
      <w:r w:rsidRPr="001D4852">
        <w:rPr>
          <w:rFonts w:ascii="Times New Roman" w:hAnsi="Times New Roman" w:cs="Times New Roman"/>
          <w:sz w:val="24"/>
          <w:szCs w:val="24"/>
        </w:rPr>
        <w:t xml:space="preserve"> </w:t>
      </w:r>
      <w:proofErr w:type="gramStart"/>
      <w:r w:rsidRPr="001D4852">
        <w:rPr>
          <w:rFonts w:ascii="Times New Roman" w:hAnsi="Times New Roman" w:cs="Times New Roman"/>
          <w:sz w:val="24"/>
          <w:szCs w:val="24"/>
        </w:rPr>
        <w:t>The</w:t>
      </w:r>
      <w:proofErr w:type="gramEnd"/>
      <w:r w:rsidRPr="001D4852">
        <w:rPr>
          <w:rFonts w:ascii="Times New Roman" w:hAnsi="Times New Roman" w:cs="Times New Roman"/>
          <w:sz w:val="24"/>
          <w:szCs w:val="24"/>
        </w:rPr>
        <w:t xml:space="preserve"> following definitions apply in this section.</w:t>
      </w:r>
    </w:p>
    <w:p w:rsidR="00B025ED" w:rsidRPr="001D4852" w:rsidRDefault="00B025ED" w:rsidP="00BF3517">
      <w:pPr>
        <w:tabs>
          <w:tab w:val="left" w:pos="0"/>
        </w:tabs>
        <w:spacing w:after="240"/>
        <w:jc w:val="both"/>
        <w:rPr>
          <w:rFonts w:ascii="Times New Roman" w:hAnsi="Times New Roman" w:cs="Times New Roman"/>
          <w:sz w:val="24"/>
          <w:szCs w:val="24"/>
        </w:rPr>
      </w:pPr>
      <w:proofErr w:type="gramStart"/>
      <w:r w:rsidRPr="001D4852">
        <w:rPr>
          <w:rFonts w:ascii="Times New Roman" w:hAnsi="Times New Roman" w:cs="Times New Roman"/>
          <w:b/>
          <w:i/>
          <w:sz w:val="24"/>
          <w:szCs w:val="24"/>
        </w:rPr>
        <w:t>document</w:t>
      </w:r>
      <w:proofErr w:type="gramEnd"/>
      <w:r w:rsidRPr="001D4852">
        <w:rPr>
          <w:rFonts w:ascii="Times New Roman" w:hAnsi="Times New Roman" w:cs="Times New Roman"/>
          <w:sz w:val="24"/>
          <w:szCs w:val="24"/>
        </w:rPr>
        <w:t> </w:t>
      </w:r>
      <w:r w:rsidRPr="001D4852">
        <w:rPr>
          <w:rFonts w:ascii="Times New Roman" w:hAnsi="Times New Roman" w:cs="Times New Roman"/>
          <w:sz w:val="24"/>
          <w:szCs w:val="24"/>
        </w:rPr>
        <w:t xml:space="preserve">has the same meaning as in section 487.011 of the </w:t>
      </w:r>
      <w:r w:rsidRPr="001D4852">
        <w:rPr>
          <w:rFonts w:ascii="Times New Roman" w:hAnsi="Times New Roman" w:cs="Times New Roman"/>
          <w:i/>
          <w:sz w:val="24"/>
          <w:szCs w:val="24"/>
        </w:rPr>
        <w:t>Criminal Code</w:t>
      </w:r>
      <w:r w:rsidRPr="001D4852">
        <w:rPr>
          <w:rFonts w:ascii="Times New Roman" w:hAnsi="Times New Roman" w:cs="Times New Roman"/>
          <w:sz w:val="24"/>
          <w:szCs w:val="24"/>
        </w:rPr>
        <w:t>.</w:t>
      </w:r>
    </w:p>
    <w:p w:rsidR="00B025ED" w:rsidRPr="001D4852" w:rsidRDefault="00B025ED" w:rsidP="00BF3517">
      <w:pPr>
        <w:tabs>
          <w:tab w:val="left" w:pos="0"/>
          <w:tab w:val="left" w:pos="90"/>
        </w:tabs>
        <w:spacing w:after="240"/>
        <w:jc w:val="both"/>
        <w:rPr>
          <w:rFonts w:ascii="Times New Roman" w:hAnsi="Times New Roman" w:cs="Times New Roman"/>
          <w:sz w:val="24"/>
          <w:szCs w:val="24"/>
        </w:rPr>
      </w:pPr>
      <w:proofErr w:type="gramStart"/>
      <w:r w:rsidRPr="001D4852">
        <w:rPr>
          <w:rFonts w:ascii="Times New Roman" w:hAnsi="Times New Roman" w:cs="Times New Roman"/>
          <w:b/>
          <w:i/>
          <w:sz w:val="24"/>
          <w:szCs w:val="24"/>
        </w:rPr>
        <w:t>journalist</w:t>
      </w:r>
      <w:proofErr w:type="gramEnd"/>
      <w:r w:rsidRPr="001D4852">
        <w:rPr>
          <w:rFonts w:ascii="Times New Roman" w:hAnsi="Times New Roman" w:cs="Times New Roman"/>
          <w:sz w:val="24"/>
          <w:szCs w:val="24"/>
        </w:rPr>
        <w:t> </w:t>
      </w:r>
      <w:r w:rsidRPr="001D4852">
        <w:rPr>
          <w:rFonts w:ascii="Times New Roman" w:hAnsi="Times New Roman" w:cs="Times New Roman"/>
          <w:sz w:val="24"/>
          <w:szCs w:val="24"/>
        </w:rPr>
        <w:t>means a person whose main occupation is to contribute directly, either regularly or occasionally, for consideration, to the collection, writing or production of information for dissemination by the media, or anyone who assists such a person.</w:t>
      </w:r>
    </w:p>
    <w:p w:rsidR="00B025ED" w:rsidRPr="001D4852" w:rsidRDefault="00B025ED" w:rsidP="00BF3517">
      <w:pPr>
        <w:tabs>
          <w:tab w:val="left" w:pos="0"/>
          <w:tab w:val="left" w:pos="90"/>
        </w:tabs>
        <w:spacing w:after="240"/>
        <w:jc w:val="both"/>
        <w:rPr>
          <w:rFonts w:ascii="Times New Roman" w:hAnsi="Times New Roman" w:cs="Times New Roman"/>
          <w:sz w:val="24"/>
          <w:szCs w:val="24"/>
        </w:rPr>
      </w:pPr>
      <w:proofErr w:type="gramStart"/>
      <w:r w:rsidRPr="001D4852">
        <w:rPr>
          <w:rFonts w:ascii="Times New Roman" w:hAnsi="Times New Roman" w:cs="Times New Roman"/>
          <w:b/>
          <w:i/>
          <w:sz w:val="24"/>
          <w:szCs w:val="24"/>
        </w:rPr>
        <w:t>journalistic</w:t>
      </w:r>
      <w:proofErr w:type="gramEnd"/>
      <w:r w:rsidRPr="001D4852">
        <w:rPr>
          <w:rFonts w:ascii="Times New Roman" w:hAnsi="Times New Roman" w:cs="Times New Roman"/>
          <w:b/>
          <w:i/>
          <w:sz w:val="24"/>
          <w:szCs w:val="24"/>
        </w:rPr>
        <w:t xml:space="preserve"> source</w:t>
      </w:r>
      <w:r w:rsidR="00BF3517">
        <w:rPr>
          <w:rFonts w:ascii="Times New Roman" w:hAnsi="Times New Roman" w:cs="Times New Roman"/>
          <w:b/>
          <w:i/>
          <w:sz w:val="24"/>
          <w:szCs w:val="24"/>
        </w:rPr>
        <w:t> </w:t>
      </w:r>
      <w:r w:rsidRPr="001D4852">
        <w:rPr>
          <w:rFonts w:ascii="Times New Roman" w:hAnsi="Times New Roman" w:cs="Times New Roman"/>
          <w:sz w:val="24"/>
          <w:szCs w:val="24"/>
        </w:rPr>
        <w:t>means a source that confidentially transmits information to a journalist on the journalist’s undertaking not to divulge the identity of the source, whose anonymity is essential to the relationship between the journalist and the source.</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(2)</w:t>
      </w:r>
      <w:r w:rsidRPr="001D4852">
        <w:rPr>
          <w:rFonts w:ascii="Times New Roman" w:hAnsi="Times New Roman" w:cs="Times New Roman"/>
          <w:sz w:val="24"/>
          <w:szCs w:val="24"/>
        </w:rPr>
        <w:t> Subject to subsection (7), a journalist may object to the disclosure of information or a document before a court, person or body with the authority to compel the disclosure of information on the grounds that the information or document identifies or is likely to identify a journalistic source.</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(3)</w:t>
      </w:r>
      <w:r w:rsidRPr="001D4852">
        <w:rPr>
          <w:rFonts w:ascii="Times New Roman" w:hAnsi="Times New Roman" w:cs="Times New Roman"/>
          <w:sz w:val="24"/>
          <w:szCs w:val="24"/>
        </w:rPr>
        <w:t xml:space="preserve"> For the purposes of subsections (2) and (7), </w:t>
      </w:r>
      <w:r w:rsidRPr="001D4852">
        <w:rPr>
          <w:rFonts w:ascii="Times New Roman" w:hAnsi="Times New Roman" w:cs="Times New Roman"/>
          <w:b/>
          <w:bCs/>
          <w:i/>
          <w:iCs/>
          <w:sz w:val="24"/>
          <w:szCs w:val="24"/>
        </w:rPr>
        <w:t>journalist</w:t>
      </w:r>
      <w:r w:rsidRPr="001D4852">
        <w:rPr>
          <w:rFonts w:ascii="Times New Roman" w:hAnsi="Times New Roman" w:cs="Times New Roman"/>
          <w:sz w:val="24"/>
          <w:szCs w:val="24"/>
        </w:rPr>
        <w:t xml:space="preserve"> includes an individual who was a journalist when information that identifies or is likely to identify the journalistic source was transmitted to that individual.</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(4)</w:t>
      </w:r>
      <w:r w:rsidRPr="001D4852">
        <w:rPr>
          <w:rFonts w:ascii="Times New Roman" w:hAnsi="Times New Roman" w:cs="Times New Roman"/>
          <w:sz w:val="24"/>
          <w:szCs w:val="24"/>
        </w:rPr>
        <w:t> The court, person or body may raise the application of subsection (2) on their own initiative.</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(5)</w:t>
      </w:r>
      <w:r w:rsidRPr="001D4852">
        <w:rPr>
          <w:rFonts w:ascii="Times New Roman" w:hAnsi="Times New Roman" w:cs="Times New Roman"/>
          <w:sz w:val="24"/>
          <w:szCs w:val="24"/>
        </w:rPr>
        <w:t> When an objection or the application of subsection (2) is raised, the court, person or body shall ensure that the information or document is not disclosed other than in accordance with this section.</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(6)</w:t>
      </w:r>
      <w:r w:rsidRPr="001D4852">
        <w:rPr>
          <w:rFonts w:ascii="Times New Roman" w:hAnsi="Times New Roman" w:cs="Times New Roman"/>
          <w:sz w:val="24"/>
          <w:szCs w:val="24"/>
        </w:rPr>
        <w:t> Before determining the question, the court, person or body must give the parties and interested persons a reasonable opportunity to present observations.</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(7)</w:t>
      </w:r>
      <w:r w:rsidRPr="001D4852">
        <w:rPr>
          <w:rFonts w:ascii="Times New Roman" w:hAnsi="Times New Roman" w:cs="Times New Roman"/>
          <w:sz w:val="24"/>
          <w:szCs w:val="24"/>
        </w:rPr>
        <w:t> The court, person or body may authorize the disclosure of information or a document only if they consider that</w:t>
      </w:r>
    </w:p>
    <w:p w:rsidR="00B025ED" w:rsidRPr="001D4852" w:rsidRDefault="00B025ED" w:rsidP="00B025ED">
      <w:pPr>
        <w:spacing w:after="240"/>
        <w:ind w:left="450" w:hanging="450"/>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(a)</w:t>
      </w:r>
      <w:r w:rsidRPr="001D4852">
        <w:rPr>
          <w:rFonts w:ascii="Times New Roman" w:hAnsi="Times New Roman" w:cs="Times New Roman"/>
          <w:sz w:val="24"/>
          <w:szCs w:val="24"/>
        </w:rPr>
        <w:t> </w:t>
      </w:r>
      <w:proofErr w:type="gramStart"/>
      <w:r w:rsidRPr="001D4852">
        <w:rPr>
          <w:rFonts w:ascii="Times New Roman" w:hAnsi="Times New Roman" w:cs="Times New Roman"/>
          <w:sz w:val="24"/>
          <w:szCs w:val="24"/>
        </w:rPr>
        <w:t>the</w:t>
      </w:r>
      <w:proofErr w:type="gramEnd"/>
      <w:r w:rsidRPr="001D4852">
        <w:rPr>
          <w:rFonts w:ascii="Times New Roman" w:hAnsi="Times New Roman" w:cs="Times New Roman"/>
          <w:sz w:val="24"/>
          <w:szCs w:val="24"/>
        </w:rPr>
        <w:t xml:space="preserve"> information or document cannot be produced in evidence by any other reasonable means; and</w:t>
      </w:r>
    </w:p>
    <w:p w:rsidR="00B025ED" w:rsidRPr="001D4852" w:rsidRDefault="00B025ED" w:rsidP="00B025ED">
      <w:pPr>
        <w:spacing w:after="240"/>
        <w:ind w:left="450" w:hanging="450"/>
        <w:jc w:val="both"/>
        <w:rPr>
          <w:rFonts w:ascii="Times New Roman" w:hAnsi="Times New Roman" w:cs="Times New Roman"/>
          <w:sz w:val="24"/>
          <w:szCs w:val="24"/>
        </w:rPr>
      </w:pPr>
      <w:r w:rsidRPr="001D4852">
        <w:rPr>
          <w:rFonts w:ascii="Times New Roman" w:hAnsi="Times New Roman" w:cs="Times New Roman"/>
          <w:sz w:val="24"/>
          <w:szCs w:val="24"/>
        </w:rPr>
        <w:lastRenderedPageBreak/>
        <w:tab/>
      </w:r>
      <w:r w:rsidRPr="001D4852">
        <w:rPr>
          <w:rFonts w:ascii="Times New Roman" w:hAnsi="Times New Roman" w:cs="Times New Roman"/>
          <w:b/>
          <w:sz w:val="24"/>
          <w:szCs w:val="24"/>
        </w:rPr>
        <w:t>(b)</w:t>
      </w:r>
      <w:r w:rsidRPr="001D4852">
        <w:rPr>
          <w:rFonts w:ascii="Times New Roman" w:hAnsi="Times New Roman" w:cs="Times New Roman"/>
          <w:sz w:val="24"/>
          <w:szCs w:val="24"/>
        </w:rPr>
        <w:t> </w:t>
      </w:r>
      <w:proofErr w:type="gramStart"/>
      <w:r w:rsidRPr="001D4852">
        <w:rPr>
          <w:rFonts w:ascii="Times New Roman" w:hAnsi="Times New Roman" w:cs="Times New Roman"/>
          <w:sz w:val="24"/>
          <w:szCs w:val="24"/>
        </w:rPr>
        <w:t>the</w:t>
      </w:r>
      <w:proofErr w:type="gramEnd"/>
      <w:r w:rsidRPr="001D4852">
        <w:rPr>
          <w:rFonts w:ascii="Times New Roman" w:hAnsi="Times New Roman" w:cs="Times New Roman"/>
          <w:sz w:val="24"/>
          <w:szCs w:val="24"/>
        </w:rPr>
        <w:t xml:space="preserve"> public interest in the administration of justice outweighs the public interest in preserving the confidentiality of the journalistic source, having regard to, among other things,</w:t>
      </w:r>
    </w:p>
    <w:p w:rsidR="00B025ED" w:rsidRPr="001D4852" w:rsidRDefault="00B025ED" w:rsidP="00B025ED">
      <w:pPr>
        <w:spacing w:after="240"/>
        <w:ind w:left="901" w:hanging="181"/>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w:t>
      </w:r>
      <w:proofErr w:type="spellStart"/>
      <w:r w:rsidRPr="001D4852">
        <w:rPr>
          <w:rFonts w:ascii="Times New Roman" w:hAnsi="Times New Roman" w:cs="Times New Roman"/>
          <w:b/>
          <w:sz w:val="24"/>
          <w:szCs w:val="24"/>
        </w:rPr>
        <w:t>i</w:t>
      </w:r>
      <w:proofErr w:type="spellEnd"/>
      <w:r w:rsidRPr="001D4852">
        <w:rPr>
          <w:rFonts w:ascii="Times New Roman" w:hAnsi="Times New Roman" w:cs="Times New Roman"/>
          <w:b/>
          <w:sz w:val="24"/>
          <w:szCs w:val="24"/>
        </w:rPr>
        <w:t>)</w:t>
      </w:r>
      <w:r w:rsidRPr="001D4852">
        <w:rPr>
          <w:rFonts w:ascii="Times New Roman" w:hAnsi="Times New Roman" w:cs="Times New Roman"/>
          <w:sz w:val="24"/>
          <w:szCs w:val="24"/>
        </w:rPr>
        <w:t> </w:t>
      </w:r>
      <w:proofErr w:type="gramStart"/>
      <w:r w:rsidRPr="001D4852">
        <w:rPr>
          <w:rFonts w:ascii="Times New Roman" w:hAnsi="Times New Roman" w:cs="Times New Roman"/>
          <w:sz w:val="24"/>
          <w:szCs w:val="24"/>
        </w:rPr>
        <w:t>the</w:t>
      </w:r>
      <w:proofErr w:type="gramEnd"/>
      <w:r w:rsidRPr="001D4852">
        <w:rPr>
          <w:rFonts w:ascii="Times New Roman" w:hAnsi="Times New Roman" w:cs="Times New Roman"/>
          <w:sz w:val="24"/>
          <w:szCs w:val="24"/>
        </w:rPr>
        <w:t xml:space="preserve"> importance of the information or document to a central issue in the proceeding,</w:t>
      </w:r>
    </w:p>
    <w:p w:rsidR="00B025ED" w:rsidRPr="001D4852" w:rsidRDefault="00B025ED" w:rsidP="00B025ED">
      <w:pPr>
        <w:spacing w:after="240"/>
        <w:ind w:left="901" w:hanging="181"/>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(ii)</w:t>
      </w:r>
      <w:r w:rsidRPr="001D4852">
        <w:rPr>
          <w:rFonts w:ascii="Times New Roman" w:hAnsi="Times New Roman" w:cs="Times New Roman"/>
          <w:sz w:val="24"/>
          <w:szCs w:val="24"/>
        </w:rPr>
        <w:t> </w:t>
      </w:r>
      <w:proofErr w:type="gramStart"/>
      <w:r w:rsidRPr="001D4852">
        <w:rPr>
          <w:rFonts w:ascii="Times New Roman" w:hAnsi="Times New Roman" w:cs="Times New Roman"/>
          <w:sz w:val="24"/>
          <w:szCs w:val="24"/>
        </w:rPr>
        <w:t>freedom</w:t>
      </w:r>
      <w:proofErr w:type="gramEnd"/>
      <w:r w:rsidRPr="001D4852">
        <w:rPr>
          <w:rFonts w:ascii="Times New Roman" w:hAnsi="Times New Roman" w:cs="Times New Roman"/>
          <w:sz w:val="24"/>
          <w:szCs w:val="24"/>
        </w:rPr>
        <w:t xml:space="preserve"> of the press, and</w:t>
      </w:r>
    </w:p>
    <w:p w:rsidR="00B025ED" w:rsidRPr="001D4852" w:rsidRDefault="00B025ED" w:rsidP="00B025ED">
      <w:pPr>
        <w:spacing w:after="240"/>
        <w:ind w:left="901" w:hanging="181"/>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(iii)</w:t>
      </w:r>
      <w:r w:rsidRPr="001D4852">
        <w:rPr>
          <w:rFonts w:ascii="Times New Roman" w:hAnsi="Times New Roman" w:cs="Times New Roman"/>
          <w:sz w:val="24"/>
          <w:szCs w:val="24"/>
        </w:rPr>
        <w:t> </w:t>
      </w:r>
      <w:proofErr w:type="gramStart"/>
      <w:r w:rsidRPr="001D4852">
        <w:rPr>
          <w:rFonts w:ascii="Times New Roman" w:hAnsi="Times New Roman" w:cs="Times New Roman"/>
          <w:sz w:val="24"/>
          <w:szCs w:val="24"/>
        </w:rPr>
        <w:t>the</w:t>
      </w:r>
      <w:proofErr w:type="gramEnd"/>
      <w:r w:rsidRPr="001D4852">
        <w:rPr>
          <w:rFonts w:ascii="Times New Roman" w:hAnsi="Times New Roman" w:cs="Times New Roman"/>
          <w:sz w:val="24"/>
          <w:szCs w:val="24"/>
        </w:rPr>
        <w:t xml:space="preserve"> impact of disclosure on the journalistic source and the journalist.</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(8)</w:t>
      </w:r>
      <w:r w:rsidRPr="001D4852">
        <w:rPr>
          <w:rFonts w:ascii="Times New Roman" w:hAnsi="Times New Roman" w:cs="Times New Roman"/>
          <w:sz w:val="24"/>
          <w:szCs w:val="24"/>
        </w:rPr>
        <w:t> An authorization under subsection (7) may contain any conditions that the court, person or body considers appropriate to protect the identity of the journalistic source.</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(9)</w:t>
      </w:r>
      <w:r w:rsidRPr="001D4852">
        <w:rPr>
          <w:rFonts w:ascii="Times New Roman" w:hAnsi="Times New Roman" w:cs="Times New Roman"/>
          <w:sz w:val="24"/>
          <w:szCs w:val="24"/>
        </w:rPr>
        <w:t> A person who requests the disclosure has the burden of proving that the conditions set out in subsection (7) are fulfilled.</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(10)</w:t>
      </w:r>
      <w:r w:rsidRPr="001D4852">
        <w:rPr>
          <w:rFonts w:ascii="Times New Roman" w:hAnsi="Times New Roman" w:cs="Times New Roman"/>
          <w:sz w:val="24"/>
          <w:szCs w:val="24"/>
        </w:rPr>
        <w:t> An appeal lies from a determination under subsection (7)</w:t>
      </w:r>
    </w:p>
    <w:p w:rsidR="00B025ED" w:rsidRPr="001D4852" w:rsidRDefault="00B025ED" w:rsidP="00B025ED">
      <w:pPr>
        <w:spacing w:after="240"/>
        <w:ind w:left="414" w:hanging="414"/>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(a)</w:t>
      </w:r>
      <w:r w:rsidRPr="001D4852">
        <w:rPr>
          <w:rFonts w:ascii="Times New Roman" w:hAnsi="Times New Roman" w:cs="Times New Roman"/>
          <w:sz w:val="24"/>
          <w:szCs w:val="24"/>
        </w:rPr>
        <w:t> </w:t>
      </w:r>
      <w:proofErr w:type="gramStart"/>
      <w:r w:rsidRPr="001D4852">
        <w:rPr>
          <w:rFonts w:ascii="Times New Roman" w:hAnsi="Times New Roman" w:cs="Times New Roman"/>
          <w:sz w:val="24"/>
          <w:szCs w:val="24"/>
        </w:rPr>
        <w:t>to</w:t>
      </w:r>
      <w:proofErr w:type="gramEnd"/>
      <w:r w:rsidRPr="001D4852">
        <w:rPr>
          <w:rFonts w:ascii="Times New Roman" w:hAnsi="Times New Roman" w:cs="Times New Roman"/>
          <w:sz w:val="24"/>
          <w:szCs w:val="24"/>
        </w:rPr>
        <w:t xml:space="preserve"> the Federal Court of Appeal from a determination of the Federal Court;</w:t>
      </w:r>
    </w:p>
    <w:p w:rsidR="00B025ED" w:rsidRPr="001D4852" w:rsidRDefault="00B025ED" w:rsidP="00B025ED">
      <w:pPr>
        <w:spacing w:after="240"/>
        <w:ind w:left="414" w:hanging="414"/>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(b)</w:t>
      </w:r>
      <w:r w:rsidRPr="001D4852">
        <w:rPr>
          <w:rFonts w:ascii="Times New Roman" w:hAnsi="Times New Roman" w:cs="Times New Roman"/>
          <w:sz w:val="24"/>
          <w:szCs w:val="24"/>
        </w:rPr>
        <w:t> </w:t>
      </w:r>
      <w:proofErr w:type="gramStart"/>
      <w:r w:rsidRPr="001D4852">
        <w:rPr>
          <w:rFonts w:ascii="Times New Roman" w:hAnsi="Times New Roman" w:cs="Times New Roman"/>
          <w:sz w:val="24"/>
          <w:szCs w:val="24"/>
        </w:rPr>
        <w:t>to</w:t>
      </w:r>
      <w:proofErr w:type="gramEnd"/>
      <w:r w:rsidRPr="001D4852">
        <w:rPr>
          <w:rFonts w:ascii="Times New Roman" w:hAnsi="Times New Roman" w:cs="Times New Roman"/>
          <w:sz w:val="24"/>
          <w:szCs w:val="24"/>
        </w:rPr>
        <w:t xml:space="preserve"> the court of appeal of a province from a determination of a superior court of the province;</w:t>
      </w:r>
    </w:p>
    <w:p w:rsidR="00B025ED" w:rsidRPr="001D4852" w:rsidRDefault="00B025ED" w:rsidP="00B025ED">
      <w:pPr>
        <w:spacing w:after="240"/>
        <w:ind w:left="414" w:hanging="414"/>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(c)</w:t>
      </w:r>
      <w:r w:rsidRPr="001D4852">
        <w:rPr>
          <w:rFonts w:ascii="Times New Roman" w:hAnsi="Times New Roman" w:cs="Times New Roman"/>
          <w:sz w:val="24"/>
          <w:szCs w:val="24"/>
        </w:rPr>
        <w:t> to the Federal Court from a determination of a court, person or body vested with power to compel production by or under an Act of Parliament if the court, person or body is not established under a law of a province; or</w:t>
      </w:r>
    </w:p>
    <w:p w:rsidR="00B025ED" w:rsidRPr="001D4852" w:rsidRDefault="00B025ED" w:rsidP="00B025ED">
      <w:pPr>
        <w:spacing w:after="240"/>
        <w:ind w:left="414" w:hanging="414"/>
        <w:jc w:val="both"/>
        <w:rPr>
          <w:rFonts w:ascii="Times New Roman" w:hAnsi="Times New Roman" w:cs="Times New Roman"/>
          <w:sz w:val="24"/>
          <w:szCs w:val="24"/>
        </w:rPr>
      </w:pPr>
      <w:r w:rsidRPr="001D4852">
        <w:rPr>
          <w:rFonts w:ascii="Times New Roman" w:hAnsi="Times New Roman" w:cs="Times New Roman"/>
          <w:sz w:val="24"/>
          <w:szCs w:val="24"/>
        </w:rPr>
        <w:tab/>
      </w:r>
      <w:r w:rsidRPr="001D4852">
        <w:rPr>
          <w:rFonts w:ascii="Times New Roman" w:hAnsi="Times New Roman" w:cs="Times New Roman"/>
          <w:b/>
          <w:sz w:val="24"/>
          <w:szCs w:val="24"/>
        </w:rPr>
        <w:t>(</w:t>
      </w:r>
      <w:proofErr w:type="gramStart"/>
      <w:r w:rsidRPr="001D4852">
        <w:rPr>
          <w:rFonts w:ascii="Times New Roman" w:hAnsi="Times New Roman" w:cs="Times New Roman"/>
          <w:b/>
          <w:sz w:val="24"/>
          <w:szCs w:val="24"/>
        </w:rPr>
        <w:t>d</w:t>
      </w:r>
      <w:proofErr w:type="gramEnd"/>
      <w:r w:rsidRPr="001D4852">
        <w:rPr>
          <w:rFonts w:ascii="Times New Roman" w:hAnsi="Times New Roman" w:cs="Times New Roman"/>
          <w:b/>
          <w:sz w:val="24"/>
          <w:szCs w:val="24"/>
        </w:rPr>
        <w:t>)</w:t>
      </w:r>
      <w:r w:rsidRPr="001D4852">
        <w:rPr>
          <w:rFonts w:ascii="Times New Roman" w:hAnsi="Times New Roman" w:cs="Times New Roman"/>
          <w:sz w:val="24"/>
          <w:szCs w:val="24"/>
        </w:rPr>
        <w:t> to the trial division or trial court of the superior court of the province within which the court, person or body exercises its jurisdiction, in any other case.</w:t>
      </w:r>
    </w:p>
    <w:p w:rsidR="00B025ED" w:rsidRPr="001D4852" w:rsidRDefault="00B025ED" w:rsidP="00B025ED">
      <w:pPr>
        <w:spacing w:after="240"/>
        <w:jc w:val="both"/>
        <w:rPr>
          <w:rFonts w:ascii="Times New Roman" w:hAnsi="Times New Roman" w:cs="Times New Roman"/>
          <w:sz w:val="24"/>
          <w:szCs w:val="24"/>
        </w:rPr>
      </w:pPr>
      <w:r w:rsidRPr="001D4852">
        <w:rPr>
          <w:rFonts w:ascii="Times New Roman" w:hAnsi="Times New Roman" w:cs="Times New Roman"/>
          <w:b/>
          <w:sz w:val="24"/>
          <w:szCs w:val="24"/>
        </w:rPr>
        <w:t>(11)</w:t>
      </w:r>
      <w:r w:rsidRPr="001D4852">
        <w:rPr>
          <w:rFonts w:ascii="Times New Roman" w:hAnsi="Times New Roman" w:cs="Times New Roman"/>
          <w:sz w:val="24"/>
          <w:szCs w:val="24"/>
        </w:rPr>
        <w:t> An appeal under subsection (10) shall be brought within 10 days after the date of the determination appealed from or within any further time that the court having jurisdiction to hear the appeal considers appropriate in the circumstances.</w:t>
      </w:r>
    </w:p>
    <w:p w:rsidR="00B025ED" w:rsidRPr="001D4852" w:rsidRDefault="00B025ED" w:rsidP="00B025ED">
      <w:pPr>
        <w:jc w:val="both"/>
        <w:rPr>
          <w:rFonts w:ascii="Times New Roman" w:hAnsi="Times New Roman" w:cs="Times New Roman"/>
          <w:sz w:val="24"/>
          <w:szCs w:val="24"/>
        </w:rPr>
      </w:pPr>
      <w:r w:rsidRPr="001D4852">
        <w:rPr>
          <w:rFonts w:ascii="Times New Roman" w:hAnsi="Times New Roman" w:cs="Times New Roman"/>
          <w:b/>
          <w:sz w:val="24"/>
          <w:szCs w:val="24"/>
        </w:rPr>
        <w:t>(12)</w:t>
      </w:r>
      <w:r w:rsidRPr="001D4852">
        <w:rPr>
          <w:rFonts w:ascii="Times New Roman" w:hAnsi="Times New Roman" w:cs="Times New Roman"/>
          <w:sz w:val="24"/>
          <w:szCs w:val="24"/>
        </w:rPr>
        <w:t> An appeal under subsection (10) shall be heard and determined without delay and in a summary way.</w:t>
      </w:r>
    </w:p>
    <w:p w:rsidR="00B025ED" w:rsidRPr="001D4852" w:rsidRDefault="00B025ED" w:rsidP="00B025ED">
      <w:pPr>
        <w:jc w:val="both"/>
        <w:rPr>
          <w:rFonts w:ascii="Times New Roman" w:hAnsi="Times New Roman" w:cs="Times New Roman"/>
          <w:sz w:val="24"/>
          <w:szCs w:val="24"/>
        </w:rPr>
      </w:pPr>
    </w:p>
    <w:p w:rsidR="00B025ED" w:rsidRPr="001D4852" w:rsidRDefault="00B025ED" w:rsidP="00B025ED">
      <w:pPr>
        <w:pStyle w:val="SCCNormalDoubleSpacing"/>
        <w:spacing w:after="480"/>
        <w:rPr>
          <w:szCs w:val="24"/>
        </w:rPr>
      </w:pPr>
    </w:p>
    <w:p w:rsidR="00B025ED" w:rsidRPr="001D4852" w:rsidRDefault="00B025ED" w:rsidP="00B025ED">
      <w:pPr>
        <w:tabs>
          <w:tab w:val="left" w:pos="1170"/>
        </w:tabs>
        <w:spacing w:after="480" w:line="480" w:lineRule="auto"/>
        <w:jc w:val="both"/>
        <w:rPr>
          <w:rFonts w:ascii="Times New Roman" w:hAnsi="Times New Roman" w:cs="Times New Roman"/>
          <w:sz w:val="24"/>
          <w:szCs w:val="24"/>
        </w:rPr>
      </w:pPr>
      <w:r w:rsidRPr="001D4852">
        <w:rPr>
          <w:rFonts w:ascii="Times New Roman" w:hAnsi="Times New Roman" w:cs="Times New Roman"/>
          <w:i/>
          <w:iCs/>
          <w:sz w:val="24"/>
          <w:szCs w:val="24"/>
        </w:rPr>
        <w:lastRenderedPageBreak/>
        <w:tab/>
        <w:t>Appeal from the decision of the Quebec Court of Appeal dismissed. Appeal from the decision of the Superior Court of Quebec allowed in part,</w:t>
      </w:r>
      <w:r w:rsidRPr="001D4852">
        <w:rPr>
          <w:rFonts w:ascii="Times New Roman" w:hAnsi="Times New Roman" w:cs="Times New Roman"/>
          <w:sz w:val="24"/>
          <w:szCs w:val="24"/>
        </w:rPr>
        <w:t xml:space="preserve"> </w:t>
      </w:r>
      <w:proofErr w:type="spellStart"/>
      <w:r w:rsidRPr="001D4852">
        <w:rPr>
          <w:rFonts w:ascii="Times New Roman" w:hAnsi="Times New Roman" w:cs="Times New Roman"/>
          <w:smallCaps/>
          <w:sz w:val="24"/>
          <w:szCs w:val="24"/>
        </w:rPr>
        <w:t>Abella</w:t>
      </w:r>
      <w:proofErr w:type="spellEnd"/>
      <w:r w:rsidRPr="001D4852">
        <w:rPr>
          <w:rFonts w:ascii="Times New Roman" w:hAnsi="Times New Roman" w:cs="Times New Roman"/>
          <w:smallCaps/>
          <w:sz w:val="24"/>
          <w:szCs w:val="24"/>
        </w:rPr>
        <w:t xml:space="preserve"> J.</w:t>
      </w:r>
      <w:r w:rsidRPr="001D4852">
        <w:rPr>
          <w:rFonts w:ascii="Times New Roman" w:hAnsi="Times New Roman" w:cs="Times New Roman"/>
          <w:sz w:val="24"/>
          <w:szCs w:val="24"/>
        </w:rPr>
        <w:t xml:space="preserve"> </w:t>
      </w:r>
      <w:r w:rsidRPr="001D4852">
        <w:rPr>
          <w:rFonts w:ascii="Times New Roman" w:hAnsi="Times New Roman" w:cs="Times New Roman"/>
          <w:i/>
          <w:iCs/>
          <w:sz w:val="24"/>
          <w:szCs w:val="24"/>
        </w:rPr>
        <w:t>dissenting.</w:t>
      </w:r>
    </w:p>
    <w:p w:rsidR="00B025ED" w:rsidRPr="001D4852" w:rsidRDefault="00B025ED" w:rsidP="00B025ED">
      <w:pPr>
        <w:pStyle w:val="SCCLawFirm"/>
        <w:spacing w:after="480"/>
        <w:rPr>
          <w:szCs w:val="24"/>
        </w:rPr>
      </w:pPr>
      <w:r w:rsidRPr="001D4852">
        <w:rPr>
          <w:szCs w:val="24"/>
        </w:rPr>
        <w:tab/>
        <w:t xml:space="preserve">Solicitors for the appellant: Fasken Martineau </w:t>
      </w:r>
      <w:proofErr w:type="spellStart"/>
      <w:r w:rsidRPr="001D4852">
        <w:rPr>
          <w:szCs w:val="24"/>
        </w:rPr>
        <w:t>DuMoulin</w:t>
      </w:r>
      <w:proofErr w:type="spellEnd"/>
      <w:r w:rsidRPr="001D4852">
        <w:rPr>
          <w:szCs w:val="24"/>
        </w:rPr>
        <w:t>, Montréal; Canadian Broadcasting Corporation, Montréal.</w:t>
      </w:r>
    </w:p>
    <w:p w:rsidR="00B025ED" w:rsidRPr="001D4852" w:rsidRDefault="00B025ED" w:rsidP="00B025ED">
      <w:pPr>
        <w:pStyle w:val="SCCLawFirm"/>
        <w:spacing w:after="480"/>
        <w:rPr>
          <w:szCs w:val="24"/>
          <w:lang w:val="en-US"/>
        </w:rPr>
      </w:pPr>
      <w:r w:rsidRPr="001D4852">
        <w:rPr>
          <w:szCs w:val="24"/>
        </w:rPr>
        <w:tab/>
      </w:r>
      <w:r w:rsidRPr="001D4852">
        <w:rPr>
          <w:szCs w:val="24"/>
          <w:lang w:val="en-US"/>
        </w:rPr>
        <w:t xml:space="preserve">Solicitor for the respondent: Jacques </w:t>
      </w:r>
      <w:proofErr w:type="spellStart"/>
      <w:r w:rsidRPr="001D4852">
        <w:rPr>
          <w:szCs w:val="24"/>
          <w:lang w:val="en-US"/>
        </w:rPr>
        <w:t>Larochelle</w:t>
      </w:r>
      <w:proofErr w:type="spellEnd"/>
      <w:r w:rsidRPr="001D4852">
        <w:rPr>
          <w:szCs w:val="24"/>
          <w:lang w:val="en-US"/>
        </w:rPr>
        <w:t xml:space="preserve"> </w:t>
      </w:r>
      <w:proofErr w:type="spellStart"/>
      <w:r w:rsidRPr="001D4852">
        <w:rPr>
          <w:szCs w:val="24"/>
          <w:lang w:val="en-US"/>
        </w:rPr>
        <w:t>avocat</w:t>
      </w:r>
      <w:proofErr w:type="spellEnd"/>
      <w:r w:rsidRPr="001D4852">
        <w:rPr>
          <w:szCs w:val="24"/>
          <w:lang w:val="en-US"/>
        </w:rPr>
        <w:t xml:space="preserve"> </w:t>
      </w:r>
      <w:proofErr w:type="spellStart"/>
      <w:r w:rsidRPr="001D4852">
        <w:rPr>
          <w:szCs w:val="24"/>
          <w:lang w:val="en-US"/>
        </w:rPr>
        <w:t>inc.</w:t>
      </w:r>
      <w:proofErr w:type="spellEnd"/>
      <w:r w:rsidRPr="001D4852">
        <w:rPr>
          <w:szCs w:val="24"/>
          <w:lang w:val="en-US"/>
        </w:rPr>
        <w:t>, Québec.</w:t>
      </w:r>
    </w:p>
    <w:p w:rsidR="00B025ED" w:rsidRPr="001D4852" w:rsidRDefault="00B025ED" w:rsidP="00B025ED">
      <w:pPr>
        <w:pStyle w:val="SCCLawFirm"/>
        <w:spacing w:after="480"/>
        <w:rPr>
          <w:szCs w:val="24"/>
        </w:rPr>
      </w:pPr>
      <w:r w:rsidRPr="001D4852">
        <w:rPr>
          <w:szCs w:val="24"/>
          <w:lang w:val="en-US"/>
        </w:rPr>
        <w:tab/>
      </w:r>
      <w:r w:rsidRPr="001D4852">
        <w:rPr>
          <w:szCs w:val="24"/>
        </w:rPr>
        <w:t xml:space="preserve">Solicitor for the intervener Her Majesty </w:t>
      </w:r>
      <w:proofErr w:type="gramStart"/>
      <w:r w:rsidRPr="001D4852">
        <w:rPr>
          <w:szCs w:val="24"/>
        </w:rPr>
        <w:t>The</w:t>
      </w:r>
      <w:proofErr w:type="gramEnd"/>
      <w:r w:rsidRPr="001D4852">
        <w:rPr>
          <w:szCs w:val="24"/>
        </w:rPr>
        <w:t xml:space="preserve"> Queen: Director of Criminal and Penal Prosecutions, Montréal.</w:t>
      </w:r>
    </w:p>
    <w:p w:rsidR="00B025ED" w:rsidRPr="001D4852" w:rsidRDefault="00B025ED" w:rsidP="00B025ED">
      <w:pPr>
        <w:pStyle w:val="SCCLawFirm"/>
        <w:spacing w:after="480"/>
        <w:rPr>
          <w:szCs w:val="24"/>
        </w:rPr>
      </w:pPr>
      <w:r w:rsidRPr="001D4852">
        <w:rPr>
          <w:szCs w:val="24"/>
        </w:rPr>
        <w:tab/>
        <w:t>Solicitor for the intervener the Attorney General of Quebec: Attorney General of Quebec, Montréal.</w:t>
      </w:r>
    </w:p>
    <w:p w:rsidR="00B025ED" w:rsidRPr="001D4852" w:rsidRDefault="00B025ED" w:rsidP="00B025ED">
      <w:pPr>
        <w:pStyle w:val="SCCLawFirm"/>
        <w:spacing w:after="480"/>
        <w:rPr>
          <w:szCs w:val="24"/>
        </w:rPr>
      </w:pPr>
      <w:r w:rsidRPr="001D4852">
        <w:rPr>
          <w:szCs w:val="24"/>
        </w:rPr>
        <w:tab/>
        <w:t xml:space="preserve">Solicitors for the interveners </w:t>
      </w:r>
      <w:proofErr w:type="spellStart"/>
      <w:r w:rsidRPr="001D4852">
        <w:rPr>
          <w:szCs w:val="24"/>
        </w:rPr>
        <w:t>Fédération</w:t>
      </w:r>
      <w:proofErr w:type="spellEnd"/>
      <w:r w:rsidRPr="001D4852">
        <w:rPr>
          <w:szCs w:val="24"/>
        </w:rPr>
        <w:t xml:space="preserve"> </w:t>
      </w:r>
      <w:proofErr w:type="spellStart"/>
      <w:r w:rsidRPr="001D4852">
        <w:rPr>
          <w:szCs w:val="24"/>
        </w:rPr>
        <w:t>professionnelle</w:t>
      </w:r>
      <w:proofErr w:type="spellEnd"/>
      <w:r w:rsidRPr="001D4852">
        <w:rPr>
          <w:szCs w:val="24"/>
        </w:rPr>
        <w:t xml:space="preserve"> des </w:t>
      </w:r>
      <w:proofErr w:type="spellStart"/>
      <w:r w:rsidRPr="001D4852">
        <w:rPr>
          <w:szCs w:val="24"/>
        </w:rPr>
        <w:t>journalistes</w:t>
      </w:r>
      <w:proofErr w:type="spellEnd"/>
      <w:r w:rsidRPr="001D4852">
        <w:rPr>
          <w:szCs w:val="24"/>
        </w:rPr>
        <w:t xml:space="preserve"> du Québec, the Canadian Association of Journalists, Canadian Journalists for Freedom of Expression and Reporters </w:t>
      </w:r>
      <w:proofErr w:type="gramStart"/>
      <w:r w:rsidRPr="001D4852">
        <w:rPr>
          <w:szCs w:val="24"/>
        </w:rPr>
        <w:t>Without</w:t>
      </w:r>
      <w:proofErr w:type="gramEnd"/>
      <w:r w:rsidRPr="001D4852">
        <w:rPr>
          <w:szCs w:val="24"/>
        </w:rPr>
        <w:t xml:space="preserve"> Borders: </w:t>
      </w:r>
      <w:proofErr w:type="spellStart"/>
      <w:r w:rsidRPr="001D4852">
        <w:rPr>
          <w:szCs w:val="24"/>
        </w:rPr>
        <w:t>Gowling</w:t>
      </w:r>
      <w:proofErr w:type="spellEnd"/>
      <w:r w:rsidRPr="001D4852">
        <w:rPr>
          <w:szCs w:val="24"/>
        </w:rPr>
        <w:t xml:space="preserve"> WLG, Montréal.</w:t>
      </w:r>
    </w:p>
    <w:p w:rsidR="00B025ED" w:rsidRPr="001D4852" w:rsidRDefault="00B025ED" w:rsidP="00B025ED">
      <w:pPr>
        <w:pStyle w:val="SCCLawFirm"/>
        <w:spacing w:after="480"/>
        <w:rPr>
          <w:szCs w:val="24"/>
          <w:lang w:val="fr-CA"/>
        </w:rPr>
      </w:pPr>
      <w:r w:rsidRPr="001D4852">
        <w:rPr>
          <w:szCs w:val="24"/>
        </w:rPr>
        <w:tab/>
      </w:r>
      <w:r w:rsidRPr="001D4852">
        <w:rPr>
          <w:szCs w:val="24"/>
          <w:lang w:val="fr-CA"/>
        </w:rPr>
        <w:t xml:space="preserve">Solicitors for the </w:t>
      </w:r>
      <w:proofErr w:type="spellStart"/>
      <w:r w:rsidRPr="001D4852">
        <w:rPr>
          <w:szCs w:val="24"/>
          <w:lang w:val="fr-CA"/>
        </w:rPr>
        <w:t>intervener</w:t>
      </w:r>
      <w:proofErr w:type="spellEnd"/>
      <w:r w:rsidRPr="001D4852">
        <w:rPr>
          <w:szCs w:val="24"/>
          <w:lang w:val="fr-CA"/>
        </w:rPr>
        <w:t xml:space="preserve"> La Presse (2018) Inc.: </w:t>
      </w:r>
      <w:proofErr w:type="spellStart"/>
      <w:r w:rsidRPr="001D4852">
        <w:rPr>
          <w:szCs w:val="24"/>
          <w:lang w:val="fr-CA"/>
        </w:rPr>
        <w:t>Chenette</w:t>
      </w:r>
      <w:proofErr w:type="spellEnd"/>
      <w:r w:rsidRPr="001D4852">
        <w:rPr>
          <w:szCs w:val="24"/>
          <w:lang w:val="fr-CA"/>
        </w:rPr>
        <w:t xml:space="preserve">, Boutique de litige </w:t>
      </w:r>
      <w:proofErr w:type="spellStart"/>
      <w:r w:rsidRPr="001D4852">
        <w:rPr>
          <w:szCs w:val="24"/>
          <w:lang w:val="fr-CA"/>
        </w:rPr>
        <w:t>inc.</w:t>
      </w:r>
      <w:proofErr w:type="spellEnd"/>
      <w:r w:rsidRPr="001D4852">
        <w:rPr>
          <w:szCs w:val="24"/>
          <w:lang w:val="fr-CA"/>
        </w:rPr>
        <w:t>, Montréal.</w:t>
      </w:r>
    </w:p>
    <w:p w:rsidR="00B025ED" w:rsidRPr="001D4852" w:rsidRDefault="00B025ED" w:rsidP="00B025ED">
      <w:pPr>
        <w:pStyle w:val="SCCLawFirm"/>
        <w:spacing w:after="480"/>
        <w:rPr>
          <w:szCs w:val="24"/>
        </w:rPr>
      </w:pPr>
      <w:r w:rsidRPr="001D4852">
        <w:rPr>
          <w:szCs w:val="24"/>
          <w:lang w:val="fr-CA"/>
        </w:rPr>
        <w:tab/>
      </w:r>
      <w:r w:rsidRPr="001D4852">
        <w:rPr>
          <w:szCs w:val="24"/>
        </w:rPr>
        <w:t>Solicitors for the intervener the Canadian Civil Liberties Association: Borden Ladner Gervais, Toronto; Jamie Cameron, Toronto.</w:t>
      </w:r>
    </w:p>
    <w:p w:rsidR="00B025ED" w:rsidRPr="001D4852" w:rsidRDefault="00B025ED" w:rsidP="00B025ED">
      <w:pPr>
        <w:pStyle w:val="SCCLawFirm"/>
        <w:spacing w:after="480"/>
        <w:rPr>
          <w:szCs w:val="24"/>
        </w:rPr>
      </w:pPr>
      <w:r w:rsidRPr="001D4852">
        <w:rPr>
          <w:szCs w:val="24"/>
        </w:rPr>
        <w:lastRenderedPageBreak/>
        <w:tab/>
        <w:t>Solicitors for the interveners the AD IDEM/Canadian Media Lawyers Association, CTV, a Division of Bell Media Inc., Global News, a division of Corus Television Limited Partnership, The Globe and Mail Inc., Postmedia Network Inc. and Vice Studio Canada Inc.: Borden Ladner Gervais, Vancouver; Linden &amp; Associates Professional Corporation, Toronto.</w:t>
      </w:r>
    </w:p>
    <w:p w:rsidR="00803999" w:rsidRPr="001D4852" w:rsidRDefault="00803999">
      <w:pPr>
        <w:rPr>
          <w:rFonts w:ascii="Times New Roman" w:hAnsi="Times New Roman" w:cs="Times New Roman"/>
          <w:sz w:val="24"/>
          <w:szCs w:val="24"/>
        </w:rPr>
      </w:pPr>
    </w:p>
    <w:sectPr w:rsidR="00803999" w:rsidRPr="001D4852"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5E" w:rsidRDefault="00586CC8">
      <w:pPr>
        <w:spacing w:after="0" w:line="240" w:lineRule="auto"/>
      </w:pPr>
      <w:r>
        <w:separator/>
      </w:r>
    </w:p>
  </w:endnote>
  <w:endnote w:type="continuationSeparator" w:id="0">
    <w:p w:rsidR="003B235E" w:rsidRDefault="0058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5E" w:rsidRDefault="00070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5E" w:rsidRDefault="00070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5E" w:rsidRDefault="00070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5E" w:rsidRDefault="00586CC8">
      <w:pPr>
        <w:spacing w:after="0" w:line="240" w:lineRule="auto"/>
      </w:pPr>
      <w:r>
        <w:separator/>
      </w:r>
    </w:p>
  </w:footnote>
  <w:footnote w:type="continuationSeparator" w:id="0">
    <w:p w:rsidR="003B235E" w:rsidRDefault="00586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5E" w:rsidRDefault="00070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0703A7"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5E" w:rsidRDefault="00070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5AE"/>
    <w:multiLevelType w:val="hybridMultilevel"/>
    <w:tmpl w:val="8E8CF978"/>
    <w:lvl w:ilvl="0" w:tplc="25AC9970">
      <w:start w:val="1"/>
      <w:numFmt w:val="lowerRoman"/>
      <w:lvlText w:val="(%1)"/>
      <w:lvlJc w:val="left"/>
      <w:pPr>
        <w:ind w:left="2424" w:hanging="360"/>
      </w:pPr>
      <w:rPr>
        <w:rFonts w:ascii="Times New Roman" w:eastAsiaTheme="minorEastAsia" w:hAnsi="Times New Roman" w:cs="Times New Roman"/>
        <w:i w:val="0"/>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 w15:restartNumberingAfterBreak="0">
    <w:nsid w:val="00992867"/>
    <w:multiLevelType w:val="hybridMultilevel"/>
    <w:tmpl w:val="097656F8"/>
    <w:lvl w:ilvl="0" w:tplc="F852F60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15177"/>
    <w:multiLevelType w:val="hybridMultilevel"/>
    <w:tmpl w:val="C060C370"/>
    <w:lvl w:ilvl="0" w:tplc="51A0C78C">
      <w:start w:val="2"/>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10249AB2">
      <w:start w:val="1"/>
      <w:numFmt w:val="upperLetter"/>
      <w:lvlText w:val="%3."/>
      <w:lvlJc w:val="left"/>
      <w:pPr>
        <w:ind w:left="1980" w:hanging="360"/>
      </w:pPr>
      <w:rPr>
        <w:rFonts w:hint="default"/>
      </w:rPr>
    </w:lvl>
    <w:lvl w:ilvl="3" w:tplc="B6CA0A56">
      <w:start w:val="2"/>
      <w:numFmt w:val="lowerRoman"/>
      <w:lvlText w:val="(%4)"/>
      <w:lvlJc w:val="left"/>
      <w:pPr>
        <w:ind w:left="2520" w:hanging="360"/>
      </w:pPr>
      <w:rPr>
        <w:rFonts w:ascii="Times New Roman" w:eastAsiaTheme="minorEastAsia" w:hAnsi="Times New Roman" w:cs="Times New Roman" w:hint="default"/>
      </w:rPr>
    </w:lvl>
    <w:lvl w:ilvl="4" w:tplc="04090019">
      <w:start w:val="1"/>
      <w:numFmt w:val="lowerLetter"/>
      <w:lvlText w:val="%5."/>
      <w:lvlJc w:val="left"/>
      <w:pPr>
        <w:ind w:left="3240" w:hanging="360"/>
      </w:pPr>
    </w:lvl>
    <w:lvl w:ilvl="5" w:tplc="12DCE210">
      <w:start w:val="2"/>
      <w:numFmt w:val="lowerRoman"/>
      <w:lvlText w:val="%6)"/>
      <w:lvlJc w:val="left"/>
      <w:pPr>
        <w:ind w:left="4500" w:hanging="720"/>
      </w:pPr>
      <w:rPr>
        <w:rFonts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F2208"/>
    <w:multiLevelType w:val="hybridMultilevel"/>
    <w:tmpl w:val="9362B318"/>
    <w:lvl w:ilvl="0" w:tplc="CEF8B79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C04923"/>
    <w:multiLevelType w:val="hybridMultilevel"/>
    <w:tmpl w:val="13B09E62"/>
    <w:lvl w:ilvl="0" w:tplc="AF6AEAA6">
      <w:start w:val="1"/>
      <w:numFmt w:val="lowerLetter"/>
      <w:lvlText w:val="(%1)"/>
      <w:lvlJc w:val="left"/>
      <w:pPr>
        <w:ind w:left="2250" w:hanging="360"/>
      </w:pPr>
      <w:rPr>
        <w:rFonts w:hint="default"/>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F518E1"/>
    <w:multiLevelType w:val="hybridMultilevel"/>
    <w:tmpl w:val="4CBA0CCA"/>
    <w:lvl w:ilvl="0" w:tplc="1CFA26E0">
      <w:start w:val="1"/>
      <w:numFmt w:val="lowerRoman"/>
      <w:lvlText w:val="(%1)"/>
      <w:lvlJc w:val="left"/>
      <w:pPr>
        <w:ind w:left="1440" w:hanging="360"/>
      </w:pPr>
      <w:rPr>
        <w:rFonts w:ascii="Times New Roman" w:eastAsiaTheme="minorEastAsia" w:hAnsi="Times New Roman" w:cs="Times New Roman"/>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4283EE8"/>
    <w:multiLevelType w:val="multilevel"/>
    <w:tmpl w:val="C32CE336"/>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3338" w:hanging="360"/>
      </w:pPr>
      <w:rPr>
        <w:rFonts w:ascii="Times New Roman" w:eastAsiaTheme="minorEastAsia"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8E1FFD"/>
    <w:multiLevelType w:val="hybridMultilevel"/>
    <w:tmpl w:val="DCD2F994"/>
    <w:lvl w:ilvl="0" w:tplc="5B1CCFFA">
      <w:start w:val="1"/>
      <w:numFmt w:val="decimal"/>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2C5619D"/>
    <w:multiLevelType w:val="hybridMultilevel"/>
    <w:tmpl w:val="2D08E9B2"/>
    <w:lvl w:ilvl="0" w:tplc="D2F0E9A2">
      <w:start w:val="2"/>
      <w:numFmt w:val="lowerRoman"/>
      <w:lvlText w:val="(%1)"/>
      <w:lvlJc w:val="left"/>
      <w:pPr>
        <w:ind w:left="1854" w:hanging="360"/>
      </w:pPr>
      <w:rPr>
        <w:rFonts w:ascii="Times New Roman" w:eastAsiaTheme="minorEastAsia"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17237"/>
    <w:multiLevelType w:val="hybridMultilevel"/>
    <w:tmpl w:val="D3E8FAF2"/>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0" w15:restartNumberingAfterBreak="0">
    <w:nsid w:val="74D61816"/>
    <w:multiLevelType w:val="hybridMultilevel"/>
    <w:tmpl w:val="5BBEDF2A"/>
    <w:lvl w:ilvl="0" w:tplc="6840CA2E">
      <w:start w:val="4"/>
      <w:numFmt w:val="lowerRoman"/>
      <w:lvlText w:val="(%1)"/>
      <w:lvlJc w:val="left"/>
      <w:pPr>
        <w:ind w:left="21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6"/>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7">
    <w:abstractNumId w:val="0"/>
  </w:num>
  <w:num w:numId="8">
    <w:abstractNumId w:val="8"/>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703A7"/>
    <w:rsid w:val="0008131A"/>
    <w:rsid w:val="000A2912"/>
    <w:rsid w:val="000D0129"/>
    <w:rsid w:val="000E5E13"/>
    <w:rsid w:val="000E7534"/>
    <w:rsid w:val="000F1DF2"/>
    <w:rsid w:val="00101297"/>
    <w:rsid w:val="00146D1D"/>
    <w:rsid w:val="00193082"/>
    <w:rsid w:val="001A1983"/>
    <w:rsid w:val="001B1928"/>
    <w:rsid w:val="001D10BC"/>
    <w:rsid w:val="001D4852"/>
    <w:rsid w:val="001E517F"/>
    <w:rsid w:val="001E5C86"/>
    <w:rsid w:val="00202A07"/>
    <w:rsid w:val="00210367"/>
    <w:rsid w:val="00212BFE"/>
    <w:rsid w:val="002260C1"/>
    <w:rsid w:val="0023304D"/>
    <w:rsid w:val="00237726"/>
    <w:rsid w:val="00273815"/>
    <w:rsid w:val="00273E57"/>
    <w:rsid w:val="002B3D62"/>
    <w:rsid w:val="002B5128"/>
    <w:rsid w:val="002B6FA4"/>
    <w:rsid w:val="002C736F"/>
    <w:rsid w:val="002E0EE9"/>
    <w:rsid w:val="003442C0"/>
    <w:rsid w:val="003501FE"/>
    <w:rsid w:val="0036632F"/>
    <w:rsid w:val="00366DA2"/>
    <w:rsid w:val="003B0140"/>
    <w:rsid w:val="003B235E"/>
    <w:rsid w:val="003B48FC"/>
    <w:rsid w:val="003D51F3"/>
    <w:rsid w:val="003F39F9"/>
    <w:rsid w:val="003F4338"/>
    <w:rsid w:val="003F5802"/>
    <w:rsid w:val="00424039"/>
    <w:rsid w:val="004B3BC7"/>
    <w:rsid w:val="004C038E"/>
    <w:rsid w:val="004C79B7"/>
    <w:rsid w:val="004D0B98"/>
    <w:rsid w:val="004D1B97"/>
    <w:rsid w:val="004D4111"/>
    <w:rsid w:val="004E037C"/>
    <w:rsid w:val="00506447"/>
    <w:rsid w:val="00520524"/>
    <w:rsid w:val="005547EF"/>
    <w:rsid w:val="0058164A"/>
    <w:rsid w:val="00586CC8"/>
    <w:rsid w:val="00590F0D"/>
    <w:rsid w:val="005A49A8"/>
    <w:rsid w:val="005C2CA9"/>
    <w:rsid w:val="00615E67"/>
    <w:rsid w:val="00633133"/>
    <w:rsid w:val="00643D78"/>
    <w:rsid w:val="00660B28"/>
    <w:rsid w:val="0069563B"/>
    <w:rsid w:val="006A498A"/>
    <w:rsid w:val="006F0D2F"/>
    <w:rsid w:val="006F6004"/>
    <w:rsid w:val="0071485C"/>
    <w:rsid w:val="00721D7B"/>
    <w:rsid w:val="00724BF6"/>
    <w:rsid w:val="007420CD"/>
    <w:rsid w:val="00744773"/>
    <w:rsid w:val="0074536C"/>
    <w:rsid w:val="00757CC5"/>
    <w:rsid w:val="007702EA"/>
    <w:rsid w:val="00782113"/>
    <w:rsid w:val="007933F6"/>
    <w:rsid w:val="007A51D1"/>
    <w:rsid w:val="007D280F"/>
    <w:rsid w:val="007F3438"/>
    <w:rsid w:val="00801704"/>
    <w:rsid w:val="00803999"/>
    <w:rsid w:val="00816DFD"/>
    <w:rsid w:val="00817C6C"/>
    <w:rsid w:val="008270C4"/>
    <w:rsid w:val="00833A4D"/>
    <w:rsid w:val="00837BAF"/>
    <w:rsid w:val="00840A66"/>
    <w:rsid w:val="00842136"/>
    <w:rsid w:val="00876FD8"/>
    <w:rsid w:val="008862BF"/>
    <w:rsid w:val="0088783B"/>
    <w:rsid w:val="00894160"/>
    <w:rsid w:val="0089668A"/>
    <w:rsid w:val="008A1BAD"/>
    <w:rsid w:val="008B5825"/>
    <w:rsid w:val="008E12D5"/>
    <w:rsid w:val="008E41C5"/>
    <w:rsid w:val="009170C2"/>
    <w:rsid w:val="00927946"/>
    <w:rsid w:val="00942A03"/>
    <w:rsid w:val="00946E5F"/>
    <w:rsid w:val="0096032B"/>
    <w:rsid w:val="00965C29"/>
    <w:rsid w:val="00973B6D"/>
    <w:rsid w:val="00996372"/>
    <w:rsid w:val="00996B90"/>
    <w:rsid w:val="009C4F29"/>
    <w:rsid w:val="009C676D"/>
    <w:rsid w:val="009C6FF6"/>
    <w:rsid w:val="009D08FD"/>
    <w:rsid w:val="009E39B8"/>
    <w:rsid w:val="009F7BCC"/>
    <w:rsid w:val="00A44970"/>
    <w:rsid w:val="00A54379"/>
    <w:rsid w:val="00A54C93"/>
    <w:rsid w:val="00A565C5"/>
    <w:rsid w:val="00A579EF"/>
    <w:rsid w:val="00AA0589"/>
    <w:rsid w:val="00AB3AC5"/>
    <w:rsid w:val="00AB61B2"/>
    <w:rsid w:val="00AC5AA3"/>
    <w:rsid w:val="00AE67F2"/>
    <w:rsid w:val="00B025ED"/>
    <w:rsid w:val="00B1462B"/>
    <w:rsid w:val="00B57229"/>
    <w:rsid w:val="00B64A0F"/>
    <w:rsid w:val="00B76E47"/>
    <w:rsid w:val="00B8245C"/>
    <w:rsid w:val="00B84607"/>
    <w:rsid w:val="00B866FA"/>
    <w:rsid w:val="00B92514"/>
    <w:rsid w:val="00BC21AA"/>
    <w:rsid w:val="00BE07E7"/>
    <w:rsid w:val="00BE1E89"/>
    <w:rsid w:val="00BF3517"/>
    <w:rsid w:val="00C01052"/>
    <w:rsid w:val="00C15F8B"/>
    <w:rsid w:val="00C24A28"/>
    <w:rsid w:val="00C430D5"/>
    <w:rsid w:val="00C55A24"/>
    <w:rsid w:val="00C85403"/>
    <w:rsid w:val="00CA030C"/>
    <w:rsid w:val="00CB292D"/>
    <w:rsid w:val="00CE5107"/>
    <w:rsid w:val="00D00E01"/>
    <w:rsid w:val="00D02B50"/>
    <w:rsid w:val="00D12CDB"/>
    <w:rsid w:val="00D16AA9"/>
    <w:rsid w:val="00DC5045"/>
    <w:rsid w:val="00DD6CDA"/>
    <w:rsid w:val="00DD74B2"/>
    <w:rsid w:val="00DE2A9E"/>
    <w:rsid w:val="00DE6785"/>
    <w:rsid w:val="00E00EC5"/>
    <w:rsid w:val="00E1234E"/>
    <w:rsid w:val="00E21F37"/>
    <w:rsid w:val="00E225EF"/>
    <w:rsid w:val="00E23525"/>
    <w:rsid w:val="00E601A5"/>
    <w:rsid w:val="00E62C4A"/>
    <w:rsid w:val="00E73EE9"/>
    <w:rsid w:val="00E8685E"/>
    <w:rsid w:val="00EA09A4"/>
    <w:rsid w:val="00EF04C3"/>
    <w:rsid w:val="00EF33A4"/>
    <w:rsid w:val="00F12315"/>
    <w:rsid w:val="00F51913"/>
    <w:rsid w:val="00F52C7D"/>
    <w:rsid w:val="00F6388A"/>
    <w:rsid w:val="00F823F1"/>
    <w:rsid w:val="00FB52EA"/>
    <w:rsid w:val="00FD0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025ED"/>
    <w:pPr>
      <w:tabs>
        <w:tab w:val="left" w:pos="1168"/>
      </w:tabs>
      <w:spacing w:after="0" w:line="480" w:lineRule="auto"/>
      <w:jc w:val="both"/>
    </w:pPr>
    <w:rPr>
      <w:rFonts w:ascii="Times New Roman" w:eastAsia="Times New Roman" w:hAnsi="Times New Roman" w:cs="Times New Roman"/>
      <w:sz w:val="24"/>
      <w:szCs w:val="20"/>
      <w:lang w:eastAsia="en-CA"/>
    </w:rPr>
  </w:style>
  <w:style w:type="character" w:customStyle="1" w:styleId="SCCNormalDoubleSpacingChar">
    <w:name w:val="SCC.Normal.DoubleSpacing Char"/>
    <w:basedOn w:val="DefaultParagraphFont"/>
    <w:link w:val="SCCNormalDoubleSpacing"/>
    <w:rsid w:val="00B025ED"/>
    <w:rPr>
      <w:rFonts w:ascii="Times New Roman" w:eastAsia="Times New Roman" w:hAnsi="Times New Roman" w:cs="Times New Roman"/>
      <w:sz w:val="24"/>
      <w:szCs w:val="20"/>
      <w:lang w:eastAsia="en-CA"/>
    </w:rPr>
  </w:style>
  <w:style w:type="paragraph" w:styleId="Header">
    <w:name w:val="header"/>
    <w:basedOn w:val="Normal"/>
    <w:link w:val="HeaderChar"/>
    <w:uiPriority w:val="99"/>
    <w:unhideWhenUsed/>
    <w:rsid w:val="00B025ED"/>
    <w:pPr>
      <w:tabs>
        <w:tab w:val="center" w:pos="4680"/>
        <w:tab w:val="right" w:pos="9360"/>
      </w:tabs>
      <w:spacing w:after="0" w:line="240" w:lineRule="auto"/>
    </w:pPr>
    <w:rPr>
      <w:rFonts w:ascii="Times New Roman" w:eastAsia="Times New Roman" w:hAnsi="Times New Roman" w:cs="Times New Roman"/>
      <w:sz w:val="24"/>
      <w:szCs w:val="20"/>
      <w:lang w:eastAsia="en-CA"/>
    </w:rPr>
  </w:style>
  <w:style w:type="character" w:customStyle="1" w:styleId="HeaderChar">
    <w:name w:val="Header Char"/>
    <w:basedOn w:val="DefaultParagraphFont"/>
    <w:link w:val="Header"/>
    <w:uiPriority w:val="99"/>
    <w:rsid w:val="00B025ED"/>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B025ED"/>
    <w:pPr>
      <w:tabs>
        <w:tab w:val="center" w:pos="4680"/>
        <w:tab w:val="right" w:pos="9360"/>
      </w:tabs>
      <w:spacing w:after="0" w:line="240" w:lineRule="auto"/>
    </w:pPr>
    <w:rPr>
      <w:rFonts w:ascii="Times New Roman" w:eastAsia="Times New Roman" w:hAnsi="Times New Roman" w:cs="Times New Roman"/>
      <w:sz w:val="24"/>
      <w:szCs w:val="20"/>
      <w:lang w:eastAsia="en-CA"/>
    </w:rPr>
  </w:style>
  <w:style w:type="character" w:customStyle="1" w:styleId="FooterChar">
    <w:name w:val="Footer Char"/>
    <w:basedOn w:val="DefaultParagraphFont"/>
    <w:link w:val="Footer"/>
    <w:uiPriority w:val="99"/>
    <w:rsid w:val="00B025ED"/>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B025ED"/>
    <w:pPr>
      <w:tabs>
        <w:tab w:val="right" w:pos="8222"/>
      </w:tabs>
      <w:spacing w:after="0" w:line="240" w:lineRule="auto"/>
      <w:jc w:val="both"/>
    </w:pPr>
    <w:rPr>
      <w:rFonts w:ascii="Times New Roman" w:eastAsia="Times New Roman" w:hAnsi="Times New Roman" w:cs="Times New Roman"/>
      <w:b/>
      <w:sz w:val="24"/>
      <w:szCs w:val="20"/>
      <w:lang w:eastAsia="en-CA"/>
    </w:rPr>
  </w:style>
  <w:style w:type="character" w:customStyle="1" w:styleId="SCCLsocPartyChar">
    <w:name w:val="SCC.Lsoc.Party Char"/>
    <w:basedOn w:val="DefaultParagraphFont"/>
    <w:link w:val="SCCLsocParty"/>
    <w:rsid w:val="00B025ED"/>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B025ED"/>
    <w:pPr>
      <w:spacing w:after="720" w:line="240" w:lineRule="auto"/>
    </w:pPr>
    <w:rPr>
      <w:rFonts w:ascii="Times New Roman" w:eastAsia="Times New Roman" w:hAnsi="Times New Roman" w:cs="Times New Roman"/>
      <w:i/>
      <w:sz w:val="24"/>
      <w:szCs w:val="20"/>
      <w:lang w:eastAsia="en-CA"/>
    </w:rPr>
  </w:style>
  <w:style w:type="character" w:customStyle="1" w:styleId="SCCLsocVersusChar">
    <w:name w:val="SCC.Lsoc.Versus Char"/>
    <w:basedOn w:val="DefaultParagraphFont"/>
    <w:link w:val="SCCLsocVersus"/>
    <w:rsid w:val="00B025ED"/>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B025ED"/>
    <w:rPr>
      <w:rFonts w:ascii="Times New Roman" w:eastAsia="Times New Roman" w:hAnsi="Times New Roman" w:cs="Times New Roman"/>
      <w:b/>
      <w:i/>
      <w:sz w:val="24"/>
      <w:szCs w:val="20"/>
      <w:lang w:eastAsia="en-CA"/>
    </w:rPr>
  </w:style>
  <w:style w:type="paragraph" w:customStyle="1" w:styleId="SCCLsocOtherPartySeparator">
    <w:name w:val="SCC.Lsoc.OtherPartySeparator"/>
    <w:basedOn w:val="Normal"/>
    <w:next w:val="Normal"/>
    <w:link w:val="SCCLsocOtherPartySeparatorChar"/>
    <w:rsid w:val="00B025ED"/>
    <w:pPr>
      <w:spacing w:after="720" w:line="240" w:lineRule="auto"/>
    </w:pPr>
    <w:rPr>
      <w:rFonts w:ascii="Times New Roman" w:eastAsia="Times New Roman" w:hAnsi="Times New Roman" w:cs="Times New Roman"/>
      <w:sz w:val="24"/>
      <w:szCs w:val="20"/>
      <w:lang w:eastAsia="en-CA"/>
    </w:rPr>
  </w:style>
  <w:style w:type="character" w:customStyle="1" w:styleId="SCCLsocOtherPartySeparatorChar">
    <w:name w:val="SCC.Lsoc.OtherPartySeparator Char"/>
    <w:basedOn w:val="DefaultParagraphFont"/>
    <w:link w:val="SCCLsocOtherPartySeparator"/>
    <w:rsid w:val="00B025ED"/>
    <w:rPr>
      <w:rFonts w:ascii="Times New Roman" w:eastAsia="Times New Roman" w:hAnsi="Times New Roman" w:cs="Times New Roman"/>
      <w:sz w:val="24"/>
      <w:szCs w:val="20"/>
      <w:lang w:eastAsia="en-CA"/>
    </w:rPr>
  </w:style>
  <w:style w:type="paragraph" w:customStyle="1" w:styleId="SCCAppellantForRunningHead">
    <w:name w:val="SCC.AppellantForRunningHead"/>
    <w:basedOn w:val="Normal"/>
    <w:next w:val="Normal"/>
    <w:link w:val="SCCAppellantForRunningHeadChar"/>
    <w:rsid w:val="00B025ED"/>
    <w:pPr>
      <w:spacing w:after="0" w:line="240" w:lineRule="auto"/>
    </w:pPr>
    <w:rPr>
      <w:rFonts w:ascii="Times New Roman" w:eastAsia="Times New Roman" w:hAnsi="Times New Roman" w:cs="Times New Roman"/>
      <w:smallCaps/>
      <w:sz w:val="24"/>
      <w:szCs w:val="20"/>
      <w:lang w:eastAsia="en-CA"/>
    </w:rPr>
  </w:style>
  <w:style w:type="character" w:customStyle="1" w:styleId="SCCAppellantForRunningHeadChar">
    <w:name w:val="SCC.AppellantForRunningHead Char"/>
    <w:basedOn w:val="DefaultParagraphFont"/>
    <w:link w:val="SCCAppellantForRunningHead"/>
    <w:rsid w:val="00B025ED"/>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B025ED"/>
    <w:pPr>
      <w:spacing w:after="0" w:line="240" w:lineRule="auto"/>
    </w:pPr>
    <w:rPr>
      <w:rFonts w:ascii="Times New Roman" w:eastAsia="Times New Roman" w:hAnsi="Times New Roman" w:cs="Times New Roman"/>
      <w:smallCaps/>
      <w:sz w:val="24"/>
      <w:szCs w:val="20"/>
      <w:lang w:eastAsia="en-CA"/>
    </w:rPr>
  </w:style>
  <w:style w:type="character" w:customStyle="1" w:styleId="SCCRespondentForRunningHeadChar">
    <w:name w:val="SCC.RespondentForRunningHead Char"/>
    <w:basedOn w:val="DefaultParagraphFont"/>
    <w:link w:val="SCCRespondentForRunningHead"/>
    <w:rsid w:val="00B025ED"/>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B025ED"/>
    <w:pPr>
      <w:spacing w:after="0" w:line="240" w:lineRule="auto"/>
    </w:pPr>
    <w:rPr>
      <w:rFonts w:ascii="Times New Roman" w:eastAsia="Times New Roman" w:hAnsi="Times New Roman" w:cs="Times New Roman"/>
      <w:b/>
      <w:sz w:val="24"/>
      <w:szCs w:val="20"/>
      <w:lang w:eastAsia="en-CA"/>
    </w:rPr>
  </w:style>
  <w:style w:type="character" w:customStyle="1" w:styleId="SCCAppellantForIndexChar">
    <w:name w:val="SCC.AppellantForIndex Char"/>
    <w:basedOn w:val="DefaultParagraphFont"/>
    <w:link w:val="SCCAppellantForIndex"/>
    <w:rsid w:val="00B025ED"/>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B025ED"/>
    <w:pPr>
      <w:spacing w:after="0" w:line="240" w:lineRule="auto"/>
    </w:pPr>
    <w:rPr>
      <w:rFonts w:ascii="Times New Roman" w:eastAsia="Times New Roman" w:hAnsi="Times New Roman" w:cs="Times New Roman"/>
      <w:b/>
      <w:sz w:val="24"/>
      <w:szCs w:val="20"/>
      <w:lang w:eastAsia="en-CA"/>
    </w:rPr>
  </w:style>
  <w:style w:type="character" w:customStyle="1" w:styleId="SCCRespondentForIndexChar">
    <w:name w:val="SCC.RespondentForIndex Char"/>
    <w:basedOn w:val="DefaultParagraphFont"/>
    <w:link w:val="SCCRespondentForIndex"/>
    <w:rsid w:val="00B025ED"/>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B025ED"/>
    <w:pPr>
      <w:spacing w:after="0" w:line="240" w:lineRule="auto"/>
    </w:pPr>
    <w:rPr>
      <w:rFonts w:ascii="Times New Roman" w:eastAsia="Times New Roman" w:hAnsi="Times New Roman" w:cs="Times New Roman"/>
      <w:b/>
      <w:sz w:val="24"/>
      <w:szCs w:val="20"/>
      <w:lang w:eastAsia="en-CA"/>
    </w:rPr>
  </w:style>
  <w:style w:type="character" w:customStyle="1" w:styleId="SCCSystemYearChar">
    <w:name w:val="SCC.SystemYear Char"/>
    <w:basedOn w:val="DefaultParagraphFont"/>
    <w:link w:val="SCCSystemYear"/>
    <w:rsid w:val="00B025ED"/>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B025ED"/>
    <w:rPr>
      <w:smallCaps/>
    </w:rPr>
  </w:style>
  <w:style w:type="paragraph" w:customStyle="1" w:styleId="SCCCounselName">
    <w:name w:val="SCC.CounselName"/>
    <w:basedOn w:val="SCCNormalDoubleSpacing"/>
    <w:next w:val="SCCNormalDoubleSpacing"/>
    <w:link w:val="SCCCounselNameChar"/>
    <w:rsid w:val="00B025ED"/>
    <w:rPr>
      <w:i/>
    </w:rPr>
  </w:style>
  <w:style w:type="character" w:customStyle="1" w:styleId="SCCCounselNameChar">
    <w:name w:val="SCC.CounselName Char"/>
    <w:basedOn w:val="SCCNormalDoubleSpacingChar"/>
    <w:link w:val="SCCCounselName"/>
    <w:rsid w:val="00B025ED"/>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B025ED"/>
  </w:style>
  <w:style w:type="character" w:customStyle="1" w:styleId="SCCCounselSeparatorChar">
    <w:name w:val="SCC.CounselSeparator Char"/>
    <w:basedOn w:val="SCCNormalDoubleSpacingChar"/>
    <w:link w:val="SCCCounselSeparator"/>
    <w:rsid w:val="00B025ED"/>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B025ED"/>
    <w:rPr>
      <w:i/>
    </w:rPr>
  </w:style>
  <w:style w:type="character" w:customStyle="1" w:styleId="SCCLawFirmChar">
    <w:name w:val="SCC.LawFirm Char"/>
    <w:basedOn w:val="SCCNormalDoubleSpacingChar"/>
    <w:link w:val="SCCLawFirm"/>
    <w:rsid w:val="00B025ED"/>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B025ED"/>
  </w:style>
  <w:style w:type="character" w:customStyle="1" w:styleId="SCCCounselPartyRoleChar">
    <w:name w:val="SCC.CounselPartyRole Char"/>
    <w:basedOn w:val="SCCNormalDoubleSpacingChar"/>
    <w:link w:val="SCCCounselPartyRole"/>
    <w:rsid w:val="00B025ED"/>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B025ED"/>
    <w:pPr>
      <w:tabs>
        <w:tab w:val="right" w:pos="8222"/>
      </w:tabs>
      <w:spacing w:after="720" w:line="240" w:lineRule="auto"/>
    </w:pPr>
    <w:rPr>
      <w:rFonts w:ascii="Times New Roman" w:eastAsia="Times New Roman" w:hAnsi="Times New Roman" w:cs="Times New Roman"/>
      <w:b/>
      <w:sz w:val="24"/>
      <w:szCs w:val="20"/>
      <w:lang w:eastAsia="en-CA"/>
    </w:rPr>
  </w:style>
  <w:style w:type="character" w:customStyle="1" w:styleId="SCCLsocLastPartyInRoleChar">
    <w:name w:val="SCC.Lsoc.LastPartyInRole Char"/>
    <w:basedOn w:val="SCCLsocPartyChar"/>
    <w:link w:val="SCCLsocLastPartyInRole"/>
    <w:rsid w:val="00B025ED"/>
    <w:rPr>
      <w:rFonts w:ascii="Times New Roman" w:eastAsia="Times New Roman" w:hAnsi="Times New Roman" w:cs="Times New Roman"/>
      <w:b/>
      <w:sz w:val="24"/>
      <w:szCs w:val="20"/>
      <w:lang w:eastAsia="en-CA"/>
    </w:rPr>
  </w:style>
  <w:style w:type="paragraph" w:customStyle="1" w:styleId="Citation-AltC">
    <w:name w:val="Citation - Alt C"/>
    <w:uiPriority w:val="2"/>
    <w:qFormat/>
    <w:rsid w:val="00B025ED"/>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B025ED"/>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B025ED"/>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ParaNoNdepar-AltN">
    <w:name w:val="Para. No. / Nº de par. - Alt N"/>
    <w:link w:val="ParaNoNdepar-AltNChar"/>
    <w:qFormat/>
    <w:rsid w:val="00B025ED"/>
    <w:pPr>
      <w:numPr>
        <w:numId w:val="1"/>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B025ED"/>
    <w:p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B025ED"/>
    <w:pPr>
      <w:outlineLvl w:val="1"/>
    </w:pPr>
    <w:rPr>
      <w:i/>
      <w:u w:val="none"/>
    </w:rPr>
  </w:style>
  <w:style w:type="paragraph" w:customStyle="1" w:styleId="Title3LevelTitre3Niveau">
    <w:name w:val="Title 3 Level / Titre 3 Niveau"/>
    <w:basedOn w:val="Title1LevelTitre1Niveau-AltL"/>
    <w:next w:val="ParaNoNdepar-AltN"/>
    <w:uiPriority w:val="4"/>
    <w:qFormat/>
    <w:rsid w:val="00B025ED"/>
    <w:pPr>
      <w:numPr>
        <w:ilvl w:val="2"/>
      </w:numPr>
      <w:outlineLvl w:val="2"/>
    </w:pPr>
  </w:style>
  <w:style w:type="paragraph" w:customStyle="1" w:styleId="Title4LevelTitre4Niveau">
    <w:name w:val="Title 4 Level / Titre 4 Niveau"/>
    <w:basedOn w:val="Title3LevelTitre3Niveau"/>
    <w:next w:val="ParaNoNdepar-AltN"/>
    <w:uiPriority w:val="4"/>
    <w:qFormat/>
    <w:rsid w:val="00B025ED"/>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025ED"/>
    <w:pPr>
      <w:tabs>
        <w:tab w:val="num" w:pos="1440"/>
      </w:tabs>
      <w:outlineLvl w:val="4"/>
    </w:pPr>
  </w:style>
  <w:style w:type="paragraph" w:customStyle="1" w:styleId="Title6LevelTitre6Niveau">
    <w:name w:val="Title 6 Level / Titre 6 Niveau"/>
    <w:basedOn w:val="Title5LevelTitre5Niveau"/>
    <w:next w:val="ParaNoNdepar-AltN"/>
    <w:uiPriority w:val="4"/>
    <w:qFormat/>
    <w:rsid w:val="00B025ED"/>
    <w:pPr>
      <w:numPr>
        <w:ilvl w:val="5"/>
      </w:numPr>
      <w:tabs>
        <w:tab w:val="num" w:pos="1440"/>
      </w:tabs>
      <w:jc w:val="both"/>
      <w:outlineLvl w:val="5"/>
    </w:pPr>
    <w:rPr>
      <w:i/>
      <w:u w:val="none"/>
    </w:rPr>
  </w:style>
  <w:style w:type="character" w:customStyle="1" w:styleId="ParaNoNdepar-AltNChar">
    <w:name w:val="Para. No. / Nº de par. - Alt N Char"/>
    <w:basedOn w:val="DefaultParagraphFont"/>
    <w:link w:val="ParaNoNdepar-AltN"/>
    <w:rsid w:val="00B025ED"/>
    <w:rPr>
      <w:rFonts w:ascii="Times New Roman" w:eastAsiaTheme="minorEastAsia" w:hAnsi="Times New Roman"/>
      <w:sz w:val="24"/>
    </w:rPr>
  </w:style>
  <w:style w:type="character" w:customStyle="1" w:styleId="JudgeJugeChar">
    <w:name w:val="Judge / Juge Char"/>
    <w:basedOn w:val="DefaultParagraphFont"/>
    <w:link w:val="JudgeJuge"/>
    <w:uiPriority w:val="3"/>
    <w:rsid w:val="00B025ED"/>
    <w:rPr>
      <w:rFonts w:ascii="Times New Roman" w:eastAsia="Times New Roman" w:hAnsi="Times New Roman" w:cs="Times New Roman"/>
      <w:smallCaps/>
      <w:sz w:val="24"/>
      <w:szCs w:val="20"/>
      <w:lang w:eastAsia="en-CA"/>
    </w:rPr>
  </w:style>
  <w:style w:type="character" w:customStyle="1" w:styleId="lawlabel2">
    <w:name w:val="lawlabel2"/>
    <w:basedOn w:val="DefaultParagraphFont"/>
    <w:rsid w:val="00B025ED"/>
    <w:rPr>
      <w:b/>
      <w:bCs/>
      <w:color w:val="000000"/>
    </w:rPr>
  </w:style>
  <w:style w:type="table" w:customStyle="1" w:styleId="TableGrid1">
    <w:name w:val="Table Grid1"/>
    <w:basedOn w:val="TableNormal"/>
    <w:next w:val="TableGrid"/>
    <w:uiPriority w:val="59"/>
    <w:rsid w:val="00B025ED"/>
    <w:pPr>
      <w:spacing w:after="0" w:line="240" w:lineRule="auto"/>
    </w:pPr>
    <w:rPr>
      <w:rFonts w:ascii="Times New Roman" w:eastAsia="Calibri"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0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F6"/>
    <w:rPr>
      <w:rFonts w:ascii="Segoe UI" w:hAnsi="Segoe UI" w:cs="Segoe UI"/>
      <w:sz w:val="18"/>
      <w:szCs w:val="18"/>
    </w:rPr>
  </w:style>
  <w:style w:type="table" w:customStyle="1" w:styleId="TableGrid2">
    <w:name w:val="Table Grid2"/>
    <w:basedOn w:val="TableNormal"/>
    <w:next w:val="TableGrid"/>
    <w:uiPriority w:val="59"/>
    <w:rsid w:val="004D4111"/>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D4111"/>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D4111"/>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39543">
      <w:bodyDiv w:val="1"/>
      <w:marLeft w:val="0"/>
      <w:marRight w:val="0"/>
      <w:marTop w:val="0"/>
      <w:marBottom w:val="0"/>
      <w:divBdr>
        <w:top w:val="none" w:sz="0" w:space="0" w:color="auto"/>
        <w:left w:val="none" w:sz="0" w:space="0" w:color="auto"/>
        <w:bottom w:val="none" w:sz="0" w:space="0" w:color="auto"/>
        <w:right w:val="none" w:sz="0" w:space="0" w:color="auto"/>
      </w:divBdr>
      <w:divsChild>
        <w:div w:id="2110812998">
          <w:marLeft w:val="0"/>
          <w:marRight w:val="0"/>
          <w:marTop w:val="0"/>
          <w:marBottom w:val="600"/>
          <w:divBdr>
            <w:top w:val="none" w:sz="0" w:space="0" w:color="auto"/>
            <w:left w:val="none" w:sz="0" w:space="0" w:color="auto"/>
            <w:bottom w:val="none" w:sz="0" w:space="0" w:color="auto"/>
            <w:right w:val="none" w:sz="0" w:space="0" w:color="auto"/>
          </w:divBdr>
          <w:divsChild>
            <w:div w:id="872153905">
              <w:marLeft w:val="72"/>
              <w:marRight w:val="72"/>
              <w:marTop w:val="0"/>
              <w:marBottom w:val="0"/>
              <w:divBdr>
                <w:top w:val="none" w:sz="0" w:space="0" w:color="auto"/>
                <w:left w:val="none" w:sz="0" w:space="0" w:color="auto"/>
                <w:bottom w:val="none" w:sz="0" w:space="0" w:color="auto"/>
                <w:right w:val="none" w:sz="0" w:space="0" w:color="auto"/>
              </w:divBdr>
              <w:divsChild>
                <w:div w:id="14231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49</Pages>
  <Words>10924</Words>
  <Characters>62268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172</cp:revision>
  <cp:lastPrinted>2022-02-08T20:20:00Z</cp:lastPrinted>
  <dcterms:created xsi:type="dcterms:W3CDTF">2013-09-17T14:14:00Z</dcterms:created>
  <dcterms:modified xsi:type="dcterms:W3CDTF">2022-02-08T20:24:00Z</dcterms:modified>
</cp:coreProperties>
</file>