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7B" w:rsidRPr="001A487B" w:rsidRDefault="001A487B" w:rsidP="001A487B">
      <w:pPr>
        <w:tabs>
          <w:tab w:val="center" w:pos="4680"/>
          <w:tab w:val="right" w:pos="9360"/>
        </w:tabs>
        <w:rPr>
          <w:rFonts w:eastAsia="Calibri"/>
          <w:szCs w:val="24"/>
          <w:lang w:eastAsia="en-US"/>
        </w:rPr>
      </w:pPr>
      <w:r w:rsidRPr="001A487B">
        <w:rPr>
          <w:rFonts w:eastAsia="Calibri"/>
          <w:szCs w:val="24"/>
          <w:lang w:eastAsia="en-US"/>
        </w:rPr>
        <w:ptab w:relativeTo="margin" w:alignment="center" w:leader="none"/>
      </w:r>
      <w:r w:rsidRPr="001A487B">
        <w:rPr>
          <w:rFonts w:eastAsia="Calibri"/>
          <w:szCs w:val="24"/>
          <w:lang w:eastAsia="en-US"/>
        </w:rPr>
        <w:t xml:space="preserve"> </w:t>
      </w:r>
      <w:r w:rsidRPr="001A487B">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64.5pt" o:ole="">
            <v:imagedata r:id="rId8" o:title=""/>
          </v:shape>
          <o:OLEObject Type="Embed" ProgID="Presentations.Drawing.13" ShapeID="_x0000_i1025" DrawAspect="Content" ObjectID="_1719049223" r:id="rId9"/>
        </w:object>
      </w:r>
      <w:r w:rsidRPr="001A487B">
        <w:rPr>
          <w:rFonts w:eastAsia="Calibri"/>
          <w:szCs w:val="24"/>
          <w:lang w:eastAsia="en-US"/>
        </w:rPr>
        <w:t xml:space="preserve"> </w:t>
      </w:r>
      <w:r w:rsidRPr="001A487B">
        <w:rPr>
          <w:rFonts w:eastAsia="Calibri"/>
          <w:szCs w:val="24"/>
          <w:lang w:eastAsia="en-US"/>
        </w:rPr>
        <w:ptab w:relativeTo="margin" w:alignment="right" w:leader="none"/>
      </w:r>
    </w:p>
    <w:p w:rsidR="001A487B" w:rsidRPr="001A487B" w:rsidRDefault="001A487B" w:rsidP="001A487B">
      <w:pPr>
        <w:tabs>
          <w:tab w:val="center" w:pos="4680"/>
          <w:tab w:val="right" w:pos="9360"/>
        </w:tabs>
        <w:rPr>
          <w:rFonts w:eastAsia="Calibri"/>
          <w:szCs w:val="24"/>
          <w:lang w:eastAsia="en-US"/>
        </w:rPr>
      </w:pPr>
    </w:p>
    <w:p w:rsidR="001A487B" w:rsidRPr="001A487B" w:rsidRDefault="001A487B" w:rsidP="001A487B">
      <w:pPr>
        <w:jc w:val="center"/>
        <w:rPr>
          <w:rFonts w:eastAsia="Calibri"/>
          <w:b/>
          <w:szCs w:val="24"/>
          <w:lang w:eastAsia="en-US"/>
        </w:rPr>
      </w:pPr>
      <w:r w:rsidRPr="001A487B">
        <w:rPr>
          <w:rFonts w:eastAsia="Calibri"/>
          <w:b/>
          <w:szCs w:val="24"/>
          <w:lang w:eastAsia="en-US"/>
        </w:rPr>
        <w:t>SUPREME COURT OF CANADA</w:t>
      </w:r>
    </w:p>
    <w:p w:rsidR="001A487B" w:rsidRPr="001A487B" w:rsidRDefault="001A487B" w:rsidP="001A487B">
      <w:pPr>
        <w:rPr>
          <w:rFonts w:eastAsia="Calibri"/>
          <w:szCs w:val="24"/>
          <w:lang w:eastAsia="en-US"/>
        </w:rPr>
      </w:pPr>
    </w:p>
    <w:tbl>
      <w:tblPr>
        <w:tblStyle w:val="TableGrid2"/>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590"/>
      </w:tblGrid>
      <w:tr w:rsidR="001A487B" w:rsidRPr="001A487B" w:rsidTr="0033225A">
        <w:trPr>
          <w:cantSplit/>
        </w:trPr>
        <w:tc>
          <w:tcPr>
            <w:tcW w:w="5400" w:type="dxa"/>
          </w:tcPr>
          <w:p w:rsidR="001A487B" w:rsidRDefault="001A487B" w:rsidP="001A487B">
            <w:pPr>
              <w:rPr>
                <w:lang w:val="fr-CA"/>
              </w:rPr>
            </w:pPr>
            <w:r w:rsidRPr="001A487B">
              <w:rPr>
                <w:b/>
                <w:smallCaps/>
                <w:lang w:val="fr-CA"/>
              </w:rPr>
              <w:t>Citation:</w:t>
            </w:r>
            <w:r w:rsidRPr="001A487B">
              <w:rPr>
                <w:lang w:val="fr-CA"/>
              </w:rPr>
              <w:t xml:space="preserve"> R. </w:t>
            </w:r>
            <w:r w:rsidRPr="001A487B">
              <w:rPr>
                <w:i/>
                <w:lang w:val="fr-CA"/>
              </w:rPr>
              <w:t>v.</w:t>
            </w:r>
            <w:r w:rsidRPr="001A487B">
              <w:rPr>
                <w:lang w:val="fr-CA"/>
              </w:rPr>
              <w:t xml:space="preserve"> Javanmardi, 2019 SCC 54, </w:t>
            </w:r>
          </w:p>
          <w:p w:rsidR="001A487B" w:rsidRPr="001A487B" w:rsidRDefault="001A487B" w:rsidP="001A487B">
            <w:pPr>
              <w:rPr>
                <w:lang w:val="fr-CA"/>
              </w:rPr>
            </w:pPr>
            <w:r w:rsidRPr="001A487B">
              <w:rPr>
                <w:lang w:val="fr-CA"/>
              </w:rPr>
              <w:t>[2019] 4 S.C.R. 3</w:t>
            </w:r>
          </w:p>
        </w:tc>
        <w:tc>
          <w:tcPr>
            <w:tcW w:w="4590" w:type="dxa"/>
          </w:tcPr>
          <w:p w:rsidR="001A487B" w:rsidRPr="001A487B" w:rsidRDefault="001A487B" w:rsidP="001A487B">
            <w:r w:rsidRPr="001A487B">
              <w:rPr>
                <w:b/>
                <w:smallCaps/>
              </w:rPr>
              <w:t>Appeal Heard:</w:t>
            </w:r>
            <w:r w:rsidRPr="001A487B">
              <w:t xml:space="preserve"> May 15, 2019</w:t>
            </w:r>
          </w:p>
          <w:p w:rsidR="001A487B" w:rsidRPr="001A487B" w:rsidRDefault="001A487B" w:rsidP="001A487B">
            <w:r w:rsidRPr="001A487B">
              <w:rPr>
                <w:b/>
                <w:smallCaps/>
              </w:rPr>
              <w:t>Judgment Rendered</w:t>
            </w:r>
            <w:r w:rsidRPr="001A487B">
              <w:rPr>
                <w:b/>
              </w:rPr>
              <w:t>:</w:t>
            </w:r>
            <w:r w:rsidRPr="001A487B">
              <w:t xml:space="preserve"> November 14, 2019</w:t>
            </w:r>
          </w:p>
          <w:p w:rsidR="001A487B" w:rsidRPr="001A487B" w:rsidRDefault="001A487B" w:rsidP="001A487B">
            <w:r w:rsidRPr="001A487B">
              <w:rPr>
                <w:b/>
                <w:smallCaps/>
              </w:rPr>
              <w:t>Docket:</w:t>
            </w:r>
            <w:r w:rsidRPr="001A487B">
              <w:t xml:space="preserve"> 38188</w:t>
            </w:r>
          </w:p>
        </w:tc>
      </w:tr>
    </w:tbl>
    <w:p w:rsidR="001A487B" w:rsidRPr="001A487B" w:rsidRDefault="001A487B" w:rsidP="001A487B">
      <w:pPr>
        <w:rPr>
          <w:rFonts w:eastAsia="Calibri"/>
          <w:b/>
          <w:smallCaps/>
          <w:szCs w:val="24"/>
          <w:lang w:eastAsia="en-US"/>
        </w:rPr>
      </w:pPr>
    </w:p>
    <w:p w:rsidR="001A487B" w:rsidRPr="001A487B" w:rsidRDefault="001A487B" w:rsidP="001A487B">
      <w:pPr>
        <w:rPr>
          <w:rFonts w:eastAsia="Calibri"/>
          <w:b/>
          <w:smallCaps/>
          <w:szCs w:val="24"/>
          <w:lang w:eastAsia="en-US"/>
        </w:rPr>
      </w:pPr>
      <w:r w:rsidRPr="001A487B">
        <w:rPr>
          <w:rFonts w:eastAsia="Calibri"/>
          <w:b/>
          <w:smallCaps/>
          <w:szCs w:val="24"/>
          <w:lang w:eastAsia="en-US"/>
        </w:rPr>
        <w:t>Between:</w:t>
      </w:r>
    </w:p>
    <w:p w:rsidR="001A487B" w:rsidRPr="001A487B" w:rsidRDefault="001A487B" w:rsidP="001A487B">
      <w:pPr>
        <w:jc w:val="center"/>
        <w:rPr>
          <w:rFonts w:eastAsia="Calibri"/>
          <w:b/>
          <w:szCs w:val="24"/>
          <w:lang w:eastAsia="en-US"/>
        </w:rPr>
      </w:pPr>
      <w:r w:rsidRPr="001A487B">
        <w:rPr>
          <w:rFonts w:eastAsia="Calibri"/>
          <w:b/>
          <w:szCs w:val="24"/>
          <w:lang w:val="en-US" w:eastAsia="en-US"/>
        </w:rPr>
        <w:t>Mitra Javanmardi</w:t>
      </w:r>
    </w:p>
    <w:p w:rsidR="001A487B" w:rsidRPr="001A487B" w:rsidRDefault="001A487B" w:rsidP="001A487B">
      <w:pPr>
        <w:jc w:val="center"/>
        <w:rPr>
          <w:rFonts w:eastAsia="Calibri"/>
          <w:szCs w:val="24"/>
          <w:lang w:eastAsia="en-US"/>
        </w:rPr>
      </w:pPr>
      <w:r w:rsidRPr="001A487B">
        <w:rPr>
          <w:rFonts w:eastAsia="Calibri"/>
          <w:szCs w:val="24"/>
          <w:lang w:eastAsia="en-US"/>
        </w:rPr>
        <w:t>Appellant</w:t>
      </w:r>
    </w:p>
    <w:p w:rsidR="001A487B" w:rsidRPr="001A487B" w:rsidRDefault="001A487B" w:rsidP="001A487B">
      <w:pPr>
        <w:rPr>
          <w:rFonts w:eastAsia="Calibri"/>
          <w:szCs w:val="24"/>
          <w:lang w:eastAsia="en-US"/>
        </w:rPr>
      </w:pPr>
    </w:p>
    <w:p w:rsidR="001A487B" w:rsidRPr="001A487B" w:rsidRDefault="001A487B" w:rsidP="001A487B">
      <w:pPr>
        <w:jc w:val="center"/>
        <w:rPr>
          <w:rFonts w:eastAsia="Calibri"/>
          <w:szCs w:val="24"/>
          <w:lang w:eastAsia="en-US"/>
        </w:rPr>
      </w:pPr>
      <w:r w:rsidRPr="001A487B">
        <w:rPr>
          <w:rFonts w:eastAsia="Calibri"/>
          <w:szCs w:val="24"/>
          <w:lang w:eastAsia="en-US"/>
        </w:rPr>
        <w:t>and</w:t>
      </w:r>
    </w:p>
    <w:p w:rsidR="001A487B" w:rsidRPr="001A487B" w:rsidRDefault="001A487B" w:rsidP="001A487B">
      <w:pPr>
        <w:rPr>
          <w:rFonts w:eastAsia="Calibri"/>
          <w:szCs w:val="24"/>
          <w:lang w:eastAsia="en-US"/>
        </w:rPr>
      </w:pPr>
    </w:p>
    <w:p w:rsidR="001A487B" w:rsidRPr="001A487B" w:rsidRDefault="001A487B" w:rsidP="001A487B">
      <w:pPr>
        <w:jc w:val="center"/>
        <w:rPr>
          <w:rFonts w:eastAsia="Calibri"/>
          <w:b/>
          <w:szCs w:val="24"/>
          <w:lang w:eastAsia="en-US"/>
        </w:rPr>
      </w:pPr>
      <w:r w:rsidRPr="001A487B">
        <w:rPr>
          <w:rFonts w:eastAsia="Calibri"/>
          <w:b/>
          <w:szCs w:val="24"/>
          <w:lang w:eastAsia="en-US"/>
        </w:rPr>
        <w:t>Her Majesty The Queen and</w:t>
      </w:r>
    </w:p>
    <w:p w:rsidR="001A487B" w:rsidRPr="001A487B" w:rsidRDefault="001A487B" w:rsidP="001A487B">
      <w:pPr>
        <w:jc w:val="center"/>
        <w:rPr>
          <w:rFonts w:eastAsia="Calibri"/>
          <w:b/>
          <w:szCs w:val="24"/>
          <w:lang w:val="en-US" w:eastAsia="en-US"/>
        </w:rPr>
      </w:pPr>
      <w:r w:rsidRPr="001A487B">
        <w:rPr>
          <w:rFonts w:eastAsia="Calibri"/>
          <w:b/>
          <w:szCs w:val="24"/>
          <w:lang w:val="en-US" w:eastAsia="en-US"/>
        </w:rPr>
        <w:t>Attorney General of Quebec</w:t>
      </w:r>
    </w:p>
    <w:p w:rsidR="001A487B" w:rsidRPr="001A487B" w:rsidRDefault="001A487B" w:rsidP="001A487B">
      <w:pPr>
        <w:jc w:val="center"/>
        <w:rPr>
          <w:rFonts w:eastAsia="Calibri"/>
          <w:szCs w:val="24"/>
          <w:lang w:val="en-US" w:eastAsia="en-US"/>
        </w:rPr>
      </w:pPr>
      <w:r w:rsidRPr="001A487B">
        <w:rPr>
          <w:rFonts w:eastAsia="Calibri"/>
          <w:szCs w:val="24"/>
          <w:lang w:val="en-US" w:eastAsia="en-US"/>
        </w:rPr>
        <w:t>Respondents</w:t>
      </w:r>
    </w:p>
    <w:p w:rsidR="001A487B" w:rsidRPr="001A487B" w:rsidRDefault="001A487B" w:rsidP="001A487B">
      <w:pPr>
        <w:rPr>
          <w:rFonts w:eastAsia="Calibri"/>
          <w:szCs w:val="24"/>
          <w:lang w:val="en-US" w:eastAsia="en-US"/>
        </w:rPr>
      </w:pPr>
    </w:p>
    <w:p w:rsidR="001A487B" w:rsidRPr="001A487B" w:rsidRDefault="001A487B" w:rsidP="001A487B">
      <w:pPr>
        <w:jc w:val="center"/>
        <w:rPr>
          <w:rFonts w:eastAsia="Calibri"/>
          <w:szCs w:val="24"/>
          <w:lang w:val="fr-CA" w:eastAsia="en-US"/>
        </w:rPr>
      </w:pPr>
      <w:r w:rsidRPr="001A487B">
        <w:rPr>
          <w:rFonts w:eastAsia="Calibri"/>
          <w:szCs w:val="24"/>
          <w:lang w:val="fr-CA" w:eastAsia="en-US"/>
        </w:rPr>
        <w:t>- and -</w:t>
      </w:r>
    </w:p>
    <w:p w:rsidR="001A487B" w:rsidRPr="001A487B" w:rsidRDefault="001A487B" w:rsidP="001A487B">
      <w:pPr>
        <w:jc w:val="center"/>
        <w:rPr>
          <w:rFonts w:eastAsia="Calibri"/>
          <w:b/>
          <w:szCs w:val="24"/>
          <w:lang w:val="fr-CA" w:eastAsia="en-US"/>
        </w:rPr>
      </w:pPr>
    </w:p>
    <w:p w:rsidR="001A487B" w:rsidRPr="001A487B" w:rsidRDefault="001A487B" w:rsidP="001A487B">
      <w:pPr>
        <w:jc w:val="center"/>
        <w:rPr>
          <w:rFonts w:eastAsia="Calibri"/>
          <w:b/>
          <w:szCs w:val="24"/>
          <w:lang w:val="fr-CA" w:eastAsia="en-US"/>
        </w:rPr>
      </w:pPr>
      <w:r w:rsidRPr="001A487B">
        <w:rPr>
          <w:rFonts w:eastAsia="Calibri"/>
          <w:b/>
          <w:szCs w:val="24"/>
          <w:lang w:val="fr-CA" w:eastAsia="en-US"/>
        </w:rPr>
        <w:t>Association des avocats de la défense de Montréal,</w:t>
      </w:r>
    </w:p>
    <w:p w:rsidR="001A487B" w:rsidRPr="001A487B" w:rsidRDefault="001A487B" w:rsidP="001A487B">
      <w:pPr>
        <w:jc w:val="center"/>
        <w:rPr>
          <w:rFonts w:eastAsia="Calibri"/>
          <w:b/>
          <w:szCs w:val="24"/>
          <w:lang w:val="en-US" w:eastAsia="en-US"/>
        </w:rPr>
      </w:pPr>
      <w:r w:rsidRPr="001A487B">
        <w:rPr>
          <w:rFonts w:eastAsia="Calibri"/>
          <w:b/>
          <w:szCs w:val="24"/>
          <w:lang w:val="en-US" w:eastAsia="en-US"/>
        </w:rPr>
        <w:t>Québec Association of Naturopathic Medicine,</w:t>
      </w:r>
    </w:p>
    <w:p w:rsidR="001A487B" w:rsidRPr="001A487B" w:rsidRDefault="001A487B" w:rsidP="001A487B">
      <w:pPr>
        <w:jc w:val="center"/>
        <w:rPr>
          <w:rFonts w:eastAsia="Calibri"/>
          <w:b/>
          <w:szCs w:val="24"/>
          <w:lang w:val="fr-CA" w:eastAsia="en-US"/>
        </w:rPr>
      </w:pPr>
      <w:r w:rsidRPr="001A487B">
        <w:rPr>
          <w:rFonts w:eastAsia="Calibri"/>
          <w:b/>
          <w:szCs w:val="24"/>
          <w:lang w:val="fr-CA" w:eastAsia="en-US"/>
        </w:rPr>
        <w:t>Association des naturopathes agréés du Québec,</w:t>
      </w:r>
    </w:p>
    <w:p w:rsidR="001A487B" w:rsidRPr="001A487B" w:rsidRDefault="001A487B" w:rsidP="001A487B">
      <w:pPr>
        <w:jc w:val="center"/>
        <w:rPr>
          <w:rFonts w:eastAsia="Calibri"/>
          <w:b/>
          <w:szCs w:val="24"/>
          <w:lang w:val="en-US" w:eastAsia="en-US"/>
        </w:rPr>
      </w:pPr>
      <w:r w:rsidRPr="001A487B">
        <w:rPr>
          <w:rFonts w:eastAsia="Calibri"/>
          <w:b/>
          <w:szCs w:val="24"/>
          <w:lang w:val="en-US" w:eastAsia="en-US"/>
        </w:rPr>
        <w:t>Canadian Association of Naturopathic Doctors and</w:t>
      </w:r>
    </w:p>
    <w:p w:rsidR="001A487B" w:rsidRPr="001A487B" w:rsidRDefault="001A487B" w:rsidP="001A487B">
      <w:pPr>
        <w:ind w:left="180" w:right="90" w:firstLine="90"/>
        <w:jc w:val="center"/>
        <w:rPr>
          <w:rFonts w:eastAsia="Calibri"/>
          <w:b/>
          <w:szCs w:val="24"/>
          <w:lang w:eastAsia="en-US"/>
        </w:rPr>
      </w:pPr>
      <w:r w:rsidRPr="001A487B">
        <w:rPr>
          <w:rFonts w:eastAsia="Calibri"/>
          <w:b/>
          <w:szCs w:val="24"/>
          <w:lang w:val="en-US" w:eastAsia="en-US"/>
        </w:rPr>
        <w:t>Criminal Lawyers’ Association</w:t>
      </w:r>
    </w:p>
    <w:p w:rsidR="001A487B" w:rsidRPr="001A487B" w:rsidRDefault="001A487B" w:rsidP="001A487B">
      <w:pPr>
        <w:jc w:val="center"/>
        <w:rPr>
          <w:rFonts w:eastAsia="Calibri"/>
          <w:szCs w:val="24"/>
          <w:lang w:eastAsia="en-US"/>
        </w:rPr>
      </w:pPr>
      <w:r w:rsidRPr="001A487B">
        <w:rPr>
          <w:rFonts w:eastAsia="Calibri"/>
          <w:szCs w:val="24"/>
          <w:lang w:eastAsia="en-US"/>
        </w:rPr>
        <w:t>Interveners</w:t>
      </w:r>
    </w:p>
    <w:p w:rsidR="001A487B" w:rsidRPr="001A487B" w:rsidRDefault="001A487B" w:rsidP="001A487B">
      <w:pPr>
        <w:rPr>
          <w:rFonts w:eastAsia="Calibri"/>
          <w:szCs w:val="24"/>
          <w:lang w:eastAsia="en-US"/>
        </w:rPr>
      </w:pPr>
    </w:p>
    <w:p w:rsidR="001A487B" w:rsidRPr="001A487B" w:rsidRDefault="001A487B" w:rsidP="001A487B">
      <w:pPr>
        <w:jc w:val="center"/>
        <w:rPr>
          <w:rFonts w:eastAsia="Calibri"/>
          <w:szCs w:val="24"/>
          <w:lang w:eastAsia="en-US"/>
        </w:rPr>
      </w:pPr>
      <w:r w:rsidRPr="001A487B">
        <w:rPr>
          <w:rFonts w:eastAsia="Calibri"/>
          <w:b/>
          <w:smallCaps/>
          <w:szCs w:val="24"/>
          <w:lang w:eastAsia="en-US"/>
        </w:rPr>
        <w:t xml:space="preserve">Official English Translation: </w:t>
      </w:r>
      <w:r w:rsidRPr="001A487B">
        <w:rPr>
          <w:rFonts w:eastAsia="Calibri"/>
          <w:szCs w:val="24"/>
          <w:lang w:eastAsia="en-US"/>
        </w:rPr>
        <w:t>Reasons of Wagner C.J.</w:t>
      </w:r>
    </w:p>
    <w:p w:rsidR="001A487B" w:rsidRPr="001A487B" w:rsidRDefault="001A487B" w:rsidP="001A487B">
      <w:pPr>
        <w:rPr>
          <w:rFonts w:eastAsia="Calibri"/>
          <w:szCs w:val="24"/>
          <w:lang w:eastAsia="en-US"/>
        </w:rPr>
      </w:pPr>
    </w:p>
    <w:p w:rsidR="001A487B" w:rsidRPr="001A487B" w:rsidRDefault="001A487B" w:rsidP="001A487B">
      <w:pPr>
        <w:rPr>
          <w:rFonts w:eastAsia="Calibri"/>
          <w:szCs w:val="24"/>
          <w:lang w:eastAsia="en-US"/>
        </w:rPr>
      </w:pPr>
      <w:r w:rsidRPr="001A487B">
        <w:rPr>
          <w:rFonts w:eastAsia="Calibri"/>
          <w:b/>
          <w:smallCaps/>
          <w:szCs w:val="24"/>
          <w:lang w:eastAsia="en-US"/>
        </w:rPr>
        <w:t>Coram:</w:t>
      </w:r>
      <w:r w:rsidRPr="001A487B">
        <w:rPr>
          <w:rFonts w:eastAsia="Calibri"/>
          <w:szCs w:val="24"/>
          <w:lang w:eastAsia="en-US"/>
        </w:rPr>
        <w:t xml:space="preserve"> Wagner C.J. and Abella, Moldaver, Karakatsanis, Côté, Brown and Rowe JJ.</w:t>
      </w:r>
    </w:p>
    <w:p w:rsidR="001A487B" w:rsidRPr="001A487B" w:rsidRDefault="001A487B" w:rsidP="001A487B">
      <w:pPr>
        <w:rPr>
          <w:rFonts w:eastAsia="Calibr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1A487B" w:rsidRPr="001A487B" w:rsidTr="0033225A">
        <w:trPr>
          <w:cantSplit/>
        </w:trPr>
        <w:tc>
          <w:tcPr>
            <w:tcW w:w="3780" w:type="dxa"/>
          </w:tcPr>
          <w:p w:rsidR="001A487B" w:rsidRPr="001A487B" w:rsidRDefault="001A487B" w:rsidP="001A487B">
            <w:pPr>
              <w:rPr>
                <w:b/>
                <w:smallCaps/>
              </w:rPr>
            </w:pPr>
            <w:r w:rsidRPr="001A487B">
              <w:rPr>
                <w:b/>
                <w:smallCaps/>
              </w:rPr>
              <w:t>Reasons for Judgment:</w:t>
            </w:r>
          </w:p>
          <w:p w:rsidR="001A487B" w:rsidRPr="001A487B" w:rsidRDefault="001A487B" w:rsidP="001A487B">
            <w:r w:rsidRPr="001A487B">
              <w:t>(paras. 1 to 46)</w:t>
            </w:r>
          </w:p>
        </w:tc>
        <w:tc>
          <w:tcPr>
            <w:tcW w:w="5796" w:type="dxa"/>
          </w:tcPr>
          <w:p w:rsidR="001A487B" w:rsidRPr="001A487B" w:rsidRDefault="001A487B" w:rsidP="001A487B">
            <w:r w:rsidRPr="001A487B">
              <w:t>Abella J. (Moldaver, Karakatsanis, Côté and Brown JJ. concurring)</w:t>
            </w:r>
          </w:p>
          <w:p w:rsidR="001A487B" w:rsidRPr="001A487B" w:rsidRDefault="001A487B" w:rsidP="001A487B"/>
        </w:tc>
      </w:tr>
      <w:tr w:rsidR="001A487B" w:rsidRPr="001A487B" w:rsidTr="0033225A">
        <w:trPr>
          <w:cantSplit/>
        </w:trPr>
        <w:tc>
          <w:tcPr>
            <w:tcW w:w="3780" w:type="dxa"/>
          </w:tcPr>
          <w:p w:rsidR="001A487B" w:rsidRPr="001A487B" w:rsidRDefault="001A487B" w:rsidP="001A487B">
            <w:pPr>
              <w:rPr>
                <w:b/>
                <w:smallCaps/>
              </w:rPr>
            </w:pPr>
            <w:r w:rsidRPr="001A487B">
              <w:rPr>
                <w:b/>
                <w:smallCaps/>
              </w:rPr>
              <w:t>Dissenting Reasons:</w:t>
            </w:r>
          </w:p>
          <w:p w:rsidR="001A487B" w:rsidRPr="001A487B" w:rsidRDefault="001A487B" w:rsidP="001A487B">
            <w:r w:rsidRPr="001A487B">
              <w:t>(paras. 47 to 84)</w:t>
            </w:r>
          </w:p>
          <w:p w:rsidR="001A487B" w:rsidRPr="001A487B" w:rsidRDefault="001A487B" w:rsidP="001A487B"/>
        </w:tc>
        <w:tc>
          <w:tcPr>
            <w:tcW w:w="5796" w:type="dxa"/>
          </w:tcPr>
          <w:p w:rsidR="001A487B" w:rsidRPr="001A487B" w:rsidRDefault="001A487B" w:rsidP="001A487B">
            <w:r w:rsidRPr="001A487B">
              <w:t>Wagner C.J. (Rowe J. concurring)</w:t>
            </w:r>
          </w:p>
          <w:p w:rsidR="001A487B" w:rsidRPr="001A487B" w:rsidRDefault="001A487B" w:rsidP="001A487B"/>
        </w:tc>
      </w:tr>
    </w:tbl>
    <w:p w:rsidR="001A487B" w:rsidRPr="001A487B" w:rsidRDefault="001A487B" w:rsidP="001A487B">
      <w:pPr>
        <w:rPr>
          <w:rFonts w:eastAsia="Calibri"/>
          <w:szCs w:val="24"/>
          <w:lang w:eastAsia="en-US"/>
        </w:rPr>
      </w:pPr>
    </w:p>
    <w:p w:rsidR="001A487B" w:rsidRPr="001A487B" w:rsidRDefault="001A487B" w:rsidP="001A487B">
      <w:pPr>
        <w:rPr>
          <w:rFonts w:eastAsia="Calibri"/>
          <w:szCs w:val="24"/>
          <w:lang w:eastAsia="en-US"/>
        </w:rPr>
      </w:pPr>
      <w:r w:rsidRPr="001A487B">
        <w:rPr>
          <w:rFonts w:eastAsia="Calibri"/>
          <w:noProof/>
          <w:szCs w:val="24"/>
          <w:lang w:val="en-US" w:eastAsia="en-US"/>
        </w:rPr>
        <mc:AlternateContent>
          <mc:Choice Requires="wps">
            <w:drawing>
              <wp:anchor distT="0" distB="0" distL="114300" distR="114300" simplePos="0" relativeHeight="251659264" behindDoc="0" locked="0" layoutInCell="1" allowOverlap="1" wp14:anchorId="3AB7F593" wp14:editId="3E54D1F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898D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A487B" w:rsidRPr="001A487B" w:rsidRDefault="001A487B">
      <w:pPr>
        <w:rPr>
          <w:rStyle w:val="SCCAppellantForRunningHeadChar"/>
          <w:lang w:val="en-US"/>
        </w:rPr>
      </w:pPr>
      <w:r w:rsidRPr="001A487B">
        <w:rPr>
          <w:rStyle w:val="SCCAppellantForRunningHeadChar"/>
          <w:lang w:val="en-US"/>
        </w:rPr>
        <w:br w:type="page"/>
      </w:r>
    </w:p>
    <w:p w:rsidR="008322BD" w:rsidRPr="00AE7F28" w:rsidRDefault="00670FD1" w:rsidP="005B1F41">
      <w:pPr>
        <w:spacing w:after="720"/>
        <w:jc w:val="both"/>
        <w:rPr>
          <w:lang w:val="fr-CA"/>
        </w:rPr>
      </w:pPr>
      <w:r w:rsidRPr="00AE7F28">
        <w:rPr>
          <w:rStyle w:val="SCCAppellantForRunningHeadChar"/>
          <w:lang w:val="fr-CA"/>
        </w:rPr>
        <w:lastRenderedPageBreak/>
        <w:t xml:space="preserve">r. </w:t>
      </w:r>
      <w:r w:rsidRPr="00AE7F28">
        <w:rPr>
          <w:i/>
          <w:lang w:val="fr-CA"/>
        </w:rPr>
        <w:t>v.</w:t>
      </w:r>
      <w:r w:rsidRPr="00AE7F28">
        <w:rPr>
          <w:rStyle w:val="SCCAppellantForRunningHeadChar"/>
          <w:lang w:val="fr-CA"/>
        </w:rPr>
        <w:t xml:space="preserve"> </w:t>
      </w:r>
      <w:r w:rsidR="006E3975" w:rsidRPr="00AE7F28">
        <w:rPr>
          <w:rStyle w:val="SCCAppellantForRunningHeadChar"/>
          <w:lang w:val="fr-CA"/>
        </w:rPr>
        <w:t>j</w:t>
      </w:r>
      <w:r w:rsidR="008F78E9" w:rsidRPr="00AE7F28">
        <w:rPr>
          <w:rStyle w:val="SCCAppellantForRunningHeadChar"/>
          <w:lang w:val="fr-CA"/>
        </w:rPr>
        <w:t>avanmardi</w:t>
      </w:r>
    </w:p>
    <w:p w:rsidR="0019759B" w:rsidRPr="00AE7F28" w:rsidRDefault="00AF5524" w:rsidP="005B1F41">
      <w:pPr>
        <w:pStyle w:val="SCCLsocLastPartyInRole"/>
        <w:rPr>
          <w:lang w:val="fr-CA"/>
        </w:rPr>
      </w:pPr>
      <w:r w:rsidRPr="00AE7F28">
        <w:rPr>
          <w:lang w:val="fr-CA"/>
        </w:rPr>
        <w:t>Mitra Javanmardi</w:t>
      </w:r>
      <w:r w:rsidRPr="00AE7F28">
        <w:rPr>
          <w:rStyle w:val="SCCLsocPartyRole"/>
          <w:lang w:val="fr-CA"/>
        </w:rPr>
        <w:tab/>
        <w:t>Appellant</w:t>
      </w:r>
    </w:p>
    <w:p w:rsidR="0019759B" w:rsidRPr="00AE7F28" w:rsidRDefault="00AF5524" w:rsidP="005B1F41">
      <w:pPr>
        <w:pStyle w:val="SCCLsocVersus"/>
      </w:pPr>
      <w:r w:rsidRPr="00AE7F28">
        <w:t>v.</w:t>
      </w:r>
    </w:p>
    <w:p w:rsidR="0019759B" w:rsidRPr="00AE7F28" w:rsidRDefault="00AF5524">
      <w:pPr>
        <w:pStyle w:val="SCCLsocParty"/>
      </w:pPr>
      <w:r w:rsidRPr="00AE7F28">
        <w:t xml:space="preserve">Her Majesty </w:t>
      </w:r>
      <w:r w:rsidR="00D56FA2" w:rsidRPr="00AE7F28">
        <w:t>T</w:t>
      </w:r>
      <w:r w:rsidR="00B64951" w:rsidRPr="00AE7F28">
        <w:t>he Queen and</w:t>
      </w:r>
    </w:p>
    <w:p w:rsidR="0019759B" w:rsidRPr="00B22FC3" w:rsidRDefault="00AF5524" w:rsidP="005B1F41">
      <w:pPr>
        <w:pStyle w:val="SCCLsocLastPartyInRole"/>
        <w:rPr>
          <w:lang w:val="en-US"/>
        </w:rPr>
      </w:pPr>
      <w:r w:rsidRPr="00B22FC3">
        <w:rPr>
          <w:lang w:val="en-US"/>
        </w:rPr>
        <w:t>Attorney General of Quebec</w:t>
      </w:r>
      <w:r w:rsidRPr="00B22FC3">
        <w:rPr>
          <w:rStyle w:val="SCCLsocPartyRole"/>
          <w:lang w:val="en-US"/>
        </w:rPr>
        <w:tab/>
        <w:t>Respondents</w:t>
      </w:r>
    </w:p>
    <w:p w:rsidR="0019759B" w:rsidRPr="00B22FC3" w:rsidRDefault="00AF5524" w:rsidP="005B1F41">
      <w:pPr>
        <w:pStyle w:val="SCCLsocOtherPartySeparator"/>
        <w:rPr>
          <w:lang w:val="en-US"/>
        </w:rPr>
      </w:pPr>
      <w:r w:rsidRPr="00B22FC3">
        <w:rPr>
          <w:lang w:val="en-US"/>
        </w:rPr>
        <w:t>and</w:t>
      </w:r>
    </w:p>
    <w:p w:rsidR="0019759B" w:rsidRPr="00AE7F28" w:rsidRDefault="00AF5524">
      <w:pPr>
        <w:pStyle w:val="SCCLsocParty"/>
        <w:rPr>
          <w:lang w:val="fr-CA"/>
        </w:rPr>
      </w:pPr>
      <w:r w:rsidRPr="00AE7F28">
        <w:rPr>
          <w:lang w:val="fr-CA"/>
        </w:rPr>
        <w:t>Association des avocats de la défense de Montréal,</w:t>
      </w:r>
    </w:p>
    <w:p w:rsidR="00D56FA2" w:rsidRPr="00AE7F28" w:rsidRDefault="00AF5524">
      <w:pPr>
        <w:pStyle w:val="SCCLsocParty"/>
        <w:rPr>
          <w:lang w:val="en-US"/>
        </w:rPr>
      </w:pPr>
      <w:r w:rsidRPr="00AE7F28">
        <w:rPr>
          <w:lang w:val="en-US"/>
        </w:rPr>
        <w:t>Québec Association of Naturopat</w:t>
      </w:r>
      <w:r w:rsidR="00CA2C89" w:rsidRPr="00AE7F28">
        <w:rPr>
          <w:lang w:val="en-US"/>
        </w:rPr>
        <w:t>h</w:t>
      </w:r>
      <w:r w:rsidR="00B14E2C" w:rsidRPr="00AE7F28">
        <w:rPr>
          <w:lang w:val="en-US"/>
        </w:rPr>
        <w:t>ic Medi</w:t>
      </w:r>
      <w:r w:rsidRPr="00AE7F28">
        <w:rPr>
          <w:lang w:val="en-US"/>
        </w:rPr>
        <w:t>cine</w:t>
      </w:r>
      <w:r w:rsidR="00B64951" w:rsidRPr="00AE7F28">
        <w:rPr>
          <w:lang w:val="en-US"/>
        </w:rPr>
        <w:t>,</w:t>
      </w:r>
    </w:p>
    <w:p w:rsidR="0019759B" w:rsidRPr="00AE7F28" w:rsidRDefault="00AF5524">
      <w:pPr>
        <w:pStyle w:val="SCCLsocParty"/>
        <w:rPr>
          <w:lang w:val="fr-CA"/>
        </w:rPr>
      </w:pPr>
      <w:r w:rsidRPr="00AE7F28">
        <w:rPr>
          <w:lang w:val="fr-CA"/>
        </w:rPr>
        <w:t>Association des naturopathes agréés du Québec,</w:t>
      </w:r>
    </w:p>
    <w:p w:rsidR="0019759B" w:rsidRPr="00AE7F28" w:rsidRDefault="00AF5524">
      <w:pPr>
        <w:pStyle w:val="SCCLsocParty"/>
        <w:rPr>
          <w:lang w:val="en-US"/>
        </w:rPr>
      </w:pPr>
      <w:r w:rsidRPr="00AE7F28">
        <w:rPr>
          <w:lang w:val="en-US"/>
        </w:rPr>
        <w:t>Canadian Association of Naturopathic</w:t>
      </w:r>
      <w:r w:rsidR="00B64951" w:rsidRPr="00AE7F28">
        <w:rPr>
          <w:lang w:val="en-US"/>
        </w:rPr>
        <w:t xml:space="preserve"> Doctors and</w:t>
      </w:r>
    </w:p>
    <w:p w:rsidR="0019759B" w:rsidRPr="00AE7F28" w:rsidRDefault="00AF5524" w:rsidP="005B1F41">
      <w:pPr>
        <w:pStyle w:val="SCCLsocLastPartyInRole"/>
        <w:rPr>
          <w:lang w:val="en-US"/>
        </w:rPr>
      </w:pPr>
      <w:r w:rsidRPr="00AE7F28">
        <w:rPr>
          <w:lang w:val="en-US"/>
        </w:rPr>
        <w:t>Criminal Lawyers</w:t>
      </w:r>
      <w:r w:rsidR="005B1F41" w:rsidRPr="00AE7F28">
        <w:rPr>
          <w:lang w:val="en-US"/>
        </w:rPr>
        <w:t>’</w:t>
      </w:r>
      <w:r w:rsidRPr="00AE7F28">
        <w:rPr>
          <w:lang w:val="en-US"/>
        </w:rPr>
        <w:t xml:space="preserve"> Association</w:t>
      </w:r>
      <w:r w:rsidRPr="00AE7F28">
        <w:rPr>
          <w:rStyle w:val="SCCLsocPartyRole"/>
          <w:lang w:val="en-US"/>
        </w:rPr>
        <w:tab/>
        <w:t>Interveners</w:t>
      </w:r>
    </w:p>
    <w:p w:rsidR="00426659" w:rsidRPr="00AE7F28" w:rsidRDefault="00426659" w:rsidP="005B1F41">
      <w:pPr>
        <w:spacing w:after="720"/>
        <w:jc w:val="both"/>
        <w:rPr>
          <w:b/>
        </w:rPr>
      </w:pPr>
      <w:r w:rsidRPr="00AE7F28">
        <w:rPr>
          <w:b/>
        </w:rPr>
        <w:t>Indexed as:</w:t>
      </w:r>
      <w:r w:rsidR="005B1F41" w:rsidRPr="00AE7F28">
        <w:rPr>
          <w:b/>
        </w:rPr>
        <w:t xml:space="preserve"> </w:t>
      </w:r>
      <w:r w:rsidR="002E2CFF" w:rsidRPr="00AE7F28">
        <w:rPr>
          <w:rStyle w:val="SCCRespondentForIndexChar"/>
        </w:rPr>
        <w:t>R.</w:t>
      </w:r>
      <w:r w:rsidR="002E2CFF" w:rsidRPr="00AE7F28">
        <w:rPr>
          <w:rStyle w:val="SCCAppellantForIndexChar"/>
        </w:rPr>
        <w:t xml:space="preserve"> </w:t>
      </w:r>
      <w:r w:rsidR="002E2CFF" w:rsidRPr="00AE7F28">
        <w:rPr>
          <w:b/>
          <w:i/>
        </w:rPr>
        <w:t>v.</w:t>
      </w:r>
      <w:r w:rsidR="002E2CFF" w:rsidRPr="00AE7F28">
        <w:rPr>
          <w:b/>
        </w:rPr>
        <w:t xml:space="preserve"> </w:t>
      </w:r>
      <w:r w:rsidRPr="00AE7F28">
        <w:rPr>
          <w:rStyle w:val="SCCAppellantForIndexChar"/>
        </w:rPr>
        <w:t>Javanmardi</w:t>
      </w:r>
    </w:p>
    <w:p w:rsidR="00426659" w:rsidRPr="00AE7F28" w:rsidRDefault="00AE4535" w:rsidP="005B1F41">
      <w:pPr>
        <w:pStyle w:val="SCCSystemYear"/>
        <w:spacing w:after="720"/>
        <w:jc w:val="both"/>
      </w:pPr>
      <w:r w:rsidRPr="00AE7F28">
        <w:t>2019</w:t>
      </w:r>
      <w:r w:rsidR="003D0399" w:rsidRPr="00AE7F28">
        <w:t xml:space="preserve"> </w:t>
      </w:r>
      <w:r w:rsidR="00426659" w:rsidRPr="00AE7F28">
        <w:t>SCC </w:t>
      </w:r>
      <w:r w:rsidR="001210E9">
        <w:t>54</w:t>
      </w:r>
    </w:p>
    <w:p w:rsidR="008322BD" w:rsidRPr="00AE7F28" w:rsidRDefault="009B57B3" w:rsidP="005B1F41">
      <w:pPr>
        <w:spacing w:after="720"/>
        <w:jc w:val="both"/>
      </w:pPr>
      <w:r w:rsidRPr="00AE7F28">
        <w:t>File No.:</w:t>
      </w:r>
      <w:r w:rsidR="005B1F41" w:rsidRPr="00AE7F28">
        <w:t xml:space="preserve"> </w:t>
      </w:r>
      <w:r w:rsidRPr="00AE7F28">
        <w:t>38188.</w:t>
      </w:r>
    </w:p>
    <w:p w:rsidR="008322BD" w:rsidRPr="00AE7F28" w:rsidRDefault="00AE4535" w:rsidP="005B1F41">
      <w:pPr>
        <w:spacing w:after="720"/>
        <w:jc w:val="both"/>
      </w:pPr>
      <w:r w:rsidRPr="00AE7F28">
        <w:t>2019:</w:t>
      </w:r>
      <w:r w:rsidR="005B1F41" w:rsidRPr="00AE7F28">
        <w:t> May </w:t>
      </w:r>
      <w:r w:rsidRPr="00AE7F28">
        <w:t>15</w:t>
      </w:r>
      <w:r w:rsidR="009B57B3" w:rsidRPr="00AE7F28">
        <w:t xml:space="preserve">; </w:t>
      </w:r>
      <w:r w:rsidR="005B1F41" w:rsidRPr="00AE7F28">
        <w:t>2019: November </w:t>
      </w:r>
      <w:r w:rsidR="00214BAE" w:rsidRPr="00AE7F28">
        <w:t>14.</w:t>
      </w:r>
    </w:p>
    <w:p w:rsidR="008322BD" w:rsidRPr="00AE7F28" w:rsidRDefault="009B57B3" w:rsidP="005B1F41">
      <w:pPr>
        <w:spacing w:after="720"/>
        <w:jc w:val="both"/>
      </w:pPr>
      <w:r w:rsidRPr="00AE7F28">
        <w:t>Present:</w:t>
      </w:r>
      <w:r w:rsidR="005B1F41" w:rsidRPr="00AE7F28">
        <w:t xml:space="preserve"> </w:t>
      </w:r>
      <w:r w:rsidRPr="00AE7F28">
        <w:t>Wagner C.J. and Abella, Moldaver, Karakatsanis, Côté, Brown and Rowe JJ.</w:t>
      </w:r>
    </w:p>
    <w:p w:rsidR="008322BD" w:rsidRPr="00AE7F28" w:rsidRDefault="00656313" w:rsidP="005B1F41">
      <w:pPr>
        <w:pStyle w:val="SCCLowerCourtNameLowercase"/>
        <w:spacing w:after="720" w:line="240" w:lineRule="auto"/>
      </w:pPr>
      <w:r w:rsidRPr="00AE7F28">
        <w:t>o</w:t>
      </w:r>
      <w:r w:rsidR="00170592" w:rsidRPr="00AE7F28">
        <w:t>n</w:t>
      </w:r>
      <w:r w:rsidR="00224FC0" w:rsidRPr="00AE7F28">
        <w:t xml:space="preserve"> </w:t>
      </w:r>
      <w:r w:rsidRPr="00AE7F28">
        <w:t>a</w:t>
      </w:r>
      <w:r w:rsidR="00170592" w:rsidRPr="00AE7F28">
        <w:t>ppeal</w:t>
      </w:r>
      <w:r w:rsidR="00224FC0" w:rsidRPr="00AE7F28">
        <w:t xml:space="preserve"> </w:t>
      </w:r>
      <w:r w:rsidR="00170592" w:rsidRPr="00AE7F28">
        <w:t>from</w:t>
      </w:r>
      <w:r w:rsidR="009567AA" w:rsidRPr="00AE7F28">
        <w:t xml:space="preserve"> the</w:t>
      </w:r>
      <w:r w:rsidR="00224FC0" w:rsidRPr="00AE7F28">
        <w:t xml:space="preserve"> </w:t>
      </w:r>
      <w:r w:rsidR="009B57B3" w:rsidRPr="00AE7F28">
        <w:t>court of appeal</w:t>
      </w:r>
      <w:r w:rsidR="002458F7" w:rsidRPr="00AE7F28">
        <w:t xml:space="preserve"> for quebec</w:t>
      </w:r>
    </w:p>
    <w:p w:rsidR="00CA2C89" w:rsidRPr="00AE7F28" w:rsidRDefault="00CA2C89" w:rsidP="005B1F41">
      <w:pPr>
        <w:pStyle w:val="SCCNormalDoubleSpacing"/>
        <w:spacing w:after="480"/>
        <w:rPr>
          <w:i/>
        </w:rPr>
      </w:pPr>
      <w:r w:rsidRPr="00AE7F28">
        <w:rPr>
          <w:i/>
          <w:lang w:val="en-US"/>
        </w:rPr>
        <w:lastRenderedPageBreak/>
        <w:tab/>
        <w:t xml:space="preserve">Criminal law </w:t>
      </w:r>
      <w:r w:rsidR="005B1F41" w:rsidRPr="00AE7F28">
        <w:rPr>
          <w:i/>
          <w:lang w:val="en-US"/>
        </w:rPr>
        <w:t>—</w:t>
      </w:r>
      <w:r w:rsidRPr="00AE7F28">
        <w:rPr>
          <w:i/>
          <w:lang w:val="en-US"/>
        </w:rPr>
        <w:t xml:space="preserve"> Unlawful act manslaughter </w:t>
      </w:r>
      <w:r w:rsidR="005B1F41" w:rsidRPr="00AE7F28">
        <w:rPr>
          <w:i/>
          <w:lang w:val="en-US"/>
        </w:rPr>
        <w:t>—</w:t>
      </w:r>
      <w:r w:rsidRPr="00AE7F28">
        <w:rPr>
          <w:i/>
          <w:lang w:val="en-US"/>
        </w:rPr>
        <w:t xml:space="preserve"> Criminal negligence causing death </w:t>
      </w:r>
      <w:r w:rsidR="005B1F41" w:rsidRPr="00AE7F28">
        <w:rPr>
          <w:i/>
          <w:lang w:val="en-US"/>
        </w:rPr>
        <w:t>—</w:t>
      </w:r>
      <w:r w:rsidRPr="00AE7F28">
        <w:rPr>
          <w:i/>
          <w:lang w:val="en-US"/>
        </w:rPr>
        <w:t xml:space="preserve"> Elements of offence </w:t>
      </w:r>
      <w:r w:rsidR="005B1F41" w:rsidRPr="00AE7F28">
        <w:rPr>
          <w:i/>
          <w:lang w:val="en-US"/>
        </w:rPr>
        <w:t>—</w:t>
      </w:r>
      <w:r w:rsidRPr="00AE7F28">
        <w:rPr>
          <w:i/>
          <w:lang w:val="en-US"/>
        </w:rPr>
        <w:t xml:space="preserve"> Naturopath charged and acquitted at trial in death of patient </w:t>
      </w:r>
      <w:r w:rsidR="005B1F41" w:rsidRPr="00AE7F28">
        <w:rPr>
          <w:i/>
          <w:lang w:val="en-US"/>
        </w:rPr>
        <w:t>—</w:t>
      </w:r>
      <w:r w:rsidRPr="00AE7F28">
        <w:rPr>
          <w:i/>
          <w:lang w:val="en-US"/>
        </w:rPr>
        <w:t xml:space="preserve"> Court of Appeal set</w:t>
      </w:r>
      <w:r w:rsidR="00AF0E14">
        <w:rPr>
          <w:i/>
          <w:lang w:val="en-US"/>
        </w:rPr>
        <w:t>ting</w:t>
      </w:r>
      <w:r w:rsidRPr="00AE7F28">
        <w:rPr>
          <w:i/>
          <w:lang w:val="en-US"/>
        </w:rPr>
        <w:t xml:space="preserve"> aside acquittals </w:t>
      </w:r>
      <w:r w:rsidR="005B1F41" w:rsidRPr="00AE7F28">
        <w:rPr>
          <w:i/>
          <w:lang w:val="en-US"/>
        </w:rPr>
        <w:t>—</w:t>
      </w:r>
      <w:r w:rsidR="00070D79">
        <w:rPr>
          <w:i/>
          <w:lang w:val="en-US"/>
        </w:rPr>
        <w:t xml:space="preserve"> Whether C</w:t>
      </w:r>
      <w:r w:rsidR="00B3286A">
        <w:rPr>
          <w:i/>
          <w:lang w:val="en-US"/>
        </w:rPr>
        <w:t>rown</w:t>
      </w:r>
      <w:r w:rsidRPr="00AE7F28">
        <w:rPr>
          <w:i/>
          <w:lang w:val="en-US"/>
        </w:rPr>
        <w:t xml:space="preserve"> must prove that underlying unlawful act was objectively dangerous to establish actus reus of unlawful act manslaughter </w:t>
      </w:r>
      <w:r w:rsidR="005B1F41" w:rsidRPr="00AE7F28">
        <w:rPr>
          <w:i/>
          <w:lang w:val="en-US"/>
        </w:rPr>
        <w:t>—</w:t>
      </w:r>
      <w:r w:rsidRPr="00AE7F28">
        <w:rPr>
          <w:i/>
          <w:lang w:val="en-US"/>
        </w:rPr>
        <w:t xml:space="preserve"> Whether Court of Appeal erred in intervening </w:t>
      </w:r>
      <w:r w:rsidR="005B1F41" w:rsidRPr="00AE7F28">
        <w:rPr>
          <w:i/>
          <w:lang w:val="en-US"/>
        </w:rPr>
        <w:t>—</w:t>
      </w:r>
      <w:r w:rsidRPr="00AE7F28">
        <w:rPr>
          <w:i/>
          <w:lang w:val="en-US"/>
        </w:rPr>
        <w:t xml:space="preserve"> </w:t>
      </w:r>
      <w:r w:rsidRPr="00AE7F28">
        <w:rPr>
          <w:i/>
        </w:rPr>
        <w:t>Criminal Code</w:t>
      </w:r>
      <w:r w:rsidRPr="000724AC">
        <w:rPr>
          <w:i/>
        </w:rPr>
        <w:t>,</w:t>
      </w:r>
      <w:r w:rsidRPr="00AE7F28">
        <w:t xml:space="preserve"> </w:t>
      </w:r>
      <w:r w:rsidR="005B1F41" w:rsidRPr="00AE7F28">
        <w:rPr>
          <w:i/>
        </w:rPr>
        <w:t>R.S.C. 1985, c. </w:t>
      </w:r>
      <w:r w:rsidRPr="00AE7F28">
        <w:rPr>
          <w:i/>
        </w:rPr>
        <w:t>C</w:t>
      </w:r>
      <w:r w:rsidR="005B1F41" w:rsidRPr="00AE7F28">
        <w:rPr>
          <w:i/>
        </w:rPr>
        <w:noBreakHyphen/>
      </w:r>
      <w:r w:rsidRPr="00AE7F28">
        <w:rPr>
          <w:i/>
        </w:rPr>
        <w:t xml:space="preserve">46, </w:t>
      </w:r>
      <w:r w:rsidR="005B1F41" w:rsidRPr="00AE7F28">
        <w:rPr>
          <w:i/>
        </w:rPr>
        <w:t>ss. </w:t>
      </w:r>
      <w:r w:rsidR="00A70142">
        <w:rPr>
          <w:i/>
        </w:rPr>
        <w:t>220</w:t>
      </w:r>
      <w:r w:rsidRPr="00AE7F28">
        <w:rPr>
          <w:i/>
        </w:rPr>
        <w:t>, 222(5)(a).</w:t>
      </w:r>
    </w:p>
    <w:p w:rsidR="00CA2C89" w:rsidRPr="00AE7F28" w:rsidRDefault="00CA2C89" w:rsidP="005B1F41">
      <w:pPr>
        <w:pStyle w:val="SCCNormalDoubleSpacing"/>
        <w:spacing w:after="480"/>
        <w:rPr>
          <w:lang w:val="en-US"/>
        </w:rPr>
      </w:pPr>
      <w:r w:rsidRPr="00AE7F28">
        <w:rPr>
          <w:lang w:val="en-US"/>
        </w:rPr>
        <w:tab/>
      </w:r>
      <w:r w:rsidR="005B1F41" w:rsidRPr="00AE7F28">
        <w:t>On June </w:t>
      </w:r>
      <w:r w:rsidRPr="00AE7F28">
        <w:t>12, 2008, M and his wife visited the accused</w:t>
      </w:r>
      <w:r w:rsidR="005B1F41" w:rsidRPr="00AE7F28">
        <w:t>’</w:t>
      </w:r>
      <w:r w:rsidRPr="00AE7F28">
        <w:t>s naturopathic clinic. M was 84 years old, had heart disease and was frustrated with the treatment he had received at conventional medical clinics. After an hour</w:t>
      </w:r>
      <w:r w:rsidR="005B1F41" w:rsidRPr="00AE7F28">
        <w:noBreakHyphen/>
      </w:r>
      <w:r w:rsidRPr="00AE7F28">
        <w:t>long consultation, the accused recommended intravenously administered nutrients. M reacted negatively to the injection and he died of endotoxic shock some hours later. The accused was charged with criminal negligence causing death and unlawful act manslaughter. The trial judge acquitted the accused of both charges but the Court of Appeal set aside both acquittals, substituted a conviction on the charge of unlawful act manslaughter, and ordered a new trial on the criminal negligence charge.</w:t>
      </w:r>
    </w:p>
    <w:p w:rsidR="00CA2C89" w:rsidRPr="00AE7F28" w:rsidRDefault="00CA2C89" w:rsidP="005B1F41">
      <w:pPr>
        <w:pStyle w:val="SCCNormalDoubleSpacing"/>
        <w:spacing w:after="480"/>
      </w:pPr>
      <w:r w:rsidRPr="00AE7F28">
        <w:rPr>
          <w:lang w:val="en-US"/>
        </w:rPr>
        <w:tab/>
      </w:r>
      <w:r w:rsidRPr="00AE7F28">
        <w:rPr>
          <w:i/>
          <w:lang w:val="en-US"/>
        </w:rPr>
        <w:t>Held</w:t>
      </w:r>
      <w:r w:rsidR="005B1F41" w:rsidRPr="00AE7F28">
        <w:rPr>
          <w:lang w:val="en-US"/>
        </w:rPr>
        <w:t xml:space="preserve"> (Wagner C.J. and Rowe </w:t>
      </w:r>
      <w:r w:rsidRPr="00AE7F28">
        <w:rPr>
          <w:lang w:val="en-US"/>
        </w:rPr>
        <w:t xml:space="preserve">J. dissenting): </w:t>
      </w:r>
      <w:r w:rsidRPr="00AE7F28">
        <w:t>The appeal should be allowed and the acquittals restored.</w:t>
      </w:r>
    </w:p>
    <w:p w:rsidR="00CA2C89" w:rsidRPr="00AE7F28" w:rsidRDefault="00CA2C89" w:rsidP="005B1F41">
      <w:pPr>
        <w:pStyle w:val="SCCNormalDoubleSpacing"/>
        <w:spacing w:after="480"/>
      </w:pPr>
      <w:r w:rsidRPr="00AE7F28">
        <w:tab/>
      </w:r>
      <w:r w:rsidRPr="00AE7F28">
        <w:rPr>
          <w:i/>
        </w:rPr>
        <w:t xml:space="preserve">Per </w:t>
      </w:r>
      <w:r w:rsidRPr="000724AC">
        <w:t>Abella,</w:t>
      </w:r>
      <w:r w:rsidRPr="00AE7F28">
        <w:t xml:space="preserve"> Moldaver, Karakatsanis, C</w:t>
      </w:r>
      <w:r w:rsidRPr="00AE7F28">
        <w:rPr>
          <w:lang w:val="en-US"/>
        </w:rPr>
        <w:t>ôté and Brown</w:t>
      </w:r>
      <w:r w:rsidR="007654CC">
        <w:rPr>
          <w:lang w:val="en-US"/>
        </w:rPr>
        <w:t> </w:t>
      </w:r>
      <w:r w:rsidRPr="00AE7F28">
        <w:rPr>
          <w:lang w:val="en-US"/>
        </w:rPr>
        <w:t>JJ.</w:t>
      </w:r>
      <w:r w:rsidR="005B1F41" w:rsidRPr="00AE7F28">
        <w:rPr>
          <w:lang w:val="en-US"/>
        </w:rPr>
        <w:t>:</w:t>
      </w:r>
      <w:r w:rsidRPr="00AE7F28">
        <w:t xml:space="preserve"> The Court of Appeal erred in holding that an intravenous injection is objectively dangerous regardless of the circumstances in which it is administered or the training, qualifications and experience of the person who administers it. The Court of Appeal</w:t>
      </w:r>
      <w:r w:rsidRPr="00AE7F28">
        <w:rPr>
          <w:b/>
        </w:rPr>
        <w:t xml:space="preserve"> </w:t>
      </w:r>
      <w:r w:rsidRPr="00AE7F28">
        <w:t xml:space="preserve">also erred in </w:t>
      </w:r>
      <w:r w:rsidRPr="00AE7F28">
        <w:lastRenderedPageBreak/>
        <w:t>disturbing the accused</w:t>
      </w:r>
      <w:r w:rsidR="005B1F41" w:rsidRPr="00AE7F28">
        <w:t>’</w:t>
      </w:r>
      <w:r w:rsidRPr="00AE7F28">
        <w:t>s acquittals based on its conclusion that her</w:t>
      </w:r>
      <w:r w:rsidRPr="00AE7F28">
        <w:rPr>
          <w:b/>
        </w:rPr>
        <w:t xml:space="preserve"> </w:t>
      </w:r>
      <w:r w:rsidRPr="00AE7F28">
        <w:t>conduct markedly departed from that of a reasonable person. These conclusions cannot be squared with the trial judge</w:t>
      </w:r>
      <w:r w:rsidR="005B1F41" w:rsidRPr="00AE7F28">
        <w:t>’</w:t>
      </w:r>
      <w:r w:rsidRPr="00AE7F28">
        <w:t>s findings of fact which the Court of Appeal replaced with</w:t>
      </w:r>
      <w:r w:rsidR="000514DD" w:rsidRPr="00AE7F28">
        <w:t xml:space="preserve"> its own.</w:t>
      </w:r>
    </w:p>
    <w:p w:rsidR="00CA2C89" w:rsidRPr="00AE7F28" w:rsidRDefault="00CA2C89" w:rsidP="005B1F41">
      <w:pPr>
        <w:pStyle w:val="SCCNormalDoubleSpacing"/>
        <w:spacing w:after="480"/>
      </w:pPr>
      <w:r w:rsidRPr="00AE7F28">
        <w:tab/>
        <w:t xml:space="preserve">The </w:t>
      </w:r>
      <w:r w:rsidRPr="00AE7F28">
        <w:rPr>
          <w:i/>
        </w:rPr>
        <w:t>actus reus</w:t>
      </w:r>
      <w:r w:rsidRPr="00AE7F28">
        <w:t xml:space="preserve"> of criminal negligence causing death requires that the accused undertook an act — or omitted to do anything that it was his or her legal duty to do — and that the act or omission caused someone</w:t>
      </w:r>
      <w:r w:rsidR="005B1F41" w:rsidRPr="00AE7F28">
        <w:t>’</w:t>
      </w:r>
      <w:r w:rsidRPr="00AE7F28">
        <w:t>s death. The fault element is that the accused</w:t>
      </w:r>
      <w:r w:rsidR="005B1F41" w:rsidRPr="00AE7F28">
        <w:t>’</w:t>
      </w:r>
      <w:r w:rsidRPr="00AE7F28">
        <w:t>s act or omission shows wanton or reckless disregard for the lives or safety of other persons. As with other negligence</w:t>
      </w:r>
      <w:r w:rsidR="005B1F41" w:rsidRPr="00AE7F28">
        <w:noBreakHyphen/>
      </w:r>
      <w:r w:rsidRPr="00AE7F28">
        <w:t>based criminal offences, the fault element of criminal negligence causing death is assessed by measuring the degree to which the accused</w:t>
      </w:r>
      <w:r w:rsidR="005B1F41" w:rsidRPr="00AE7F28">
        <w:t>’</w:t>
      </w:r>
      <w:r w:rsidRPr="00AE7F28">
        <w:t>s conduct departed from that of a reasonable person in the circumstances. For some negligence</w:t>
      </w:r>
      <w:r w:rsidR="005B1F41" w:rsidRPr="00AE7F28">
        <w:noBreakHyphen/>
      </w:r>
      <w:r w:rsidRPr="00AE7F28">
        <w:t>based offences, such as dangerous driving, a “marked” departure satisfies the fault element. In the context of criminal negligence causing death, however, the requisite degree of departure is as an elevated one — marked and substantial.</w:t>
      </w:r>
    </w:p>
    <w:p w:rsidR="00CA2C89" w:rsidRPr="00AE7F28" w:rsidRDefault="00CA2C89" w:rsidP="005B1F41">
      <w:pPr>
        <w:pStyle w:val="SCCNormalDoubleSpacing"/>
        <w:spacing w:after="480"/>
      </w:pPr>
      <w:r w:rsidRPr="00AE7F28">
        <w:tab/>
        <w:t xml:space="preserve">The </w:t>
      </w:r>
      <w:r w:rsidRPr="00AE7F28">
        <w:rPr>
          <w:i/>
        </w:rPr>
        <w:t>actus reus</w:t>
      </w:r>
      <w:r w:rsidRPr="00AE7F28">
        <w:t xml:space="preserve"> of unl</w:t>
      </w:r>
      <w:r w:rsidR="005B1F41" w:rsidRPr="00AE7F28">
        <w:t>awful act manslaughter under s. </w:t>
      </w:r>
      <w:r w:rsidRPr="00AE7F28">
        <w:t xml:space="preserve">222(5)(a) of the </w:t>
      </w:r>
      <w:r w:rsidRPr="00AE7F28">
        <w:rPr>
          <w:i/>
        </w:rPr>
        <w:t>Criminal Code</w:t>
      </w:r>
      <w:r w:rsidRPr="00AE7F28">
        <w:t xml:space="preserve"> requires the Crown to prove that the accused committed an unlawful act and that the unlawful act caused death. The underlying unlawful act is described as the “predicate” offence. Where the predicate offence is one of strict liability, the fault element for that offence must be read as a marked departure from the standard expected of a reasonable person in the circumstances. The Crown is not required to prove that the predicate offence was objectively dangerous. An objective dangerousness </w:t>
      </w:r>
      <w:r w:rsidRPr="00AE7F28">
        <w:lastRenderedPageBreak/>
        <w:t xml:space="preserve">requirement adds nothing to the analysis that is not captured within the fault element of unlawful act manslaughter. An unlawful act, accompanied by objective foreseeability of the risk of bodily harm that is neither trivial nor transitory, is an objectively dangerous act. As a result, the </w:t>
      </w:r>
      <w:r w:rsidRPr="00AE7F28">
        <w:rPr>
          <w:i/>
        </w:rPr>
        <w:t xml:space="preserve">actus reus </w:t>
      </w:r>
      <w:r w:rsidRPr="00AE7F28">
        <w:t>of unlawful act manslaughter is satisfied by proof beyond a reasonable doubt that the accused committed an unlawful act that caused death. There is no independent requirement of objective dangerousness.</w:t>
      </w:r>
    </w:p>
    <w:p w:rsidR="00CA2C89" w:rsidRPr="00AE7F28" w:rsidRDefault="00CA2C89" w:rsidP="005B1F41">
      <w:pPr>
        <w:pStyle w:val="SCCNormalDoubleSpacing"/>
        <w:spacing w:after="480"/>
      </w:pPr>
      <w:r w:rsidRPr="00AE7F28">
        <w:tab/>
        <w:t>The fault element of both</w:t>
      </w:r>
      <w:r w:rsidRPr="00E045AF">
        <w:t xml:space="preserve"> </w:t>
      </w:r>
      <w:r w:rsidRPr="00AE7F28">
        <w:t>offences require</w:t>
      </w:r>
      <w:r w:rsidR="00EE24D4">
        <w:t>s</w:t>
      </w:r>
      <w:r w:rsidRPr="00AE7F28">
        <w:t xml:space="preserve"> that an accused</w:t>
      </w:r>
      <w:r w:rsidR="005B1F41" w:rsidRPr="00AE7F28">
        <w:t>’</w:t>
      </w:r>
      <w:r w:rsidRPr="00AE7F28">
        <w:t>s conduct be measured against the standard of a reasonable person in their circumstances. An activity</w:t>
      </w:r>
      <w:r w:rsidR="005B1F41" w:rsidRPr="00AE7F28">
        <w:noBreakHyphen/>
      </w:r>
      <w:r w:rsidRPr="00AE7F28">
        <w:t>sensitive approach to the modified objective</w:t>
      </w:r>
      <w:r w:rsidRPr="00AE7F28">
        <w:rPr>
          <w:b/>
        </w:rPr>
        <w:t xml:space="preserve"> </w:t>
      </w:r>
      <w:r w:rsidRPr="00AE7F28">
        <w:t>standard should be applied. While the standard is not determined by the accused</w:t>
      </w:r>
      <w:r w:rsidR="005B1F41" w:rsidRPr="00AE7F28">
        <w:t>’</w:t>
      </w:r>
      <w:r w:rsidRPr="00AE7F28">
        <w:t>s personal characteristics, it is informed by the activity. Evidence of training and experience may be used to rebut an allegation of being unqualified to engage in an activity or to show how a reasonable person in the circumstances of the accused would have performed the activity.</w:t>
      </w:r>
    </w:p>
    <w:p w:rsidR="00CA2C89" w:rsidRPr="00AE7F28" w:rsidRDefault="00CA2C89" w:rsidP="005B1F41">
      <w:pPr>
        <w:pStyle w:val="SCCNormalDoubleSpacing"/>
        <w:spacing w:after="480"/>
      </w:pPr>
      <w:r w:rsidRPr="00AE7F28">
        <w:tab/>
        <w:t>In measuring the accused</w:t>
      </w:r>
      <w:r w:rsidR="005B1F41" w:rsidRPr="00AE7F28">
        <w:t>’</w:t>
      </w:r>
      <w:r w:rsidRPr="00AE7F28">
        <w:t>s conduct against this standard in the instant case, the trial judge was obliged to consider the accused</w:t>
      </w:r>
      <w:r w:rsidR="005B1F41" w:rsidRPr="00AE7F28">
        <w:t>’</w:t>
      </w:r>
      <w:r w:rsidRPr="00AE7F28">
        <w:t>s prior training, experience and qualifications as a naturopath. The trial judge found that the accused was properly qualified to administer intravenous injections and took the necessary precautions at every stage of administering the intravenous injection, including observing sufficient protocols to prevent sepsis. All of the trial judge</w:t>
      </w:r>
      <w:r w:rsidR="005B1F41" w:rsidRPr="00AE7F28">
        <w:t>’</w:t>
      </w:r>
      <w:r w:rsidRPr="00AE7F28">
        <w:t xml:space="preserve">s factual findings, which were based on the evidence, amply support the conclusion that an intravenous injection, performed </w:t>
      </w:r>
      <w:r w:rsidRPr="00AE7F28">
        <w:lastRenderedPageBreak/>
        <w:t>properly by a naturopath qualified to administer such injections, did not pose an objectively foreseeable risk of bodily harm in the circumstances.</w:t>
      </w:r>
    </w:p>
    <w:p w:rsidR="00AD105F" w:rsidRPr="00AE7F28" w:rsidRDefault="00AD105F" w:rsidP="005B1F41">
      <w:pPr>
        <w:pStyle w:val="SCCNormalDoubleSpacing"/>
        <w:spacing w:after="480"/>
      </w:pPr>
      <w:r w:rsidRPr="00AE7F28">
        <w:rPr>
          <w:i/>
        </w:rPr>
        <w:tab/>
        <w:t xml:space="preserve">Per </w:t>
      </w:r>
      <w:r w:rsidRPr="00372FDE">
        <w:t>Wagner</w:t>
      </w:r>
      <w:r w:rsidRPr="00AE7F28">
        <w:t> C.J. and Rowe J. (dissenting): The appeal should be allowed in part: the conviction for unlawful act manslaughter should be set aside and a new trial ordered on this charge. Entering a conviction on an appeal from an acquittal is an exceptional measure, and the error of law at issue here is also a rare occurrence. A conviction for manslaughter was not so inevitable as to justify the measure ordered by the Court of Appeal.</w:t>
      </w:r>
    </w:p>
    <w:p w:rsidR="00AD105F" w:rsidRPr="00AE7F28" w:rsidRDefault="00AD105F" w:rsidP="005B1F41">
      <w:pPr>
        <w:pStyle w:val="SCCNormalDoubleSpacing"/>
        <w:spacing w:after="480"/>
      </w:pPr>
      <w:r w:rsidRPr="00AE7F28">
        <w:tab/>
        <w:t xml:space="preserve">The offence of unlawful act manslaughter requires proof of an underlying unlawful act. The </w:t>
      </w:r>
      <w:r w:rsidRPr="00AE7F28">
        <w:rPr>
          <w:i/>
        </w:rPr>
        <w:t xml:space="preserve">actus reus </w:t>
      </w:r>
      <w:r w:rsidRPr="00AE7F28">
        <w:t xml:space="preserve">of the offence has three elements: (1) an underlying unlawful act; (2) the objective dangerousness of that act; and (3) a causal connection between the act and the death. Unlawful act manslaughter also has two cumulative fault elements: the </w:t>
      </w:r>
      <w:r w:rsidRPr="00AE7F28">
        <w:rPr>
          <w:i/>
        </w:rPr>
        <w:t>mens rea</w:t>
      </w:r>
      <w:r w:rsidRPr="00AE7F28">
        <w:t xml:space="preserve"> of the underlying act and the </w:t>
      </w:r>
      <w:r w:rsidRPr="00AE7F28">
        <w:rPr>
          <w:i/>
        </w:rPr>
        <w:t>mens rea</w:t>
      </w:r>
      <w:r w:rsidRPr="00AE7F28">
        <w:t xml:space="preserve"> specific to manslaughter.</w:t>
      </w:r>
    </w:p>
    <w:p w:rsidR="00AD105F" w:rsidRPr="00AE7F28" w:rsidRDefault="00AD105F" w:rsidP="005B1F41">
      <w:pPr>
        <w:pStyle w:val="SCCNormalDoubleSpacing"/>
        <w:spacing w:after="480"/>
      </w:pPr>
      <w:r w:rsidRPr="00AE7F28">
        <w:tab/>
        <w:t xml:space="preserve">The second element of the </w:t>
      </w:r>
      <w:r w:rsidRPr="00AE7F28">
        <w:rPr>
          <w:i/>
        </w:rPr>
        <w:t>actus reus</w:t>
      </w:r>
      <w:r w:rsidRPr="00AE7F28">
        <w:t>, the objective dangerousness of the unlawful act, is assessed without reference to the accused</w:t>
      </w:r>
      <w:r w:rsidR="005B1F41" w:rsidRPr="00AE7F28">
        <w:t>’</w:t>
      </w:r>
      <w:r w:rsidRPr="00AE7F28">
        <w:t>s personal characteristics. It</w:t>
      </w:r>
      <w:r w:rsidRPr="00AE7F28">
        <w:rPr>
          <w:i/>
        </w:rPr>
        <w:t xml:space="preserve"> </w:t>
      </w:r>
      <w:r w:rsidRPr="00AE7F28">
        <w:t xml:space="preserve">will be proved if the court is satisfied that the accused did something that a reasonable person would have known was likely to subject another person to a risk of bodily harm. In considering the </w:t>
      </w:r>
      <w:r w:rsidRPr="00AE7F28">
        <w:rPr>
          <w:i/>
        </w:rPr>
        <w:t>actus reus</w:t>
      </w:r>
      <w:r w:rsidRPr="00AE7F28">
        <w:t>, the court is not to assess the extent to which the accused</w:t>
      </w:r>
      <w:r w:rsidR="005B1F41" w:rsidRPr="00AE7F28">
        <w:t>’</w:t>
      </w:r>
      <w:r w:rsidRPr="00AE7F28">
        <w:t>s conduct departed from this standard of care or the accused</w:t>
      </w:r>
      <w:r w:rsidR="005B1F41" w:rsidRPr="00AE7F28">
        <w:t>’</w:t>
      </w:r>
      <w:r w:rsidRPr="00AE7F28">
        <w:t xml:space="preserve">s state of mind. This evidentiary threshold reflects the fact that, at this stage of the analysis, the court is </w:t>
      </w:r>
      <w:r w:rsidRPr="00AE7F28">
        <w:lastRenderedPageBreak/>
        <w:t>considering whether the accused committed the physical element of the offence, not whether the accused had the state of mind required for a conviction.</w:t>
      </w:r>
    </w:p>
    <w:p w:rsidR="00AD105F" w:rsidRPr="00AE7F28" w:rsidRDefault="00AD105F" w:rsidP="005B1F41">
      <w:pPr>
        <w:pStyle w:val="SCCNormalDoubleSpacing"/>
        <w:spacing w:after="480"/>
      </w:pPr>
      <w:r w:rsidRPr="00AE7F28">
        <w:rPr>
          <w:szCs w:val="24"/>
        </w:rPr>
        <w:tab/>
        <w:t>Injecting a substance across physiological barriers is an inherently dangerous activity. The accused</w:t>
      </w:r>
      <w:r w:rsidR="005B1F41" w:rsidRPr="00AE7F28">
        <w:rPr>
          <w:szCs w:val="24"/>
        </w:rPr>
        <w:t>’</w:t>
      </w:r>
      <w:r w:rsidRPr="00AE7F28">
        <w:rPr>
          <w:szCs w:val="24"/>
        </w:rPr>
        <w:t xml:space="preserve">s </w:t>
      </w:r>
      <w:r w:rsidRPr="00AE7F28">
        <w:t>experience does not alter this. The dangerousness of the act would have been established even if it had been performed by a health professional who was authorized to do so. By refusing to find that the unlawful injection was objectively dangerous, the trial court failed to arrive at the legal conclusion that was necessary in light of the facts as found. This was an error of law</w:t>
      </w:r>
      <w:r w:rsidRPr="00AE7F28">
        <w:rPr>
          <w:szCs w:val="24"/>
        </w:rPr>
        <w:t xml:space="preserve"> whose impact is such that it requires a new trial</w:t>
      </w:r>
      <w:r w:rsidRPr="00AE7F28">
        <w:t>.</w:t>
      </w:r>
    </w:p>
    <w:p w:rsidR="007E1C47" w:rsidRPr="00AE7F28" w:rsidRDefault="002E6705" w:rsidP="000514DD">
      <w:pPr>
        <w:pStyle w:val="SCCNormalDoubleSpacing"/>
        <w:spacing w:after="720" w:line="240" w:lineRule="auto"/>
        <w:rPr>
          <w:b/>
        </w:rPr>
      </w:pPr>
      <w:r w:rsidRPr="00AE7F28">
        <w:rPr>
          <w:b/>
        </w:rPr>
        <w:t>Cases Cited</w:t>
      </w:r>
    </w:p>
    <w:p w:rsidR="00A149DF" w:rsidRPr="00AE7F28" w:rsidRDefault="005B1F41" w:rsidP="000514DD">
      <w:pPr>
        <w:pStyle w:val="SCCNormalDoubleSpacing"/>
        <w:spacing w:after="720" w:line="240" w:lineRule="auto"/>
      </w:pPr>
      <w:r w:rsidRPr="00AE7F28">
        <w:t>By Abella </w:t>
      </w:r>
      <w:r w:rsidR="00084435" w:rsidRPr="00AE7F28">
        <w:t>J.</w:t>
      </w:r>
    </w:p>
    <w:p w:rsidR="002F0AA5" w:rsidRPr="00AE7F28" w:rsidRDefault="002E6705" w:rsidP="005B1F41">
      <w:pPr>
        <w:pStyle w:val="SCCNormalDoubleSpacing"/>
        <w:spacing w:after="480"/>
        <w:rPr>
          <w:szCs w:val="24"/>
        </w:rPr>
      </w:pPr>
      <w:r w:rsidRPr="00AE7F28">
        <w:tab/>
      </w:r>
      <w:r w:rsidR="00EC3347" w:rsidRPr="00AE7F28">
        <w:rPr>
          <w:b/>
        </w:rPr>
        <w:t>Considered:</w:t>
      </w:r>
      <w:r w:rsidR="005B1F41" w:rsidRPr="00AE7F28">
        <w:rPr>
          <w:b/>
        </w:rPr>
        <w:t xml:space="preserve"> </w:t>
      </w:r>
      <w:r w:rsidR="00EC3347" w:rsidRPr="00AE7F28">
        <w:rPr>
          <w:i/>
        </w:rPr>
        <w:t>R. v. Creighton</w:t>
      </w:r>
      <w:r w:rsidR="00EC3347" w:rsidRPr="00AE7F28">
        <w:t xml:space="preserve">, [1993] 3 S.C.R. 3; </w:t>
      </w:r>
      <w:r w:rsidR="00725E8C">
        <w:rPr>
          <w:b/>
        </w:rPr>
        <w:t>r</w:t>
      </w:r>
      <w:r w:rsidRPr="00AE7F28">
        <w:rPr>
          <w:b/>
        </w:rPr>
        <w:t>eferred to:</w:t>
      </w:r>
      <w:r w:rsidR="006D3AE7" w:rsidRPr="00AE7F28">
        <w:rPr>
          <w:b/>
        </w:rPr>
        <w:t xml:space="preserve"> </w:t>
      </w:r>
      <w:r w:rsidR="006D3AE7" w:rsidRPr="00AE7F28">
        <w:rPr>
          <w:i/>
        </w:rPr>
        <w:t>R. v. J.F.</w:t>
      </w:r>
      <w:r w:rsidR="006D3AE7" w:rsidRPr="00AE7F28">
        <w:t xml:space="preserve">, 2008 SCC 60, [2008] 3 S.C.R. 215; </w:t>
      </w:r>
      <w:r w:rsidR="00D25B92" w:rsidRPr="00AE7F28">
        <w:rPr>
          <w:i/>
        </w:rPr>
        <w:t>R. v. Tutton</w:t>
      </w:r>
      <w:r w:rsidR="00D25B92" w:rsidRPr="00AE7F28">
        <w:t xml:space="preserve">, [1989] 1 S.C.R. 1392; </w:t>
      </w:r>
      <w:r w:rsidR="00AF368E" w:rsidRPr="00AE7F28">
        <w:rPr>
          <w:i/>
        </w:rPr>
        <w:t>R. v. Morrisey</w:t>
      </w:r>
      <w:r w:rsidR="00AF368E" w:rsidRPr="00AE7F28">
        <w:t xml:space="preserve">, 2000 SCC 39, [2000] 2 S.C.R. 90; </w:t>
      </w:r>
      <w:r w:rsidR="00084435" w:rsidRPr="00AE7F28">
        <w:rPr>
          <w:i/>
        </w:rPr>
        <w:t>R. v. Beatty</w:t>
      </w:r>
      <w:r w:rsidR="00084435" w:rsidRPr="00AE7F28">
        <w:t>, 2008 SCC 5, [2008] 1 S.C.R. 49</w:t>
      </w:r>
      <w:r w:rsidR="00DB1505" w:rsidRPr="00AE7F28">
        <w:t>;</w:t>
      </w:r>
      <w:r w:rsidR="00FF4C9C" w:rsidRPr="00AE7F28">
        <w:t xml:space="preserve"> </w:t>
      </w:r>
      <w:r w:rsidR="00FF4C9C" w:rsidRPr="00AE7F28">
        <w:rPr>
          <w:i/>
        </w:rPr>
        <w:t>R. v. Roy</w:t>
      </w:r>
      <w:r w:rsidR="00FF4C9C" w:rsidRPr="00AE7F28">
        <w:t>, 2012 SCC 26, [2012] 2 S.C.R. 60;</w:t>
      </w:r>
      <w:r w:rsidR="00DB1505" w:rsidRPr="00AE7F28">
        <w:t xml:space="preserve"> </w:t>
      </w:r>
      <w:r w:rsidR="007654CC">
        <w:rPr>
          <w:i/>
          <w:iCs/>
          <w:szCs w:val="24"/>
        </w:rPr>
        <w:t>R. v. L. (J.)</w:t>
      </w:r>
      <w:r w:rsidR="007654CC">
        <w:rPr>
          <w:iCs/>
          <w:szCs w:val="24"/>
        </w:rPr>
        <w:t xml:space="preserve"> </w:t>
      </w:r>
      <w:r w:rsidR="002F0AA5" w:rsidRPr="00AE7F28">
        <w:rPr>
          <w:szCs w:val="24"/>
        </w:rPr>
        <w:t xml:space="preserve">(2006), 204 C.C.C. (3d) 324; </w:t>
      </w:r>
      <w:r w:rsidR="002F0AA5" w:rsidRPr="00AE7F28">
        <w:rPr>
          <w:i/>
          <w:szCs w:val="24"/>
        </w:rPr>
        <w:t>R. v. Al</w:t>
      </w:r>
      <w:r w:rsidR="005B1F41" w:rsidRPr="00AE7F28">
        <w:rPr>
          <w:i/>
          <w:szCs w:val="24"/>
        </w:rPr>
        <w:noBreakHyphen/>
      </w:r>
      <w:r w:rsidR="002F0AA5" w:rsidRPr="00AE7F28">
        <w:rPr>
          <w:i/>
          <w:szCs w:val="24"/>
        </w:rPr>
        <w:t>Kassem</w:t>
      </w:r>
      <w:r w:rsidR="002F0AA5" w:rsidRPr="00AE7F28">
        <w:rPr>
          <w:szCs w:val="24"/>
        </w:rPr>
        <w:t xml:space="preserve">, 2015 ONCA 320, 78 M.V.R. (6th) 183; </w:t>
      </w:r>
      <w:r w:rsidR="00DB1505" w:rsidRPr="00AE7F28">
        <w:rPr>
          <w:i/>
        </w:rPr>
        <w:t>R. v. Sharp</w:t>
      </w:r>
      <w:r w:rsidR="007654CC">
        <w:t xml:space="preserve"> </w:t>
      </w:r>
      <w:r w:rsidR="00DB1505" w:rsidRPr="00AE7F28">
        <w:t xml:space="preserve">(1984), 12 C.C.C. (3d) 428; </w:t>
      </w:r>
      <w:r w:rsidR="00DB1505" w:rsidRPr="00AE7F28">
        <w:rPr>
          <w:i/>
        </w:rPr>
        <w:t>R. v. Fontaine</w:t>
      </w:r>
      <w:r w:rsidR="00DB1505" w:rsidRPr="00AE7F28">
        <w:t xml:space="preserve">, 2017 QCCA 1730, 41 C.R. (7th) 330; </w:t>
      </w:r>
      <w:r w:rsidR="00DB1505" w:rsidRPr="00AE7F28">
        <w:rPr>
          <w:i/>
        </w:rPr>
        <w:t>R. v. Blostein</w:t>
      </w:r>
      <w:r w:rsidR="00DB1505" w:rsidRPr="00AE7F28">
        <w:t>, 2014 MBCA 39,</w:t>
      </w:r>
      <w:r w:rsidR="00967A76" w:rsidRPr="00AE7F28">
        <w:t xml:space="preserve"> 306 Man. R. (2d) 15; </w:t>
      </w:r>
      <w:r w:rsidR="00774976" w:rsidRPr="00AE7F28">
        <w:rPr>
          <w:i/>
        </w:rPr>
        <w:t>R. v. DeSousa</w:t>
      </w:r>
      <w:r w:rsidR="00774976" w:rsidRPr="00AE7F28">
        <w:t xml:space="preserve">, [1992] 2 S.C.R. 944; </w:t>
      </w:r>
      <w:r w:rsidR="00522DED" w:rsidRPr="00AE7F28">
        <w:rPr>
          <w:i/>
        </w:rPr>
        <w:t>R. v. Plein</w:t>
      </w:r>
      <w:r w:rsidR="00522DED" w:rsidRPr="00AE7F28">
        <w:t xml:space="preserve">, 2018 ONCA 748, 50 C.R. (7th) 41; </w:t>
      </w:r>
      <w:r w:rsidR="00EF122E" w:rsidRPr="00AE7F28">
        <w:rPr>
          <w:i/>
        </w:rPr>
        <w:t>R. v. Kahnapace</w:t>
      </w:r>
      <w:r w:rsidR="00EF122E" w:rsidRPr="00AE7F28">
        <w:t xml:space="preserve">, 2010 BCCA 227, 76 C.R. (6th) 38; </w:t>
      </w:r>
      <w:r w:rsidR="00CD4301" w:rsidRPr="00AE7F28">
        <w:rPr>
          <w:i/>
        </w:rPr>
        <w:t>R. v. L.M.</w:t>
      </w:r>
      <w:r w:rsidR="00CD4301" w:rsidRPr="00AE7F28">
        <w:t xml:space="preserve">, 2018 NWTTC 6; </w:t>
      </w:r>
      <w:r w:rsidR="00BF31E9" w:rsidRPr="00AE7F28">
        <w:rPr>
          <w:i/>
        </w:rPr>
        <w:t>R. v. P.S.</w:t>
      </w:r>
      <w:r w:rsidR="00BF31E9" w:rsidRPr="00AE7F28">
        <w:t>, 2018 ONCJ 274;</w:t>
      </w:r>
      <w:r w:rsidR="00EF71BB" w:rsidRPr="00AE7F28">
        <w:rPr>
          <w:i/>
        </w:rPr>
        <w:t xml:space="preserve"> R. v. Curragh Inc.</w:t>
      </w:r>
      <w:r w:rsidR="00EF71BB" w:rsidRPr="00AE7F28">
        <w:t xml:space="preserve"> (1993), 125 N.S.R. </w:t>
      </w:r>
      <w:r w:rsidR="00EF71BB" w:rsidRPr="00AE7F28">
        <w:lastRenderedPageBreak/>
        <w:t>(2d) 185;</w:t>
      </w:r>
      <w:r w:rsidR="00BF31E9" w:rsidRPr="00AE7F28">
        <w:t xml:space="preserve"> </w:t>
      </w:r>
      <w:r w:rsidR="007417DA" w:rsidRPr="00AE7F28">
        <w:rPr>
          <w:i/>
        </w:rPr>
        <w:t>R. v. Fournier</w:t>
      </w:r>
      <w:r w:rsidR="007417DA" w:rsidRPr="00AE7F28">
        <w:t xml:space="preserve">, 2016 QCCS 5456; </w:t>
      </w:r>
      <w:r w:rsidR="00D41B02" w:rsidRPr="00AE7F28">
        <w:rPr>
          <w:i/>
        </w:rPr>
        <w:t>R. v. Gendreau</w:t>
      </w:r>
      <w:r w:rsidR="00D41B02" w:rsidRPr="00AE7F28">
        <w:t xml:space="preserve">, 2015 QCCA 1910; </w:t>
      </w:r>
      <w:r w:rsidR="008F067A" w:rsidRPr="00AE7F28">
        <w:rPr>
          <w:i/>
          <w:szCs w:val="24"/>
        </w:rPr>
        <w:t>R. v. George</w:t>
      </w:r>
      <w:r w:rsidR="008F067A" w:rsidRPr="00AE7F28">
        <w:rPr>
          <w:szCs w:val="24"/>
        </w:rPr>
        <w:t>, 2017 SCC 38, [2017] 1 S.C.R. 1021</w:t>
      </w:r>
      <w:r w:rsidR="00C23396" w:rsidRPr="00AE7F28">
        <w:rPr>
          <w:szCs w:val="24"/>
        </w:rPr>
        <w:t>.</w:t>
      </w:r>
    </w:p>
    <w:p w:rsidR="002F0AA5" w:rsidRPr="00AE7F28" w:rsidRDefault="005B1F41" w:rsidP="000514DD">
      <w:pPr>
        <w:pStyle w:val="SCCNormalDoubleSpacing"/>
        <w:spacing w:after="720" w:line="240" w:lineRule="auto"/>
        <w:rPr>
          <w:szCs w:val="24"/>
        </w:rPr>
      </w:pPr>
      <w:r w:rsidRPr="00AE7F28">
        <w:rPr>
          <w:szCs w:val="24"/>
        </w:rPr>
        <w:t>By Wagner </w:t>
      </w:r>
      <w:r w:rsidR="002F0AA5" w:rsidRPr="00AE7F28">
        <w:rPr>
          <w:szCs w:val="24"/>
        </w:rPr>
        <w:t>C.J.</w:t>
      </w:r>
      <w:r w:rsidR="00954ED4" w:rsidRPr="00AE7F28">
        <w:rPr>
          <w:szCs w:val="24"/>
        </w:rPr>
        <w:t xml:space="preserve"> (dissenting)</w:t>
      </w:r>
    </w:p>
    <w:p w:rsidR="00A0091B" w:rsidRPr="00AE7F28" w:rsidRDefault="002F0AA5" w:rsidP="005B1F41">
      <w:pPr>
        <w:pStyle w:val="SCCNormalDoubleSpacing"/>
        <w:spacing w:after="480"/>
        <w:rPr>
          <w:szCs w:val="24"/>
        </w:rPr>
      </w:pPr>
      <w:r w:rsidRPr="00AE7F28">
        <w:tab/>
      </w:r>
      <w:r w:rsidR="00BD6B31" w:rsidRPr="00AE7F28">
        <w:rPr>
          <w:i/>
          <w:szCs w:val="24"/>
        </w:rPr>
        <w:t>R. v. J.M.H</w:t>
      </w:r>
      <w:r w:rsidR="00631A56">
        <w:rPr>
          <w:i/>
          <w:szCs w:val="24"/>
        </w:rPr>
        <w:t>.</w:t>
      </w:r>
      <w:r w:rsidR="00BD6B31" w:rsidRPr="00AE7F28">
        <w:rPr>
          <w:szCs w:val="24"/>
        </w:rPr>
        <w:t xml:space="preserve">, 2011 SCC 45, [2011] 3 S.C.R. 197; </w:t>
      </w:r>
      <w:r w:rsidR="00BD6B31" w:rsidRPr="00AE7F28">
        <w:rPr>
          <w:i/>
          <w:szCs w:val="24"/>
        </w:rPr>
        <w:t>Vézeau v. The Queen</w:t>
      </w:r>
      <w:r w:rsidR="00BD6B31" w:rsidRPr="00AE7F28">
        <w:rPr>
          <w:szCs w:val="24"/>
        </w:rPr>
        <w:t>, [19</w:t>
      </w:r>
      <w:r w:rsidR="00631A56">
        <w:rPr>
          <w:szCs w:val="24"/>
        </w:rPr>
        <w:t>7</w:t>
      </w:r>
      <w:r w:rsidR="00BD6B31" w:rsidRPr="00AE7F28">
        <w:rPr>
          <w:szCs w:val="24"/>
        </w:rPr>
        <w:t xml:space="preserve">7] 2 S.C.R. 277; </w:t>
      </w:r>
      <w:r w:rsidR="00BD6B31" w:rsidRPr="00AE7F28">
        <w:rPr>
          <w:i/>
          <w:szCs w:val="24"/>
        </w:rPr>
        <w:t xml:space="preserve">R. </w:t>
      </w:r>
      <w:r w:rsidR="006333CE" w:rsidRPr="00AE7F28">
        <w:rPr>
          <w:i/>
          <w:szCs w:val="24"/>
        </w:rPr>
        <w:t>v</w:t>
      </w:r>
      <w:r w:rsidR="00BD6B31" w:rsidRPr="00AE7F28">
        <w:rPr>
          <w:i/>
          <w:szCs w:val="24"/>
        </w:rPr>
        <w:t>. Morin</w:t>
      </w:r>
      <w:r w:rsidR="00BD6B31" w:rsidRPr="00AE7F28">
        <w:rPr>
          <w:szCs w:val="24"/>
        </w:rPr>
        <w:t xml:space="preserve">, [1988] 2 </w:t>
      </w:r>
      <w:r w:rsidR="006333CE" w:rsidRPr="00AE7F28">
        <w:rPr>
          <w:szCs w:val="24"/>
        </w:rPr>
        <w:t>S.C.R.</w:t>
      </w:r>
      <w:r w:rsidR="00BD6B31" w:rsidRPr="00AE7F28">
        <w:rPr>
          <w:szCs w:val="24"/>
        </w:rPr>
        <w:t xml:space="preserve"> 345; </w:t>
      </w:r>
      <w:r w:rsidR="006333CE" w:rsidRPr="00AE7F28">
        <w:rPr>
          <w:i/>
          <w:szCs w:val="24"/>
        </w:rPr>
        <w:t>R. v</w:t>
      </w:r>
      <w:r w:rsidR="00BD6B31" w:rsidRPr="00AE7F28">
        <w:rPr>
          <w:i/>
          <w:szCs w:val="24"/>
        </w:rPr>
        <w:t>. Graveline</w:t>
      </w:r>
      <w:r w:rsidR="00BD6B31" w:rsidRPr="00AE7F28">
        <w:rPr>
          <w:szCs w:val="24"/>
        </w:rPr>
        <w:t xml:space="preserve">, 2006 </w:t>
      </w:r>
      <w:r w:rsidR="006333CE" w:rsidRPr="00AE7F28">
        <w:rPr>
          <w:szCs w:val="24"/>
        </w:rPr>
        <w:t>SCC</w:t>
      </w:r>
      <w:r w:rsidR="00BD6B31" w:rsidRPr="00AE7F28">
        <w:rPr>
          <w:szCs w:val="24"/>
        </w:rPr>
        <w:t xml:space="preserve"> 16, [2006] 1 </w:t>
      </w:r>
      <w:r w:rsidR="006333CE" w:rsidRPr="00AE7F28">
        <w:rPr>
          <w:szCs w:val="24"/>
        </w:rPr>
        <w:t>S.C.R.</w:t>
      </w:r>
      <w:r w:rsidR="00BD6B31" w:rsidRPr="00AE7F28">
        <w:rPr>
          <w:szCs w:val="24"/>
        </w:rPr>
        <w:t xml:space="preserve"> 609; </w:t>
      </w:r>
      <w:r w:rsidR="00BD6B31" w:rsidRPr="00AE7F28">
        <w:rPr>
          <w:i/>
          <w:szCs w:val="24"/>
        </w:rPr>
        <w:t xml:space="preserve">R. </w:t>
      </w:r>
      <w:r w:rsidR="006333CE" w:rsidRPr="00AE7F28">
        <w:rPr>
          <w:i/>
          <w:szCs w:val="24"/>
        </w:rPr>
        <w:t>v</w:t>
      </w:r>
      <w:r w:rsidR="00BD6B31" w:rsidRPr="00AE7F28">
        <w:rPr>
          <w:i/>
          <w:szCs w:val="24"/>
        </w:rPr>
        <w:t>. George</w:t>
      </w:r>
      <w:r w:rsidR="00BD6B31" w:rsidRPr="00AE7F28">
        <w:rPr>
          <w:szCs w:val="24"/>
        </w:rPr>
        <w:t xml:space="preserve">, 2017 </w:t>
      </w:r>
      <w:r w:rsidR="006333CE" w:rsidRPr="00AE7F28">
        <w:rPr>
          <w:szCs w:val="24"/>
        </w:rPr>
        <w:t>SCC</w:t>
      </w:r>
      <w:r w:rsidR="00BD6B31" w:rsidRPr="00AE7F28">
        <w:rPr>
          <w:szCs w:val="24"/>
        </w:rPr>
        <w:t xml:space="preserve"> 38, [2017] 1 </w:t>
      </w:r>
      <w:r w:rsidR="006333CE" w:rsidRPr="00AE7F28">
        <w:rPr>
          <w:szCs w:val="24"/>
        </w:rPr>
        <w:t>S.C.R.</w:t>
      </w:r>
      <w:r w:rsidR="00BD6B31" w:rsidRPr="00AE7F28">
        <w:rPr>
          <w:szCs w:val="24"/>
        </w:rPr>
        <w:t xml:space="preserve"> 1021; </w:t>
      </w:r>
      <w:r w:rsidR="006333CE" w:rsidRPr="00AE7F28">
        <w:rPr>
          <w:i/>
          <w:szCs w:val="24"/>
        </w:rPr>
        <w:t>R. v</w:t>
      </w:r>
      <w:r w:rsidR="00BD6B31" w:rsidRPr="00AE7F28">
        <w:rPr>
          <w:i/>
          <w:szCs w:val="24"/>
        </w:rPr>
        <w:t>. DeSousa</w:t>
      </w:r>
      <w:r w:rsidR="00BD6B31" w:rsidRPr="00AE7F28">
        <w:rPr>
          <w:szCs w:val="24"/>
        </w:rPr>
        <w:t xml:space="preserve">, [1992] 2 </w:t>
      </w:r>
      <w:r w:rsidR="006333CE" w:rsidRPr="00AE7F28">
        <w:rPr>
          <w:szCs w:val="24"/>
        </w:rPr>
        <w:t>S.C.R.</w:t>
      </w:r>
      <w:r w:rsidR="00BD6B31" w:rsidRPr="00AE7F28">
        <w:rPr>
          <w:szCs w:val="24"/>
        </w:rPr>
        <w:t xml:space="preserve"> 944; </w:t>
      </w:r>
      <w:r w:rsidR="00BD6B31" w:rsidRPr="00AE7F28">
        <w:rPr>
          <w:i/>
          <w:szCs w:val="24"/>
        </w:rPr>
        <w:t>R.</w:t>
      </w:r>
      <w:r w:rsidR="006333CE" w:rsidRPr="00AE7F28">
        <w:rPr>
          <w:i/>
          <w:szCs w:val="24"/>
        </w:rPr>
        <w:t xml:space="preserve"> v</w:t>
      </w:r>
      <w:r w:rsidR="00BD6B31" w:rsidRPr="00AE7F28">
        <w:rPr>
          <w:i/>
          <w:szCs w:val="24"/>
        </w:rPr>
        <w:t>. Creighton</w:t>
      </w:r>
      <w:r w:rsidR="00BD6B31" w:rsidRPr="00AE7F28">
        <w:rPr>
          <w:szCs w:val="24"/>
        </w:rPr>
        <w:t xml:space="preserve">, [1993] 3 </w:t>
      </w:r>
      <w:r w:rsidR="006333CE" w:rsidRPr="00AE7F28">
        <w:rPr>
          <w:szCs w:val="24"/>
        </w:rPr>
        <w:t>S.C.R.</w:t>
      </w:r>
      <w:r w:rsidR="00EA695D" w:rsidRPr="00AE7F28">
        <w:rPr>
          <w:szCs w:val="24"/>
        </w:rPr>
        <w:t xml:space="preserve"> 3</w:t>
      </w:r>
      <w:r w:rsidR="00BD6B31" w:rsidRPr="00AE7F28">
        <w:rPr>
          <w:szCs w:val="24"/>
        </w:rPr>
        <w:t xml:space="preserve">; </w:t>
      </w:r>
      <w:r w:rsidR="00BD6B31" w:rsidRPr="00AE7F28">
        <w:rPr>
          <w:i/>
          <w:szCs w:val="24"/>
        </w:rPr>
        <w:t>Au</w:t>
      </w:r>
      <w:r w:rsidR="006333CE" w:rsidRPr="00AE7F28">
        <w:rPr>
          <w:i/>
          <w:szCs w:val="24"/>
        </w:rPr>
        <w:t>torité des marchés financiers v</w:t>
      </w:r>
      <w:r w:rsidR="00BD6B31" w:rsidRPr="00AE7F28">
        <w:rPr>
          <w:i/>
          <w:szCs w:val="24"/>
        </w:rPr>
        <w:t>. Patry</w:t>
      </w:r>
      <w:r w:rsidR="00BD6B31" w:rsidRPr="00AE7F28">
        <w:rPr>
          <w:szCs w:val="24"/>
        </w:rPr>
        <w:t xml:space="preserve">, 2015 QCCA 1933; </w:t>
      </w:r>
      <w:r w:rsidR="00EA695D" w:rsidRPr="00AE7F28">
        <w:rPr>
          <w:i/>
          <w:szCs w:val="24"/>
        </w:rPr>
        <w:t>R. v. Beatty</w:t>
      </w:r>
      <w:r w:rsidR="00EA695D" w:rsidRPr="00AE7F28">
        <w:rPr>
          <w:szCs w:val="24"/>
        </w:rPr>
        <w:t xml:space="preserve">, 2008 SCC 5, [2008] 1 S.C.R. 49; </w:t>
      </w:r>
      <w:r w:rsidR="006333CE" w:rsidRPr="00AE7F28">
        <w:rPr>
          <w:i/>
          <w:szCs w:val="24"/>
        </w:rPr>
        <w:t>Kienapple v</w:t>
      </w:r>
      <w:r w:rsidR="00BD6B31" w:rsidRPr="00AE7F28">
        <w:rPr>
          <w:i/>
          <w:szCs w:val="24"/>
        </w:rPr>
        <w:t xml:space="preserve">. </w:t>
      </w:r>
      <w:r w:rsidR="006333CE" w:rsidRPr="00AE7F28">
        <w:rPr>
          <w:i/>
          <w:szCs w:val="24"/>
        </w:rPr>
        <w:t>The Queen</w:t>
      </w:r>
      <w:r w:rsidR="00BD6B31" w:rsidRPr="00AE7F28">
        <w:rPr>
          <w:szCs w:val="24"/>
        </w:rPr>
        <w:t xml:space="preserve">, [1975] 1 </w:t>
      </w:r>
      <w:r w:rsidR="006333CE" w:rsidRPr="00AE7F28">
        <w:rPr>
          <w:szCs w:val="24"/>
        </w:rPr>
        <w:t>S.C.R.</w:t>
      </w:r>
      <w:r w:rsidR="00BD6B31" w:rsidRPr="00AE7F28">
        <w:rPr>
          <w:szCs w:val="24"/>
        </w:rPr>
        <w:t xml:space="preserve"> 729; </w:t>
      </w:r>
      <w:r w:rsidR="00BD6B31" w:rsidRPr="00AE7F28">
        <w:rPr>
          <w:i/>
          <w:szCs w:val="24"/>
        </w:rPr>
        <w:t xml:space="preserve">R. </w:t>
      </w:r>
      <w:r w:rsidR="006333CE" w:rsidRPr="00AE7F28">
        <w:rPr>
          <w:i/>
          <w:szCs w:val="24"/>
        </w:rPr>
        <w:t>v</w:t>
      </w:r>
      <w:r w:rsidR="00BD6B31" w:rsidRPr="00AE7F28">
        <w:rPr>
          <w:i/>
          <w:szCs w:val="24"/>
        </w:rPr>
        <w:t>. J.F.</w:t>
      </w:r>
      <w:r w:rsidR="00BD6B31" w:rsidRPr="00AE7F28">
        <w:rPr>
          <w:szCs w:val="24"/>
        </w:rPr>
        <w:t xml:space="preserve">, 2008 </w:t>
      </w:r>
      <w:r w:rsidR="006333CE" w:rsidRPr="00AE7F28">
        <w:rPr>
          <w:szCs w:val="24"/>
        </w:rPr>
        <w:t>SCC 60, [2008] 3 S.C.R.</w:t>
      </w:r>
      <w:r w:rsidR="00BD6B31" w:rsidRPr="00AE7F28">
        <w:rPr>
          <w:szCs w:val="24"/>
        </w:rPr>
        <w:t xml:space="preserve"> 215.</w:t>
      </w:r>
    </w:p>
    <w:p w:rsidR="003B215F" w:rsidRPr="00AE7F28" w:rsidRDefault="002E6705" w:rsidP="000514DD">
      <w:pPr>
        <w:pStyle w:val="SCCNormalDoubleSpacing"/>
        <w:spacing w:after="720" w:line="240" w:lineRule="auto"/>
        <w:rPr>
          <w:b/>
        </w:rPr>
      </w:pPr>
      <w:r w:rsidRPr="00AE7F28">
        <w:rPr>
          <w:b/>
        </w:rPr>
        <w:t>Statutes and Regulations Cite</w:t>
      </w:r>
      <w:r w:rsidR="00A41805" w:rsidRPr="00AE7F28">
        <w:rPr>
          <w:b/>
        </w:rPr>
        <w:t>d</w:t>
      </w:r>
    </w:p>
    <w:p w:rsidR="00B7012C" w:rsidRPr="00406D88" w:rsidRDefault="00B7012C" w:rsidP="005B1F41">
      <w:pPr>
        <w:pStyle w:val="SCCNormalDoubleSpacing"/>
        <w:spacing w:after="240" w:line="240" w:lineRule="auto"/>
        <w:rPr>
          <w:lang w:val="en-US"/>
        </w:rPr>
      </w:pPr>
      <w:r w:rsidRPr="00406D88">
        <w:rPr>
          <w:i/>
          <w:lang w:val="en-US"/>
        </w:rPr>
        <w:t>Criminal Code</w:t>
      </w:r>
      <w:r w:rsidRPr="00406D88">
        <w:rPr>
          <w:lang w:val="en-US"/>
        </w:rPr>
        <w:t xml:space="preserve">, </w:t>
      </w:r>
      <w:r w:rsidR="005B1F41" w:rsidRPr="00406D88">
        <w:rPr>
          <w:lang w:val="en-US"/>
        </w:rPr>
        <w:t>R.S.C. 1985, c. </w:t>
      </w:r>
      <w:r w:rsidRPr="00406D88">
        <w:rPr>
          <w:lang w:val="en-US"/>
        </w:rPr>
        <w:t>C</w:t>
      </w:r>
      <w:r w:rsidR="005B1F41" w:rsidRPr="00406D88">
        <w:rPr>
          <w:lang w:val="en-US"/>
        </w:rPr>
        <w:noBreakHyphen/>
      </w:r>
      <w:r w:rsidRPr="00406D88">
        <w:rPr>
          <w:lang w:val="en-US"/>
        </w:rPr>
        <w:t xml:space="preserve">46, </w:t>
      </w:r>
      <w:r w:rsidR="005B1F41" w:rsidRPr="00406D88">
        <w:rPr>
          <w:lang w:val="en-US"/>
        </w:rPr>
        <w:t>ss. </w:t>
      </w:r>
      <w:r w:rsidRPr="00406D88">
        <w:rPr>
          <w:lang w:val="en-US"/>
        </w:rPr>
        <w:t>219, 220</w:t>
      </w:r>
      <w:r w:rsidR="00A22B58" w:rsidRPr="00406D88">
        <w:rPr>
          <w:lang w:val="en-US"/>
        </w:rPr>
        <w:t>, 222</w:t>
      </w:r>
      <w:r w:rsidR="007C0D24" w:rsidRPr="00406D88">
        <w:rPr>
          <w:lang w:val="en-US"/>
        </w:rPr>
        <w:t>(1), (4), (5)</w:t>
      </w:r>
      <w:r w:rsidR="00A22B58" w:rsidRPr="00406D88">
        <w:rPr>
          <w:lang w:val="en-US"/>
        </w:rPr>
        <w:t>, 234, 236</w:t>
      </w:r>
      <w:r w:rsidR="00905AF7" w:rsidRPr="00406D88">
        <w:rPr>
          <w:lang w:val="en-US"/>
        </w:rPr>
        <w:t>(b)</w:t>
      </w:r>
      <w:r w:rsidRPr="00406D88">
        <w:rPr>
          <w:lang w:val="en-US"/>
        </w:rPr>
        <w:t>.</w:t>
      </w:r>
    </w:p>
    <w:p w:rsidR="00EA787E" w:rsidRPr="00AE7F28" w:rsidRDefault="00714C14" w:rsidP="005B1F41">
      <w:pPr>
        <w:pStyle w:val="SCCNormalDoubleSpacing"/>
        <w:spacing w:after="720" w:line="240" w:lineRule="auto"/>
        <w:ind w:left="547" w:hanging="547"/>
      </w:pPr>
      <w:r w:rsidRPr="00AE7F28">
        <w:rPr>
          <w:i/>
        </w:rPr>
        <w:t>Medical Act</w:t>
      </w:r>
      <w:r w:rsidRPr="00AE7F28">
        <w:t>, CQLR,</w:t>
      </w:r>
      <w:r w:rsidR="005B1F41" w:rsidRPr="00AE7F28">
        <w:t xml:space="preserve"> c. </w:t>
      </w:r>
      <w:r w:rsidRPr="00AE7F28">
        <w:t>M</w:t>
      </w:r>
      <w:r w:rsidR="005B1F41" w:rsidRPr="00AE7F28">
        <w:noBreakHyphen/>
      </w:r>
      <w:r w:rsidRPr="00AE7F28">
        <w:t xml:space="preserve">9, </w:t>
      </w:r>
      <w:r w:rsidR="005B1F41" w:rsidRPr="00AE7F28">
        <w:t>s. </w:t>
      </w:r>
      <w:r w:rsidRPr="00AE7F28">
        <w:t>31.</w:t>
      </w:r>
    </w:p>
    <w:p w:rsidR="002E6705" w:rsidRDefault="002E6705" w:rsidP="000514DD">
      <w:pPr>
        <w:pStyle w:val="SCCNormalDoubleSpacing"/>
        <w:spacing w:after="720" w:line="240" w:lineRule="auto"/>
        <w:ind w:left="547" w:hanging="547"/>
        <w:rPr>
          <w:b/>
        </w:rPr>
      </w:pPr>
      <w:r w:rsidRPr="00AE7F28">
        <w:rPr>
          <w:b/>
        </w:rPr>
        <w:t>Authors Cited</w:t>
      </w:r>
    </w:p>
    <w:p w:rsidR="00622317" w:rsidRPr="005B1F41" w:rsidRDefault="00622317" w:rsidP="00622317">
      <w:pPr>
        <w:pStyle w:val="SCCNormalDoubleSpacing"/>
        <w:spacing w:after="240" w:line="240" w:lineRule="auto"/>
        <w:ind w:left="547" w:hanging="547"/>
        <w:rPr>
          <w:i/>
        </w:rPr>
      </w:pPr>
      <w:r w:rsidRPr="005B1F41">
        <w:t xml:space="preserve">Canadian Judicial Council. </w:t>
      </w:r>
      <w:r w:rsidRPr="005B1F41">
        <w:rPr>
          <w:i/>
        </w:rPr>
        <w:t>Model Jury Instructions</w:t>
      </w:r>
      <w:r w:rsidRPr="005B1F41">
        <w:t>, last updated July 2012 (</w:t>
      </w:r>
      <w:bookmarkStart w:id="0" w:name="_GoBack"/>
      <w:r w:rsidRPr="005B1F41">
        <w:t>online</w:t>
      </w:r>
      <w:bookmarkEnd w:id="0"/>
      <w:r w:rsidRPr="005B1F41">
        <w:t>).</w:t>
      </w:r>
    </w:p>
    <w:p w:rsidR="00622317" w:rsidRPr="005B1F41" w:rsidRDefault="00622317" w:rsidP="00622317">
      <w:pPr>
        <w:pStyle w:val="SCCNormalDoubleSpacing"/>
        <w:spacing w:after="240" w:line="240" w:lineRule="auto"/>
        <w:ind w:left="547" w:hanging="547"/>
      </w:pPr>
      <w:r>
        <w:t>Ferguson, Gerry </w:t>
      </w:r>
      <w:r w:rsidRPr="005B1F41">
        <w:t xml:space="preserve">A., and </w:t>
      </w:r>
      <w:r>
        <w:t>Michael </w:t>
      </w:r>
      <w:r w:rsidRPr="005B1F41">
        <w:t xml:space="preserve">R. Dambrot. </w:t>
      </w:r>
      <w:r w:rsidRPr="005B1F41">
        <w:rPr>
          <w:i/>
        </w:rPr>
        <w:t>CRIMJI: Canadian Criminal Jury Instructions</w:t>
      </w:r>
      <w:r w:rsidRPr="005B1F41">
        <w:t xml:space="preserve">, </w:t>
      </w:r>
      <w:r>
        <w:t>vol. </w:t>
      </w:r>
      <w:r w:rsidRPr="005B1F41">
        <w:t>2, 4th ed. Vancouver: The Continuing Legal Education Society of British Columbia, 2005 (loose</w:t>
      </w:r>
      <w:r>
        <w:noBreakHyphen/>
        <w:t>leaf updated November 2018).</w:t>
      </w:r>
    </w:p>
    <w:p w:rsidR="00622317" w:rsidRPr="005B1F41" w:rsidRDefault="00622317" w:rsidP="00622317">
      <w:pPr>
        <w:pStyle w:val="SCCNormalDoubleSpacing"/>
        <w:spacing w:after="240" w:line="240" w:lineRule="auto"/>
        <w:ind w:left="540" w:hanging="540"/>
      </w:pPr>
      <w:r w:rsidRPr="005B1F41">
        <w:t xml:space="preserve">Grant, Isabel, Dorothy Chunn and Christine Boyle. </w:t>
      </w:r>
      <w:r w:rsidRPr="005B1F41">
        <w:rPr>
          <w:i/>
        </w:rPr>
        <w:t>The Law of Homicide</w:t>
      </w:r>
      <w:r w:rsidRPr="005B1F41">
        <w:t>. Scarborough</w:t>
      </w:r>
      <w:r>
        <w:t xml:space="preserve">, </w:t>
      </w:r>
      <w:r w:rsidRPr="005B1F41">
        <w:t>Ont.: Carswell, 1994 (loose</w:t>
      </w:r>
      <w:r>
        <w:noBreakHyphen/>
      </w:r>
      <w:r w:rsidRPr="005B1F41">
        <w:t>leaf updated 1999, release 1).</w:t>
      </w:r>
    </w:p>
    <w:p w:rsidR="00622317" w:rsidRPr="005B1F41" w:rsidRDefault="00622317" w:rsidP="00622317">
      <w:pPr>
        <w:pStyle w:val="SCCNormalDoubleSpacing"/>
        <w:spacing w:after="240" w:line="240" w:lineRule="auto"/>
        <w:ind w:left="540" w:hanging="540"/>
      </w:pPr>
      <w:r w:rsidRPr="005B1F41">
        <w:lastRenderedPageBreak/>
        <w:t xml:space="preserve">Healy, Patrick. “The </w:t>
      </w:r>
      <w:r w:rsidRPr="005B1F41">
        <w:rPr>
          <w:i/>
        </w:rPr>
        <w:t>Creighton</w:t>
      </w:r>
      <w:r w:rsidRPr="005B1F41">
        <w:t xml:space="preserve"> Quartet: Enigma Variations in a Lower Key” (1993), 23 C.R. (4th) 265.</w:t>
      </w:r>
    </w:p>
    <w:p w:rsidR="00622317" w:rsidRPr="005B1F41" w:rsidRDefault="00622317" w:rsidP="00622317">
      <w:pPr>
        <w:pStyle w:val="SCCNormalDoubleSpacing"/>
        <w:spacing w:after="240" w:line="240" w:lineRule="auto"/>
        <w:ind w:left="540" w:hanging="540"/>
      </w:pPr>
      <w:r w:rsidRPr="005B1F41">
        <w:t xml:space="preserve">Roach, Kent. </w:t>
      </w:r>
      <w:r w:rsidRPr="005B1F41">
        <w:rPr>
          <w:i/>
        </w:rPr>
        <w:t>Criminal Law</w:t>
      </w:r>
      <w:r w:rsidRPr="005B1F41">
        <w:t>, 7th ed. Toronto: Irwin Law, 2018.</w:t>
      </w:r>
    </w:p>
    <w:p w:rsidR="00622317" w:rsidRPr="005B1F41" w:rsidRDefault="00622317" w:rsidP="00622317">
      <w:pPr>
        <w:pStyle w:val="SCCNormalDoubleSpacing"/>
        <w:spacing w:after="240" w:line="240" w:lineRule="auto"/>
        <w:ind w:left="540" w:hanging="540"/>
      </w:pPr>
      <w:r w:rsidRPr="005B1F41">
        <w:t>Stewart, Hamish. “</w:t>
      </w:r>
      <w:r w:rsidRPr="005B1F41">
        <w:rPr>
          <w:i/>
        </w:rPr>
        <w:t>F. (J.)</w:t>
      </w:r>
      <w:r w:rsidRPr="005B1F41">
        <w:t>: The Continued Evolution of the Law of Penal Negligence” (2008), 60 C.R. (6th) 243.</w:t>
      </w:r>
    </w:p>
    <w:p w:rsidR="00622317" w:rsidRPr="005B1F41" w:rsidRDefault="00622317" w:rsidP="00622317">
      <w:pPr>
        <w:pStyle w:val="SCCNormalDoubleSpacing"/>
        <w:spacing w:after="240" w:line="240" w:lineRule="auto"/>
        <w:ind w:left="540" w:hanging="540"/>
      </w:pPr>
      <w:r w:rsidRPr="005B1F41">
        <w:t xml:space="preserve">Watt, David. </w:t>
      </w:r>
      <w:r w:rsidRPr="005B1F41">
        <w:rPr>
          <w:i/>
        </w:rPr>
        <w:t>Watt’s Manual of Criminal Jury Instructions</w:t>
      </w:r>
      <w:r w:rsidRPr="005B1F41">
        <w:t>, 2nd ed. Toronto: Thomson/Carswell, 2015.</w:t>
      </w:r>
    </w:p>
    <w:p w:rsidR="00622317" w:rsidRPr="005B1F41" w:rsidRDefault="00622317" w:rsidP="00622317">
      <w:pPr>
        <w:pStyle w:val="SCCNormalDoubleSpacing"/>
        <w:spacing w:after="240" w:line="240" w:lineRule="auto"/>
        <w:ind w:left="540" w:hanging="540"/>
      </w:pPr>
      <w:r>
        <w:t>Wilson, Larry </w:t>
      </w:r>
      <w:r w:rsidRPr="005B1F41">
        <w:t>C. “</w:t>
      </w:r>
      <w:r w:rsidRPr="005B1F41">
        <w:rPr>
          <w:i/>
        </w:rPr>
        <w:t>Beatty</w:t>
      </w:r>
      <w:r w:rsidRPr="005B1F41">
        <w:t xml:space="preserve">, </w:t>
      </w:r>
      <w:r w:rsidRPr="005B1F41">
        <w:rPr>
          <w:i/>
        </w:rPr>
        <w:t>J.F.</w:t>
      </w:r>
      <w:r w:rsidRPr="005B1F41">
        <w:t xml:space="preserve">, and the Law of Manslaughter” (2010), 47 </w:t>
      </w:r>
      <w:r w:rsidRPr="005B1F41">
        <w:rPr>
          <w:i/>
        </w:rPr>
        <w:t>Alta. L. Rev.</w:t>
      </w:r>
      <w:r w:rsidRPr="005B1F41">
        <w:t xml:space="preserve"> 651.</w:t>
      </w:r>
    </w:p>
    <w:p w:rsidR="00622317" w:rsidRPr="005B1F41" w:rsidRDefault="00622317" w:rsidP="00622317">
      <w:pPr>
        <w:pStyle w:val="SCCNormalDoubleSpacing"/>
        <w:spacing w:after="240" w:line="240" w:lineRule="auto"/>
        <w:ind w:left="540" w:hanging="540"/>
      </w:pPr>
      <w:r>
        <w:t>Wilson, Larry </w:t>
      </w:r>
      <w:r w:rsidRPr="005B1F41">
        <w:t xml:space="preserve">C. “Too Many Manslaughters” (2007), 52 </w:t>
      </w:r>
      <w:r w:rsidRPr="005B1F41">
        <w:rPr>
          <w:i/>
        </w:rPr>
        <w:t>Crim. L.Q.</w:t>
      </w:r>
      <w:r w:rsidRPr="005B1F41">
        <w:t xml:space="preserve"> 433.</w:t>
      </w:r>
    </w:p>
    <w:p w:rsidR="00622317" w:rsidRPr="005B1F41" w:rsidRDefault="00622317" w:rsidP="00622317">
      <w:pPr>
        <w:pStyle w:val="SCCNormalDoubleSpacing"/>
        <w:spacing w:after="720" w:line="240" w:lineRule="auto"/>
        <w:ind w:left="547" w:hanging="547"/>
      </w:pPr>
      <w:r w:rsidRPr="005B1F41">
        <w:t xml:space="preserve">Yeo, Stanley. “The Fault Elements for Involuntary Manslaughter: Some Lessons from Downunder” (2000), 43 </w:t>
      </w:r>
      <w:r w:rsidRPr="005B1F41">
        <w:rPr>
          <w:i/>
        </w:rPr>
        <w:t>Crim. L.Q.</w:t>
      </w:r>
      <w:r w:rsidRPr="005B1F41">
        <w:t xml:space="preserve"> 291.</w:t>
      </w:r>
    </w:p>
    <w:p w:rsidR="00656313" w:rsidRPr="00AE7F28" w:rsidRDefault="009B57B3" w:rsidP="005B1F41">
      <w:pPr>
        <w:pStyle w:val="SCCNormalDoubleSpacing"/>
        <w:spacing w:after="480"/>
        <w:rPr>
          <w:lang w:val="en-US"/>
        </w:rPr>
      </w:pPr>
      <w:r w:rsidRPr="00AE7F28">
        <w:tab/>
        <w:t xml:space="preserve">APPEAL from a judgment of the </w:t>
      </w:r>
      <w:r w:rsidR="00F004C8" w:rsidRPr="00AE7F28">
        <w:t xml:space="preserve">Quebec </w:t>
      </w:r>
      <w:r w:rsidR="002458F7" w:rsidRPr="00AE7F28">
        <w:t>Court of App</w:t>
      </w:r>
      <w:r w:rsidR="00F004C8" w:rsidRPr="00AE7F28">
        <w:t xml:space="preserve">eal </w:t>
      </w:r>
      <w:r w:rsidR="007654CC">
        <w:rPr>
          <w:lang w:val="en-US"/>
        </w:rPr>
        <w:t>(Hilton, Gagnon and Marcotte </w:t>
      </w:r>
      <w:r w:rsidR="00F004C8" w:rsidRPr="00AE7F28">
        <w:rPr>
          <w:lang w:val="en-US"/>
        </w:rPr>
        <w:t xml:space="preserve">JJ.A.), 2018 QCCA 856, 47 C.R. (7th) 296, </w:t>
      </w:r>
      <w:r w:rsidR="000A510B" w:rsidRPr="00AE7F28">
        <w:rPr>
          <w:lang w:val="en-US"/>
        </w:rPr>
        <w:t xml:space="preserve">[2018] </w:t>
      </w:r>
      <w:r w:rsidR="00F004C8" w:rsidRPr="00AE7F28">
        <w:rPr>
          <w:lang w:val="en-US"/>
        </w:rPr>
        <w:t>AZ</w:t>
      </w:r>
      <w:r w:rsidR="005B1F41" w:rsidRPr="00AE7F28">
        <w:rPr>
          <w:lang w:val="en-US"/>
        </w:rPr>
        <w:noBreakHyphen/>
      </w:r>
      <w:r w:rsidR="00F004C8" w:rsidRPr="00AE7F28">
        <w:rPr>
          <w:lang w:val="en-US"/>
        </w:rPr>
        <w:t>51499093, [2018] J.Q. n</w:t>
      </w:r>
      <w:r w:rsidR="00F004C8" w:rsidRPr="00AE7F28">
        <w:rPr>
          <w:vertAlign w:val="superscript"/>
          <w:lang w:val="en-US"/>
        </w:rPr>
        <w:t>o</w:t>
      </w:r>
      <w:r w:rsidR="005B1F41" w:rsidRPr="00AE7F28">
        <w:rPr>
          <w:lang w:val="en-US"/>
        </w:rPr>
        <w:t> </w:t>
      </w:r>
      <w:r w:rsidR="00F004C8" w:rsidRPr="00AE7F28">
        <w:rPr>
          <w:lang w:val="en-US"/>
        </w:rPr>
        <w:t xml:space="preserve">4661 (QL), 2018 CarswellQue 4498 (WL Can.), </w:t>
      </w:r>
      <w:r w:rsidR="00381B37" w:rsidRPr="00AE7F28">
        <w:rPr>
          <w:lang w:val="en-US"/>
        </w:rPr>
        <w:t xml:space="preserve">substituting the acquittal for </w:t>
      </w:r>
      <w:r w:rsidR="00CA2C89" w:rsidRPr="00AE7F28">
        <w:rPr>
          <w:lang w:val="en-US"/>
        </w:rPr>
        <w:t xml:space="preserve">unlawful act </w:t>
      </w:r>
      <w:r w:rsidR="00381B37" w:rsidRPr="00AE7F28">
        <w:rPr>
          <w:lang w:val="en-US"/>
        </w:rPr>
        <w:t xml:space="preserve">manslaughter entered by Villemure Prov. Ct. J., C.Q., </w:t>
      </w:r>
      <w:r w:rsidR="005B1F41" w:rsidRPr="00AE7F28">
        <w:rPr>
          <w:lang w:val="en-US"/>
        </w:rPr>
        <w:t>No. </w:t>
      </w:r>
      <w:r w:rsidR="00381B37" w:rsidRPr="00AE7F28">
        <w:rPr>
          <w:lang w:val="en-US"/>
        </w:rPr>
        <w:t>500</w:t>
      </w:r>
      <w:r w:rsidR="005B1F41" w:rsidRPr="00AE7F28">
        <w:rPr>
          <w:lang w:val="en-US"/>
        </w:rPr>
        <w:noBreakHyphen/>
      </w:r>
      <w:r w:rsidR="00381B37" w:rsidRPr="00AE7F28">
        <w:rPr>
          <w:lang w:val="en-US"/>
        </w:rPr>
        <w:t>01</w:t>
      </w:r>
      <w:r w:rsidR="005B1F41" w:rsidRPr="00AE7F28">
        <w:rPr>
          <w:lang w:val="en-US"/>
        </w:rPr>
        <w:noBreakHyphen/>
      </w:r>
      <w:r w:rsidR="00381B37" w:rsidRPr="00AE7F28">
        <w:rPr>
          <w:lang w:val="en-US"/>
        </w:rPr>
        <w:t>013474</w:t>
      </w:r>
      <w:r w:rsidR="005B1F41" w:rsidRPr="00AE7F28">
        <w:rPr>
          <w:lang w:val="en-US"/>
        </w:rPr>
        <w:noBreakHyphen/>
        <w:t>082, April </w:t>
      </w:r>
      <w:r w:rsidR="00381B37" w:rsidRPr="00AE7F28">
        <w:rPr>
          <w:lang w:val="en-US"/>
        </w:rPr>
        <w:t xml:space="preserve">8, 2015, </w:t>
      </w:r>
      <w:r w:rsidR="00CA2C89" w:rsidRPr="00AE7F28">
        <w:rPr>
          <w:lang w:val="en-US"/>
        </w:rPr>
        <w:t>with</w:t>
      </w:r>
      <w:r w:rsidR="00381B37" w:rsidRPr="00AE7F28">
        <w:rPr>
          <w:lang w:val="en-US"/>
        </w:rPr>
        <w:t xml:space="preserve"> a conviction, and ordering a new trial for </w:t>
      </w:r>
      <w:r w:rsidR="00CA2C89" w:rsidRPr="00AE7F28">
        <w:rPr>
          <w:lang w:val="en-US"/>
        </w:rPr>
        <w:t xml:space="preserve">criminal </w:t>
      </w:r>
      <w:r w:rsidR="00381B37" w:rsidRPr="00AE7F28">
        <w:rPr>
          <w:lang w:val="en-US"/>
        </w:rPr>
        <w:t>negligence</w:t>
      </w:r>
      <w:r w:rsidR="00850074">
        <w:rPr>
          <w:lang w:val="en-US"/>
        </w:rPr>
        <w:t xml:space="preserve"> causing death</w:t>
      </w:r>
      <w:r w:rsidR="00381B37" w:rsidRPr="00AE7F28">
        <w:rPr>
          <w:lang w:val="en-US"/>
        </w:rPr>
        <w:t xml:space="preserve">. </w:t>
      </w:r>
      <w:r w:rsidR="007654CC">
        <w:rPr>
          <w:lang w:val="en-US"/>
        </w:rPr>
        <w:t>Appeal allowed, Wagner C.J. and Rowe </w:t>
      </w:r>
      <w:r w:rsidR="007222DE" w:rsidRPr="00AE7F28">
        <w:rPr>
          <w:lang w:val="en-US"/>
        </w:rPr>
        <w:t>J. dissenting.</w:t>
      </w:r>
    </w:p>
    <w:p w:rsidR="0019759B" w:rsidRPr="00AE7F28" w:rsidRDefault="00AF5524" w:rsidP="000514DD">
      <w:pPr>
        <w:pStyle w:val="SCCNormalDoubleSpacing"/>
        <w:spacing w:after="480"/>
      </w:pPr>
      <w:r w:rsidRPr="00AE7F28">
        <w:rPr>
          <w:rStyle w:val="SCCCounselNameChar"/>
          <w:lang w:val="en-US"/>
        </w:rPr>
        <w:tab/>
      </w:r>
      <w:r w:rsidR="008E5353">
        <w:rPr>
          <w:rStyle w:val="SCCCounselNameChar"/>
        </w:rPr>
        <w:t xml:space="preserve">Isabel </w:t>
      </w:r>
      <w:r w:rsidRPr="00AE7F28">
        <w:rPr>
          <w:rStyle w:val="SCCCounselNameChar"/>
        </w:rPr>
        <w:t>J. Schurman</w:t>
      </w:r>
      <w:r w:rsidRPr="00AE7F28">
        <w:rPr>
          <w:rStyle w:val="SCCCounselSeparatorChar"/>
        </w:rPr>
        <w:t xml:space="preserve">, </w:t>
      </w:r>
      <w:r w:rsidR="00FB59D8" w:rsidRPr="00AE7F28">
        <w:rPr>
          <w:rStyle w:val="SCCCounselNameChar"/>
        </w:rPr>
        <w:t>Julius Grey</w:t>
      </w:r>
      <w:r w:rsidR="00FB59D8" w:rsidRPr="00AE7F28">
        <w:rPr>
          <w:rStyle w:val="SCCCounselNameChar"/>
          <w:i w:val="0"/>
        </w:rPr>
        <w:t>,</w:t>
      </w:r>
      <w:r w:rsidR="00FB59D8" w:rsidRPr="00AE7F28">
        <w:rPr>
          <w:rStyle w:val="SCCCounselNameChar"/>
        </w:rPr>
        <w:t xml:space="preserve"> Francis Villeneuve Ménard</w:t>
      </w:r>
      <w:r w:rsidRPr="00AE7F28">
        <w:rPr>
          <w:rStyle w:val="SCCCounselSeparatorChar"/>
        </w:rPr>
        <w:t xml:space="preserve"> and </w:t>
      </w:r>
      <w:r w:rsidRPr="00AE7F28">
        <w:rPr>
          <w:rStyle w:val="SCCCounselNameChar"/>
        </w:rPr>
        <w:t>Rose</w:t>
      </w:r>
      <w:r w:rsidR="005B1F41" w:rsidRPr="00AE7F28">
        <w:rPr>
          <w:rStyle w:val="SCCCounselNameChar"/>
        </w:rPr>
        <w:noBreakHyphen/>
      </w:r>
      <w:r w:rsidRPr="00AE7F28">
        <w:rPr>
          <w:rStyle w:val="SCCCounselNameChar"/>
        </w:rPr>
        <w:t>Mélanie Drivod</w:t>
      </w:r>
      <w:r w:rsidRPr="00AE7F28">
        <w:rPr>
          <w:rStyle w:val="SCCCounselPartyRoleChar"/>
        </w:rPr>
        <w:t>, for the appellant.</w:t>
      </w:r>
    </w:p>
    <w:p w:rsidR="0019759B" w:rsidRPr="00AE7F28" w:rsidRDefault="00AF5524" w:rsidP="000514DD">
      <w:pPr>
        <w:pStyle w:val="SCCNormalDoubleSpacing"/>
        <w:spacing w:after="480"/>
      </w:pPr>
      <w:r w:rsidRPr="00AE7F28">
        <w:rPr>
          <w:rStyle w:val="SCCCounselNameChar"/>
        </w:rPr>
        <w:tab/>
        <w:t>Christian Jarry</w:t>
      </w:r>
      <w:r w:rsidRPr="00AE7F28">
        <w:rPr>
          <w:rStyle w:val="SCCCounselPartyRoleChar"/>
        </w:rPr>
        <w:t>, for the respondent</w:t>
      </w:r>
      <w:r w:rsidR="004F3EF7" w:rsidRPr="00AE7F28">
        <w:rPr>
          <w:rStyle w:val="SCCCounselPartyRoleChar"/>
        </w:rPr>
        <w:t xml:space="preserve"> Her Majesty The Queen</w:t>
      </w:r>
      <w:r w:rsidRPr="00AE7F28">
        <w:rPr>
          <w:rStyle w:val="SCCCounselPartyRoleChar"/>
        </w:rPr>
        <w:t>.</w:t>
      </w:r>
    </w:p>
    <w:p w:rsidR="0019759B" w:rsidRPr="00AE7F28" w:rsidRDefault="00AF5524" w:rsidP="000514DD">
      <w:pPr>
        <w:pStyle w:val="SCCNormalDoubleSpacing"/>
        <w:spacing w:after="480"/>
        <w:rPr>
          <w:lang w:val="en-US"/>
        </w:rPr>
      </w:pPr>
      <w:r w:rsidRPr="00AE7F28">
        <w:rPr>
          <w:rStyle w:val="SCCCounselNameChar"/>
        </w:rPr>
        <w:lastRenderedPageBreak/>
        <w:tab/>
      </w:r>
      <w:r w:rsidRPr="00AE7F28">
        <w:rPr>
          <w:rStyle w:val="SCCCounselNameChar"/>
          <w:lang w:val="en-US"/>
        </w:rPr>
        <w:t>Julien Bernard</w:t>
      </w:r>
      <w:r w:rsidR="009416AE" w:rsidRPr="00AE7F28">
        <w:rPr>
          <w:rStyle w:val="SCCCounselNameChar"/>
          <w:i w:val="0"/>
          <w:lang w:val="en-US"/>
        </w:rPr>
        <w:t>,</w:t>
      </w:r>
      <w:r w:rsidR="009416AE" w:rsidRPr="00AE7F28">
        <w:rPr>
          <w:rStyle w:val="SCCCounselSeparatorChar"/>
          <w:lang w:val="en-US"/>
        </w:rPr>
        <w:t xml:space="preserve"> </w:t>
      </w:r>
      <w:r w:rsidRPr="00AE7F28">
        <w:rPr>
          <w:rStyle w:val="SCCCounselNameChar"/>
          <w:lang w:val="en-US"/>
        </w:rPr>
        <w:t>Jean</w:t>
      </w:r>
      <w:r w:rsidR="005B1F41" w:rsidRPr="00AE7F28">
        <w:rPr>
          <w:rStyle w:val="SCCCounselNameChar"/>
          <w:lang w:val="en-US"/>
        </w:rPr>
        <w:noBreakHyphen/>
      </w:r>
      <w:r w:rsidRPr="00AE7F28">
        <w:rPr>
          <w:rStyle w:val="SCCCounselNameChar"/>
          <w:lang w:val="en-US"/>
        </w:rPr>
        <w:t>Vincent Lacroix</w:t>
      </w:r>
      <w:r w:rsidR="009416AE" w:rsidRPr="00AE7F28">
        <w:rPr>
          <w:rStyle w:val="SCCCounselNameChar"/>
          <w:lang w:val="en-US"/>
        </w:rPr>
        <w:t xml:space="preserve"> </w:t>
      </w:r>
      <w:r w:rsidR="009416AE" w:rsidRPr="00AE7F28">
        <w:rPr>
          <w:rStyle w:val="SCCCounselSeparatorChar"/>
          <w:lang w:val="en-US"/>
        </w:rPr>
        <w:t>and</w:t>
      </w:r>
      <w:r w:rsidR="009416AE" w:rsidRPr="00AE7F28">
        <w:rPr>
          <w:rStyle w:val="SCCCounselNameChar"/>
          <w:lang w:val="en-US"/>
        </w:rPr>
        <w:t xml:space="preserve"> Alexandre Duval</w:t>
      </w:r>
      <w:r w:rsidRPr="00AE7F28">
        <w:rPr>
          <w:rStyle w:val="SCCCounselPartyRoleChar"/>
          <w:lang w:val="en-US"/>
        </w:rPr>
        <w:t>, for the respondent</w:t>
      </w:r>
      <w:r w:rsidR="004F3EF7" w:rsidRPr="00AE7F28">
        <w:rPr>
          <w:rStyle w:val="SCCCounselPartyRoleChar"/>
          <w:lang w:val="en-US"/>
        </w:rPr>
        <w:t xml:space="preserve"> the Attorney General of Quebec</w:t>
      </w:r>
      <w:r w:rsidRPr="00AE7F28">
        <w:rPr>
          <w:rStyle w:val="SCCCounselPartyRoleChar"/>
          <w:lang w:val="en-US"/>
        </w:rPr>
        <w:t>.</w:t>
      </w:r>
    </w:p>
    <w:p w:rsidR="0019759B" w:rsidRPr="00AE7F28" w:rsidRDefault="00AF5524" w:rsidP="000514DD">
      <w:pPr>
        <w:pStyle w:val="SCCNormalDoubleSpacing"/>
        <w:spacing w:after="480"/>
        <w:rPr>
          <w:lang w:val="fr-CA"/>
        </w:rPr>
      </w:pPr>
      <w:r w:rsidRPr="00AE7F28">
        <w:rPr>
          <w:rStyle w:val="SCCCounselNameChar"/>
          <w:lang w:val="en-US"/>
        </w:rPr>
        <w:tab/>
      </w:r>
      <w:r w:rsidRPr="00AE7F28">
        <w:rPr>
          <w:rStyle w:val="SCCCounselNameChar"/>
          <w:lang w:val="fr-CA"/>
        </w:rPr>
        <w:t>Michel Marchand</w:t>
      </w:r>
      <w:r w:rsidRPr="00AE7F28">
        <w:rPr>
          <w:rStyle w:val="SCCCounselSeparatorChar"/>
          <w:lang w:val="fr-CA"/>
        </w:rPr>
        <w:t xml:space="preserve"> and </w:t>
      </w:r>
      <w:r w:rsidRPr="00AE7F28">
        <w:rPr>
          <w:rStyle w:val="SCCCounselNameChar"/>
          <w:lang w:val="fr-CA"/>
        </w:rPr>
        <w:t>Christian Desrosiers</w:t>
      </w:r>
      <w:r w:rsidRPr="00AE7F28">
        <w:rPr>
          <w:rStyle w:val="SCCCounselPartyRoleChar"/>
          <w:lang w:val="fr-CA"/>
        </w:rPr>
        <w:t>, for the intervener Association des avocats de la défense de Montréal.</w:t>
      </w:r>
    </w:p>
    <w:p w:rsidR="0019759B" w:rsidRPr="00AE7F28" w:rsidRDefault="009416AE" w:rsidP="000514DD">
      <w:pPr>
        <w:pStyle w:val="SCCNormalDoubleSpacing"/>
        <w:spacing w:after="480"/>
        <w:rPr>
          <w:lang w:val="en-US"/>
        </w:rPr>
      </w:pPr>
      <w:r w:rsidRPr="00AE7F28">
        <w:rPr>
          <w:rStyle w:val="SCCCounselNameChar"/>
          <w:lang w:val="fr-CA"/>
        </w:rPr>
        <w:tab/>
      </w:r>
      <w:r w:rsidRPr="00AE7F28">
        <w:rPr>
          <w:rStyle w:val="SCCCounselNameChar"/>
          <w:lang w:val="en-US"/>
        </w:rPr>
        <w:t>Giuseppe Battista</w:t>
      </w:r>
      <w:r w:rsidR="00AF5524" w:rsidRPr="00AE7F28">
        <w:rPr>
          <w:rStyle w:val="SCCCounselPartyRoleChar"/>
          <w:lang w:val="en-US"/>
        </w:rPr>
        <w:t>, for the intervener</w:t>
      </w:r>
      <w:r w:rsidR="004F3EF7" w:rsidRPr="00AE7F28">
        <w:rPr>
          <w:rStyle w:val="SCCCounselPartyRoleChar"/>
          <w:lang w:val="en-US"/>
        </w:rPr>
        <w:t>s the</w:t>
      </w:r>
      <w:r w:rsidR="00AF5524" w:rsidRPr="00AE7F28">
        <w:rPr>
          <w:rStyle w:val="SCCCounselPartyRoleChar"/>
          <w:lang w:val="en-US"/>
        </w:rPr>
        <w:t xml:space="preserve"> Québec</w:t>
      </w:r>
      <w:r w:rsidR="00B14E2C" w:rsidRPr="00AE7F28">
        <w:rPr>
          <w:rStyle w:val="SCCCounselPartyRoleChar"/>
          <w:lang w:val="en-US"/>
        </w:rPr>
        <w:t xml:space="preserve"> Association of Naturopathic Medi</w:t>
      </w:r>
      <w:r w:rsidR="00AF5524" w:rsidRPr="00AE7F28">
        <w:rPr>
          <w:rStyle w:val="SCCCounselPartyRoleChar"/>
          <w:lang w:val="en-US"/>
        </w:rPr>
        <w:t>cine and Association des naturopathes agréés du Québec.</w:t>
      </w:r>
    </w:p>
    <w:p w:rsidR="0019759B" w:rsidRPr="00AE7F28" w:rsidRDefault="00AF5524" w:rsidP="000514DD">
      <w:pPr>
        <w:pStyle w:val="SCCNormalDoubleSpacing"/>
        <w:spacing w:after="480"/>
      </w:pPr>
      <w:r w:rsidRPr="00AE7F28">
        <w:rPr>
          <w:rStyle w:val="SCCCounselNameChar"/>
          <w:lang w:val="en-US"/>
        </w:rPr>
        <w:tab/>
      </w:r>
      <w:r w:rsidR="006C22A9" w:rsidRPr="00AE7F28">
        <w:rPr>
          <w:rStyle w:val="SCCCounselNameChar"/>
        </w:rPr>
        <w:t>Benjamin</w:t>
      </w:r>
      <w:r w:rsidRPr="00AE7F28">
        <w:rPr>
          <w:rStyle w:val="SCCCounselNameChar"/>
        </w:rPr>
        <w:t xml:space="preserve"> Grant</w:t>
      </w:r>
      <w:r w:rsidR="006C22A9" w:rsidRPr="00AE7F28">
        <w:rPr>
          <w:rStyle w:val="SCCCounselSeparatorChar"/>
        </w:rPr>
        <w:t xml:space="preserve">, </w:t>
      </w:r>
      <w:r w:rsidRPr="00AE7F28">
        <w:rPr>
          <w:rStyle w:val="SCCCounselNameChar"/>
        </w:rPr>
        <w:t>Marion Sandilands</w:t>
      </w:r>
      <w:r w:rsidR="006C22A9" w:rsidRPr="00AE7F28">
        <w:rPr>
          <w:rStyle w:val="SCCCounselNameChar"/>
          <w:i w:val="0"/>
        </w:rPr>
        <w:t xml:space="preserve"> and </w:t>
      </w:r>
      <w:r w:rsidR="006C22A9" w:rsidRPr="00AE7F28">
        <w:rPr>
          <w:rStyle w:val="SCCCounselNameChar"/>
        </w:rPr>
        <w:t>David Wilson</w:t>
      </w:r>
      <w:r w:rsidRPr="00AE7F28">
        <w:rPr>
          <w:rStyle w:val="SCCCounselPartyRoleChar"/>
        </w:rPr>
        <w:t xml:space="preserve">, for the intervener </w:t>
      </w:r>
      <w:r w:rsidR="004F3EF7" w:rsidRPr="00AE7F28">
        <w:rPr>
          <w:rStyle w:val="SCCCounselPartyRoleChar"/>
        </w:rPr>
        <w:t xml:space="preserve">the </w:t>
      </w:r>
      <w:r w:rsidRPr="00AE7F28">
        <w:rPr>
          <w:rStyle w:val="SCCCounselPartyRoleChar"/>
        </w:rPr>
        <w:t>Canadian Association of Naturopathic Doctors.</w:t>
      </w:r>
    </w:p>
    <w:p w:rsidR="0019759B" w:rsidRPr="00AE7F28" w:rsidRDefault="008E5353" w:rsidP="000514DD">
      <w:pPr>
        <w:pStyle w:val="SCCNormalDoubleSpacing"/>
        <w:spacing w:after="480"/>
      </w:pPr>
      <w:r>
        <w:rPr>
          <w:rStyle w:val="SCCCounselNameChar"/>
        </w:rPr>
        <w:tab/>
        <w:t xml:space="preserve">Anil </w:t>
      </w:r>
      <w:r w:rsidR="00AF5524" w:rsidRPr="00AE7F28">
        <w:rPr>
          <w:rStyle w:val="SCCCounselNameChar"/>
        </w:rPr>
        <w:t>K. Kapoor</w:t>
      </w:r>
      <w:r w:rsidR="006C22A9" w:rsidRPr="00AE7F28">
        <w:rPr>
          <w:rStyle w:val="SCCCounselNameChar"/>
        </w:rPr>
        <w:t xml:space="preserve"> </w:t>
      </w:r>
      <w:r w:rsidR="006C22A9" w:rsidRPr="00AE7F28">
        <w:rPr>
          <w:rStyle w:val="SCCCounselNameChar"/>
          <w:i w:val="0"/>
        </w:rPr>
        <w:t xml:space="preserve">and </w:t>
      </w:r>
      <w:r>
        <w:rPr>
          <w:rStyle w:val="SCCCounselNameChar"/>
        </w:rPr>
        <w:t xml:space="preserve">Dana </w:t>
      </w:r>
      <w:r w:rsidR="006C22A9" w:rsidRPr="00AE7F28">
        <w:rPr>
          <w:rStyle w:val="SCCCounselNameChar"/>
        </w:rPr>
        <w:t>C. Achtemichuk</w:t>
      </w:r>
      <w:r w:rsidR="00AF5524" w:rsidRPr="00AE7F28">
        <w:rPr>
          <w:rStyle w:val="SCCCounselPartyRoleChar"/>
        </w:rPr>
        <w:t xml:space="preserve">, for the intervener </w:t>
      </w:r>
      <w:r w:rsidR="004F3EF7" w:rsidRPr="00AE7F28">
        <w:rPr>
          <w:rStyle w:val="SCCCounselPartyRoleChar"/>
        </w:rPr>
        <w:t xml:space="preserve">the </w:t>
      </w:r>
      <w:r w:rsidR="00AF5524" w:rsidRPr="00AE7F28">
        <w:rPr>
          <w:rStyle w:val="SCCCounselPartyRoleChar"/>
        </w:rPr>
        <w:t>Criminal Lawyers</w:t>
      </w:r>
      <w:r w:rsidR="005B1F41" w:rsidRPr="00AE7F28">
        <w:rPr>
          <w:rStyle w:val="SCCCounselPartyRoleChar"/>
        </w:rPr>
        <w:t>’</w:t>
      </w:r>
      <w:r w:rsidR="00AF5524" w:rsidRPr="00AE7F28">
        <w:rPr>
          <w:rStyle w:val="SCCCounselPartyRoleChar"/>
        </w:rPr>
        <w:t xml:space="preserve"> Association.</w:t>
      </w:r>
    </w:p>
    <w:p w:rsidR="0059587F" w:rsidRDefault="00DA28D3" w:rsidP="00DA28D3">
      <w:pPr>
        <w:pStyle w:val="SCCNormalDoubleSpacing"/>
        <w:spacing w:after="480"/>
      </w:pPr>
      <w:r>
        <w:tab/>
      </w:r>
      <w:r w:rsidR="0059587F" w:rsidRPr="00D4657C">
        <w:t xml:space="preserve">The judgment of Abella, Moldaver, </w:t>
      </w:r>
      <w:r w:rsidR="0059587F" w:rsidRPr="00DA28D3">
        <w:rPr>
          <w:rStyle w:val="SCCCounselPartyRoleChar"/>
        </w:rPr>
        <w:t>Karakatsanis</w:t>
      </w:r>
      <w:r w:rsidR="0059587F" w:rsidRPr="00D4657C">
        <w:t xml:space="preserve">, </w:t>
      </w:r>
      <w:r w:rsidR="0059587F">
        <w:t>Côté</w:t>
      </w:r>
      <w:r w:rsidR="0059587F" w:rsidRPr="00D4657C">
        <w:t xml:space="preserve"> and </w:t>
      </w:r>
      <w:r w:rsidR="0059587F">
        <w:t>Brown</w:t>
      </w:r>
      <w:r w:rsidR="007654CC">
        <w:t> </w:t>
      </w:r>
      <w:r w:rsidR="0059587F" w:rsidRPr="00D4657C">
        <w:t xml:space="preserve">JJ. </w:t>
      </w:r>
      <w:r w:rsidR="0059587F">
        <w:t>was delivered by</w:t>
      </w:r>
    </w:p>
    <w:p w:rsidR="0059587F" w:rsidRPr="008E5353" w:rsidRDefault="008E5353" w:rsidP="008E5353">
      <w:pPr>
        <w:pStyle w:val="ParaNoNdepar-AltN"/>
        <w:numPr>
          <w:ilvl w:val="0"/>
          <w:numId w:val="2"/>
        </w:numPr>
      </w:pPr>
      <w:r>
        <w:rPr>
          <w:smallCaps/>
        </w:rPr>
        <w:t>Abella </w:t>
      </w:r>
      <w:r w:rsidRPr="008E5353">
        <w:rPr>
          <w:smallCaps/>
        </w:rPr>
        <w:t>J.</w:t>
      </w:r>
      <w:r w:rsidRPr="006E4716">
        <w:t xml:space="preserve"> — </w:t>
      </w:r>
      <w:r w:rsidR="0059587F" w:rsidRPr="008E5353">
        <w:rPr>
          <w:rFonts w:cs="Times New Roman"/>
        </w:rPr>
        <w:t>Mitra Javanmardi opened a naturopathic clinic in Quebec in 1985. She has a degree in science from McGill University, a doctorate in naturopathic medicine from the National College of Naturopathic Medicine in Portland, Oregon, and a related diploma which involved 500 hours of further courses. Ms.</w:t>
      </w:r>
      <w:r w:rsidR="00BD7662">
        <w:rPr>
          <w:rFonts w:cs="Times New Roman"/>
        </w:rPr>
        <w:t> </w:t>
      </w:r>
      <w:r w:rsidR="0059587F" w:rsidRPr="008E5353">
        <w:rPr>
          <w:rFonts w:cs="Times New Roman"/>
        </w:rPr>
        <w:t xml:space="preserve">Javanmardi’s education included classes and clinical training about intravenous injection techniques. She has treated between 4,000 and 5,000 patients at her clinic since it opened and, </w:t>
      </w:r>
      <w:r w:rsidR="0059587F" w:rsidRPr="008E5353">
        <w:rPr>
          <w:rFonts w:cs="Times New Roman"/>
        </w:rPr>
        <w:lastRenderedPageBreak/>
        <w:t>starting in 1992, has administered nutrients to approximately ten patients per week by way of intravenous injection. Intravenous administration of nutrients by naturopaths is not legal in Quebec but is lawful in most provinces.</w:t>
      </w:r>
    </w:p>
    <w:p w:rsidR="0059587F" w:rsidRPr="006E4716" w:rsidRDefault="0059587F" w:rsidP="0059587F">
      <w:pPr>
        <w:pStyle w:val="ParaNoNdepar-AltN"/>
        <w:numPr>
          <w:ilvl w:val="0"/>
          <w:numId w:val="2"/>
        </w:numPr>
        <w:rPr>
          <w:rFonts w:cs="Times New Roman"/>
        </w:rPr>
      </w:pPr>
      <w:r w:rsidRPr="006E4716">
        <w:rPr>
          <w:rFonts w:cs="Times New Roman"/>
        </w:rPr>
        <w:t xml:space="preserve">On June 12, 2008, Roger </w:t>
      </w:r>
      <w:r w:rsidR="00BD7662">
        <w:rPr>
          <w:rFonts w:cs="Times New Roman"/>
        </w:rPr>
        <w:t>Matern and his wife visited Ms. </w:t>
      </w:r>
      <w:r w:rsidRPr="006E4716">
        <w:rPr>
          <w:rFonts w:cs="Times New Roman"/>
        </w:rPr>
        <w:t>J</w:t>
      </w:r>
      <w:r w:rsidR="00636F70">
        <w:rPr>
          <w:rFonts w:cs="Times New Roman"/>
        </w:rPr>
        <w:t>avanmardi’s clinic. Mr. </w:t>
      </w:r>
      <w:r w:rsidRPr="006E4716">
        <w:rPr>
          <w:rFonts w:cs="Times New Roman"/>
        </w:rPr>
        <w:t>Matern was 84 years old and had heart disease. He was frustrated with the treatment he had received at conventional medical clinics and hoped that naturopathy would improve his quality of life. After</w:t>
      </w:r>
      <w:r w:rsidR="00BD7662">
        <w:rPr>
          <w:rFonts w:cs="Times New Roman"/>
        </w:rPr>
        <w:t xml:space="preserve"> an hour-long consultation, Ms. </w:t>
      </w:r>
      <w:r w:rsidRPr="006E4716">
        <w:rPr>
          <w:rFonts w:cs="Times New Roman"/>
        </w:rPr>
        <w:t>Javanmardi recommended intravenously admi</w:t>
      </w:r>
      <w:r w:rsidR="00BD7662">
        <w:rPr>
          <w:rFonts w:cs="Times New Roman"/>
        </w:rPr>
        <w:t>nistered nutrients. Despite Ms. </w:t>
      </w:r>
      <w:r w:rsidRPr="006E4716">
        <w:rPr>
          <w:rFonts w:cs="Times New Roman"/>
        </w:rPr>
        <w:t>Javanmardi’s telling him that she did not normally administer intravenous injections on a first visit, Mr.</w:t>
      </w:r>
      <w:r w:rsidR="009F28E9">
        <w:rPr>
          <w:rFonts w:cs="Times New Roman"/>
        </w:rPr>
        <w:t> </w:t>
      </w:r>
      <w:r w:rsidRPr="006E4716">
        <w:rPr>
          <w:rFonts w:cs="Times New Roman"/>
        </w:rPr>
        <w:t>Matern insisted on having an intravenous treatment that day.</w:t>
      </w:r>
    </w:p>
    <w:p w:rsidR="0059587F" w:rsidRPr="006E4716" w:rsidRDefault="00BD7662" w:rsidP="0059587F">
      <w:pPr>
        <w:pStyle w:val="ParaNoNdepar-AltN"/>
        <w:numPr>
          <w:ilvl w:val="0"/>
          <w:numId w:val="2"/>
        </w:numPr>
        <w:rPr>
          <w:rFonts w:cs="Times New Roman"/>
        </w:rPr>
      </w:pPr>
      <w:r>
        <w:rPr>
          <w:rFonts w:cs="Times New Roman"/>
        </w:rPr>
        <w:t>Ms. </w:t>
      </w:r>
      <w:r w:rsidR="0059587F" w:rsidRPr="006E4716">
        <w:rPr>
          <w:rFonts w:cs="Times New Roman"/>
        </w:rPr>
        <w:t>Javanmardi prepare</w:t>
      </w:r>
      <w:r w:rsidR="00636F70">
        <w:rPr>
          <w:rFonts w:cs="Times New Roman"/>
        </w:rPr>
        <w:t>d the nutrient solution for Mr. </w:t>
      </w:r>
      <w:r w:rsidR="0059587F" w:rsidRPr="006E4716">
        <w:rPr>
          <w:rFonts w:cs="Times New Roman"/>
        </w:rPr>
        <w:t>Matern’s intravenous injection. It contained magnesium chloride, manganese chloride, potassium chloride, L-Taurine, L-Carnitine, and sterile wat</w:t>
      </w:r>
      <w:r>
        <w:rPr>
          <w:rFonts w:cs="Times New Roman"/>
        </w:rPr>
        <w:t>er. To create the solution, Ms. </w:t>
      </w:r>
      <w:r w:rsidR="0059587F" w:rsidRPr="006E4716">
        <w:rPr>
          <w:rFonts w:cs="Times New Roman"/>
        </w:rPr>
        <w:t xml:space="preserve">Javanmardi combined nutrients from separate vials. One </w:t>
      </w:r>
      <w:r w:rsidR="00636F70">
        <w:rPr>
          <w:rFonts w:cs="Times New Roman"/>
        </w:rPr>
        <w:t>vial contained L-Carnitine. Mr. </w:t>
      </w:r>
      <w:r w:rsidR="0059587F" w:rsidRPr="006E4716">
        <w:rPr>
          <w:rFonts w:cs="Times New Roman"/>
        </w:rPr>
        <w:t>Matern was the third patient to whom L-Carnitine from the same vial had been administered that day. The other two patients did not have adverse reactions to their injections. The vial turned out to be contaminated.</w:t>
      </w:r>
    </w:p>
    <w:p w:rsidR="0059587F" w:rsidRPr="006E4716" w:rsidRDefault="00636F70" w:rsidP="0059587F">
      <w:pPr>
        <w:pStyle w:val="ParaNoNdepar-AltN"/>
        <w:numPr>
          <w:ilvl w:val="0"/>
          <w:numId w:val="2"/>
        </w:numPr>
        <w:rPr>
          <w:rFonts w:cs="Times New Roman"/>
        </w:rPr>
      </w:pPr>
      <w:r>
        <w:rPr>
          <w:rFonts w:cs="Times New Roman"/>
        </w:rPr>
        <w:t>Mr. </w:t>
      </w:r>
      <w:r w:rsidR="0059587F" w:rsidRPr="006E4716">
        <w:rPr>
          <w:rFonts w:cs="Times New Roman"/>
        </w:rPr>
        <w:t>Matern reacted negatively to the injection almost immediately. He complained</w:t>
      </w:r>
      <w:r w:rsidR="00BD7662">
        <w:rPr>
          <w:rFonts w:cs="Times New Roman"/>
        </w:rPr>
        <w:t xml:space="preserve"> of being hot and nauseous. Ms. </w:t>
      </w:r>
      <w:r w:rsidR="0059587F" w:rsidRPr="006E4716">
        <w:rPr>
          <w:rFonts w:cs="Times New Roman"/>
        </w:rPr>
        <w:t>Javanmardi stopped the intrav</w:t>
      </w:r>
      <w:r>
        <w:rPr>
          <w:rFonts w:cs="Times New Roman"/>
        </w:rPr>
        <w:t>enous injection and checked Mr. </w:t>
      </w:r>
      <w:r w:rsidR="0059587F" w:rsidRPr="006E4716">
        <w:rPr>
          <w:rFonts w:cs="Times New Roman"/>
        </w:rPr>
        <w:t>Matern’s vita</w:t>
      </w:r>
      <w:r>
        <w:rPr>
          <w:rFonts w:cs="Times New Roman"/>
        </w:rPr>
        <w:t>l signs, which were stable. Mr. </w:t>
      </w:r>
      <w:r w:rsidR="0059587F" w:rsidRPr="006E4716">
        <w:rPr>
          <w:rFonts w:cs="Times New Roman"/>
        </w:rPr>
        <w:t xml:space="preserve">Matern had no </w:t>
      </w:r>
      <w:r w:rsidR="0059587F" w:rsidRPr="006E4716">
        <w:rPr>
          <w:rFonts w:cs="Times New Roman"/>
        </w:rPr>
        <w:lastRenderedPageBreak/>
        <w:t>fever, was not experiencing confusion, and there was no sign of infection on the site of the injection.</w:t>
      </w:r>
    </w:p>
    <w:p w:rsidR="0059587F" w:rsidRPr="006E4716" w:rsidRDefault="00571427" w:rsidP="0059587F">
      <w:pPr>
        <w:pStyle w:val="ParaNoNdepar-AltN"/>
        <w:numPr>
          <w:ilvl w:val="0"/>
          <w:numId w:val="2"/>
        </w:numPr>
        <w:rPr>
          <w:rFonts w:cs="Times New Roman"/>
        </w:rPr>
      </w:pPr>
      <w:r>
        <w:rPr>
          <w:rFonts w:cs="Times New Roman"/>
        </w:rPr>
        <w:t>Throughout Ms. </w:t>
      </w:r>
      <w:r w:rsidR="0059587F" w:rsidRPr="006E4716">
        <w:rPr>
          <w:rFonts w:cs="Times New Roman"/>
        </w:rPr>
        <w:t xml:space="preserve">Javanmardi’s career, no patient had ever been infected during an intravenous </w:t>
      </w:r>
      <w:r w:rsidR="00636F70">
        <w:rPr>
          <w:rFonts w:cs="Times New Roman"/>
        </w:rPr>
        <w:t>injection. She thought that Mr. </w:t>
      </w:r>
      <w:r w:rsidR="0059587F" w:rsidRPr="006E4716">
        <w:rPr>
          <w:rFonts w:cs="Times New Roman"/>
        </w:rPr>
        <w:t>Matern could be having a hypoglycaemic reaction and s</w:t>
      </w:r>
      <w:r w:rsidR="00636F70">
        <w:rPr>
          <w:rFonts w:cs="Times New Roman"/>
        </w:rPr>
        <w:t>uggested he eat some sugar. Mr. </w:t>
      </w:r>
      <w:r w:rsidR="0059587F" w:rsidRPr="006E4716">
        <w:rPr>
          <w:rFonts w:cs="Times New Roman"/>
        </w:rPr>
        <w:t>Matern consumed a spoonful of honey and orange juice.</w:t>
      </w:r>
    </w:p>
    <w:p w:rsidR="0059587F" w:rsidRPr="006E4716" w:rsidRDefault="00844781" w:rsidP="0059587F">
      <w:pPr>
        <w:pStyle w:val="ParaNoNdepar-AltN"/>
        <w:numPr>
          <w:ilvl w:val="0"/>
          <w:numId w:val="2"/>
        </w:numPr>
        <w:rPr>
          <w:rFonts w:cs="Times New Roman"/>
        </w:rPr>
      </w:pPr>
      <w:r>
        <w:rPr>
          <w:rFonts w:cs="Times New Roman"/>
        </w:rPr>
        <w:t>Despite his symptoms, Mr. </w:t>
      </w:r>
      <w:r w:rsidR="0059587F" w:rsidRPr="006E4716">
        <w:rPr>
          <w:rFonts w:cs="Times New Roman"/>
        </w:rPr>
        <w:t>Matern said that he did not want to go to the hospital. His wife and daughter took him home. In a call later that day with Mr.</w:t>
      </w:r>
      <w:r w:rsidR="00355BC0">
        <w:rPr>
          <w:rFonts w:cs="Times New Roman"/>
        </w:rPr>
        <w:t> </w:t>
      </w:r>
      <w:r w:rsidR="0059587F" w:rsidRPr="006E4716">
        <w:rPr>
          <w:rFonts w:cs="Times New Roman"/>
        </w:rPr>
        <w:t>Matern’s daughter, Ms</w:t>
      </w:r>
      <w:r w:rsidR="00571427">
        <w:rPr>
          <w:rFonts w:cs="Times New Roman"/>
        </w:rPr>
        <w:t>. </w:t>
      </w:r>
      <w:r>
        <w:rPr>
          <w:rFonts w:cs="Times New Roman"/>
        </w:rPr>
        <w:t>Javanmardi explained that Mr. </w:t>
      </w:r>
      <w:r w:rsidR="0059587F" w:rsidRPr="006E4716">
        <w:rPr>
          <w:rFonts w:cs="Times New Roman"/>
        </w:rPr>
        <w:t>Matern needed to stay hydrated and advised his daughter to take him to the hospital if she was unable to keep him hydrated.</w:t>
      </w:r>
    </w:p>
    <w:p w:rsidR="0059587F" w:rsidRPr="006E4716" w:rsidRDefault="00251B1D" w:rsidP="0059587F">
      <w:pPr>
        <w:pStyle w:val="ParaNoNdepar-AltN"/>
        <w:numPr>
          <w:ilvl w:val="0"/>
          <w:numId w:val="2"/>
        </w:numPr>
        <w:rPr>
          <w:rFonts w:cs="Times New Roman"/>
        </w:rPr>
      </w:pPr>
      <w:r>
        <w:rPr>
          <w:rFonts w:cs="Times New Roman"/>
        </w:rPr>
        <w:t>That night, Mr. </w:t>
      </w:r>
      <w:r w:rsidR="0059587F" w:rsidRPr="006E4716">
        <w:rPr>
          <w:rFonts w:cs="Times New Roman"/>
        </w:rPr>
        <w:t>Matern’s daughter called an ambulance because she was concerned that her father’s condition was worsening. Doctors at the hospital note</w:t>
      </w:r>
      <w:r>
        <w:rPr>
          <w:rFonts w:cs="Times New Roman"/>
        </w:rPr>
        <w:t>d signs of endotoxic shock. Mr. </w:t>
      </w:r>
      <w:r w:rsidR="0059587F" w:rsidRPr="006E4716">
        <w:rPr>
          <w:rFonts w:cs="Times New Roman"/>
        </w:rPr>
        <w:t>Matern’s symptoms continued to worsen and he died of endotoxic shock some hours later.</w:t>
      </w:r>
    </w:p>
    <w:p w:rsidR="0059587F" w:rsidRPr="006E4716" w:rsidRDefault="00571427" w:rsidP="0059587F">
      <w:pPr>
        <w:pStyle w:val="ParaNoNdepar-AltN"/>
        <w:numPr>
          <w:ilvl w:val="0"/>
          <w:numId w:val="2"/>
        </w:numPr>
        <w:tabs>
          <w:tab w:val="clear" w:pos="1152"/>
          <w:tab w:val="left" w:pos="1166"/>
        </w:tabs>
        <w:rPr>
          <w:rFonts w:cs="Times New Roman"/>
        </w:rPr>
      </w:pPr>
      <w:r>
        <w:rPr>
          <w:rFonts w:cs="Times New Roman"/>
        </w:rPr>
        <w:t>Ms. </w:t>
      </w:r>
      <w:r w:rsidR="0059587F" w:rsidRPr="006E4716">
        <w:rPr>
          <w:rFonts w:cs="Times New Roman"/>
        </w:rPr>
        <w:t xml:space="preserve">Javanmardi was charged with criminal negligence causing death contrary to s. 220(b) of the </w:t>
      </w:r>
      <w:r w:rsidR="0059587F" w:rsidRPr="006E4716">
        <w:rPr>
          <w:rFonts w:cs="Times New Roman"/>
          <w:i/>
        </w:rPr>
        <w:t>Criminal Code</w:t>
      </w:r>
      <w:r w:rsidR="0059587F" w:rsidRPr="006E4716">
        <w:rPr>
          <w:rFonts w:cs="Times New Roman"/>
        </w:rPr>
        <w:t xml:space="preserve">, R.S.C. 1985, c. C-46, and manslaughter, contrary to ss. 234 and 236(b) of the </w:t>
      </w:r>
      <w:r w:rsidR="0059587F" w:rsidRPr="006E4716">
        <w:rPr>
          <w:rFonts w:cs="Times New Roman"/>
          <w:i/>
        </w:rPr>
        <w:t>Criminal Code</w:t>
      </w:r>
      <w:r w:rsidR="0059587F" w:rsidRPr="006E4716">
        <w:rPr>
          <w:rFonts w:cs="Times New Roman"/>
        </w:rPr>
        <w:t>.</w:t>
      </w:r>
    </w:p>
    <w:p w:rsidR="0059587F" w:rsidRPr="006E4716" w:rsidRDefault="0059587F" w:rsidP="0059587F">
      <w:pPr>
        <w:pStyle w:val="ParaNoNdepar-AltN"/>
        <w:numPr>
          <w:ilvl w:val="0"/>
          <w:numId w:val="2"/>
        </w:numPr>
        <w:rPr>
          <w:rFonts w:cs="Times New Roman"/>
        </w:rPr>
      </w:pPr>
      <w:r w:rsidRPr="006E4716">
        <w:rPr>
          <w:rFonts w:cs="Times New Roman"/>
        </w:rPr>
        <w:lastRenderedPageBreak/>
        <w:t xml:space="preserve">At trial, the </w:t>
      </w:r>
      <w:r w:rsidR="00571427">
        <w:rPr>
          <w:rFonts w:cs="Times New Roman"/>
        </w:rPr>
        <w:t>Crown identified several of Ms. </w:t>
      </w:r>
      <w:r w:rsidRPr="006E4716">
        <w:rPr>
          <w:rFonts w:cs="Times New Roman"/>
        </w:rPr>
        <w:t xml:space="preserve">Javanmardi’s acts or omissions as the bases for criminal negligence causing death and as predicate offences for unlawful act manslaughter. Of these, only one act, the intravenous injection administered contrary to s. 31 of Quebec’s </w:t>
      </w:r>
      <w:r w:rsidRPr="006E4716">
        <w:rPr>
          <w:rFonts w:cs="Times New Roman"/>
          <w:i/>
        </w:rPr>
        <w:t>Medical Act</w:t>
      </w:r>
      <w:r w:rsidRPr="006E4716">
        <w:rPr>
          <w:rFonts w:cs="Times New Roman"/>
        </w:rPr>
        <w:t>, CQLR, c. M-9, was argued before this Court as the basis for both charges.</w:t>
      </w:r>
      <w:r w:rsidRPr="00463BCD">
        <w:rPr>
          <w:rStyle w:val="Hyperlink"/>
          <w:vertAlign w:val="superscript"/>
        </w:rPr>
        <w:footnoteReference w:id="1"/>
      </w:r>
    </w:p>
    <w:p w:rsidR="0059587F" w:rsidRPr="006E4716" w:rsidRDefault="0059587F" w:rsidP="0059587F">
      <w:pPr>
        <w:pStyle w:val="ParaNoNdepar-AltN"/>
        <w:numPr>
          <w:ilvl w:val="0"/>
          <w:numId w:val="2"/>
        </w:numPr>
        <w:rPr>
          <w:rFonts w:cs="Times New Roman"/>
        </w:rPr>
      </w:pPr>
      <w:r w:rsidRPr="006E4716">
        <w:rPr>
          <w:rFonts w:cs="Times New Roman"/>
        </w:rPr>
        <w:t>The trial lasted for 39 days. In a 50-page, 453-paragraph judgment which thoroughly and carefully ca</w:t>
      </w:r>
      <w:r w:rsidR="00B54EBB">
        <w:rPr>
          <w:rFonts w:cs="Times New Roman"/>
        </w:rPr>
        <w:t>nvassed the evidence, Villemure </w:t>
      </w:r>
      <w:r w:rsidRPr="006E4716">
        <w:rPr>
          <w:rFonts w:cs="Times New Roman"/>
        </w:rPr>
        <w:t>J. made the following findings of fact:</w:t>
      </w:r>
    </w:p>
    <w:p w:rsidR="0059587F" w:rsidRPr="006E4716" w:rsidRDefault="0059587F" w:rsidP="00A12F28">
      <w:pPr>
        <w:pStyle w:val="ParaNoNdepar-AltN"/>
        <w:numPr>
          <w:ilvl w:val="0"/>
          <w:numId w:val="3"/>
        </w:numPr>
        <w:spacing w:before="240" w:after="240" w:line="240" w:lineRule="auto"/>
        <w:rPr>
          <w:rFonts w:cs="Times New Roman"/>
        </w:rPr>
      </w:pPr>
      <w:r w:rsidRPr="006E4716">
        <w:rPr>
          <w:rFonts w:cs="Times New Roman"/>
        </w:rPr>
        <w:t xml:space="preserve">According to the expert evidence, the nutrients </w:t>
      </w:r>
      <w:r w:rsidR="00571427">
        <w:rPr>
          <w:rFonts w:cs="Times New Roman"/>
        </w:rPr>
        <w:t>Ms. </w:t>
      </w:r>
      <w:r w:rsidR="000B6AF9">
        <w:rPr>
          <w:rFonts w:cs="Times New Roman"/>
        </w:rPr>
        <w:t>Javanmardi selected for Mr. </w:t>
      </w:r>
      <w:r w:rsidRPr="006E4716">
        <w:rPr>
          <w:rFonts w:cs="Times New Roman"/>
        </w:rPr>
        <w:t>Matern’s intravenous injection were “benign” and “potentially helpful”;</w:t>
      </w:r>
    </w:p>
    <w:p w:rsidR="0059587F" w:rsidRPr="006E4716" w:rsidRDefault="0059587F" w:rsidP="00A12F28">
      <w:pPr>
        <w:pStyle w:val="ParaNoNdepar-AltN"/>
        <w:numPr>
          <w:ilvl w:val="0"/>
          <w:numId w:val="3"/>
        </w:numPr>
        <w:spacing w:before="240" w:after="240" w:line="240" w:lineRule="auto"/>
        <w:rPr>
          <w:rFonts w:cs="Times New Roman"/>
        </w:rPr>
      </w:pPr>
      <w:r w:rsidRPr="006E4716">
        <w:rPr>
          <w:rFonts w:cs="Times New Roman"/>
        </w:rPr>
        <w:t>Ms.</w:t>
      </w:r>
      <w:r w:rsidR="00571427">
        <w:rPr>
          <w:rFonts w:cs="Times New Roman"/>
        </w:rPr>
        <w:t> </w:t>
      </w:r>
      <w:r w:rsidRPr="006E4716">
        <w:rPr>
          <w:rFonts w:cs="Times New Roman"/>
        </w:rPr>
        <w:t xml:space="preserve">Javanmardi had the required skills to administer intravenous injections. She has a degree in science from McGill University and a </w:t>
      </w:r>
      <w:r w:rsidRPr="006E4716">
        <w:rPr>
          <w:rFonts w:cs="Times New Roman"/>
        </w:rPr>
        <w:lastRenderedPageBreak/>
        <w:t>doctorate in naturopathic medicine from the National College of Naturopathic Medicine. This university is recognized in its field. Her four-year education there included one year of courses based on traditional medicine. She was also trained in the administration of intravenous injections, pharmacology, and the interaction of nutrients with other medications. In addition, she got a diploma from the Homeopathic Academy of Naturopathic Physicians, which inv</w:t>
      </w:r>
      <w:r w:rsidR="00955ED3">
        <w:rPr>
          <w:rFonts w:cs="Times New Roman"/>
        </w:rPr>
        <w:t>olved 500 hours of courses. Ms. </w:t>
      </w:r>
      <w:r w:rsidRPr="006E4716">
        <w:rPr>
          <w:rFonts w:cs="Times New Roman"/>
        </w:rPr>
        <w:t>Javanmardi acquired further skills by practicing naturopathy at her clinic since 1985, and she had almost two decades of experience in administering intravenous injections to patients;</w:t>
      </w:r>
    </w:p>
    <w:p w:rsidR="0059587F" w:rsidRPr="006E4716" w:rsidRDefault="0059587F" w:rsidP="00A12F28">
      <w:pPr>
        <w:pStyle w:val="ParaNoNdepar-AltN"/>
        <w:numPr>
          <w:ilvl w:val="0"/>
          <w:numId w:val="3"/>
        </w:numPr>
        <w:spacing w:before="240" w:after="240" w:line="240" w:lineRule="auto"/>
        <w:rPr>
          <w:rFonts w:cs="Times New Roman"/>
        </w:rPr>
      </w:pPr>
      <w:r w:rsidRPr="006E4716">
        <w:rPr>
          <w:rFonts w:cs="Times New Roman"/>
        </w:rPr>
        <w:t>While Quebec doe</w:t>
      </w:r>
      <w:r w:rsidR="00955ED3">
        <w:rPr>
          <w:rFonts w:cs="Times New Roman"/>
        </w:rPr>
        <w:t>s not regulate naturopathy, Ms. </w:t>
      </w:r>
      <w:r w:rsidRPr="006E4716">
        <w:rPr>
          <w:rFonts w:cs="Times New Roman"/>
        </w:rPr>
        <w:t>Javanmardi aligned her professional standards with the regulations in other provinces;</w:t>
      </w:r>
    </w:p>
    <w:p w:rsidR="0059587F" w:rsidRPr="006E4716" w:rsidRDefault="00955ED3" w:rsidP="00A12F28">
      <w:pPr>
        <w:pStyle w:val="ParaNoNdepar-AltN"/>
        <w:numPr>
          <w:ilvl w:val="0"/>
          <w:numId w:val="3"/>
        </w:numPr>
        <w:spacing w:before="240" w:after="240" w:line="240" w:lineRule="auto"/>
        <w:rPr>
          <w:rFonts w:cs="Times New Roman"/>
        </w:rPr>
      </w:pPr>
      <w:r>
        <w:rPr>
          <w:rFonts w:cs="Times New Roman"/>
        </w:rPr>
        <w:t>Ms. </w:t>
      </w:r>
      <w:r w:rsidR="0059587F" w:rsidRPr="006E4716">
        <w:rPr>
          <w:rFonts w:cs="Times New Roman"/>
        </w:rPr>
        <w:t>Javanmardi purchased her nutrients from a reputable Ontario pharmacy that complied with provincial health and safety re</w:t>
      </w:r>
      <w:r>
        <w:rPr>
          <w:rFonts w:cs="Times New Roman"/>
        </w:rPr>
        <w:t>gulations. As a naturopath, Ms. </w:t>
      </w:r>
      <w:r w:rsidR="0059587F" w:rsidRPr="006E4716">
        <w:rPr>
          <w:rFonts w:cs="Times New Roman"/>
        </w:rPr>
        <w:t>Javanmardi was authorized to purchase those nutrients in Ontario;</w:t>
      </w:r>
    </w:p>
    <w:p w:rsidR="0059587F" w:rsidRPr="006E4716" w:rsidRDefault="00955ED3" w:rsidP="00A12F28">
      <w:pPr>
        <w:pStyle w:val="ParaNoNdepar-AltN"/>
        <w:numPr>
          <w:ilvl w:val="0"/>
          <w:numId w:val="3"/>
        </w:numPr>
        <w:spacing w:before="240" w:after="240" w:line="240" w:lineRule="auto"/>
        <w:rPr>
          <w:rFonts w:cs="Times New Roman"/>
        </w:rPr>
      </w:pPr>
      <w:r>
        <w:rPr>
          <w:rFonts w:cs="Times New Roman"/>
        </w:rPr>
        <w:t>Ms. </w:t>
      </w:r>
      <w:r w:rsidR="0059587F" w:rsidRPr="006E4716">
        <w:rPr>
          <w:rFonts w:cs="Times New Roman"/>
        </w:rPr>
        <w:t>Javanmardi was knowledgeable about nutrients. This enabled her to identify which ones correspond to the specific needs of differen</w:t>
      </w:r>
      <w:r w:rsidR="000B6AF9">
        <w:rPr>
          <w:rFonts w:cs="Times New Roman"/>
        </w:rPr>
        <w:t>t patients. The information Mr. </w:t>
      </w:r>
      <w:r w:rsidR="0059587F" w:rsidRPr="006E4716">
        <w:rPr>
          <w:rFonts w:cs="Times New Roman"/>
        </w:rPr>
        <w:t>Matern gave to Ms.</w:t>
      </w:r>
      <w:r>
        <w:rPr>
          <w:rFonts w:cs="Times New Roman"/>
        </w:rPr>
        <w:t> </w:t>
      </w:r>
      <w:r w:rsidR="0059587F" w:rsidRPr="006E4716">
        <w:rPr>
          <w:rFonts w:cs="Times New Roman"/>
        </w:rPr>
        <w:t>Javanmardi about his medical c</w:t>
      </w:r>
      <w:r>
        <w:rPr>
          <w:rFonts w:cs="Times New Roman"/>
        </w:rPr>
        <w:t>ondition was sufficient for Ms. </w:t>
      </w:r>
      <w:r w:rsidR="0059587F" w:rsidRPr="006E4716">
        <w:rPr>
          <w:rFonts w:cs="Times New Roman"/>
        </w:rPr>
        <w:t>Javanmardi to determine which nutrients could ameliorate his condition;</w:t>
      </w:r>
    </w:p>
    <w:p w:rsidR="0059587F" w:rsidRPr="006E4716" w:rsidRDefault="0059587F" w:rsidP="00A12F28">
      <w:pPr>
        <w:pStyle w:val="ParaNoNdepar-AltN"/>
        <w:numPr>
          <w:ilvl w:val="0"/>
          <w:numId w:val="3"/>
        </w:numPr>
        <w:spacing w:before="240" w:after="240" w:line="240" w:lineRule="auto"/>
        <w:rPr>
          <w:rFonts w:cs="Times New Roman"/>
        </w:rPr>
      </w:pPr>
      <w:r w:rsidRPr="006E4716">
        <w:rPr>
          <w:rFonts w:cs="Times New Roman"/>
        </w:rPr>
        <w:t>Ms.</w:t>
      </w:r>
      <w:r w:rsidR="00955ED3">
        <w:rPr>
          <w:rFonts w:cs="Times New Roman"/>
        </w:rPr>
        <w:t> </w:t>
      </w:r>
      <w:r w:rsidRPr="006E4716">
        <w:rPr>
          <w:rFonts w:cs="Times New Roman"/>
        </w:rPr>
        <w:t>Javanmardi was alive to the need to observe sterilization protocols for administering intravenous injections and had taken sufficient precautionary measures to prevent contamination. The way she stored and preserved the vials used for intravenous injections, including in this case, aligned with the specific properties of each vial and with the instructions of the pharmacist who supplied them;</w:t>
      </w:r>
    </w:p>
    <w:p w:rsidR="0059587F" w:rsidRDefault="000B6AF9" w:rsidP="00A12F28">
      <w:pPr>
        <w:pStyle w:val="ParaNoNdepar-AltN"/>
        <w:numPr>
          <w:ilvl w:val="0"/>
          <w:numId w:val="3"/>
        </w:numPr>
        <w:spacing w:before="240" w:after="240" w:line="240" w:lineRule="auto"/>
        <w:rPr>
          <w:rFonts w:cs="Times New Roman"/>
        </w:rPr>
      </w:pPr>
      <w:r>
        <w:rPr>
          <w:rFonts w:cs="Times New Roman"/>
        </w:rPr>
        <w:t>Mr. </w:t>
      </w:r>
      <w:r w:rsidR="00955ED3">
        <w:rPr>
          <w:rFonts w:cs="Times New Roman"/>
        </w:rPr>
        <w:t>Matern knew that Ms. </w:t>
      </w:r>
      <w:r w:rsidR="0059587F" w:rsidRPr="006E4716">
        <w:rPr>
          <w:rFonts w:cs="Times New Roman"/>
        </w:rPr>
        <w:t>Java</w:t>
      </w:r>
      <w:r>
        <w:rPr>
          <w:rFonts w:cs="Times New Roman"/>
        </w:rPr>
        <w:t>nmardi was not a physician. Mr. </w:t>
      </w:r>
      <w:r w:rsidR="0059587F" w:rsidRPr="006E4716">
        <w:rPr>
          <w:rFonts w:cs="Times New Roman"/>
        </w:rPr>
        <w:t>Matern immediately wanted an intravenous injection of nutrients and validly consented to the procedure; and</w:t>
      </w:r>
    </w:p>
    <w:p w:rsidR="0059587F" w:rsidRPr="00F47A61" w:rsidRDefault="000B6AF9" w:rsidP="00A12F28">
      <w:pPr>
        <w:pStyle w:val="ParaNoNdepar-AltN"/>
        <w:numPr>
          <w:ilvl w:val="0"/>
          <w:numId w:val="3"/>
        </w:numPr>
        <w:spacing w:before="240" w:after="720" w:line="240" w:lineRule="auto"/>
        <w:rPr>
          <w:rFonts w:cs="Times New Roman"/>
        </w:rPr>
      </w:pPr>
      <w:r>
        <w:rPr>
          <w:rFonts w:cs="Times New Roman"/>
        </w:rPr>
        <w:t>Mr. </w:t>
      </w:r>
      <w:r w:rsidR="0059587F" w:rsidRPr="00F47A61">
        <w:rPr>
          <w:rFonts w:cs="Times New Roman"/>
        </w:rPr>
        <w:t xml:space="preserve">Matern died of endotoxic shock attributable to the presence of bacteria in the </w:t>
      </w:r>
      <w:r w:rsidR="00E159C8">
        <w:rPr>
          <w:rFonts w:cs="Times New Roman"/>
        </w:rPr>
        <w:t>L-Carnitine vial from which Ms. </w:t>
      </w:r>
      <w:r w:rsidR="0059587F" w:rsidRPr="00F47A61">
        <w:rPr>
          <w:rFonts w:cs="Times New Roman"/>
        </w:rPr>
        <w:t xml:space="preserve">Javanmardi drew nutrients for his injection. Due to the high concentration of bacteria </w:t>
      </w:r>
      <w:r>
        <w:rPr>
          <w:rFonts w:cs="Times New Roman"/>
        </w:rPr>
        <w:t>in the injected solution, Mr. </w:t>
      </w:r>
      <w:r w:rsidR="0059587F" w:rsidRPr="00F47A61">
        <w:rPr>
          <w:rFonts w:cs="Times New Roman"/>
        </w:rPr>
        <w:t>Matern’s death was inevitable from the moment he was given the intravenous injection.</w:t>
      </w:r>
    </w:p>
    <w:p w:rsidR="0059587F" w:rsidRPr="006E4716" w:rsidRDefault="00B54EBB" w:rsidP="0059587F">
      <w:pPr>
        <w:pStyle w:val="ParaNoNdepar-AltN"/>
        <w:rPr>
          <w:rFonts w:cs="Times New Roman"/>
        </w:rPr>
      </w:pPr>
      <w:r>
        <w:rPr>
          <w:rFonts w:cs="Times New Roman"/>
        </w:rPr>
        <w:lastRenderedPageBreak/>
        <w:t>Villemure </w:t>
      </w:r>
      <w:r w:rsidR="00E159C8">
        <w:rPr>
          <w:rFonts w:cs="Times New Roman"/>
        </w:rPr>
        <w:t>J. was satisfied that Ms. </w:t>
      </w:r>
      <w:r w:rsidR="0059587F" w:rsidRPr="006E4716">
        <w:rPr>
          <w:rFonts w:cs="Times New Roman"/>
        </w:rPr>
        <w:t>Javanmardi had the necessary skills to administer intravenous injections, had observed the required protocols and had taken sufficient precautions at every stage of the process.</w:t>
      </w:r>
    </w:p>
    <w:p w:rsidR="0059587F" w:rsidRPr="006E4716" w:rsidRDefault="0059587F" w:rsidP="0059587F">
      <w:pPr>
        <w:pStyle w:val="ParaNoNdepar-AltN"/>
        <w:numPr>
          <w:ilvl w:val="0"/>
          <w:numId w:val="2"/>
        </w:numPr>
        <w:rPr>
          <w:rFonts w:cs="Times New Roman"/>
        </w:rPr>
      </w:pPr>
      <w:r w:rsidRPr="006E4716">
        <w:rPr>
          <w:rFonts w:cs="Times New Roman"/>
        </w:rPr>
        <w:t>Bas</w:t>
      </w:r>
      <w:r w:rsidR="00B54EBB">
        <w:rPr>
          <w:rFonts w:cs="Times New Roman"/>
        </w:rPr>
        <w:t>ed on these findings, Villemure </w:t>
      </w:r>
      <w:r w:rsidRPr="006E4716">
        <w:rPr>
          <w:rFonts w:cs="Times New Roman"/>
        </w:rPr>
        <w:t>J. acquitted Ms.</w:t>
      </w:r>
      <w:r w:rsidR="003743BB">
        <w:rPr>
          <w:rFonts w:cs="Times New Roman"/>
        </w:rPr>
        <w:t> </w:t>
      </w:r>
      <w:r w:rsidRPr="006E4716">
        <w:rPr>
          <w:rFonts w:cs="Times New Roman"/>
        </w:rPr>
        <w:t>Javanmardi of both charges. As to the charge of criminal negl</w:t>
      </w:r>
      <w:r w:rsidR="00B54EBB">
        <w:rPr>
          <w:rFonts w:cs="Times New Roman"/>
        </w:rPr>
        <w:t>igence causing death, Villemure </w:t>
      </w:r>
      <w:r w:rsidR="003743BB">
        <w:rPr>
          <w:rFonts w:cs="Times New Roman"/>
        </w:rPr>
        <w:t>J. concluded that Ms. </w:t>
      </w:r>
      <w:r w:rsidRPr="006E4716">
        <w:rPr>
          <w:rFonts w:cs="Times New Roman"/>
        </w:rPr>
        <w:t xml:space="preserve">Javanmardi’s conduct did not show a marked departure from the standard of care that a reasonable person in her circumstances </w:t>
      </w:r>
      <w:r w:rsidR="00B54EBB">
        <w:rPr>
          <w:rFonts w:cs="Times New Roman"/>
        </w:rPr>
        <w:t>would have exercised. Villemure </w:t>
      </w:r>
      <w:r w:rsidRPr="006E4716">
        <w:rPr>
          <w:rFonts w:cs="Times New Roman"/>
        </w:rPr>
        <w:t>J. was not satisfied that a reasonable person would have been aw</w:t>
      </w:r>
      <w:r w:rsidR="003743BB">
        <w:rPr>
          <w:rFonts w:cs="Times New Roman"/>
        </w:rPr>
        <w:t>are of any risk inherent in Ms. </w:t>
      </w:r>
      <w:r w:rsidRPr="006E4716">
        <w:rPr>
          <w:rFonts w:cs="Times New Roman"/>
        </w:rPr>
        <w:t>Javanmardi’s conduct and therefore concluded that the Crown had not proved bey</w:t>
      </w:r>
      <w:r w:rsidR="003743BB">
        <w:rPr>
          <w:rFonts w:cs="Times New Roman"/>
        </w:rPr>
        <w:t>ond a reasonable doubt that Ms. </w:t>
      </w:r>
      <w:r w:rsidRPr="006E4716">
        <w:rPr>
          <w:rFonts w:cs="Times New Roman"/>
        </w:rPr>
        <w:t>Javanmardi’s conduct showed wanto</w:t>
      </w:r>
      <w:r w:rsidR="000B6AF9">
        <w:rPr>
          <w:rFonts w:cs="Times New Roman"/>
        </w:rPr>
        <w:t>n or reckless disregard for Mr. </w:t>
      </w:r>
      <w:r w:rsidRPr="006E4716">
        <w:rPr>
          <w:rFonts w:cs="Times New Roman"/>
        </w:rPr>
        <w:t xml:space="preserve">Matern’s life or safety. </w:t>
      </w:r>
    </w:p>
    <w:p w:rsidR="0059587F" w:rsidRPr="006E4716" w:rsidRDefault="0059587F" w:rsidP="0059587F">
      <w:pPr>
        <w:pStyle w:val="ParaNoNdepar-AltN"/>
        <w:numPr>
          <w:ilvl w:val="0"/>
          <w:numId w:val="2"/>
        </w:numPr>
        <w:rPr>
          <w:rFonts w:cs="Times New Roman"/>
        </w:rPr>
      </w:pPr>
      <w:r w:rsidRPr="006E4716">
        <w:rPr>
          <w:rFonts w:cs="Times New Roman"/>
        </w:rPr>
        <w:t xml:space="preserve">In dealing with the unlawful act manslaughter charge, and focusing on the “unlawful act” of administering an intravenous injection contrary to Quebec’s </w:t>
      </w:r>
      <w:r w:rsidRPr="006E4716">
        <w:rPr>
          <w:rFonts w:cs="Times New Roman"/>
          <w:i/>
        </w:rPr>
        <w:t>Medical Act</w:t>
      </w:r>
      <w:r w:rsidR="00B54EBB">
        <w:rPr>
          <w:rFonts w:cs="Times New Roman"/>
        </w:rPr>
        <w:t>, Villemure </w:t>
      </w:r>
      <w:r w:rsidRPr="006E4716">
        <w:rPr>
          <w:rFonts w:cs="Times New Roman"/>
        </w:rPr>
        <w:t>J. concluded that the intravenous injection was not objectively danger</w:t>
      </w:r>
      <w:r w:rsidR="00B31BEF">
        <w:rPr>
          <w:rFonts w:cs="Times New Roman"/>
        </w:rPr>
        <w:t>ous. A reasonable person in Ms. </w:t>
      </w:r>
      <w:r w:rsidRPr="006E4716">
        <w:rPr>
          <w:rFonts w:cs="Times New Roman"/>
        </w:rPr>
        <w:t xml:space="preserve">Javanmardi’s circumstances would not have foreseen that intravenously administering a benign solution, in accordance with proper procedures, would create a risk of harm. </w:t>
      </w:r>
    </w:p>
    <w:p w:rsidR="0059587F" w:rsidRPr="006E4716" w:rsidRDefault="0059587F" w:rsidP="0059587F">
      <w:pPr>
        <w:pStyle w:val="ParaNoNdepar-AltN"/>
        <w:numPr>
          <w:ilvl w:val="0"/>
          <w:numId w:val="2"/>
        </w:numPr>
        <w:rPr>
          <w:rFonts w:cs="Times New Roman"/>
        </w:rPr>
      </w:pPr>
      <w:r w:rsidRPr="006E4716">
        <w:rPr>
          <w:rFonts w:cs="Times New Roman"/>
        </w:rPr>
        <w:t>Having acqu</w:t>
      </w:r>
      <w:r w:rsidR="00B31BEF">
        <w:rPr>
          <w:rFonts w:cs="Times New Roman"/>
        </w:rPr>
        <w:t>itted Ms. </w:t>
      </w:r>
      <w:r w:rsidR="00B54EBB">
        <w:rPr>
          <w:rFonts w:cs="Times New Roman"/>
        </w:rPr>
        <w:t>Javanmardi, Villemure </w:t>
      </w:r>
      <w:r w:rsidRPr="006E4716">
        <w:rPr>
          <w:rFonts w:cs="Times New Roman"/>
        </w:rPr>
        <w:t>J. declined to consider supp</w:t>
      </w:r>
      <w:r w:rsidR="00B31BEF">
        <w:rPr>
          <w:rFonts w:cs="Times New Roman"/>
        </w:rPr>
        <w:t>lementary arguments made by Ms. </w:t>
      </w:r>
      <w:r w:rsidRPr="006E4716">
        <w:rPr>
          <w:rFonts w:cs="Times New Roman"/>
        </w:rPr>
        <w:t>Javanmardi’s counsel about the constitutionality of the offences under which she had been charged.</w:t>
      </w:r>
    </w:p>
    <w:p w:rsidR="0059587F" w:rsidRPr="006E4716" w:rsidRDefault="0059587F" w:rsidP="0059587F">
      <w:pPr>
        <w:pStyle w:val="ParaNoNdepar-AltN"/>
        <w:numPr>
          <w:ilvl w:val="0"/>
          <w:numId w:val="2"/>
        </w:numPr>
        <w:tabs>
          <w:tab w:val="clear" w:pos="1152"/>
          <w:tab w:val="left" w:pos="1166"/>
        </w:tabs>
        <w:rPr>
          <w:rFonts w:cs="Times New Roman"/>
          <w:u w:val="single"/>
        </w:rPr>
      </w:pPr>
      <w:r w:rsidRPr="006E4716">
        <w:rPr>
          <w:rFonts w:cs="Times New Roman"/>
        </w:rPr>
        <w:lastRenderedPageBreak/>
        <w:t>The Court of Appeal set aside both acquittals. It concluded that Villemure</w:t>
      </w:r>
      <w:r w:rsidR="00B54EBB">
        <w:rPr>
          <w:rFonts w:cs="Times New Roman"/>
        </w:rPr>
        <w:t> </w:t>
      </w:r>
      <w:r w:rsidRPr="006E4716">
        <w:rPr>
          <w:rFonts w:cs="Times New Roman"/>
        </w:rPr>
        <w:t>J. misstated the elements of unlawful act manslaughter and criminal negligence causing death, and further erred by co</w:t>
      </w:r>
      <w:r w:rsidR="00726956">
        <w:rPr>
          <w:rFonts w:cs="Times New Roman"/>
        </w:rPr>
        <w:t>nsidering the training that Ms. </w:t>
      </w:r>
      <w:r w:rsidRPr="006E4716">
        <w:rPr>
          <w:rFonts w:cs="Times New Roman"/>
        </w:rPr>
        <w:t>Javanmardi had received in the course of her education to become a naturopath. In the Court of Appeal’s view, the intravenous injection was objectively dangerous and Ms.</w:t>
      </w:r>
      <w:r w:rsidR="00C210A1">
        <w:rPr>
          <w:rFonts w:cs="Times New Roman"/>
        </w:rPr>
        <w:t> </w:t>
      </w:r>
      <w:r w:rsidRPr="006E4716">
        <w:rPr>
          <w:rFonts w:cs="Times New Roman"/>
        </w:rPr>
        <w:t>Javanmardi’s conduct constituted a marked departure from the reasonable person standard. The Court of Appeal substituted a conviction on the charge of unlawful act manslaughter and ordered a new trial on the criminal negligence charge.</w:t>
      </w:r>
      <w:r w:rsidRPr="00463BCD">
        <w:rPr>
          <w:rStyle w:val="Hyperlink"/>
          <w:vertAlign w:val="superscript"/>
        </w:rPr>
        <w:footnoteReference w:id="2"/>
      </w:r>
      <w:r w:rsidRPr="006E4716">
        <w:rPr>
          <w:rFonts w:cs="Times New Roman"/>
        </w:rPr>
        <w:t xml:space="preserve"> The</w:t>
      </w:r>
      <w:r w:rsidRPr="006E4716">
        <w:rPr>
          <w:rFonts w:cs="Times New Roman"/>
          <w:b/>
        </w:rPr>
        <w:t xml:space="preserve"> </w:t>
      </w:r>
      <w:r w:rsidRPr="006E4716">
        <w:rPr>
          <w:rFonts w:cs="Times New Roman"/>
        </w:rPr>
        <w:t>Court of Appeal briefly considered — and rejected — Ms.</w:t>
      </w:r>
      <w:r w:rsidR="00C210A1">
        <w:rPr>
          <w:rFonts w:cs="Times New Roman"/>
        </w:rPr>
        <w:t> </w:t>
      </w:r>
      <w:r w:rsidRPr="006E4716">
        <w:rPr>
          <w:rFonts w:cs="Times New Roman"/>
        </w:rPr>
        <w:t>Javanmardi’s arguments that the provisions under which she was charged were unconstitutional.</w:t>
      </w:r>
    </w:p>
    <w:p w:rsidR="0059587F" w:rsidRPr="006E4716" w:rsidRDefault="0059587F" w:rsidP="0059587F">
      <w:pPr>
        <w:pStyle w:val="ParaNoNdepar-AltN"/>
        <w:numPr>
          <w:ilvl w:val="0"/>
          <w:numId w:val="2"/>
        </w:numPr>
        <w:tabs>
          <w:tab w:val="clear" w:pos="1152"/>
          <w:tab w:val="left" w:pos="1166"/>
        </w:tabs>
        <w:rPr>
          <w:rFonts w:cs="Times New Roman"/>
        </w:rPr>
      </w:pPr>
      <w:r w:rsidRPr="006E4716">
        <w:rPr>
          <w:rFonts w:cs="Times New Roman"/>
        </w:rPr>
        <w:t>For the follo</w:t>
      </w:r>
      <w:r w:rsidR="007915D3">
        <w:rPr>
          <w:rFonts w:cs="Times New Roman"/>
        </w:rPr>
        <w:t>wing reasons, I would allow Ms. </w:t>
      </w:r>
      <w:r w:rsidRPr="006E4716">
        <w:rPr>
          <w:rFonts w:cs="Times New Roman"/>
        </w:rPr>
        <w:t>Javanmardi’s appeal on both charges and restore the acquittals.</w:t>
      </w:r>
    </w:p>
    <w:p w:rsidR="0059587F" w:rsidRPr="006E4716" w:rsidRDefault="0059587F" w:rsidP="0059587F">
      <w:pPr>
        <w:pStyle w:val="TitleTitre-AltT"/>
        <w:rPr>
          <w:rFonts w:cs="Times New Roman"/>
          <w:u w:val="single"/>
        </w:rPr>
      </w:pPr>
      <w:r w:rsidRPr="006E4716">
        <w:rPr>
          <w:rFonts w:cs="Times New Roman"/>
          <w:u w:val="single"/>
        </w:rPr>
        <w:t>Analysis</w:t>
      </w:r>
    </w:p>
    <w:p w:rsidR="0059587F" w:rsidRPr="006E4716" w:rsidRDefault="0059587F" w:rsidP="0059587F">
      <w:pPr>
        <w:pStyle w:val="ParaNoNdepar-AltN"/>
        <w:numPr>
          <w:ilvl w:val="0"/>
          <w:numId w:val="2"/>
        </w:numPr>
        <w:rPr>
          <w:rFonts w:cs="Times New Roman"/>
        </w:rPr>
      </w:pPr>
      <w:r w:rsidRPr="006E4716">
        <w:rPr>
          <w:rFonts w:cs="Times New Roman"/>
        </w:rPr>
        <w:t xml:space="preserve">The charges for both criminal negligence causing death and unlawful act manslaughter were based on the same conduct: administering an intravenous injection contrary to Quebec’s </w:t>
      </w:r>
      <w:r w:rsidRPr="006E4716">
        <w:rPr>
          <w:rFonts w:cs="Times New Roman"/>
          <w:i/>
        </w:rPr>
        <w:t>Medical Act</w:t>
      </w:r>
      <w:r w:rsidRPr="006E4716">
        <w:rPr>
          <w:rFonts w:cs="Times New Roman"/>
        </w:rPr>
        <w:t xml:space="preserve">. As the facts of this case demonstrate, there is a great </w:t>
      </w:r>
      <w:r w:rsidRPr="006E4716">
        <w:rPr>
          <w:rFonts w:cs="Times New Roman"/>
        </w:rPr>
        <w:lastRenderedPageBreak/>
        <w:t>deal of overlap between unlawful act manslaughter and criminal negligence causing death. Nonetheless, to begin the analysis, the offences must be approached separately.</w:t>
      </w:r>
    </w:p>
    <w:p w:rsidR="0059587F" w:rsidRPr="006E4716" w:rsidRDefault="0059587F" w:rsidP="0059587F">
      <w:pPr>
        <w:pStyle w:val="ParaNoNdepar-AltN"/>
        <w:rPr>
          <w:rFonts w:cs="Times New Roman"/>
        </w:rPr>
      </w:pPr>
      <w:r w:rsidRPr="006E4716">
        <w:rPr>
          <w:rFonts w:cs="Times New Roman"/>
        </w:rPr>
        <w:t xml:space="preserve">The relevant </w:t>
      </w:r>
      <w:r w:rsidRPr="006E4716">
        <w:rPr>
          <w:rFonts w:cs="Times New Roman"/>
          <w:i/>
        </w:rPr>
        <w:t>Criminal Code</w:t>
      </w:r>
      <w:r w:rsidRPr="006E4716">
        <w:rPr>
          <w:rFonts w:cs="Times New Roman"/>
        </w:rPr>
        <w:t xml:space="preserve"> provisions dealing with criminal negligence are:</w:t>
      </w:r>
    </w:p>
    <w:p w:rsidR="0059587F" w:rsidRPr="006E4716" w:rsidRDefault="0059587F" w:rsidP="0059587F">
      <w:pPr>
        <w:pStyle w:val="Citation-AltC"/>
      </w:pPr>
      <w:r w:rsidRPr="006E4716">
        <w:rPr>
          <w:b/>
        </w:rPr>
        <w:t>219 (1)</w:t>
      </w:r>
      <w:r w:rsidRPr="006E4716">
        <w:t> Every one is criminally negligent who</w:t>
      </w:r>
    </w:p>
    <w:p w:rsidR="0059587F" w:rsidRPr="006E4716" w:rsidRDefault="0059587F" w:rsidP="0059587F">
      <w:pPr>
        <w:pStyle w:val="Citation-AltC"/>
      </w:pPr>
    </w:p>
    <w:p w:rsidR="0059587F" w:rsidRPr="006E4716" w:rsidRDefault="0059587F" w:rsidP="0059587F">
      <w:pPr>
        <w:pStyle w:val="Citation-AltC"/>
        <w:numPr>
          <w:ilvl w:val="4"/>
          <w:numId w:val="1"/>
        </w:numPr>
      </w:pPr>
      <w:r w:rsidRPr="006E4716">
        <w:t>in doing anything, or</w:t>
      </w:r>
    </w:p>
    <w:p w:rsidR="0059587F" w:rsidRPr="006E4716" w:rsidRDefault="0059587F" w:rsidP="0059587F">
      <w:pPr>
        <w:pStyle w:val="Citation-AltC"/>
        <w:ind w:left="1800"/>
      </w:pPr>
    </w:p>
    <w:p w:rsidR="0059587F" w:rsidRPr="006E4716" w:rsidRDefault="0059587F" w:rsidP="0059587F">
      <w:pPr>
        <w:pStyle w:val="Citation-AltC"/>
        <w:ind w:left="1440"/>
      </w:pPr>
      <w:r w:rsidRPr="006E4716">
        <w:rPr>
          <w:b/>
        </w:rPr>
        <w:t>(b)</w:t>
      </w:r>
      <w:r w:rsidRPr="006E4716">
        <w:t> in omitting to do anything that it is his duty to do,</w:t>
      </w:r>
    </w:p>
    <w:p w:rsidR="0059587F" w:rsidRPr="006E4716" w:rsidRDefault="0059587F" w:rsidP="0059587F">
      <w:pPr>
        <w:pStyle w:val="Citation-AltC"/>
        <w:ind w:left="1440"/>
      </w:pPr>
    </w:p>
    <w:p w:rsidR="0059587F" w:rsidRPr="006E4716" w:rsidRDefault="0059587F" w:rsidP="0059587F">
      <w:pPr>
        <w:pStyle w:val="Citation-AltC"/>
      </w:pPr>
      <w:r w:rsidRPr="006E4716">
        <w:t>shows wanton or reckless disregard for the lives or safety of other persons.</w:t>
      </w:r>
    </w:p>
    <w:p w:rsidR="0059587F" w:rsidRPr="006E4716" w:rsidRDefault="0059587F" w:rsidP="0059587F">
      <w:pPr>
        <w:pStyle w:val="Citation-AltC"/>
        <w:ind w:left="0"/>
      </w:pPr>
    </w:p>
    <w:p w:rsidR="0059587F" w:rsidRPr="006E4716" w:rsidRDefault="0059587F" w:rsidP="0059587F">
      <w:pPr>
        <w:pStyle w:val="Citation-AltC"/>
      </w:pPr>
      <w:r w:rsidRPr="006E4716">
        <w:rPr>
          <w:b/>
        </w:rPr>
        <w:t>(2)</w:t>
      </w:r>
      <w:r w:rsidRPr="006E4716">
        <w:t> Fo</w:t>
      </w:r>
      <w:r w:rsidR="006749C2">
        <w:t xml:space="preserve">r the purposes of this section, </w:t>
      </w:r>
      <w:r w:rsidR="006749C2" w:rsidRPr="006749C2">
        <w:rPr>
          <w:b/>
          <w:i/>
        </w:rPr>
        <w:t>duty</w:t>
      </w:r>
      <w:r w:rsidR="006749C2">
        <w:t xml:space="preserve"> </w:t>
      </w:r>
      <w:r w:rsidRPr="006E4716">
        <w:t xml:space="preserve">means a </w:t>
      </w:r>
      <w:r w:rsidRPr="006749C2">
        <w:t>duty</w:t>
      </w:r>
      <w:r w:rsidRPr="006E4716">
        <w:t xml:space="preserve"> imposed by law.</w:t>
      </w:r>
    </w:p>
    <w:p w:rsidR="0059587F" w:rsidRPr="006E4716" w:rsidRDefault="0059587F" w:rsidP="0059587F">
      <w:pPr>
        <w:pStyle w:val="Citation-AltC"/>
      </w:pPr>
    </w:p>
    <w:p w:rsidR="0059587F" w:rsidRPr="006E4716" w:rsidRDefault="000D4386" w:rsidP="0059587F">
      <w:pPr>
        <w:pStyle w:val="Citation-AltC"/>
        <w:ind w:left="4320"/>
      </w:pPr>
      <w:r>
        <w:t>. </w:t>
      </w:r>
      <w:r w:rsidR="0059587F" w:rsidRPr="006E4716">
        <w:t>.</w:t>
      </w:r>
      <w:r>
        <w:t> </w:t>
      </w:r>
      <w:r w:rsidR="0059587F" w:rsidRPr="006E4716">
        <w:t>.</w:t>
      </w:r>
    </w:p>
    <w:p w:rsidR="0059587F" w:rsidRPr="006E4716" w:rsidRDefault="0059587F" w:rsidP="0059587F">
      <w:pPr>
        <w:pStyle w:val="Citation-AltC"/>
        <w:ind w:left="0"/>
        <w:rPr>
          <w:szCs w:val="22"/>
        </w:rPr>
      </w:pPr>
    </w:p>
    <w:p w:rsidR="0059587F" w:rsidRPr="006E4716" w:rsidRDefault="0059587F" w:rsidP="0059587F">
      <w:pPr>
        <w:pStyle w:val="Citation-AltC"/>
      </w:pPr>
      <w:r w:rsidRPr="006E4716">
        <w:rPr>
          <w:b/>
        </w:rPr>
        <w:t>220</w:t>
      </w:r>
      <w:r w:rsidRPr="006E4716">
        <w:t> Every person who by criminal negligence causes death to another person is guilty of an indictable offence and liable</w:t>
      </w:r>
    </w:p>
    <w:p w:rsidR="0059587F" w:rsidRPr="006E4716" w:rsidRDefault="0059587F" w:rsidP="0059587F">
      <w:pPr>
        <w:pStyle w:val="Citation-AltC"/>
      </w:pPr>
    </w:p>
    <w:p w:rsidR="0059587F" w:rsidRPr="006E4716" w:rsidRDefault="0059587F" w:rsidP="0059587F">
      <w:pPr>
        <w:pStyle w:val="Citation-AltC"/>
        <w:ind w:left="1418"/>
      </w:pPr>
      <w:r w:rsidRPr="006E4716">
        <w:rPr>
          <w:b/>
        </w:rPr>
        <w:t>(a)</w:t>
      </w:r>
      <w:r w:rsidRPr="006E4716">
        <w:t xml:space="preserve"> where a firearm is used in the commission of the offence, to imprisonment for life and to a minimum punishment of imprisonment for a term of four years; and</w:t>
      </w:r>
    </w:p>
    <w:p w:rsidR="0059587F" w:rsidRPr="006E4716" w:rsidRDefault="0059587F" w:rsidP="0059587F">
      <w:pPr>
        <w:pStyle w:val="Citation-AltC"/>
        <w:ind w:left="1800"/>
        <w:jc w:val="left"/>
      </w:pPr>
    </w:p>
    <w:p w:rsidR="0059587F" w:rsidRPr="006E4716" w:rsidRDefault="0059587F" w:rsidP="0059587F">
      <w:pPr>
        <w:pStyle w:val="Citation-AltC"/>
        <w:ind w:left="1440"/>
        <w:jc w:val="left"/>
      </w:pPr>
      <w:r w:rsidRPr="006E4716">
        <w:rPr>
          <w:b/>
        </w:rPr>
        <w:t>(b)</w:t>
      </w:r>
      <w:r w:rsidRPr="006E4716">
        <w:t> in any other case, to imprisonment for life.</w:t>
      </w:r>
    </w:p>
    <w:p w:rsidR="0059587F" w:rsidRPr="006E4716" w:rsidRDefault="0059587F" w:rsidP="0059587F">
      <w:pPr>
        <w:pStyle w:val="ParaNoNdepar-AltN"/>
        <w:rPr>
          <w:rFonts w:cs="Times New Roman"/>
        </w:rPr>
      </w:pPr>
      <w:r w:rsidRPr="006E4716">
        <w:rPr>
          <w:rFonts w:cs="Times New Roman"/>
        </w:rPr>
        <w:t xml:space="preserve">The </w:t>
      </w:r>
      <w:r w:rsidRPr="006E4716">
        <w:rPr>
          <w:rFonts w:cs="Times New Roman"/>
          <w:i/>
        </w:rPr>
        <w:t>actus reus</w:t>
      </w:r>
      <w:r w:rsidRPr="006E4716">
        <w:rPr>
          <w:rFonts w:cs="Times New Roman"/>
        </w:rPr>
        <w:t xml:space="preserve"> of criminal negligence causing death requires that the accused undertook an act — or omitted to do anything that it was his or her legal duty to do — and that the act or omission caused someone’s death.</w:t>
      </w:r>
    </w:p>
    <w:p w:rsidR="0059587F" w:rsidRPr="006E4716" w:rsidRDefault="0059587F" w:rsidP="0059587F">
      <w:pPr>
        <w:pStyle w:val="ParaNoNdepar-AltN"/>
        <w:rPr>
          <w:rFonts w:cs="Times New Roman"/>
        </w:rPr>
      </w:pPr>
      <w:r w:rsidRPr="006E4716">
        <w:rPr>
          <w:rFonts w:cs="Times New Roman"/>
        </w:rPr>
        <w:t xml:space="preserve">The fault element is that the accused’s act or omission “shows wanton or reckless disregard for the lives or safety of other persons”. Neither “wanton” nor </w:t>
      </w:r>
      <w:r w:rsidRPr="006E4716">
        <w:rPr>
          <w:rFonts w:cs="Times New Roman"/>
        </w:rPr>
        <w:lastRenderedPageBreak/>
        <w:t xml:space="preserve">“reckless” is defined in the </w:t>
      </w:r>
      <w:r w:rsidRPr="006E4716">
        <w:rPr>
          <w:rFonts w:cs="Times New Roman"/>
          <w:i/>
        </w:rPr>
        <w:t>Criminal Code</w:t>
      </w:r>
      <w:r w:rsidRPr="006E4716">
        <w:rPr>
          <w:rFonts w:cs="Times New Roman"/>
        </w:rPr>
        <w:t xml:space="preserve">, but in </w:t>
      </w:r>
      <w:r w:rsidRPr="006E4716">
        <w:rPr>
          <w:rFonts w:cs="Times New Roman"/>
          <w:i/>
        </w:rPr>
        <w:t>R. v. J.F.</w:t>
      </w:r>
      <w:r w:rsidRPr="006E4716">
        <w:rPr>
          <w:rFonts w:cs="Times New Roman"/>
        </w:rPr>
        <w:t xml:space="preserve">, [2008] 3 S.C.R. 215, this Court confirmed that the offence of criminal negligence causing death imposes a modified objective standard of fault — the objective “reasonable person” standard (paras. 7-9; see also </w:t>
      </w:r>
      <w:r w:rsidRPr="006E4716">
        <w:rPr>
          <w:rFonts w:cs="Times New Roman"/>
          <w:i/>
        </w:rPr>
        <w:t>R. v. Tutton</w:t>
      </w:r>
      <w:r w:rsidRPr="006E4716">
        <w:rPr>
          <w:rFonts w:cs="Times New Roman"/>
        </w:rPr>
        <w:t xml:space="preserve">, [1989] 1 S.C.R. 1392, at pp. 1429-31; </w:t>
      </w:r>
      <w:r w:rsidRPr="006E4716">
        <w:rPr>
          <w:rFonts w:cs="Times New Roman"/>
          <w:i/>
        </w:rPr>
        <w:t>R. v. Morrisey</w:t>
      </w:r>
      <w:r w:rsidRPr="006E4716">
        <w:rPr>
          <w:rFonts w:cs="Times New Roman"/>
        </w:rPr>
        <w:t xml:space="preserve">, [2000] 2 S.C.R. 90, at para. 19; </w:t>
      </w:r>
      <w:r w:rsidRPr="006E4716">
        <w:rPr>
          <w:rFonts w:cs="Times New Roman"/>
          <w:i/>
        </w:rPr>
        <w:t>R. v. Beatty</w:t>
      </w:r>
      <w:r w:rsidRPr="006E4716">
        <w:rPr>
          <w:rFonts w:cs="Times New Roman"/>
        </w:rPr>
        <w:t>, [2008] 1 S.C.R. 49, at para. 7).</w:t>
      </w:r>
    </w:p>
    <w:p w:rsidR="0059587F" w:rsidRPr="006E4716" w:rsidRDefault="0059587F" w:rsidP="0059587F">
      <w:pPr>
        <w:pStyle w:val="ParaNoNdepar-AltN"/>
        <w:rPr>
          <w:rFonts w:cs="Times New Roman"/>
        </w:rPr>
      </w:pPr>
      <w:r w:rsidRPr="006E4716">
        <w:rPr>
          <w:rFonts w:cs="Times New Roman"/>
        </w:rPr>
        <w:t>As with other negligence-based criminal offences, the fault element of criminal negligence causing death is assessed by measuring the degree to which the accused’s conduct departed from that of a reasonable person in the circumstances.</w:t>
      </w:r>
      <w:r w:rsidRPr="00463BCD">
        <w:rPr>
          <w:rStyle w:val="Hyperlink"/>
          <w:vertAlign w:val="superscript"/>
        </w:rPr>
        <w:footnoteReference w:id="3"/>
      </w:r>
      <w:r w:rsidRPr="006E4716">
        <w:rPr>
          <w:rFonts w:cs="Times New Roman"/>
        </w:rPr>
        <w:t xml:space="preserve"> For some negligence-based offences, such as dangerous driving, a “marked” departure satisfies the fault element (</w:t>
      </w:r>
      <w:r w:rsidRPr="006E4716">
        <w:rPr>
          <w:rFonts w:cs="Times New Roman"/>
          <w:i/>
        </w:rPr>
        <w:t>J.F.</w:t>
      </w:r>
      <w:r w:rsidRPr="006E4716">
        <w:rPr>
          <w:rFonts w:cs="Times New Roman"/>
        </w:rPr>
        <w:t xml:space="preserve">, at para. 10; see also: </w:t>
      </w:r>
      <w:r w:rsidRPr="006E4716">
        <w:rPr>
          <w:rFonts w:cs="Times New Roman"/>
          <w:i/>
        </w:rPr>
        <w:t>Beatty</w:t>
      </w:r>
      <w:r w:rsidRPr="006E4716">
        <w:rPr>
          <w:rFonts w:cs="Times New Roman"/>
        </w:rPr>
        <w:t xml:space="preserve">, at para. 33; </w:t>
      </w:r>
      <w:r w:rsidRPr="006E4716">
        <w:rPr>
          <w:rFonts w:cs="Times New Roman"/>
          <w:i/>
        </w:rPr>
        <w:t>R. v. Roy</w:t>
      </w:r>
      <w:r w:rsidRPr="006E4716">
        <w:rPr>
          <w:rFonts w:cs="Times New Roman"/>
        </w:rPr>
        <w:t>, [2012] 2 S.C.R. 60, at para. 30;</w:t>
      </w:r>
      <w:r w:rsidRPr="006E4716">
        <w:rPr>
          <w:rFonts w:cs="Times New Roman"/>
          <w:i/>
        </w:rPr>
        <w:t xml:space="preserve"> </w:t>
      </w:r>
      <w:r w:rsidRPr="006E4716">
        <w:rPr>
          <w:rFonts w:cs="Times New Roman"/>
          <w:i/>
          <w:iCs/>
        </w:rPr>
        <w:t>R. v. L. (J.) </w:t>
      </w:r>
      <w:r w:rsidRPr="006E4716">
        <w:rPr>
          <w:rFonts w:cs="Times New Roman"/>
        </w:rPr>
        <w:t xml:space="preserve">(2006), 204 C.C.C. (3d) 324 (Ont. C.A.), at para. 15; </w:t>
      </w:r>
      <w:r w:rsidRPr="006E4716">
        <w:rPr>
          <w:rFonts w:cs="Times New Roman"/>
          <w:i/>
        </w:rPr>
        <w:t>R. v. Al-Kassem</w:t>
      </w:r>
      <w:r w:rsidRPr="006E4716">
        <w:rPr>
          <w:rFonts w:cs="Times New Roman"/>
        </w:rPr>
        <w:t xml:space="preserve">, 2015 ONCA 320, 78 M.V.R. (6th) 183, at para. 6). In the context of criminal negligence causing death, however, the requisite degree of departure has been described as an elevated one — marked </w:t>
      </w:r>
      <w:r w:rsidRPr="006E4716">
        <w:rPr>
          <w:rFonts w:cs="Times New Roman"/>
          <w:i/>
        </w:rPr>
        <w:t>and</w:t>
      </w:r>
      <w:r w:rsidRPr="006E4716">
        <w:rPr>
          <w:rFonts w:cs="Times New Roman"/>
        </w:rPr>
        <w:t xml:space="preserve"> substantial (</w:t>
      </w:r>
      <w:r w:rsidRPr="006E4716">
        <w:rPr>
          <w:rFonts w:cs="Times New Roman"/>
          <w:i/>
        </w:rPr>
        <w:t>J.F.</w:t>
      </w:r>
      <w:r w:rsidRPr="006E4716">
        <w:rPr>
          <w:rFonts w:cs="Times New Roman"/>
        </w:rPr>
        <w:t xml:space="preserve">, at para. 9, applying </w:t>
      </w:r>
      <w:r w:rsidRPr="006E4716">
        <w:rPr>
          <w:rFonts w:cs="Times New Roman"/>
          <w:i/>
        </w:rPr>
        <w:t>Tutton</w:t>
      </w:r>
      <w:r w:rsidRPr="006E4716">
        <w:rPr>
          <w:rFonts w:cs="Times New Roman"/>
        </w:rPr>
        <w:t xml:space="preserve">, at pp. 1430-31, and </w:t>
      </w:r>
      <w:r w:rsidRPr="006E4716">
        <w:rPr>
          <w:rFonts w:cs="Times New Roman"/>
          <w:i/>
        </w:rPr>
        <w:t>R. v. Sharp</w:t>
      </w:r>
      <w:r w:rsidRPr="006E4716">
        <w:rPr>
          <w:rFonts w:cs="Times New Roman"/>
        </w:rPr>
        <w:t> (1984), 12 C.C.C. (3d) 428 (Ont. C.A.)).</w:t>
      </w:r>
    </w:p>
    <w:p w:rsidR="0059587F" w:rsidRPr="006E4716" w:rsidRDefault="0059587F" w:rsidP="0059587F">
      <w:pPr>
        <w:pStyle w:val="ParaNoNdepar-AltN"/>
        <w:rPr>
          <w:rFonts w:cs="Times New Roman"/>
        </w:rPr>
      </w:pPr>
      <w:r w:rsidRPr="006E4716">
        <w:rPr>
          <w:rFonts w:cs="Times New Roman"/>
        </w:rPr>
        <w:t xml:space="preserve">These standards have much in common. They both ask whether the accused’s actions created a risk to others, and whether “a reasonable person would have foreseen the risk and taken steps to avoid it if possible” (see </w:t>
      </w:r>
      <w:r w:rsidRPr="006E4716">
        <w:rPr>
          <w:rFonts w:cs="Times New Roman"/>
          <w:i/>
        </w:rPr>
        <w:t>Roy</w:t>
      </w:r>
      <w:r w:rsidRPr="006E4716">
        <w:rPr>
          <w:rFonts w:cs="Times New Roman"/>
        </w:rPr>
        <w:t xml:space="preserve">, at para. 36; Stewart, </w:t>
      </w:r>
      <w:r w:rsidRPr="006E4716">
        <w:rPr>
          <w:rFonts w:cs="Times New Roman"/>
        </w:rPr>
        <w:lastRenderedPageBreak/>
        <w:t xml:space="preserve">at p. 248). The distinction between them has been described as a matter of degree (see </w:t>
      </w:r>
      <w:r w:rsidRPr="006E4716">
        <w:rPr>
          <w:rFonts w:cs="Times New Roman"/>
          <w:i/>
        </w:rPr>
        <w:t>R. v. Fontaine</w:t>
      </w:r>
      <w:r w:rsidRPr="006E4716">
        <w:rPr>
          <w:rFonts w:cs="Times New Roman"/>
        </w:rPr>
        <w:t xml:space="preserve"> </w:t>
      </w:r>
      <w:r w:rsidR="00303CED">
        <w:rPr>
          <w:rFonts w:cs="Times New Roman"/>
        </w:rPr>
        <w:t>(</w:t>
      </w:r>
      <w:r w:rsidRPr="006E4716">
        <w:rPr>
          <w:rFonts w:cs="Times New Roman"/>
        </w:rPr>
        <w:t>2017</w:t>
      </w:r>
      <w:r w:rsidR="00303CED">
        <w:rPr>
          <w:rFonts w:cs="Times New Roman"/>
        </w:rPr>
        <w:t>),</w:t>
      </w:r>
      <w:r w:rsidRPr="006E4716">
        <w:rPr>
          <w:rFonts w:cs="Times New Roman"/>
        </w:rPr>
        <w:t xml:space="preserve"> 41 C.R. (7th) 330, at para. 27; </w:t>
      </w:r>
      <w:r w:rsidRPr="006E4716">
        <w:rPr>
          <w:rFonts w:cs="Times New Roman"/>
          <w:i/>
        </w:rPr>
        <w:t>R. v. Blostein</w:t>
      </w:r>
      <w:r w:rsidRPr="006E4716">
        <w:rPr>
          <w:rFonts w:cs="Times New Roman"/>
        </w:rPr>
        <w:t xml:space="preserve"> </w:t>
      </w:r>
      <w:r w:rsidR="00303CED">
        <w:rPr>
          <w:rFonts w:cs="Times New Roman"/>
        </w:rPr>
        <w:t>(</w:t>
      </w:r>
      <w:r w:rsidRPr="006E4716">
        <w:rPr>
          <w:rFonts w:cs="Times New Roman"/>
        </w:rPr>
        <w:t>2014</w:t>
      </w:r>
      <w:r w:rsidR="00303CED">
        <w:rPr>
          <w:rFonts w:cs="Times New Roman"/>
        </w:rPr>
        <w:t>)</w:t>
      </w:r>
      <w:r w:rsidR="00274BAD">
        <w:rPr>
          <w:rFonts w:cs="Times New Roman"/>
        </w:rPr>
        <w:t>, 306 Man. </w:t>
      </w:r>
      <w:r w:rsidRPr="006E4716">
        <w:rPr>
          <w:rFonts w:cs="Times New Roman"/>
        </w:rPr>
        <w:t xml:space="preserve">R. </w:t>
      </w:r>
      <w:r w:rsidR="007654CC">
        <w:rPr>
          <w:rFonts w:cs="Times New Roman"/>
        </w:rPr>
        <w:t>(2d) 15, at para. 14). As Healy </w:t>
      </w:r>
      <w:r w:rsidRPr="006E4716">
        <w:rPr>
          <w:rFonts w:cs="Times New Roman"/>
        </w:rPr>
        <w:t xml:space="preserve">J.A. explained in </w:t>
      </w:r>
      <w:r w:rsidRPr="006E4716">
        <w:rPr>
          <w:rFonts w:cs="Times New Roman"/>
          <w:i/>
        </w:rPr>
        <w:t>Fontaine</w:t>
      </w:r>
      <w:r w:rsidRPr="006E4716">
        <w:rPr>
          <w:rFonts w:cs="Times New Roman"/>
        </w:rPr>
        <w:t>:</w:t>
      </w:r>
    </w:p>
    <w:p w:rsidR="0059587F" w:rsidRPr="006E4716" w:rsidRDefault="0059587F" w:rsidP="0059587F">
      <w:pPr>
        <w:pStyle w:val="Citation-AltC"/>
      </w:pPr>
      <w:r w:rsidRPr="006E4716">
        <w:t>These differences of degree cannot be measured by a ruler, a thermometer or any other instrument of calibrated scale. The words “marked and substantial” departure are adjectives used to paraphrase or interpret “wanton or reckless disregard” in section 219 of the Code but they do not, and cannot, indicate any objective and fixed order of magnitude that would have prescriptive value from one case to another. As with the assessment of conduct in cases of criminal negligence, the assessment of fault by the trier of fact is entirely contextual. [para. 27]</w:t>
      </w:r>
    </w:p>
    <w:p w:rsidR="0059587F" w:rsidRPr="006E4716" w:rsidRDefault="0059587F" w:rsidP="0059587F">
      <w:pPr>
        <w:pStyle w:val="ParaNoNdepar-AltN"/>
        <w:rPr>
          <w:rFonts w:cs="Times New Roman"/>
        </w:rPr>
      </w:pPr>
      <w:r w:rsidRPr="006E4716">
        <w:rPr>
          <w:rFonts w:cs="Times New Roman"/>
        </w:rPr>
        <w:t xml:space="preserve">In </w:t>
      </w:r>
      <w:r w:rsidRPr="006E4716">
        <w:rPr>
          <w:rFonts w:cs="Times New Roman"/>
          <w:i/>
        </w:rPr>
        <w:t>J.F.</w:t>
      </w:r>
      <w:r w:rsidRPr="006E4716">
        <w:rPr>
          <w:rFonts w:cs="Times New Roman"/>
        </w:rPr>
        <w:t>, Fish</w:t>
      </w:r>
      <w:r w:rsidR="007654CC">
        <w:rPr>
          <w:rFonts w:cs="Times New Roman"/>
        </w:rPr>
        <w:t> </w:t>
      </w:r>
      <w:r w:rsidRPr="006E4716">
        <w:rPr>
          <w:rFonts w:cs="Times New Roman"/>
        </w:rPr>
        <w:t xml:space="preserve">J. did not fully explain how to distinguish between a “marked” and a “marked and substantial” departure, as the case did not “turn on the nature or extent of the difference between the two standards” (paras. 10-11). In this appeal, as well, the differences in etymology are not dispositive and need not be resolved. In any event, the parties argued on the basis that the proper threshold for criminal negligence causing death is a “marked and substantial” departure, and that is the basis on which these reasons approach the issue. A conviction for criminal negligence causing death therefore requires the Crown to prove that the accused undertook an act, or omitted to do anything that it was her legal duty to do, and that the act or omission caused the death of another person (the </w:t>
      </w:r>
      <w:r w:rsidRPr="006E4716">
        <w:rPr>
          <w:rFonts w:cs="Times New Roman"/>
          <w:i/>
        </w:rPr>
        <w:t>actus reus</w:t>
      </w:r>
      <w:r w:rsidRPr="006E4716">
        <w:rPr>
          <w:rFonts w:cs="Times New Roman"/>
        </w:rPr>
        <w:t xml:space="preserve">). Based on </w:t>
      </w:r>
      <w:r w:rsidRPr="006E4716">
        <w:rPr>
          <w:rFonts w:cs="Times New Roman"/>
          <w:i/>
        </w:rPr>
        <w:t>J.F.</w:t>
      </w:r>
      <w:r w:rsidRPr="006E4716">
        <w:rPr>
          <w:rFonts w:cs="Times New Roman"/>
        </w:rPr>
        <w:t>,</w:t>
      </w:r>
      <w:r w:rsidRPr="006E4716">
        <w:rPr>
          <w:rFonts w:cs="Times New Roman"/>
          <w:i/>
        </w:rPr>
        <w:t xml:space="preserve"> </w:t>
      </w:r>
      <w:r w:rsidRPr="006E4716">
        <w:rPr>
          <w:rFonts w:cs="Times New Roman"/>
        </w:rPr>
        <w:t>the Crown must also establish that the accused’s conduct constituted a marked and substantial departure from the conduct of a reasonable person in the accused’s circumstances (the fault element).</w:t>
      </w:r>
    </w:p>
    <w:p w:rsidR="0059587F" w:rsidRPr="006E4716" w:rsidRDefault="0059587F" w:rsidP="0059587F">
      <w:pPr>
        <w:pStyle w:val="ParaNoNdepar-AltN"/>
        <w:rPr>
          <w:rFonts w:cs="Times New Roman"/>
        </w:rPr>
      </w:pPr>
      <w:r w:rsidRPr="006E4716">
        <w:rPr>
          <w:rFonts w:cs="Times New Roman"/>
        </w:rPr>
        <w:lastRenderedPageBreak/>
        <w:t xml:space="preserve">Turning to unlawful act manslaughter, the following </w:t>
      </w:r>
      <w:r w:rsidRPr="006E4716">
        <w:rPr>
          <w:rFonts w:cs="Times New Roman"/>
          <w:i/>
        </w:rPr>
        <w:t>Criminal Code</w:t>
      </w:r>
      <w:r w:rsidRPr="006E4716">
        <w:rPr>
          <w:rFonts w:cs="Times New Roman"/>
        </w:rPr>
        <w:t xml:space="preserve"> provisions apply:</w:t>
      </w:r>
    </w:p>
    <w:p w:rsidR="0059587F" w:rsidRPr="006E4716" w:rsidRDefault="0059587F" w:rsidP="0059587F">
      <w:pPr>
        <w:pStyle w:val="Citation-AltC"/>
      </w:pPr>
    </w:p>
    <w:p w:rsidR="0059587F" w:rsidRPr="006E4716" w:rsidRDefault="0059587F" w:rsidP="0059587F">
      <w:pPr>
        <w:pStyle w:val="Citation-AltC"/>
      </w:pPr>
      <w:r w:rsidRPr="006E4716">
        <w:rPr>
          <w:b/>
        </w:rPr>
        <w:t>222</w:t>
      </w:r>
      <w:r w:rsidRPr="006E4716">
        <w:t> </w:t>
      </w:r>
      <w:r w:rsidRPr="006E4716">
        <w:rPr>
          <w:b/>
        </w:rPr>
        <w:t>(1)</w:t>
      </w:r>
      <w:r w:rsidRPr="006E4716">
        <w:t> A person commits homicide when, directly or indirectly, by any means, he causes the death of a human being.</w:t>
      </w:r>
    </w:p>
    <w:p w:rsidR="0059587F" w:rsidRPr="006E4716" w:rsidRDefault="0059587F" w:rsidP="0059587F">
      <w:pPr>
        <w:pStyle w:val="Citation-AltC"/>
      </w:pPr>
    </w:p>
    <w:p w:rsidR="0059587F" w:rsidRPr="006E4716" w:rsidRDefault="000D4386" w:rsidP="0059587F">
      <w:pPr>
        <w:pStyle w:val="Citation-AltC"/>
        <w:ind w:left="4320"/>
      </w:pPr>
      <w:r>
        <w:t>. </w:t>
      </w:r>
      <w:r w:rsidR="0059587F" w:rsidRPr="006E4716">
        <w:t>.</w:t>
      </w:r>
      <w:r>
        <w:t> </w:t>
      </w:r>
      <w:r w:rsidR="0059587F" w:rsidRPr="006E4716">
        <w:t>.</w:t>
      </w:r>
    </w:p>
    <w:p w:rsidR="0059587F" w:rsidRPr="006E4716" w:rsidRDefault="0059587F" w:rsidP="0059587F">
      <w:pPr>
        <w:pStyle w:val="Citation-AltC"/>
        <w:ind w:left="0"/>
      </w:pPr>
    </w:p>
    <w:p w:rsidR="0059587F" w:rsidRPr="006E4716" w:rsidRDefault="0059587F" w:rsidP="0059587F">
      <w:pPr>
        <w:pStyle w:val="Citation-AltC"/>
      </w:pPr>
      <w:r w:rsidRPr="006E4716">
        <w:rPr>
          <w:b/>
        </w:rPr>
        <w:t>(4)</w:t>
      </w:r>
      <w:r w:rsidRPr="006E4716">
        <w:t> Culpable homicide is murder or manslaughter or infanticide.</w:t>
      </w:r>
    </w:p>
    <w:p w:rsidR="0059587F" w:rsidRPr="006E4716" w:rsidRDefault="0059587F" w:rsidP="0059587F">
      <w:pPr>
        <w:pStyle w:val="Citation-AltC"/>
        <w:ind w:left="0"/>
      </w:pPr>
    </w:p>
    <w:p w:rsidR="0059587F" w:rsidRPr="006E4716" w:rsidRDefault="0059587F" w:rsidP="0059587F">
      <w:pPr>
        <w:pStyle w:val="Citation-AltC"/>
      </w:pPr>
      <w:r w:rsidRPr="006E4716">
        <w:rPr>
          <w:b/>
        </w:rPr>
        <w:t>(5)</w:t>
      </w:r>
      <w:r w:rsidRPr="006E4716">
        <w:t> A person commits culpable homicide when he causes the death of a human being,</w:t>
      </w:r>
    </w:p>
    <w:p w:rsidR="0059587F" w:rsidRPr="006E4716" w:rsidRDefault="0059587F" w:rsidP="0059587F">
      <w:pPr>
        <w:pStyle w:val="Citation-AltC"/>
      </w:pPr>
    </w:p>
    <w:p w:rsidR="0059587F" w:rsidRPr="006E4716" w:rsidRDefault="0059587F" w:rsidP="0059587F">
      <w:pPr>
        <w:pStyle w:val="Citation-AltC"/>
        <w:numPr>
          <w:ilvl w:val="4"/>
          <w:numId w:val="1"/>
        </w:numPr>
      </w:pPr>
      <w:r w:rsidRPr="006E4716">
        <w:t>by means of an unlawful act;</w:t>
      </w:r>
    </w:p>
    <w:p w:rsidR="0059587F" w:rsidRPr="006E4716" w:rsidRDefault="0059587F" w:rsidP="0059587F">
      <w:pPr>
        <w:pStyle w:val="Citation-AltC"/>
        <w:ind w:left="1800"/>
      </w:pPr>
    </w:p>
    <w:p w:rsidR="0059587F" w:rsidRPr="006E4716" w:rsidRDefault="0059587F" w:rsidP="0059587F">
      <w:pPr>
        <w:pStyle w:val="Citation-AltC"/>
        <w:numPr>
          <w:ilvl w:val="4"/>
          <w:numId w:val="1"/>
        </w:numPr>
      </w:pPr>
      <w:r w:rsidRPr="006E4716">
        <w:t>by criminal negligence;</w:t>
      </w:r>
    </w:p>
    <w:p w:rsidR="0059587F" w:rsidRPr="006E4716" w:rsidRDefault="0059587F" w:rsidP="0059587F">
      <w:pPr>
        <w:pStyle w:val="Citation-AltC"/>
        <w:ind w:left="1800"/>
      </w:pPr>
    </w:p>
    <w:p w:rsidR="0059587F" w:rsidRPr="006E4716" w:rsidRDefault="0059587F" w:rsidP="0059587F">
      <w:pPr>
        <w:pStyle w:val="Citation-AltC"/>
        <w:ind w:left="1418"/>
      </w:pPr>
      <w:r w:rsidRPr="006E4716">
        <w:rPr>
          <w:b/>
        </w:rPr>
        <w:t>(c)</w:t>
      </w:r>
      <w:r w:rsidRPr="006E4716">
        <w:t xml:space="preserve"> by causing that human being, by threats or fear of violence or by deception, to do anything that causes his death; or</w:t>
      </w:r>
    </w:p>
    <w:p w:rsidR="0059587F" w:rsidRPr="006E4716" w:rsidRDefault="0059587F" w:rsidP="0059587F">
      <w:pPr>
        <w:pStyle w:val="Citation-AltC"/>
        <w:ind w:left="1800"/>
      </w:pPr>
    </w:p>
    <w:p w:rsidR="0059587F" w:rsidRPr="006E4716" w:rsidRDefault="0059587F" w:rsidP="0059587F">
      <w:pPr>
        <w:pStyle w:val="Citation-AltC"/>
        <w:ind w:left="1440"/>
      </w:pPr>
      <w:r w:rsidRPr="006E4716">
        <w:rPr>
          <w:b/>
        </w:rPr>
        <w:t>(d)</w:t>
      </w:r>
      <w:r w:rsidRPr="006E4716">
        <w:t> by wilfully frightening that human being, in the case of a child or sick person.</w:t>
      </w:r>
    </w:p>
    <w:p w:rsidR="0059587F" w:rsidRPr="006E4716" w:rsidRDefault="0059587F" w:rsidP="0059587F">
      <w:pPr>
        <w:pStyle w:val="Citation-AltC"/>
        <w:ind w:left="0"/>
      </w:pPr>
    </w:p>
    <w:p w:rsidR="0059587F" w:rsidRPr="006E4716" w:rsidRDefault="000D4386" w:rsidP="0059587F">
      <w:pPr>
        <w:pStyle w:val="Citation-AltC"/>
        <w:ind w:left="4320"/>
      </w:pPr>
      <w:r>
        <w:t>. </w:t>
      </w:r>
      <w:r w:rsidR="0059587F" w:rsidRPr="006E4716">
        <w:t>.</w:t>
      </w:r>
      <w:r>
        <w:t> </w:t>
      </w:r>
      <w:r w:rsidR="0059587F" w:rsidRPr="006E4716">
        <w:t>.</w:t>
      </w:r>
    </w:p>
    <w:p w:rsidR="0059587F" w:rsidRPr="006E4716" w:rsidRDefault="0059587F" w:rsidP="0059587F">
      <w:pPr>
        <w:pStyle w:val="Citation-AltC"/>
      </w:pPr>
    </w:p>
    <w:p w:rsidR="0059587F" w:rsidRPr="006E4716" w:rsidRDefault="0059587F" w:rsidP="0059587F">
      <w:pPr>
        <w:pStyle w:val="Citation-AltC"/>
      </w:pPr>
      <w:r w:rsidRPr="006E4716">
        <w:rPr>
          <w:b/>
        </w:rPr>
        <w:t>234</w:t>
      </w:r>
      <w:r w:rsidRPr="006E4716">
        <w:t> Culpable homicide that is not murder or infanticide is manslaughter.</w:t>
      </w:r>
    </w:p>
    <w:p w:rsidR="0059587F" w:rsidRPr="006E4716" w:rsidRDefault="0059587F" w:rsidP="0059587F">
      <w:pPr>
        <w:pStyle w:val="ParaNoNdepar-AltN"/>
        <w:rPr>
          <w:rFonts w:cs="Times New Roman"/>
        </w:rPr>
      </w:pPr>
      <w:r w:rsidRPr="006E4716">
        <w:rPr>
          <w:rFonts w:cs="Times New Roman"/>
        </w:rPr>
        <w:t xml:space="preserve">The </w:t>
      </w:r>
      <w:r w:rsidRPr="006E4716">
        <w:rPr>
          <w:rFonts w:cs="Times New Roman"/>
          <w:i/>
        </w:rPr>
        <w:t>actus reus</w:t>
      </w:r>
      <w:r w:rsidRPr="006E4716">
        <w:rPr>
          <w:rFonts w:cs="Times New Roman"/>
        </w:rPr>
        <w:t xml:space="preserve"> of unlawful act manslaughter under s. 222(5)(a) requires the Crown to prove that the accused committed an unlawful act and that the unlawful act caused death (</w:t>
      </w:r>
      <w:r w:rsidRPr="006E4716">
        <w:rPr>
          <w:rFonts w:cs="Times New Roman"/>
          <w:i/>
        </w:rPr>
        <w:t>R. v. Creighton</w:t>
      </w:r>
      <w:r w:rsidRPr="006E4716">
        <w:rPr>
          <w:rFonts w:cs="Times New Roman"/>
        </w:rPr>
        <w:t xml:space="preserve">, [1993] 3 S.C.R. 3, at pp. 42-43; </w:t>
      </w:r>
      <w:r w:rsidRPr="006E4716">
        <w:rPr>
          <w:rFonts w:cs="Times New Roman"/>
          <w:i/>
        </w:rPr>
        <w:t>R. v. DeSousa</w:t>
      </w:r>
      <w:r w:rsidRPr="006E4716">
        <w:rPr>
          <w:rFonts w:cs="Times New Roman"/>
        </w:rPr>
        <w:t>, [1992] 2 S.C.R. 944, at pp. 959 and 961-62). The underlying unlawful act is described as the “predicate” offence (</w:t>
      </w:r>
      <w:r w:rsidRPr="006E4716">
        <w:rPr>
          <w:rFonts w:cs="Times New Roman"/>
          <w:i/>
        </w:rPr>
        <w:t>DeSousa</w:t>
      </w:r>
      <w:r w:rsidRPr="006E4716">
        <w:rPr>
          <w:rFonts w:cs="Times New Roman"/>
        </w:rPr>
        <w:t>, at p. 956;</w:t>
      </w:r>
      <w:r w:rsidRPr="006E4716">
        <w:rPr>
          <w:rFonts w:cs="Times New Roman"/>
          <w:i/>
        </w:rPr>
        <w:t xml:space="preserve"> Creighton</w:t>
      </w:r>
      <w:r w:rsidR="00E72888">
        <w:rPr>
          <w:rFonts w:cs="Times New Roman"/>
        </w:rPr>
        <w:t>, at p. </w:t>
      </w:r>
      <w:r w:rsidRPr="006E4716">
        <w:rPr>
          <w:rFonts w:cs="Times New Roman"/>
        </w:rPr>
        <w:t>42</w:t>
      </w:r>
      <w:r w:rsidR="0089319B">
        <w:rPr>
          <w:rFonts w:cs="Times New Roman"/>
        </w:rPr>
        <w:t>). The predicate offence in Ms. </w:t>
      </w:r>
      <w:r w:rsidRPr="006E4716">
        <w:rPr>
          <w:rFonts w:cs="Times New Roman"/>
        </w:rPr>
        <w:t>Javanmardi’s case is administering the intra</w:t>
      </w:r>
      <w:r w:rsidR="00E72888">
        <w:rPr>
          <w:rFonts w:cs="Times New Roman"/>
        </w:rPr>
        <w:t>venous injection contrary to s. </w:t>
      </w:r>
      <w:r w:rsidRPr="006E4716">
        <w:rPr>
          <w:rFonts w:cs="Times New Roman"/>
        </w:rPr>
        <w:t xml:space="preserve">31 of Quebec’s </w:t>
      </w:r>
      <w:r w:rsidRPr="006E4716">
        <w:rPr>
          <w:rFonts w:cs="Times New Roman"/>
          <w:i/>
        </w:rPr>
        <w:t>Medical Act</w:t>
      </w:r>
      <w:r w:rsidRPr="006E4716">
        <w:rPr>
          <w:rFonts w:cs="Times New Roman"/>
        </w:rPr>
        <w:t>, a strict liability offence.</w:t>
      </w:r>
    </w:p>
    <w:p w:rsidR="0059587F" w:rsidRPr="006E4716" w:rsidRDefault="0059587F" w:rsidP="0059587F">
      <w:pPr>
        <w:pStyle w:val="ParaNoNdepar-AltN"/>
        <w:rPr>
          <w:rFonts w:cs="Times New Roman"/>
        </w:rPr>
      </w:pPr>
      <w:r w:rsidRPr="006E4716">
        <w:rPr>
          <w:rFonts w:cs="Times New Roman"/>
        </w:rPr>
        <w:lastRenderedPageBreak/>
        <w:t xml:space="preserve">There has been some uncertainty around whether the Crown must prove that the predicate offence was “objectively dangerous” (see Larry C. Wilson, “Too Many Manslaughters” (2007), 52 </w:t>
      </w:r>
      <w:r w:rsidRPr="006E4716">
        <w:rPr>
          <w:rFonts w:cs="Times New Roman"/>
          <w:i/>
        </w:rPr>
        <w:t>Crim. L.Q.</w:t>
      </w:r>
      <w:r w:rsidR="005973F9">
        <w:rPr>
          <w:rFonts w:cs="Times New Roman"/>
        </w:rPr>
        <w:t xml:space="preserve"> 433, at p. </w:t>
      </w:r>
      <w:r w:rsidRPr="006E4716">
        <w:rPr>
          <w:rFonts w:cs="Times New Roman"/>
        </w:rPr>
        <w:t>459</w:t>
      </w:r>
      <w:r w:rsidR="005973F9">
        <w:rPr>
          <w:rFonts w:cs="Times New Roman"/>
        </w:rPr>
        <w:t>,</w:t>
      </w:r>
      <w:r w:rsidRPr="006E4716">
        <w:rPr>
          <w:rFonts w:cs="Times New Roman"/>
        </w:rPr>
        <w:t xml:space="preserve"> citing Isabel Grant, Dorothy Chunn and Christine Boyle, </w:t>
      </w:r>
      <w:r w:rsidRPr="006E4716">
        <w:rPr>
          <w:rFonts w:cs="Times New Roman"/>
          <w:i/>
          <w:iCs/>
        </w:rPr>
        <w:t>The Law of Homicide</w:t>
      </w:r>
      <w:r w:rsidR="005973F9">
        <w:rPr>
          <w:rFonts w:cs="Times New Roman"/>
        </w:rPr>
        <w:t xml:space="preserve"> (</w:t>
      </w:r>
      <w:r w:rsidR="002B7D69">
        <w:rPr>
          <w:rFonts w:cs="Times New Roman"/>
        </w:rPr>
        <w:t>loose-leaf</w:t>
      </w:r>
      <w:r w:rsidR="005973F9">
        <w:rPr>
          <w:rFonts w:cs="Times New Roman"/>
        </w:rPr>
        <w:t>), at pp. </w:t>
      </w:r>
      <w:r w:rsidRPr="006E4716">
        <w:rPr>
          <w:rFonts w:cs="Times New Roman"/>
        </w:rPr>
        <w:t xml:space="preserve">4-15, 4-16 and 4-20; Stanley Yeo, “The Fault Elements for Involuntary Manslaughter: Some Lessons </w:t>
      </w:r>
      <w:r w:rsidR="002B7D69">
        <w:rPr>
          <w:rFonts w:cs="Times New Roman"/>
        </w:rPr>
        <w:t>f</w:t>
      </w:r>
      <w:r w:rsidRPr="006E4716">
        <w:rPr>
          <w:rFonts w:cs="Times New Roman"/>
        </w:rPr>
        <w:t xml:space="preserve">rom Downunder” (2000), 43 </w:t>
      </w:r>
      <w:r w:rsidRPr="006E4716">
        <w:rPr>
          <w:rFonts w:cs="Times New Roman"/>
          <w:i/>
        </w:rPr>
        <w:t>Crim. L.Q.</w:t>
      </w:r>
      <w:r w:rsidR="005973F9">
        <w:rPr>
          <w:rFonts w:cs="Times New Roman"/>
        </w:rPr>
        <w:t xml:space="preserve"> 291, at p. </w:t>
      </w:r>
      <w:r w:rsidRPr="006E4716">
        <w:rPr>
          <w:rFonts w:cs="Times New Roman"/>
        </w:rPr>
        <w:t>293). In my view, the “objective dangerousness” requirement adds nothing to the analysis that is not captured within the fault element of unlawful act manslaughter — objective foreseeability of the risk of bodily harm that is neither trivial nor transitory (</w:t>
      </w:r>
      <w:r w:rsidRPr="006E4716">
        <w:rPr>
          <w:rFonts w:cs="Times New Roman"/>
          <w:i/>
        </w:rPr>
        <w:t>Creighton</w:t>
      </w:r>
      <w:r w:rsidRPr="006E4716">
        <w:rPr>
          <w:rFonts w:cs="Times New Roman"/>
        </w:rPr>
        <w:t>, at pp.</w:t>
      </w:r>
      <w:r w:rsidR="005973F9">
        <w:rPr>
          <w:rFonts w:cs="Times New Roman"/>
        </w:rPr>
        <w:t> </w:t>
      </w:r>
      <w:r w:rsidRPr="006E4716">
        <w:rPr>
          <w:rFonts w:cs="Times New Roman"/>
        </w:rPr>
        <w:t>44-45). An unlawful act, accompanied by objective foreseeability of the risk of bodily harm that is neither trivial nor transitory, is an objectively dangerous act.</w:t>
      </w:r>
    </w:p>
    <w:p w:rsidR="0059587F" w:rsidRPr="006E4716" w:rsidRDefault="0059587F" w:rsidP="0059587F">
      <w:pPr>
        <w:pStyle w:val="ParaNoNdepar-AltN"/>
        <w:rPr>
          <w:rFonts w:cs="Times New Roman"/>
        </w:rPr>
      </w:pPr>
      <w:r w:rsidRPr="006E4716">
        <w:rPr>
          <w:rFonts w:cs="Times New Roman"/>
        </w:rPr>
        <w:t xml:space="preserve">Support for this position is found in </w:t>
      </w:r>
      <w:r w:rsidRPr="006E4716">
        <w:rPr>
          <w:rFonts w:cs="Times New Roman"/>
          <w:i/>
        </w:rPr>
        <w:t>DeSousa</w:t>
      </w:r>
      <w:r w:rsidRPr="006E4716">
        <w:rPr>
          <w:rFonts w:cs="Times New Roman"/>
        </w:rPr>
        <w:t>, which has been cited as the definitive statement of the fault element of unlawful act manslaughter (</w:t>
      </w:r>
      <w:r w:rsidRPr="006E4716">
        <w:rPr>
          <w:rFonts w:cs="Times New Roman"/>
          <w:i/>
        </w:rPr>
        <w:t>Creighton</w:t>
      </w:r>
      <w:r w:rsidRPr="006E4716">
        <w:rPr>
          <w:rFonts w:cs="Times New Roman"/>
        </w:rPr>
        <w:t xml:space="preserve">, at pp. 44-45). In </w:t>
      </w:r>
      <w:r w:rsidRPr="006E4716">
        <w:rPr>
          <w:rFonts w:cs="Times New Roman"/>
          <w:i/>
        </w:rPr>
        <w:t>DeSousa</w:t>
      </w:r>
      <w:r w:rsidR="007654CC">
        <w:rPr>
          <w:rFonts w:cs="Times New Roman"/>
        </w:rPr>
        <w:t>, Sopinka </w:t>
      </w:r>
      <w:r w:rsidRPr="006E4716">
        <w:rPr>
          <w:rFonts w:cs="Times New Roman"/>
        </w:rPr>
        <w:t>J. considered the meaning of “unlawful act” for the purposes of the offence of unlawfully causing bodily harm, concluding that the unlawful act must be objectively dangerous in the sense that there is objective foreseeability of bodily harm:</w:t>
      </w:r>
    </w:p>
    <w:p w:rsidR="0059587F" w:rsidRPr="006E4716" w:rsidRDefault="0059587F" w:rsidP="0059587F">
      <w:pPr>
        <w:pStyle w:val="Citation-AltC"/>
      </w:pPr>
      <w:r w:rsidRPr="006E4716">
        <w:t xml:space="preserve">English authority has consistently held that the underlying unlawful act required by its manslaughter offence requires proof that the unlawful act was “likely to injure another person” or in other words put the bodily integrity of others at risk (see also </w:t>
      </w:r>
      <w:r w:rsidRPr="006E4716">
        <w:rPr>
          <w:i/>
        </w:rPr>
        <w:t>R. v. Hall</w:t>
      </w:r>
      <w:r w:rsidRPr="006E4716">
        <w:t xml:space="preserve"> (1961), 45 Cr. App. R. 366 (C.C.A.); </w:t>
      </w:r>
      <w:r w:rsidRPr="006E4716">
        <w:rPr>
          <w:i/>
        </w:rPr>
        <w:t>R. v. Church</w:t>
      </w:r>
      <w:r w:rsidRPr="006E4716">
        <w:t xml:space="preserve"> (1965), 49 Cr. App. R. 206 (C.C.A.); </w:t>
      </w:r>
      <w:r w:rsidRPr="006E4716">
        <w:rPr>
          <w:i/>
        </w:rPr>
        <w:t>Director of Public Prosecutions v. Newbury</w:t>
      </w:r>
      <w:r w:rsidRPr="006E4716">
        <w:t xml:space="preserve"> (1976), 62 Cr. App. R. 291 (H.L.), and </w:t>
      </w:r>
      <w:r w:rsidRPr="006E4716">
        <w:rPr>
          <w:i/>
        </w:rPr>
        <w:t>Director of Public Prosecutions v. Daley</w:t>
      </w:r>
      <w:r w:rsidRPr="006E4716">
        <w:t xml:space="preserve"> (1978), 69 Cr. App. R. 39 (P.C.)). This position has also been adopted by most Canadian courts. [p. 959] </w:t>
      </w:r>
    </w:p>
    <w:p w:rsidR="0059587F" w:rsidRPr="006E4716" w:rsidRDefault="0059587F" w:rsidP="0059587F">
      <w:pPr>
        <w:pStyle w:val="ParaNoNdepar-AltN"/>
        <w:rPr>
          <w:rFonts w:cs="Times New Roman"/>
        </w:rPr>
      </w:pPr>
      <w:r w:rsidRPr="006E4716">
        <w:rPr>
          <w:rFonts w:cs="Times New Roman"/>
        </w:rPr>
        <w:lastRenderedPageBreak/>
        <w:t xml:space="preserve">Subsequent cases and academic writing confirm that there is no independent </w:t>
      </w:r>
      <w:r w:rsidRPr="006E4716">
        <w:rPr>
          <w:rFonts w:cs="Times New Roman"/>
          <w:i/>
        </w:rPr>
        <w:t xml:space="preserve">actus reus </w:t>
      </w:r>
      <w:r w:rsidRPr="006E4716">
        <w:rPr>
          <w:rFonts w:cs="Times New Roman"/>
        </w:rPr>
        <w:t xml:space="preserve">requirement of objective dangerousness. As Patrick Healy observed, this Court in </w:t>
      </w:r>
      <w:r w:rsidRPr="006E4716">
        <w:rPr>
          <w:rFonts w:cs="Times New Roman"/>
          <w:i/>
        </w:rPr>
        <w:t>Creighton</w:t>
      </w:r>
      <w:r w:rsidRPr="006E4716">
        <w:rPr>
          <w:rFonts w:cs="Times New Roman"/>
        </w:rPr>
        <w:t xml:space="preserve"> agreed that the element of dangerousness connotes an element of fault (“The </w:t>
      </w:r>
      <w:r w:rsidRPr="006E4716">
        <w:rPr>
          <w:rFonts w:cs="Times New Roman"/>
          <w:i/>
        </w:rPr>
        <w:t>Creighton</w:t>
      </w:r>
      <w:r w:rsidRPr="006E4716">
        <w:rPr>
          <w:rFonts w:cs="Times New Roman"/>
        </w:rPr>
        <w:t xml:space="preserve"> Quartet: Enigma Variations in a Lower Key” (1993), 23 C.R. (4th) 265, at pp. 271-73). Others too have suggested that “dangerousness can be seen as entirely subsumed within the concept of foreseeability of harm, and should be discarded as unnecessarily complicated” (Grant et al., at pp. 4-15 </w:t>
      </w:r>
      <w:r w:rsidR="00E21683">
        <w:rPr>
          <w:rFonts w:cs="Times New Roman"/>
        </w:rPr>
        <w:t xml:space="preserve">to </w:t>
      </w:r>
      <w:r w:rsidRPr="006E4716">
        <w:rPr>
          <w:rFonts w:cs="Times New Roman"/>
        </w:rPr>
        <w:t xml:space="preserve">4-16; see also </w:t>
      </w:r>
      <w:r w:rsidRPr="006E4716">
        <w:rPr>
          <w:rFonts w:cs="Times New Roman"/>
          <w:i/>
        </w:rPr>
        <w:t>R. v. Plein</w:t>
      </w:r>
      <w:r w:rsidRPr="006E4716">
        <w:rPr>
          <w:rFonts w:cs="Times New Roman"/>
        </w:rPr>
        <w:t xml:space="preserve"> </w:t>
      </w:r>
      <w:r w:rsidR="00274BAD">
        <w:rPr>
          <w:rFonts w:cs="Times New Roman"/>
        </w:rPr>
        <w:t>(</w:t>
      </w:r>
      <w:r w:rsidRPr="006E4716">
        <w:rPr>
          <w:rFonts w:cs="Times New Roman"/>
        </w:rPr>
        <w:t>2018</w:t>
      </w:r>
      <w:r w:rsidR="00274BAD">
        <w:rPr>
          <w:rFonts w:cs="Times New Roman"/>
        </w:rPr>
        <w:t>)</w:t>
      </w:r>
      <w:r w:rsidRPr="006E4716">
        <w:rPr>
          <w:rFonts w:cs="Times New Roman"/>
        </w:rPr>
        <w:t xml:space="preserve">, 50 C.R. (7th) 41, at para. 30; </w:t>
      </w:r>
      <w:r w:rsidRPr="006E4716">
        <w:rPr>
          <w:rFonts w:cs="Times New Roman"/>
          <w:i/>
        </w:rPr>
        <w:t>R. v. Kahnapace</w:t>
      </w:r>
      <w:r w:rsidRPr="006E4716">
        <w:rPr>
          <w:rFonts w:cs="Times New Roman"/>
        </w:rPr>
        <w:t xml:space="preserve"> </w:t>
      </w:r>
      <w:r w:rsidR="00274BAD">
        <w:rPr>
          <w:rFonts w:cs="Times New Roman"/>
        </w:rPr>
        <w:t>(</w:t>
      </w:r>
      <w:r w:rsidRPr="006E4716">
        <w:rPr>
          <w:rFonts w:cs="Times New Roman"/>
        </w:rPr>
        <w:t>2010</w:t>
      </w:r>
      <w:r w:rsidR="00274BAD">
        <w:rPr>
          <w:rFonts w:cs="Times New Roman"/>
        </w:rPr>
        <w:t>)</w:t>
      </w:r>
      <w:r w:rsidRPr="006E4716">
        <w:rPr>
          <w:rFonts w:cs="Times New Roman"/>
        </w:rPr>
        <w:t xml:space="preserve">, 76 C.R. (6th) 38, at para. 28; </w:t>
      </w:r>
      <w:r w:rsidRPr="006E4716">
        <w:rPr>
          <w:rFonts w:cs="Times New Roman"/>
          <w:i/>
        </w:rPr>
        <w:t>R. v. L.M.</w:t>
      </w:r>
      <w:r w:rsidRPr="006E4716">
        <w:rPr>
          <w:rFonts w:cs="Times New Roman"/>
        </w:rPr>
        <w:t xml:space="preserve">, 2018 NWTTC 6, at para. 31 (CanLII); </w:t>
      </w:r>
      <w:r w:rsidRPr="006E4716">
        <w:rPr>
          <w:rFonts w:cs="Times New Roman"/>
          <w:i/>
        </w:rPr>
        <w:t>R. v. P.S.</w:t>
      </w:r>
      <w:r w:rsidRPr="006E4716">
        <w:rPr>
          <w:rFonts w:cs="Times New Roman"/>
        </w:rPr>
        <w:t>, 2018 ONCJ 274, at paras. 205-6 (CanLII)).</w:t>
      </w:r>
    </w:p>
    <w:p w:rsidR="0059587F" w:rsidRPr="006E4716" w:rsidRDefault="0059587F" w:rsidP="0059587F">
      <w:pPr>
        <w:pStyle w:val="ParaNoNdepar-AltN"/>
        <w:keepNext/>
        <w:rPr>
          <w:rFonts w:cs="Times New Roman"/>
        </w:rPr>
      </w:pPr>
      <w:r w:rsidRPr="006E4716">
        <w:rPr>
          <w:rFonts w:cs="Times New Roman"/>
        </w:rPr>
        <w:t xml:space="preserve">There is little benefit, in my view, to inviting judges or juries to first consider the objective “dangerousness” of the accused’s actions in a vacuum, and then duplicate that exercise with the benefit of context when they reach the fault element of the offence. Model jury instructions already avoid this repetition, which introduces unnecessary complexity into the offence of unlawful act manslaughter, increasing the risk of confusion and legal error (the Hon. Justice David Watt, </w:t>
      </w:r>
      <w:r w:rsidRPr="006E4716">
        <w:rPr>
          <w:rFonts w:cs="Times New Roman"/>
          <w:i/>
        </w:rPr>
        <w:t>Watt’s Manual of Criminal Jury Instructions</w:t>
      </w:r>
      <w:r w:rsidRPr="006E4716">
        <w:rPr>
          <w:rFonts w:cs="Times New Roman"/>
        </w:rPr>
        <w:t xml:space="preserve"> (2nd ed. 2015), at p. 739; Gerry A. Ferguson and the Hon. Justice Michael R. Dambrot, </w:t>
      </w:r>
      <w:r w:rsidRPr="006E4716">
        <w:rPr>
          <w:rFonts w:cs="Times New Roman"/>
          <w:i/>
        </w:rPr>
        <w:t xml:space="preserve">CRIMJI: Canadian Criminal Jury Instructions </w:t>
      </w:r>
      <w:r w:rsidRPr="006E4716">
        <w:rPr>
          <w:rFonts w:cs="Times New Roman"/>
        </w:rPr>
        <w:t xml:space="preserve">(4th ed. </w:t>
      </w:r>
      <w:r w:rsidRPr="006E4716">
        <w:rPr>
          <w:rFonts w:cs="Times New Roman"/>
        </w:rPr>
        <w:lastRenderedPageBreak/>
        <w:t xml:space="preserve">(loose-leaf)), vol. 2, at p. 6.39-6; National Judicial Institute, </w:t>
      </w:r>
      <w:r w:rsidRPr="00D63838">
        <w:rPr>
          <w:rFonts w:cs="Times New Roman"/>
          <w:i/>
        </w:rPr>
        <w:t>Model Jury Instructions</w:t>
      </w:r>
      <w:r w:rsidR="00D63838">
        <w:rPr>
          <w:rFonts w:cs="Times New Roman"/>
        </w:rPr>
        <w:t xml:space="preserve"> (online, at D.6)).</w:t>
      </w:r>
    </w:p>
    <w:p w:rsidR="0059587F" w:rsidRPr="006E4716" w:rsidRDefault="0059587F" w:rsidP="0059587F">
      <w:pPr>
        <w:pStyle w:val="ParaNoNdepar-AltN"/>
        <w:rPr>
          <w:rFonts w:cs="Times New Roman"/>
        </w:rPr>
      </w:pPr>
      <w:r w:rsidRPr="006E4716">
        <w:rPr>
          <w:rFonts w:cs="Times New Roman"/>
        </w:rPr>
        <w:t xml:space="preserve">As a result, the </w:t>
      </w:r>
      <w:r w:rsidRPr="006E4716">
        <w:rPr>
          <w:rFonts w:cs="Times New Roman"/>
          <w:i/>
        </w:rPr>
        <w:t xml:space="preserve">actus reus </w:t>
      </w:r>
      <w:r w:rsidRPr="006E4716">
        <w:rPr>
          <w:rFonts w:cs="Times New Roman"/>
        </w:rPr>
        <w:t xml:space="preserve">of unlawful act manslaughter is satisfied by proof beyond a reasonable doubt that the accused committed an unlawful act that caused death. There is no independent requirement of objective dangerousness. </w:t>
      </w:r>
    </w:p>
    <w:p w:rsidR="0059587F" w:rsidRPr="006E4716" w:rsidRDefault="0059587F" w:rsidP="0059587F">
      <w:pPr>
        <w:pStyle w:val="ParaNoNdepar-AltN"/>
        <w:rPr>
          <w:rFonts w:cs="Times New Roman"/>
        </w:rPr>
      </w:pPr>
      <w:r w:rsidRPr="006E4716">
        <w:rPr>
          <w:rFonts w:cs="Times New Roman"/>
        </w:rPr>
        <w:t xml:space="preserve"> The fault element of unlawful act manslaughter is, as noted, objective foreseeability of the risk of bodily harm that is neither trivial nor transitory, coupled with the fault element for the predicate offence (</w:t>
      </w:r>
      <w:r w:rsidRPr="006E4716">
        <w:rPr>
          <w:rFonts w:cs="Times New Roman"/>
          <w:i/>
        </w:rPr>
        <w:t>Creighton</w:t>
      </w:r>
      <w:r w:rsidRPr="006E4716">
        <w:rPr>
          <w:rFonts w:cs="Times New Roman"/>
        </w:rPr>
        <w:t>, at pp.</w:t>
      </w:r>
      <w:r w:rsidR="001D03E1">
        <w:rPr>
          <w:rFonts w:cs="Times New Roman"/>
        </w:rPr>
        <w:t> </w:t>
      </w:r>
      <w:r w:rsidRPr="006E4716">
        <w:rPr>
          <w:rFonts w:cs="Times New Roman"/>
        </w:rPr>
        <w:t>42-43</w:t>
      </w:r>
      <w:r w:rsidR="001D03E1">
        <w:rPr>
          <w:rFonts w:cs="Times New Roman"/>
        </w:rPr>
        <w:t>;</w:t>
      </w:r>
      <w:r w:rsidRPr="006E4716">
        <w:rPr>
          <w:rFonts w:cs="Times New Roman"/>
          <w:i/>
        </w:rPr>
        <w:t xml:space="preserve"> DeSousa</w:t>
      </w:r>
      <w:r w:rsidR="001D03E1">
        <w:rPr>
          <w:rFonts w:cs="Times New Roman"/>
        </w:rPr>
        <w:t>, at pp. </w:t>
      </w:r>
      <w:r w:rsidRPr="006E4716">
        <w:rPr>
          <w:rFonts w:cs="Times New Roman"/>
        </w:rPr>
        <w:t xml:space="preserve">961-62). I agree with the Court of Appeal that where the predicate offence is one of strict liability, as in this case, the fault element for that offence must be read as a marked departure from the standard expected of a reasonable person in the circumstances (see also Grant et al., at pp. 4-14 </w:t>
      </w:r>
      <w:r w:rsidR="00E21683">
        <w:rPr>
          <w:rFonts w:cs="Times New Roman"/>
        </w:rPr>
        <w:t>to</w:t>
      </w:r>
      <w:r w:rsidRPr="006E4716">
        <w:rPr>
          <w:rFonts w:cs="Times New Roman"/>
        </w:rPr>
        <w:t xml:space="preserve"> 4-15; Larry C. Wilson, “</w:t>
      </w:r>
      <w:r w:rsidRPr="006E4716">
        <w:rPr>
          <w:rFonts w:cs="Times New Roman"/>
          <w:i/>
        </w:rPr>
        <w:t>Beatty</w:t>
      </w:r>
      <w:r w:rsidRPr="006E4716">
        <w:rPr>
          <w:rFonts w:cs="Times New Roman"/>
        </w:rPr>
        <w:t xml:space="preserve">, </w:t>
      </w:r>
      <w:r w:rsidRPr="006E4716">
        <w:rPr>
          <w:rFonts w:cs="Times New Roman"/>
          <w:i/>
        </w:rPr>
        <w:t>J.F.</w:t>
      </w:r>
      <w:r w:rsidRPr="006E4716">
        <w:rPr>
          <w:rFonts w:cs="Times New Roman"/>
        </w:rPr>
        <w:t xml:space="preserve">, and the Law of Manslaughter” (2010), 47 </w:t>
      </w:r>
      <w:r w:rsidRPr="006E4716">
        <w:rPr>
          <w:rFonts w:cs="Times New Roman"/>
          <w:i/>
        </w:rPr>
        <w:t>Alta</w:t>
      </w:r>
      <w:r w:rsidR="001D03E1">
        <w:rPr>
          <w:rFonts w:cs="Times New Roman"/>
          <w:i/>
        </w:rPr>
        <w:t>.</w:t>
      </w:r>
      <w:r w:rsidRPr="006E4716">
        <w:rPr>
          <w:rFonts w:cs="Times New Roman"/>
          <w:i/>
        </w:rPr>
        <w:t xml:space="preserve"> L. Rev.</w:t>
      </w:r>
      <w:r w:rsidRPr="006E4716">
        <w:rPr>
          <w:rFonts w:cs="Times New Roman"/>
        </w:rPr>
        <w:t xml:space="preserve"> 651, at pp. 663-64; Kent Roach, </w:t>
      </w:r>
      <w:r w:rsidRPr="006E4716">
        <w:rPr>
          <w:rFonts w:cs="Times New Roman"/>
          <w:i/>
        </w:rPr>
        <w:t>Criminal Law</w:t>
      </w:r>
      <w:r w:rsidRPr="006E4716">
        <w:rPr>
          <w:rFonts w:cs="Times New Roman"/>
        </w:rPr>
        <w:t xml:space="preserve"> (7th ed. 2018), at p. 466; </w:t>
      </w:r>
      <w:r w:rsidRPr="006E4716">
        <w:rPr>
          <w:rFonts w:cs="Times New Roman"/>
          <w:i/>
        </w:rPr>
        <w:t>R. v. Curragh Inc.</w:t>
      </w:r>
      <w:r w:rsidRPr="006E4716">
        <w:rPr>
          <w:rFonts w:cs="Times New Roman"/>
        </w:rPr>
        <w:t xml:space="preserve"> </w:t>
      </w:r>
      <w:r w:rsidRPr="006E4716">
        <w:rPr>
          <w:rFonts w:cs="Times New Roman"/>
          <w:lang w:val="en-US"/>
        </w:rPr>
        <w:t xml:space="preserve">(1993), 125 N.S.R. (2d) 185 (Prov. Ct.); </w:t>
      </w:r>
      <w:r w:rsidRPr="006E4716">
        <w:rPr>
          <w:rFonts w:cs="Times New Roman"/>
          <w:i/>
          <w:lang w:val="en-US"/>
        </w:rPr>
        <w:t xml:space="preserve">R. </w:t>
      </w:r>
      <w:r w:rsidR="001D03E1">
        <w:rPr>
          <w:rFonts w:cs="Times New Roman"/>
          <w:i/>
          <w:lang w:val="en-US"/>
        </w:rPr>
        <w:t>v</w:t>
      </w:r>
      <w:r w:rsidRPr="006E4716">
        <w:rPr>
          <w:rFonts w:cs="Times New Roman"/>
          <w:i/>
          <w:lang w:val="en-US"/>
        </w:rPr>
        <w:t>. Fournier</w:t>
      </w:r>
      <w:r w:rsidRPr="006E4716">
        <w:rPr>
          <w:rFonts w:cs="Times New Roman"/>
          <w:lang w:val="en-US"/>
        </w:rPr>
        <w:t xml:space="preserve">, 2016 QCCS 5456, at paras. </w:t>
      </w:r>
      <w:r w:rsidRPr="006E4716">
        <w:rPr>
          <w:rFonts w:cs="Times New Roman"/>
        </w:rPr>
        <w:t xml:space="preserve">62-70 (CanLII); and </w:t>
      </w:r>
      <w:r w:rsidRPr="006E4716">
        <w:rPr>
          <w:rFonts w:cs="Times New Roman"/>
          <w:i/>
        </w:rPr>
        <w:t>L.M.</w:t>
      </w:r>
      <w:r w:rsidRPr="006E4716">
        <w:rPr>
          <w:rFonts w:cs="Times New Roman"/>
        </w:rPr>
        <w:t xml:space="preserve">, at paras. 44-49). This approach aligns with </w:t>
      </w:r>
      <w:r w:rsidRPr="006E4716">
        <w:rPr>
          <w:rFonts w:cs="Times New Roman"/>
          <w:i/>
        </w:rPr>
        <w:t>Creighton</w:t>
      </w:r>
      <w:r w:rsidR="007654CC">
        <w:rPr>
          <w:rFonts w:cs="Times New Roman"/>
        </w:rPr>
        <w:t>, where McLachlin </w:t>
      </w:r>
      <w:r w:rsidRPr="006E4716">
        <w:rPr>
          <w:rFonts w:cs="Times New Roman"/>
        </w:rPr>
        <w:t>J. clarified that predicate offences involving carelessness or negligence must be read as requiring a marked departure from the standard of the reasonable person (p. 59).</w:t>
      </w:r>
      <w:r w:rsidRPr="006E4716">
        <w:rPr>
          <w:rFonts w:cs="Times New Roman"/>
          <w:b/>
        </w:rPr>
        <w:t xml:space="preserve"> </w:t>
      </w:r>
    </w:p>
    <w:p w:rsidR="0059587F" w:rsidRPr="006E4716" w:rsidRDefault="0059587F" w:rsidP="0059587F">
      <w:pPr>
        <w:pStyle w:val="ParaNoNdepar-AltN"/>
        <w:numPr>
          <w:ilvl w:val="0"/>
          <w:numId w:val="2"/>
        </w:numPr>
        <w:rPr>
          <w:rFonts w:cs="Times New Roman"/>
        </w:rPr>
      </w:pPr>
      <w:r w:rsidRPr="006E4716">
        <w:rPr>
          <w:rFonts w:cs="Times New Roman"/>
        </w:rPr>
        <w:t>Both</w:t>
      </w:r>
      <w:r w:rsidRPr="006E4716">
        <w:rPr>
          <w:rFonts w:cs="Times New Roman"/>
          <w:b/>
        </w:rPr>
        <w:t xml:space="preserve"> </w:t>
      </w:r>
      <w:r w:rsidRPr="006E4716">
        <w:rPr>
          <w:rFonts w:cs="Times New Roman"/>
        </w:rPr>
        <w:t>charge</w:t>
      </w:r>
      <w:r w:rsidR="0089319B">
        <w:rPr>
          <w:rFonts w:cs="Times New Roman"/>
        </w:rPr>
        <w:t>s against Ms. </w:t>
      </w:r>
      <w:r w:rsidRPr="006E4716">
        <w:rPr>
          <w:rFonts w:cs="Times New Roman"/>
        </w:rPr>
        <w:t xml:space="preserve">Javanmardi, therefore, required her conduct to be measured against the standard of a reasonable person in her circumstances — as part </w:t>
      </w:r>
      <w:r w:rsidRPr="006E4716">
        <w:rPr>
          <w:rFonts w:cs="Times New Roman"/>
        </w:rPr>
        <w:lastRenderedPageBreak/>
        <w:t>of the fault element of both criminal negligence and the predicate offence for unlawful act manslaughter.</w:t>
      </w:r>
    </w:p>
    <w:p w:rsidR="0059587F" w:rsidRPr="006E4716" w:rsidRDefault="0059587F" w:rsidP="0059587F">
      <w:pPr>
        <w:pStyle w:val="ParaNoNdepar-AltN"/>
        <w:numPr>
          <w:ilvl w:val="0"/>
          <w:numId w:val="2"/>
        </w:numPr>
        <w:rPr>
          <w:rFonts w:cs="Times New Roman"/>
        </w:rPr>
      </w:pPr>
      <w:r w:rsidRPr="006E4716">
        <w:rPr>
          <w:rFonts w:cs="Times New Roman"/>
        </w:rPr>
        <w:t>This leads me to the Court of Appeal’s reasons for overturni</w:t>
      </w:r>
      <w:r w:rsidR="0089319B">
        <w:rPr>
          <w:rFonts w:cs="Times New Roman"/>
        </w:rPr>
        <w:t>ng Ms. </w:t>
      </w:r>
      <w:r w:rsidR="003C2E17">
        <w:rPr>
          <w:rFonts w:cs="Times New Roman"/>
        </w:rPr>
        <w:t>Javanmardi’s acquittals.</w:t>
      </w:r>
    </w:p>
    <w:p w:rsidR="0059587F" w:rsidRPr="006E4716" w:rsidRDefault="0059587F" w:rsidP="0059587F">
      <w:pPr>
        <w:pStyle w:val="ParaNoNdepar-AltN"/>
        <w:numPr>
          <w:ilvl w:val="0"/>
          <w:numId w:val="2"/>
        </w:numPr>
        <w:rPr>
          <w:rFonts w:cs="Times New Roman"/>
        </w:rPr>
      </w:pPr>
      <w:r w:rsidRPr="006E4716">
        <w:rPr>
          <w:rFonts w:cs="Times New Roman"/>
        </w:rPr>
        <w:t>The Court of App</w:t>
      </w:r>
      <w:r w:rsidR="009F6E73">
        <w:rPr>
          <w:rFonts w:cs="Times New Roman"/>
        </w:rPr>
        <w:t>eal held that in acquitting Ms. </w:t>
      </w:r>
      <w:r w:rsidRPr="006E4716">
        <w:rPr>
          <w:rFonts w:cs="Times New Roman"/>
        </w:rPr>
        <w:t>Javanm</w:t>
      </w:r>
      <w:r w:rsidR="00B54EBB">
        <w:rPr>
          <w:rFonts w:cs="Times New Roman"/>
        </w:rPr>
        <w:t>ardi of both charges, Villemure </w:t>
      </w:r>
      <w:r w:rsidRPr="006E4716">
        <w:rPr>
          <w:rFonts w:cs="Times New Roman"/>
        </w:rPr>
        <w:t>J. misapplied the “reasonable person” standard. According to the Court of Ap</w:t>
      </w:r>
      <w:r w:rsidR="00B54EBB">
        <w:rPr>
          <w:rFonts w:cs="Times New Roman"/>
        </w:rPr>
        <w:t>peal, Villemure </w:t>
      </w:r>
      <w:r w:rsidRPr="006E4716">
        <w:rPr>
          <w:rFonts w:cs="Times New Roman"/>
        </w:rPr>
        <w:t>J. erred by referring to Ms.</w:t>
      </w:r>
      <w:r w:rsidR="009F6E73">
        <w:rPr>
          <w:rFonts w:cs="Times New Roman"/>
        </w:rPr>
        <w:t> </w:t>
      </w:r>
      <w:r w:rsidRPr="006E4716">
        <w:rPr>
          <w:rFonts w:cs="Times New Roman"/>
        </w:rPr>
        <w:t>Javanmardi’s training and experience in intravenous injections when deciding whether her conduct constituted a marked departure from that of a reasonable person. In the Court of</w:t>
      </w:r>
      <w:r w:rsidR="009F6E73">
        <w:rPr>
          <w:rFonts w:cs="Times New Roman"/>
        </w:rPr>
        <w:t xml:space="preserve"> Appeal’s view, evidence of Ms. </w:t>
      </w:r>
      <w:r w:rsidRPr="006E4716">
        <w:rPr>
          <w:rFonts w:cs="Times New Roman"/>
        </w:rPr>
        <w:t xml:space="preserve">Javanmardi’s academic training was not relevant to the nature and circumstances of the activity. </w:t>
      </w:r>
    </w:p>
    <w:p w:rsidR="0059587F" w:rsidRPr="006E4716" w:rsidRDefault="0059587F" w:rsidP="0059587F">
      <w:pPr>
        <w:pStyle w:val="ParaNoNdepar-AltN"/>
        <w:numPr>
          <w:ilvl w:val="0"/>
          <w:numId w:val="2"/>
        </w:numPr>
        <w:rPr>
          <w:rFonts w:cs="Times New Roman"/>
        </w:rPr>
      </w:pPr>
      <w:r w:rsidRPr="006E4716">
        <w:rPr>
          <w:rFonts w:cs="Times New Roman"/>
        </w:rPr>
        <w:t xml:space="preserve">With respect, </w:t>
      </w:r>
      <w:r w:rsidR="00B54EBB">
        <w:rPr>
          <w:rFonts w:cs="Times New Roman"/>
        </w:rPr>
        <w:t>I see no error in how Villemure </w:t>
      </w:r>
      <w:r w:rsidRPr="006E4716">
        <w:rPr>
          <w:rFonts w:cs="Times New Roman"/>
        </w:rPr>
        <w:t>J. ass</w:t>
      </w:r>
      <w:r w:rsidR="002E61D2">
        <w:rPr>
          <w:rFonts w:cs="Times New Roman"/>
        </w:rPr>
        <w:t>essed the reasonableness of Ms. </w:t>
      </w:r>
      <w:r w:rsidRPr="006E4716">
        <w:rPr>
          <w:rFonts w:cs="Times New Roman"/>
        </w:rPr>
        <w:t>Javanmardi’s conduct.</w:t>
      </w:r>
    </w:p>
    <w:p w:rsidR="0059587F" w:rsidRPr="006E4716" w:rsidRDefault="0059587F" w:rsidP="0059587F">
      <w:pPr>
        <w:pStyle w:val="ParaNoNdepar-AltN"/>
        <w:numPr>
          <w:ilvl w:val="0"/>
          <w:numId w:val="2"/>
        </w:numPr>
        <w:rPr>
          <w:rFonts w:cs="Times New Roman"/>
        </w:rPr>
      </w:pPr>
      <w:r w:rsidRPr="006E4716">
        <w:rPr>
          <w:rFonts w:cs="Times New Roman"/>
        </w:rPr>
        <w:t xml:space="preserve">This Court most comprehensively considered how to assess and apply the reasonable person standard in </w:t>
      </w:r>
      <w:r w:rsidRPr="006E4716">
        <w:rPr>
          <w:rFonts w:cs="Times New Roman"/>
          <w:i/>
        </w:rPr>
        <w:t>Creighton</w:t>
      </w:r>
      <w:r w:rsidRPr="006E4716">
        <w:rPr>
          <w:rFonts w:cs="Times New Roman"/>
        </w:rPr>
        <w:t>. In that case, a woman died as a result of a cocaine injection given to her by Marc Crei</w:t>
      </w:r>
      <w:r w:rsidR="007654CC">
        <w:rPr>
          <w:rFonts w:cs="Times New Roman"/>
        </w:rPr>
        <w:t>ghton, a drug dealer. McLachlin </w:t>
      </w:r>
      <w:r w:rsidRPr="006E4716">
        <w:rPr>
          <w:rFonts w:cs="Times New Roman"/>
        </w:rPr>
        <w:t>J. clarified that the modified</w:t>
      </w:r>
      <w:r w:rsidRPr="006E4716">
        <w:rPr>
          <w:rFonts w:cs="Times New Roman"/>
          <w:b/>
        </w:rPr>
        <w:t xml:space="preserve"> </w:t>
      </w:r>
      <w:r w:rsidRPr="006E4716">
        <w:rPr>
          <w:rFonts w:cs="Times New Roman"/>
        </w:rPr>
        <w:t xml:space="preserve">objective standard is </w:t>
      </w:r>
      <w:r w:rsidR="005478F8" w:rsidRPr="006E4716">
        <w:rPr>
          <w:rFonts w:cs="Times New Roman"/>
        </w:rPr>
        <w:t>“</w:t>
      </w:r>
      <w:r w:rsidR="005478F8">
        <w:rPr>
          <w:rFonts w:cs="Times New Roman"/>
        </w:rPr>
        <w:t>t</w:t>
      </w:r>
      <w:r w:rsidRPr="006E4716">
        <w:rPr>
          <w:rFonts w:cs="Times New Roman"/>
        </w:rPr>
        <w:t>hat of the reasonable person in all the</w:t>
      </w:r>
      <w:r w:rsidR="005478F8">
        <w:rPr>
          <w:rFonts w:cs="Times New Roman"/>
        </w:rPr>
        <w:t xml:space="preserve"> circumstances of the case” (p. </w:t>
      </w:r>
      <w:r w:rsidRPr="006E4716">
        <w:rPr>
          <w:rFonts w:cs="Times New Roman"/>
        </w:rPr>
        <w:t>41). She endorsed the “reasonable person” standard in order to maintain “a un</w:t>
      </w:r>
      <w:r w:rsidR="006C55D8">
        <w:rPr>
          <w:rFonts w:cs="Times New Roman"/>
        </w:rPr>
        <w:t>iform standard for all persons . . .</w:t>
      </w:r>
      <w:r w:rsidRPr="006E4716">
        <w:rPr>
          <w:rFonts w:cs="Times New Roman"/>
        </w:rPr>
        <w:t xml:space="preserve"> regardless of their background, education or</w:t>
      </w:r>
      <w:r w:rsidR="005478F8">
        <w:rPr>
          <w:rFonts w:cs="Times New Roman"/>
        </w:rPr>
        <w:t xml:space="preserve"> psychological disposition” (p. </w:t>
      </w:r>
      <w:r w:rsidRPr="006E4716">
        <w:rPr>
          <w:rFonts w:cs="Times New Roman"/>
        </w:rPr>
        <w:t xml:space="preserve">60). In her view, “[w]ithout a constant </w:t>
      </w:r>
      <w:r w:rsidRPr="006E4716">
        <w:rPr>
          <w:rFonts w:cs="Times New Roman"/>
        </w:rPr>
        <w:lastRenderedPageBreak/>
        <w:t>minimum standard, the duty imposed by the law would be eroded and the criminal sanction trivialized” (</w:t>
      </w:r>
      <w:r w:rsidR="000B6AF9">
        <w:rPr>
          <w:rFonts w:cs="Times New Roman"/>
        </w:rPr>
        <w:t>p. 70). She concluded that Mr. </w:t>
      </w:r>
      <w:r w:rsidRPr="006E4716">
        <w:rPr>
          <w:rFonts w:cs="Times New Roman"/>
        </w:rPr>
        <w:t>Creighton’s habitual drug use</w:t>
      </w:r>
      <w:r w:rsidRPr="006E4716">
        <w:rPr>
          <w:rFonts w:cs="Times New Roman"/>
          <w:b/>
        </w:rPr>
        <w:t xml:space="preserve"> </w:t>
      </w:r>
      <w:r w:rsidRPr="006E4716">
        <w:rPr>
          <w:rFonts w:cs="Times New Roman"/>
        </w:rPr>
        <w:t>was not to be considered in setting the “reasonable person” standard.</w:t>
      </w:r>
    </w:p>
    <w:p w:rsidR="0059587F" w:rsidRPr="006E4716" w:rsidRDefault="0059587F" w:rsidP="0059587F">
      <w:pPr>
        <w:pStyle w:val="ParaNoNdepar-AltN"/>
        <w:numPr>
          <w:ilvl w:val="0"/>
          <w:numId w:val="2"/>
        </w:numPr>
        <w:rPr>
          <w:rFonts w:cs="Times New Roman"/>
        </w:rPr>
      </w:pPr>
      <w:r w:rsidRPr="006E4716">
        <w:rPr>
          <w:rFonts w:cs="Times New Roman"/>
        </w:rPr>
        <w:t>McLac</w:t>
      </w:r>
      <w:r w:rsidR="007654CC">
        <w:rPr>
          <w:rFonts w:cs="Times New Roman"/>
        </w:rPr>
        <w:t>hlin </w:t>
      </w:r>
      <w:r w:rsidRPr="006E4716">
        <w:rPr>
          <w:rFonts w:cs="Times New Roman"/>
        </w:rPr>
        <w:t xml:space="preserve">J. explained, however, that greater care may be expected of the “reasonable person” on the basis of the nature and circumstances of the activity (p. 72). Certain activities, for example, require special attention and skill. An accused undertaking such an activity may be found to have breached the reasonable person standard if he or she is not qualified to provide the special care that the activity requires, or negligently failed to exercise such care while engaged in the activity. In this way, the law maintains a “constant minimum standard” for </w:t>
      </w:r>
      <w:r w:rsidRPr="006E4716">
        <w:rPr>
          <w:rFonts w:cs="Times New Roman"/>
          <w:i/>
        </w:rPr>
        <w:t>every</w:t>
      </w:r>
      <w:r w:rsidRPr="006E4716">
        <w:rPr>
          <w:rFonts w:cs="Times New Roman"/>
        </w:rPr>
        <w:t xml:space="preserve"> person who engages in an activity requiring special care and skill: they must be both qualified </w:t>
      </w:r>
      <w:r w:rsidRPr="006E4716">
        <w:rPr>
          <w:rFonts w:cs="Times New Roman"/>
          <w:i/>
        </w:rPr>
        <w:t>and</w:t>
      </w:r>
      <w:r w:rsidRPr="006E4716">
        <w:rPr>
          <w:rFonts w:cs="Times New Roman"/>
        </w:rPr>
        <w:t xml:space="preserve"> exercise the special care that the activity requires.</w:t>
      </w:r>
    </w:p>
    <w:p w:rsidR="0059587F" w:rsidRPr="006E4716" w:rsidRDefault="0059587F" w:rsidP="0059587F">
      <w:pPr>
        <w:pStyle w:val="ParaNoNdepar-AltN"/>
        <w:numPr>
          <w:ilvl w:val="0"/>
          <w:numId w:val="2"/>
        </w:numPr>
        <w:rPr>
          <w:rFonts w:cs="Times New Roman"/>
        </w:rPr>
      </w:pPr>
      <w:r w:rsidRPr="006E4716">
        <w:rPr>
          <w:rFonts w:cs="Times New Roman"/>
        </w:rPr>
        <w:t xml:space="preserve"> </w:t>
      </w:r>
      <w:r w:rsidRPr="006E4716">
        <w:rPr>
          <w:rFonts w:cs="Times New Roman"/>
          <w:i/>
        </w:rPr>
        <w:t>Creighton</w:t>
      </w:r>
      <w:r w:rsidRPr="006E4716">
        <w:rPr>
          <w:rFonts w:cs="Times New Roman"/>
        </w:rPr>
        <w:t>’s activity-sensitive approach to the modified objective</w:t>
      </w:r>
      <w:r w:rsidRPr="006E4716">
        <w:rPr>
          <w:rFonts w:cs="Times New Roman"/>
          <w:b/>
        </w:rPr>
        <w:t xml:space="preserve"> </w:t>
      </w:r>
      <w:r w:rsidRPr="006E4716">
        <w:rPr>
          <w:rFonts w:cs="Times New Roman"/>
        </w:rPr>
        <w:t>standard has been applied in a variety of contexts, including in cases involving driving, hunting and parenting (</w:t>
      </w:r>
      <w:r w:rsidRPr="006E4716">
        <w:rPr>
          <w:rFonts w:cs="Times New Roman"/>
          <w:i/>
        </w:rPr>
        <w:t>Beatty</w:t>
      </w:r>
      <w:r w:rsidRPr="006E4716">
        <w:rPr>
          <w:rFonts w:cs="Times New Roman"/>
        </w:rPr>
        <w:t xml:space="preserve">, at para. 40; </w:t>
      </w:r>
      <w:r w:rsidRPr="006E4716">
        <w:rPr>
          <w:rFonts w:cs="Times New Roman"/>
          <w:i/>
        </w:rPr>
        <w:t>R. v. Gendreau</w:t>
      </w:r>
      <w:r w:rsidRPr="006E4716">
        <w:rPr>
          <w:rFonts w:cs="Times New Roman"/>
        </w:rPr>
        <w:t xml:space="preserve">, 2015 QCCA 1910, at para. 30 (CanLII); </w:t>
      </w:r>
      <w:r w:rsidRPr="006E4716">
        <w:rPr>
          <w:rFonts w:cs="Times New Roman"/>
          <w:i/>
        </w:rPr>
        <w:t>J.F.</w:t>
      </w:r>
      <w:r w:rsidRPr="006E4716">
        <w:rPr>
          <w:rFonts w:cs="Times New Roman"/>
        </w:rPr>
        <w:t xml:space="preserve">, at paras. 8-9). These decisions confirm that while the standard is not determined by the accused’s personal characteristics, it </w:t>
      </w:r>
      <w:r w:rsidRPr="006E4716">
        <w:rPr>
          <w:rFonts w:cs="Times New Roman"/>
          <w:i/>
        </w:rPr>
        <w:t>is</w:t>
      </w:r>
      <w:r w:rsidRPr="006E4716">
        <w:rPr>
          <w:rFonts w:cs="Times New Roman"/>
        </w:rPr>
        <w:t xml:space="preserve"> informed by the activity. In this case, the activity is administering an intravenous injection, and the standard to be applied is that of the reasonably prudent naturopath in the circumstances. </w:t>
      </w:r>
    </w:p>
    <w:p w:rsidR="0059587F" w:rsidRPr="006E4716" w:rsidRDefault="00F9158B" w:rsidP="0059587F">
      <w:pPr>
        <w:pStyle w:val="ParaNoNdepar-AltN"/>
        <w:numPr>
          <w:ilvl w:val="0"/>
          <w:numId w:val="2"/>
        </w:numPr>
        <w:rPr>
          <w:rFonts w:cs="Times New Roman"/>
        </w:rPr>
      </w:pPr>
      <w:r>
        <w:rPr>
          <w:rFonts w:cs="Times New Roman"/>
        </w:rPr>
        <w:t>In measuring Ms. </w:t>
      </w:r>
      <w:r w:rsidR="0059587F" w:rsidRPr="006E4716">
        <w:rPr>
          <w:rFonts w:cs="Times New Roman"/>
        </w:rPr>
        <w:t>Javanmardi’s conduct a</w:t>
      </w:r>
      <w:r w:rsidR="00B54EBB">
        <w:rPr>
          <w:rFonts w:cs="Times New Roman"/>
        </w:rPr>
        <w:t>gainst this standard, Villemure </w:t>
      </w:r>
      <w:r w:rsidR="0059587F" w:rsidRPr="006E4716">
        <w:rPr>
          <w:rFonts w:cs="Times New Roman"/>
        </w:rPr>
        <w:t>J. was not only entitled, she was obliged to consider her prior training</w:t>
      </w:r>
      <w:r w:rsidR="0059587F">
        <w:rPr>
          <w:rFonts w:cs="Times New Roman"/>
        </w:rPr>
        <w:t>, experience</w:t>
      </w:r>
      <w:r w:rsidR="0059587F" w:rsidRPr="006E4716">
        <w:rPr>
          <w:rFonts w:cs="Times New Roman"/>
        </w:rPr>
        <w:t xml:space="preserve"> and </w:t>
      </w:r>
      <w:r w:rsidR="0059587F" w:rsidRPr="006E4716">
        <w:rPr>
          <w:rFonts w:cs="Times New Roman"/>
        </w:rPr>
        <w:lastRenderedPageBreak/>
        <w:t>qualifications as a naturopath. Where the Crown’s theory is, as it is in this case, that the accused engaged in an activity without the requisite training and knowledge, the accused’s activity-specific knowledge and experience are clearly relevant to determining whether the applicable standard of care was met. An accused’s training and experience may, for example, be used to rebut an allegation of being unqualified to engage in an activity. Evidence of training and experience may also be used to show how a reasonable person would have performed the activity in the circumstances.</w:t>
      </w:r>
    </w:p>
    <w:p w:rsidR="0059587F" w:rsidRPr="006E4716" w:rsidRDefault="00F9158B" w:rsidP="0059587F">
      <w:pPr>
        <w:pStyle w:val="ParaNoNdepar-AltN"/>
        <w:numPr>
          <w:ilvl w:val="0"/>
          <w:numId w:val="2"/>
        </w:numPr>
        <w:rPr>
          <w:rFonts w:cs="Times New Roman"/>
        </w:rPr>
      </w:pPr>
      <w:r>
        <w:rPr>
          <w:rFonts w:cs="Times New Roman"/>
        </w:rPr>
        <w:t>In this case, Ms. </w:t>
      </w:r>
      <w:r w:rsidR="0059587F" w:rsidRPr="006E4716">
        <w:rPr>
          <w:rFonts w:cs="Times New Roman"/>
        </w:rPr>
        <w:t>Javanmardi’s professional experience and her education were relevant in determining whether she was qualified for the activity in which she was engaged and were, as a result, relevant in determining whether she met the applicable standard of ca</w:t>
      </w:r>
      <w:r w:rsidR="00B54EBB">
        <w:rPr>
          <w:rFonts w:cs="Times New Roman"/>
        </w:rPr>
        <w:t>re. I see no error in Villemure </w:t>
      </w:r>
      <w:r w:rsidR="0059587F" w:rsidRPr="006E4716">
        <w:rPr>
          <w:rFonts w:cs="Times New Roman"/>
        </w:rPr>
        <w:t>J.’s treatment of this evidence, which the defence adduced t</w:t>
      </w:r>
      <w:r>
        <w:rPr>
          <w:rFonts w:cs="Times New Roman"/>
        </w:rPr>
        <w:t>o rebut the allegation that Ms. </w:t>
      </w:r>
      <w:r w:rsidR="0059587F" w:rsidRPr="006E4716">
        <w:rPr>
          <w:rFonts w:cs="Times New Roman"/>
        </w:rPr>
        <w:t xml:space="preserve">Javanmardi was not qualified to administer an intravenous injection. The Court of Appeal, with respect, erred in overturning </w:t>
      </w:r>
      <w:r>
        <w:rPr>
          <w:rFonts w:cs="Times New Roman"/>
        </w:rPr>
        <w:t>Ms. </w:t>
      </w:r>
      <w:r w:rsidR="0059587F" w:rsidRPr="006E4716">
        <w:rPr>
          <w:rFonts w:cs="Times New Roman"/>
        </w:rPr>
        <w:t>Javanmardi’s acquittals on this basis.</w:t>
      </w:r>
    </w:p>
    <w:p w:rsidR="0059587F" w:rsidRPr="006E4716" w:rsidRDefault="0059587F" w:rsidP="0059587F">
      <w:pPr>
        <w:pStyle w:val="ParaNoNdepar-AltN"/>
        <w:numPr>
          <w:ilvl w:val="0"/>
          <w:numId w:val="2"/>
        </w:numPr>
        <w:rPr>
          <w:rFonts w:cs="Times New Roman"/>
        </w:rPr>
      </w:pPr>
      <w:r w:rsidRPr="006E4716">
        <w:rPr>
          <w:rFonts w:cs="Times New Roman"/>
        </w:rPr>
        <w:t>The Court of Appeal</w:t>
      </w:r>
      <w:r w:rsidRPr="006E4716">
        <w:rPr>
          <w:rFonts w:cs="Times New Roman"/>
          <w:b/>
        </w:rPr>
        <w:t xml:space="preserve"> </w:t>
      </w:r>
      <w:r w:rsidR="00CB6A4D">
        <w:rPr>
          <w:rFonts w:cs="Times New Roman"/>
        </w:rPr>
        <w:t>also erred in disturbing Ms. </w:t>
      </w:r>
      <w:r w:rsidRPr="006E4716">
        <w:rPr>
          <w:rFonts w:cs="Times New Roman"/>
        </w:rPr>
        <w:t>Javanmardi’s acquittals based on its conclusion that her</w:t>
      </w:r>
      <w:r w:rsidRPr="006E4716">
        <w:rPr>
          <w:rFonts w:cs="Times New Roman"/>
          <w:b/>
        </w:rPr>
        <w:t xml:space="preserve"> </w:t>
      </w:r>
      <w:r w:rsidRPr="006E4716">
        <w:rPr>
          <w:rFonts w:cs="Times New Roman"/>
        </w:rPr>
        <w:t>conduct markedly departed from that of a reasonable person. This conclusion, with respect, cannot be square</w:t>
      </w:r>
      <w:r w:rsidR="00B54EBB">
        <w:rPr>
          <w:rFonts w:cs="Times New Roman"/>
        </w:rPr>
        <w:t>d with Villemure </w:t>
      </w:r>
      <w:r w:rsidRPr="006E4716">
        <w:rPr>
          <w:rFonts w:cs="Times New Roman"/>
        </w:rPr>
        <w:t>J.’s findings of fact. Based on these findings, which the Court of Appeal inexplicably r</w:t>
      </w:r>
      <w:r w:rsidR="00B54EBB">
        <w:rPr>
          <w:rFonts w:cs="Times New Roman"/>
        </w:rPr>
        <w:t>eplaced with its own, Villemure </w:t>
      </w:r>
      <w:r w:rsidR="00CB6A4D">
        <w:rPr>
          <w:rFonts w:cs="Times New Roman"/>
        </w:rPr>
        <w:t>J. concluded that Ms. </w:t>
      </w:r>
      <w:r w:rsidRPr="006E4716">
        <w:rPr>
          <w:rFonts w:cs="Times New Roman"/>
        </w:rPr>
        <w:t>Javanmardi’s conduct did not constitute a marked departure from that of a reasonable person in her circumstances</w:t>
      </w:r>
      <w:r w:rsidR="00B54EBB">
        <w:rPr>
          <w:rFonts w:cs="Times New Roman"/>
        </w:rPr>
        <w:t>. As explained above, Villemure </w:t>
      </w:r>
      <w:r w:rsidR="00CB6A4D">
        <w:rPr>
          <w:rFonts w:cs="Times New Roman"/>
        </w:rPr>
        <w:t>J. found that Ms. </w:t>
      </w:r>
      <w:r w:rsidRPr="006E4716">
        <w:rPr>
          <w:rFonts w:cs="Times New Roman"/>
        </w:rPr>
        <w:t xml:space="preserve">Javanmardi was properly qualified to administer </w:t>
      </w:r>
      <w:r w:rsidRPr="006E4716">
        <w:rPr>
          <w:rFonts w:cs="Times New Roman"/>
        </w:rPr>
        <w:lastRenderedPageBreak/>
        <w:t>intravenous injections; aligned her practice with established professional standards in other jurisdictions; purchased nutrients from a reputable Ontario pharmacy; chose nutrient</w:t>
      </w:r>
      <w:r w:rsidR="000B6AF9">
        <w:rPr>
          <w:rFonts w:cs="Times New Roman"/>
        </w:rPr>
        <w:t>s that were appropriate for Mr. </w:t>
      </w:r>
      <w:r w:rsidRPr="006E4716">
        <w:rPr>
          <w:rFonts w:cs="Times New Roman"/>
        </w:rPr>
        <w:t>Matern’s condition; stored and preserved the vial used for the intravenous injection in a manner consistent with the properties of the vial and the instructions of the supplying pharmacist; and took the necessary precautions at every stage of administering the intravenous injection, including observing sufficient protocols to prevent sepsis.</w:t>
      </w:r>
    </w:p>
    <w:p w:rsidR="0059587F" w:rsidRPr="006E4716" w:rsidRDefault="0059587F" w:rsidP="0059587F">
      <w:pPr>
        <w:pStyle w:val="ParaNoNdepar-AltN"/>
        <w:numPr>
          <w:ilvl w:val="0"/>
          <w:numId w:val="2"/>
        </w:numPr>
        <w:rPr>
          <w:rFonts w:cs="Times New Roman"/>
        </w:rPr>
      </w:pPr>
      <w:r w:rsidRPr="006E4716">
        <w:rPr>
          <w:rFonts w:cs="Times New Roman"/>
        </w:rPr>
        <w:t>This Court has frequently cautioned against appellate courts transforming their opposition to a trial judge’s factual findings and inferences into attributed legal errors (</w:t>
      </w:r>
      <w:r w:rsidRPr="006E4716">
        <w:rPr>
          <w:rFonts w:cs="Times New Roman"/>
          <w:i/>
        </w:rPr>
        <w:t>R. v. George</w:t>
      </w:r>
      <w:r w:rsidRPr="006E4716">
        <w:rPr>
          <w:rFonts w:cs="Times New Roman"/>
        </w:rPr>
        <w:t>, [2017] 1 S.C.R. 1021, at para. 17). There</w:t>
      </w:r>
      <w:r w:rsidRPr="006E4716">
        <w:rPr>
          <w:rFonts w:cs="Times New Roman"/>
          <w:bCs/>
        </w:rPr>
        <w:t xml:space="preserve"> </w:t>
      </w:r>
      <w:r w:rsidRPr="006E4716">
        <w:rPr>
          <w:rFonts w:cs="Times New Roman"/>
        </w:rPr>
        <w:t xml:space="preserve">is no </w:t>
      </w:r>
      <w:r w:rsidR="00B54EBB">
        <w:rPr>
          <w:rFonts w:cs="Times New Roman"/>
        </w:rPr>
        <w:t>basis for overturning Villemure </w:t>
      </w:r>
      <w:r w:rsidRPr="006E4716">
        <w:rPr>
          <w:rFonts w:cs="Times New Roman"/>
        </w:rPr>
        <w:t>J.’s findings or her conclusion that the marked departure threshold was not met. It was not open to the Court of Appeal, with respect, to reweigh the evidence or substitute its own factual findings on this critical issue.</w:t>
      </w:r>
    </w:p>
    <w:p w:rsidR="0059587F" w:rsidRPr="006E4716" w:rsidRDefault="0059587F" w:rsidP="0059587F">
      <w:pPr>
        <w:pStyle w:val="ParaNoNdepar-AltN"/>
        <w:numPr>
          <w:ilvl w:val="0"/>
          <w:numId w:val="2"/>
        </w:numPr>
        <w:rPr>
          <w:rFonts w:cs="Times New Roman"/>
        </w:rPr>
      </w:pPr>
      <w:r w:rsidRPr="006E4716">
        <w:rPr>
          <w:rFonts w:cs="Times New Roman"/>
        </w:rPr>
        <w:t>Nor was the Court of Appeal justified in interfering with the acquittal for criminal negligence causing death because Villemu</w:t>
      </w:r>
      <w:r w:rsidR="00B54EBB">
        <w:rPr>
          <w:rFonts w:cs="Times New Roman"/>
        </w:rPr>
        <w:t>re </w:t>
      </w:r>
      <w:r w:rsidRPr="006E4716">
        <w:rPr>
          <w:rFonts w:cs="Times New Roman"/>
        </w:rPr>
        <w:t xml:space="preserve">J. had misstated the applicable legal standard. The Court of Appeal concluded that by applying the marked departure instead of the marked </w:t>
      </w:r>
      <w:r w:rsidRPr="006E4716">
        <w:rPr>
          <w:rFonts w:cs="Times New Roman"/>
          <w:i/>
        </w:rPr>
        <w:t>and substantial</w:t>
      </w:r>
      <w:r w:rsidR="00B54EBB">
        <w:rPr>
          <w:rFonts w:cs="Times New Roman"/>
        </w:rPr>
        <w:t xml:space="preserve"> departure standard, Villemure </w:t>
      </w:r>
      <w:r w:rsidRPr="006E4716">
        <w:rPr>
          <w:rFonts w:cs="Times New Roman"/>
        </w:rPr>
        <w:t>J. erre</w:t>
      </w:r>
      <w:r w:rsidR="00B54EBB">
        <w:rPr>
          <w:rFonts w:cs="Times New Roman"/>
        </w:rPr>
        <w:t>d. She did, but since Villemure </w:t>
      </w:r>
      <w:r w:rsidR="00364E6F">
        <w:rPr>
          <w:rFonts w:cs="Times New Roman"/>
        </w:rPr>
        <w:t>J. found that Ms. </w:t>
      </w:r>
      <w:r w:rsidRPr="006E4716">
        <w:rPr>
          <w:rFonts w:cs="Times New Roman"/>
        </w:rPr>
        <w:t xml:space="preserve">Javanmardi’s conduct did not meet the </w:t>
      </w:r>
      <w:r w:rsidRPr="006E4716">
        <w:rPr>
          <w:rFonts w:cs="Times New Roman"/>
          <w:i/>
        </w:rPr>
        <w:t>lower</w:t>
      </w:r>
      <w:r w:rsidRPr="006E4716">
        <w:rPr>
          <w:rFonts w:cs="Times New Roman"/>
        </w:rPr>
        <w:t xml:space="preserve"> threshold of a marked departure from the reasonable person standard, she would not have found that the conduct satisfied the </w:t>
      </w:r>
      <w:r w:rsidRPr="006E4716">
        <w:rPr>
          <w:rFonts w:cs="Times New Roman"/>
          <w:i/>
        </w:rPr>
        <w:t>higher</w:t>
      </w:r>
      <w:r w:rsidRPr="006E4716">
        <w:rPr>
          <w:rFonts w:cs="Times New Roman"/>
        </w:rPr>
        <w:t xml:space="preserve"> standard of a marked and substantial </w:t>
      </w:r>
      <w:r w:rsidRPr="006E4716">
        <w:rPr>
          <w:rFonts w:cs="Times New Roman"/>
        </w:rPr>
        <w:lastRenderedPageBreak/>
        <w:t>departure. The erroneous articulation of the fault element for criminal negligence causing death was therefore irrelevant to the outcome.</w:t>
      </w:r>
    </w:p>
    <w:p w:rsidR="0059587F" w:rsidRPr="006E4716" w:rsidRDefault="0059587F" w:rsidP="0059587F">
      <w:pPr>
        <w:pStyle w:val="ParaNoNdepar-AltN"/>
        <w:numPr>
          <w:ilvl w:val="0"/>
          <w:numId w:val="2"/>
        </w:numPr>
        <w:rPr>
          <w:rFonts w:cs="Times New Roman"/>
        </w:rPr>
      </w:pPr>
      <w:r w:rsidRPr="006E4716">
        <w:rPr>
          <w:rFonts w:cs="Times New Roman"/>
        </w:rPr>
        <w:t>With respect to the acquittal for unlawful act manslaughter, the Cour</w:t>
      </w:r>
      <w:r w:rsidR="00B54EBB">
        <w:rPr>
          <w:rFonts w:cs="Times New Roman"/>
        </w:rPr>
        <w:t>t of Appeal held that Villemure </w:t>
      </w:r>
      <w:r w:rsidRPr="006E4716">
        <w:rPr>
          <w:rFonts w:cs="Times New Roman"/>
        </w:rPr>
        <w:t>J. erred in law by failing to recognize that intravenous injections are objectively dangerous. As I have explained, objective dangerousness is no longer an independent requirement of unlawful act manslaughter — it has been subsumed in the fault element of whether there was an objectively foreseeable risk of bodily harm.</w:t>
      </w:r>
      <w:r w:rsidRPr="006E4716">
        <w:rPr>
          <w:rFonts w:cs="Times New Roman"/>
          <w:b/>
        </w:rPr>
        <w:t xml:space="preserve"> </w:t>
      </w:r>
      <w:r w:rsidRPr="006E4716">
        <w:rPr>
          <w:rFonts w:cs="Times New Roman"/>
        </w:rPr>
        <w:t>All of</w:t>
      </w:r>
      <w:r w:rsidR="00B54EBB">
        <w:rPr>
          <w:rFonts w:cs="Times New Roman"/>
        </w:rPr>
        <w:t xml:space="preserve"> Villemure </w:t>
      </w:r>
      <w:r w:rsidRPr="006E4716">
        <w:rPr>
          <w:rFonts w:cs="Times New Roman"/>
        </w:rPr>
        <w:t xml:space="preserve">J.’s factual findings, which were based on the evidence, amply support the conclusion that an intravenous injection, performed properly by a naturopath qualified to administer such injections, did not pose an objectively foreseeable risk of bodily harm </w:t>
      </w:r>
      <w:r w:rsidR="00B54EBB">
        <w:rPr>
          <w:rFonts w:cs="Times New Roman"/>
        </w:rPr>
        <w:t>in the circumstances. Villemure </w:t>
      </w:r>
      <w:r w:rsidRPr="006E4716">
        <w:rPr>
          <w:rFonts w:cs="Times New Roman"/>
        </w:rPr>
        <w:t>J. considered both the act being performed and the person performing it, as she was required to do when assessing whether a risk of bodily harm is objectively foreseeable in the context of an activity requiring special care. The Court of Appeal erred in substituting its view that an intravenous injection is objectively dangerous regardless of the circumstances in which it is administered.</w:t>
      </w:r>
    </w:p>
    <w:p w:rsidR="0059587F" w:rsidRPr="006E4716" w:rsidRDefault="0059587F" w:rsidP="0059587F">
      <w:pPr>
        <w:pStyle w:val="ParaNoNdepar-AltN"/>
        <w:numPr>
          <w:ilvl w:val="0"/>
          <w:numId w:val="2"/>
        </w:numPr>
        <w:rPr>
          <w:rFonts w:cs="Times New Roman"/>
        </w:rPr>
      </w:pPr>
      <w:r w:rsidRPr="006E4716">
        <w:rPr>
          <w:rFonts w:cs="Times New Roman"/>
        </w:rPr>
        <w:t>I do, however, agree with the</w:t>
      </w:r>
      <w:r w:rsidR="00B54EBB">
        <w:rPr>
          <w:rFonts w:cs="Times New Roman"/>
        </w:rPr>
        <w:t xml:space="preserve"> Court of Appeal that Villemure </w:t>
      </w:r>
      <w:r w:rsidRPr="006E4716">
        <w:rPr>
          <w:rFonts w:cs="Times New Roman"/>
        </w:rPr>
        <w:t>J. erred in her articulation of the fault element for unlawful act manslaughter by stating that it required objective foreseeability of a risk of death. The proper test is objective foreseeability of a risk of bodily harm that is neither trivial nor transitory. But this error was immater</w:t>
      </w:r>
      <w:r w:rsidR="00B54EBB">
        <w:rPr>
          <w:rFonts w:cs="Times New Roman"/>
        </w:rPr>
        <w:t>ial, because even had Villemure </w:t>
      </w:r>
      <w:r w:rsidRPr="006E4716">
        <w:rPr>
          <w:rFonts w:cs="Times New Roman"/>
        </w:rPr>
        <w:t xml:space="preserve">J. applied the proper test, she would still </w:t>
      </w:r>
      <w:r w:rsidR="00364E6F">
        <w:rPr>
          <w:rFonts w:cs="Times New Roman"/>
        </w:rPr>
        <w:lastRenderedPageBreak/>
        <w:t>have acquitted Ms. </w:t>
      </w:r>
      <w:r w:rsidRPr="006E4716">
        <w:rPr>
          <w:rFonts w:cs="Times New Roman"/>
        </w:rPr>
        <w:t xml:space="preserve">Javanmardi based on her conclusion that the intravenous injection was not objectively dangerous, because a reasonable person in these circumstances would not have foreseen a risk of </w:t>
      </w:r>
      <w:r w:rsidRPr="006E4716">
        <w:rPr>
          <w:rFonts w:cs="Times New Roman"/>
          <w:i/>
        </w:rPr>
        <w:t>harm</w:t>
      </w:r>
      <w:r w:rsidRPr="006E4716">
        <w:rPr>
          <w:rFonts w:cs="Times New Roman"/>
        </w:rPr>
        <w:t>.</w:t>
      </w:r>
    </w:p>
    <w:p w:rsidR="0059587F" w:rsidRDefault="0059587F" w:rsidP="0059587F">
      <w:pPr>
        <w:pStyle w:val="ParaNoNdepar-AltN"/>
        <w:numPr>
          <w:ilvl w:val="0"/>
          <w:numId w:val="2"/>
        </w:numPr>
      </w:pPr>
      <w:r w:rsidRPr="006E4716">
        <w:rPr>
          <w:rFonts w:cs="Times New Roman"/>
        </w:rPr>
        <w:t>I would therefore allow the appeal and restore the acquittals for both criminal negligence causing death and unlawful act manslaughter. In view of these conclusions, it is unnecessary to consider the constitutional issues.</w:t>
      </w:r>
    </w:p>
    <w:p w:rsidR="0059587F" w:rsidRPr="00B20740" w:rsidRDefault="00B20740" w:rsidP="00B20740">
      <w:pPr>
        <w:pStyle w:val="JudgeJuge"/>
        <w:jc w:val="both"/>
        <w:rPr>
          <w:smallCaps w:val="0"/>
        </w:rPr>
      </w:pPr>
      <w:r>
        <w:tab/>
      </w:r>
      <w:r w:rsidR="0059587F" w:rsidRPr="00B20740">
        <w:rPr>
          <w:smallCaps w:val="0"/>
        </w:rPr>
        <w:t>English v</w:t>
      </w:r>
      <w:r w:rsidR="007654CC" w:rsidRPr="00B20740">
        <w:rPr>
          <w:smallCaps w:val="0"/>
        </w:rPr>
        <w:t>ersion of the reasons of Wagner </w:t>
      </w:r>
      <w:r w:rsidR="0059587F" w:rsidRPr="00B20740">
        <w:rPr>
          <w:smallCaps w:val="0"/>
        </w:rPr>
        <w:t xml:space="preserve">C.J. and </w:t>
      </w:r>
      <w:r w:rsidR="007654CC" w:rsidRPr="00B20740">
        <w:rPr>
          <w:smallCaps w:val="0"/>
        </w:rPr>
        <w:t>Rowe </w:t>
      </w:r>
      <w:r w:rsidR="0059587F" w:rsidRPr="00B20740">
        <w:rPr>
          <w:smallCaps w:val="0"/>
        </w:rPr>
        <w:t xml:space="preserve">J. </w:t>
      </w:r>
      <w:r w:rsidR="00766812" w:rsidRPr="00B20740">
        <w:rPr>
          <w:smallCaps w:val="0"/>
        </w:rPr>
        <w:t>delivered by</w:t>
      </w:r>
    </w:p>
    <w:p w:rsidR="0059587F" w:rsidRPr="00BF3B24" w:rsidRDefault="0059587F" w:rsidP="0059587F">
      <w:pPr>
        <w:pStyle w:val="JudgeJuge"/>
        <w:spacing w:before="240" w:after="720" w:line="240" w:lineRule="auto"/>
      </w:pPr>
      <w:r w:rsidRPr="00BF3B24">
        <w:tab/>
        <w:t>The Chief Justice</w:t>
      </w:r>
      <w:r w:rsidRPr="003A2F0B">
        <w:rPr>
          <w:smallCaps w:val="0"/>
        </w:rPr>
        <w:t xml:space="preserve"> </w:t>
      </w:r>
      <w:r w:rsidR="003A2F0B" w:rsidRPr="003A2F0B">
        <w:rPr>
          <w:smallCaps w:val="0"/>
        </w:rPr>
        <w:t xml:space="preserve">(dissenting) </w:t>
      </w:r>
      <w:r w:rsidRPr="00BF3B24">
        <w:t>—</w:t>
      </w:r>
    </w:p>
    <w:p w:rsidR="0059587F" w:rsidRPr="00BF3B24" w:rsidRDefault="0059587F" w:rsidP="0059587F">
      <w:pPr>
        <w:pStyle w:val="Title1LevelTitre1Niveau-AltL"/>
        <w:numPr>
          <w:ilvl w:val="0"/>
          <w:numId w:val="10"/>
        </w:numPr>
        <w:spacing w:before="0"/>
        <w:rPr>
          <w:rFonts w:cs="Times New Roman"/>
        </w:rPr>
      </w:pPr>
      <w:r w:rsidRPr="00BF3B24">
        <w:rPr>
          <w:rFonts w:cs="Times New Roman"/>
        </w:rPr>
        <w:t>Introduction</w:t>
      </w:r>
    </w:p>
    <w:p w:rsidR="0059587F" w:rsidRPr="00BF3B24" w:rsidRDefault="0059587F" w:rsidP="0059587F">
      <w:pPr>
        <w:pStyle w:val="ParaNoNdepar-AltN"/>
        <w:rPr>
          <w:rFonts w:cs="Times New Roman"/>
        </w:rPr>
      </w:pPr>
      <w:r w:rsidRPr="00BF3B24">
        <w:rPr>
          <w:rFonts w:cs="Times New Roman"/>
        </w:rPr>
        <w:t>Is administering an injection to another person an objectively dangerous act? Does the answer to this question depend on the training or experience of the person performing the act? These are the questions raised by this appeal. Like the Court of Appeal, I would answer the first in the affirmative and the second in the negative. I would order a new trial on both charges.</w:t>
      </w:r>
    </w:p>
    <w:p w:rsidR="0059587F" w:rsidRPr="00BF3B24" w:rsidRDefault="0059587F" w:rsidP="0059587F">
      <w:pPr>
        <w:pStyle w:val="ParaNoNdepar-AltN"/>
        <w:spacing w:before="0"/>
        <w:rPr>
          <w:rFonts w:cs="Times New Roman"/>
        </w:rPr>
      </w:pPr>
      <w:r w:rsidRPr="00BF3B24">
        <w:rPr>
          <w:rFonts w:cs="Times New Roman"/>
        </w:rPr>
        <w:t>Ms. Javanmardi, who prac</w:t>
      </w:r>
      <w:r w:rsidR="00BC0BDE">
        <w:rPr>
          <w:rFonts w:cs="Times New Roman"/>
        </w:rPr>
        <w:t>tic</w:t>
      </w:r>
      <w:r w:rsidRPr="00BF3B24">
        <w:rPr>
          <w:rFonts w:cs="Times New Roman"/>
        </w:rPr>
        <w:t>ed naturopathy in Quebec, administered injections to her clients without being legally authorized to do so. It is admitted that she did so knowingly and regularly for several years, thereby committing the offence of practising medicine illegally, a provincial penal offence of strict liability.</w:t>
      </w:r>
    </w:p>
    <w:p w:rsidR="0059587F" w:rsidRPr="00BF3B24" w:rsidRDefault="0059587F" w:rsidP="0059587F">
      <w:pPr>
        <w:pStyle w:val="ParaNoNdepar-AltN"/>
        <w:spacing w:before="0"/>
        <w:rPr>
          <w:rFonts w:cs="Times New Roman"/>
        </w:rPr>
      </w:pPr>
      <w:r w:rsidRPr="00BF3B24">
        <w:rPr>
          <w:rFonts w:cs="Times New Roman"/>
        </w:rPr>
        <w:lastRenderedPageBreak/>
        <w:t xml:space="preserve">In 2008, a vial in Ms. Javanmardi’s clinic was, unbeknownst to her, contaminated by a bacterium. Ms. Javanmardi drew a substance from that vial to administer an injection to </w:t>
      </w:r>
      <w:r w:rsidR="0061473B">
        <w:rPr>
          <w:rFonts w:cs="Times New Roman"/>
        </w:rPr>
        <w:t xml:space="preserve">Mr. </w:t>
      </w:r>
      <w:r w:rsidRPr="00BF3B24">
        <w:rPr>
          <w:rFonts w:cs="Times New Roman"/>
        </w:rPr>
        <w:t>Roger Matern, which caused him to develop septic shock that proved to be fatal. She was charged with criminal negligence causing death and unlawful act manslaughter. Ms. Javanmardi was initially acquitted of both charges by the trial court (C.Q., No. 500</w:t>
      </w:r>
      <w:r w:rsidRPr="00BF3B24">
        <w:rPr>
          <w:rFonts w:cs="Times New Roman"/>
        </w:rPr>
        <w:noBreakHyphen/>
        <w:t>01</w:t>
      </w:r>
      <w:r w:rsidRPr="00BF3B24">
        <w:rPr>
          <w:rFonts w:cs="Times New Roman"/>
        </w:rPr>
        <w:noBreakHyphen/>
        <w:t>013474</w:t>
      </w:r>
      <w:r w:rsidRPr="00BF3B24">
        <w:rPr>
          <w:rFonts w:cs="Times New Roman"/>
        </w:rPr>
        <w:noBreakHyphen/>
        <w:t>082, April 8, 2015). The Crown then appealed to the Court of Appeal, which convicted Ms. Javanmardi of the latter charge and ordered a new trial on the former (2018 QCCA 856, 47 C.R. (7th) 296). Ms. Javanmardi is asking this Court to restore the initial acquittals.</w:t>
      </w:r>
    </w:p>
    <w:p w:rsidR="0059587F" w:rsidRPr="00BF3B24" w:rsidRDefault="0059587F" w:rsidP="0059587F">
      <w:pPr>
        <w:pStyle w:val="ParaNoNdepar-AltN"/>
        <w:spacing w:before="0"/>
        <w:rPr>
          <w:rFonts w:cs="Times New Roman"/>
        </w:rPr>
      </w:pPr>
      <w:r w:rsidRPr="00BF3B24">
        <w:rPr>
          <w:rFonts w:cs="Times New Roman"/>
        </w:rPr>
        <w:t>The two charges in question are based on the unlawful injection given by Ms. Javanmardi to Mr. Matern on June 12, 2008. The uncontested evidence shows that such an act is objectively dangerous because the injection of a substance across physiological barriers poses inherent risks. In addition, the contaminated vial used by Ms. Javanmardi was a “single</w:t>
      </w:r>
      <w:r w:rsidRPr="00BF3B24">
        <w:rPr>
          <w:rFonts w:cs="Times New Roman"/>
        </w:rPr>
        <w:noBreakHyphen/>
        <w:t>dose” vial and contained no preservative. In spite of this, she had previously used it for two other clients the morning of June 12, contrary to the recommended practice.</w:t>
      </w:r>
    </w:p>
    <w:p w:rsidR="0059587F" w:rsidRPr="00BF3B24" w:rsidRDefault="0059587F" w:rsidP="0059587F">
      <w:pPr>
        <w:pStyle w:val="ParaNoNdepar-AltN"/>
        <w:spacing w:before="0"/>
        <w:rPr>
          <w:rFonts w:cs="Times New Roman"/>
        </w:rPr>
      </w:pPr>
      <w:r w:rsidRPr="00BF3B24">
        <w:rPr>
          <w:rFonts w:cs="Times New Roman"/>
        </w:rPr>
        <w:t xml:space="preserve">The trial court nonetheless acquitted Ms. Javanmardi, stating that it had a reasonable doubt as to whether the unlawful injection was objectively dangerous and as to whether her conduct amounted to a </w:t>
      </w:r>
      <w:r w:rsidRPr="00BF3B24">
        <w:rPr>
          <w:rFonts w:cs="Times New Roman"/>
          <w:i/>
        </w:rPr>
        <w:t>marked departure</w:t>
      </w:r>
      <w:r w:rsidRPr="00BF3B24">
        <w:rPr>
          <w:rFonts w:cs="Times New Roman"/>
        </w:rPr>
        <w:t xml:space="preserve"> from the standard of care that applied in the circumstances.</w:t>
      </w:r>
    </w:p>
    <w:p w:rsidR="0059587F" w:rsidRPr="00BF3B24" w:rsidRDefault="0059587F" w:rsidP="0059587F">
      <w:pPr>
        <w:pStyle w:val="ParaNoNdepar-AltN"/>
        <w:spacing w:before="0"/>
        <w:rPr>
          <w:rFonts w:cs="Times New Roman"/>
        </w:rPr>
      </w:pPr>
      <w:r w:rsidRPr="00BF3B24">
        <w:rPr>
          <w:rFonts w:cs="Times New Roman"/>
        </w:rPr>
        <w:lastRenderedPageBreak/>
        <w:t>With respect, by refusing to find that the unlawful injection was objectively dangerous, the trial court failed to arrive at the legal conclusion that was necessary in light of the facts as found. This was an error of law (</w:t>
      </w:r>
      <w:r w:rsidRPr="00BF3B24">
        <w:rPr>
          <w:rFonts w:cs="Times New Roman"/>
          <w:i/>
        </w:rPr>
        <w:t>R. v. J.M.H</w:t>
      </w:r>
      <w:r w:rsidR="00EE11EA">
        <w:rPr>
          <w:rFonts w:cs="Times New Roman"/>
          <w:i/>
        </w:rPr>
        <w:t>.</w:t>
      </w:r>
      <w:r w:rsidRPr="00BF3B24">
        <w:rPr>
          <w:rFonts w:cs="Times New Roman"/>
        </w:rPr>
        <w:t>, 2011 SCC 45, [2011] 3 S.C.R. 197), whose impact is such that it requires a new trial (</w:t>
      </w:r>
      <w:r w:rsidRPr="00BF3B24">
        <w:rPr>
          <w:rFonts w:cs="Times New Roman"/>
          <w:i/>
        </w:rPr>
        <w:t>Vézeau v. The Queen</w:t>
      </w:r>
      <w:r w:rsidRPr="00BF3B24">
        <w:rPr>
          <w:rFonts w:cs="Times New Roman"/>
        </w:rPr>
        <w:t xml:space="preserve">, [1977] 2 S.C.R. 277; </w:t>
      </w:r>
      <w:r w:rsidRPr="00BF3B24">
        <w:rPr>
          <w:rFonts w:cs="Times New Roman"/>
          <w:i/>
        </w:rPr>
        <w:t>R. v. Morin</w:t>
      </w:r>
      <w:r w:rsidRPr="00BF3B24">
        <w:rPr>
          <w:rFonts w:cs="Times New Roman"/>
        </w:rPr>
        <w:t xml:space="preserve">, [1988] 2 S.C.R. 345; </w:t>
      </w:r>
      <w:r w:rsidRPr="00BF3B24">
        <w:rPr>
          <w:rFonts w:cs="Times New Roman"/>
          <w:i/>
        </w:rPr>
        <w:t>R. v. Graveline</w:t>
      </w:r>
      <w:r w:rsidRPr="00BF3B24">
        <w:rPr>
          <w:rFonts w:cs="Times New Roman"/>
        </w:rPr>
        <w:t xml:space="preserve">, 2006 SCC 16, [2006] 1 S.C.R. 609; </w:t>
      </w:r>
      <w:r w:rsidRPr="00BF3B24">
        <w:rPr>
          <w:rFonts w:cs="Times New Roman"/>
          <w:i/>
        </w:rPr>
        <w:t>R. v. George</w:t>
      </w:r>
      <w:r w:rsidRPr="00BF3B24">
        <w:rPr>
          <w:rFonts w:cs="Times New Roman"/>
        </w:rPr>
        <w:t>, 2017 SCC 38, [2017] 1 S.C.R. 1021). Although the court made other errors, this one was the most important because it was made earlier in the decision and therefore magnified the impact of the errors that followed it.</w:t>
      </w:r>
    </w:p>
    <w:p w:rsidR="0059587F" w:rsidRPr="00BF3B24" w:rsidRDefault="0059587F" w:rsidP="0059587F">
      <w:pPr>
        <w:pStyle w:val="ParaNoNdepar-AltN"/>
        <w:spacing w:before="0"/>
        <w:rPr>
          <w:rFonts w:cs="Times New Roman"/>
        </w:rPr>
      </w:pPr>
      <w:r w:rsidRPr="00BF3B24">
        <w:rPr>
          <w:rFonts w:cs="Times New Roman"/>
        </w:rPr>
        <w:t>I will begin by discussing the essential elements of the offence of manslaughter in order to expand slightly on my colleague’s review of this subject. I will then consider the two main errors made by the trial court, focusing particularly on the objective dangerousness of the act in question.</w:t>
      </w:r>
    </w:p>
    <w:p w:rsidR="0059587F" w:rsidRPr="00BF3B24" w:rsidRDefault="0059587F" w:rsidP="0059587F">
      <w:pPr>
        <w:pStyle w:val="Title1LevelTitre1Niveau-AltL"/>
        <w:numPr>
          <w:ilvl w:val="0"/>
          <w:numId w:val="10"/>
        </w:numPr>
        <w:spacing w:before="0"/>
        <w:rPr>
          <w:rFonts w:cs="Times New Roman"/>
        </w:rPr>
      </w:pPr>
      <w:r w:rsidRPr="00BF3B24">
        <w:rPr>
          <w:rFonts w:cs="Times New Roman"/>
        </w:rPr>
        <w:t>Unlawful Act Manslaughter</w:t>
      </w:r>
    </w:p>
    <w:p w:rsidR="0059587F" w:rsidRPr="00BF3B24" w:rsidRDefault="0059587F" w:rsidP="0059587F">
      <w:pPr>
        <w:pStyle w:val="ParaNoNdepar-AltN"/>
        <w:spacing w:before="0"/>
        <w:rPr>
          <w:rFonts w:cs="Times New Roman"/>
        </w:rPr>
      </w:pPr>
      <w:r w:rsidRPr="00BF3B24">
        <w:rPr>
          <w:rFonts w:cs="Times New Roman"/>
        </w:rPr>
        <w:t xml:space="preserve">The offence of unlawful act manslaughter is quite particular. Because it requires proof of an underlying unlawful act, the offence has two cumulative fault elements: the </w:t>
      </w:r>
      <w:r w:rsidRPr="00BF3B24">
        <w:rPr>
          <w:rFonts w:cs="Times New Roman"/>
          <w:i/>
        </w:rPr>
        <w:t>mens rea</w:t>
      </w:r>
      <w:r w:rsidRPr="00BF3B24">
        <w:rPr>
          <w:rFonts w:cs="Times New Roman"/>
        </w:rPr>
        <w:t xml:space="preserve"> of the underlying act and the </w:t>
      </w:r>
      <w:r w:rsidRPr="00BF3B24">
        <w:rPr>
          <w:rFonts w:cs="Times New Roman"/>
          <w:i/>
        </w:rPr>
        <w:t>mens rea</w:t>
      </w:r>
      <w:r w:rsidRPr="00BF3B24">
        <w:rPr>
          <w:rFonts w:cs="Times New Roman"/>
        </w:rPr>
        <w:t xml:space="preserve"> specific to manslaughter. This two</w:t>
      </w:r>
      <w:r w:rsidRPr="00BF3B24">
        <w:rPr>
          <w:rFonts w:cs="Times New Roman"/>
        </w:rPr>
        <w:noBreakHyphen/>
        <w:t>tiered structure also makes the offence more complicated in nature. It is therefore important, first and foremost, to identify each of its elements with precision.</w:t>
      </w:r>
    </w:p>
    <w:p w:rsidR="0059587F" w:rsidRPr="00BF3B24" w:rsidRDefault="0059587F" w:rsidP="0059587F">
      <w:pPr>
        <w:pStyle w:val="Title2LevelTitre2Niveau"/>
        <w:numPr>
          <w:ilvl w:val="1"/>
          <w:numId w:val="10"/>
        </w:numPr>
        <w:spacing w:before="0"/>
        <w:rPr>
          <w:rFonts w:cs="Times New Roman"/>
        </w:rPr>
      </w:pPr>
      <w:r w:rsidRPr="00BF3B24">
        <w:rPr>
          <w:rFonts w:cs="Times New Roman"/>
        </w:rPr>
        <w:t>Actus Reus</w:t>
      </w:r>
    </w:p>
    <w:p w:rsidR="0059587F" w:rsidRPr="00BF3B24" w:rsidRDefault="0059587F" w:rsidP="0059587F">
      <w:pPr>
        <w:pStyle w:val="ParaNoNdepar-AltN"/>
        <w:spacing w:before="0"/>
        <w:rPr>
          <w:rFonts w:cs="Times New Roman"/>
        </w:rPr>
      </w:pPr>
      <w:r w:rsidRPr="00BF3B24">
        <w:rPr>
          <w:rFonts w:cs="Times New Roman"/>
        </w:rPr>
        <w:lastRenderedPageBreak/>
        <w:t xml:space="preserve">The </w:t>
      </w:r>
      <w:r w:rsidRPr="00BF3B24">
        <w:rPr>
          <w:rFonts w:cs="Times New Roman"/>
          <w:i/>
        </w:rPr>
        <w:t xml:space="preserve">actus reus </w:t>
      </w:r>
      <w:r w:rsidRPr="00BF3B24">
        <w:rPr>
          <w:rFonts w:cs="Times New Roman"/>
        </w:rPr>
        <w:t>of unlawful act manslaughter has three elements: (1) an underlying unlawful act; (2) the objective dangerousness of that act; and (3) a causal connection between the act and the death.</w:t>
      </w:r>
    </w:p>
    <w:p w:rsidR="0059587F" w:rsidRPr="00BF3B24" w:rsidRDefault="0059587F" w:rsidP="0059587F">
      <w:pPr>
        <w:pStyle w:val="Title3LevelTitre3Niveau"/>
        <w:numPr>
          <w:ilvl w:val="2"/>
          <w:numId w:val="10"/>
        </w:numPr>
        <w:spacing w:before="0"/>
        <w:rPr>
          <w:rFonts w:cs="Times New Roman"/>
        </w:rPr>
      </w:pPr>
      <w:r w:rsidRPr="00BF3B24">
        <w:rPr>
          <w:rFonts w:cs="Times New Roman"/>
        </w:rPr>
        <w:t>Unlawful Act</w:t>
      </w:r>
    </w:p>
    <w:p w:rsidR="0059587F" w:rsidRPr="00BF3B24" w:rsidRDefault="0059587F" w:rsidP="0059587F">
      <w:pPr>
        <w:pStyle w:val="ParaNoNdepar-AltN"/>
        <w:spacing w:before="0"/>
        <w:rPr>
          <w:rFonts w:cs="Times New Roman"/>
        </w:rPr>
      </w:pPr>
      <w:r w:rsidRPr="00BF3B24">
        <w:rPr>
          <w:rFonts w:cs="Times New Roman"/>
        </w:rPr>
        <w:t>In my view, a verdict of manslaughter can validly be based on either a federal underlying offence or a provincial underlying offence. This is in fact implicit in my colleague’s reasons. As she notes, absolute liability offences are clearly excluded, whether they were enacted by Parliament or by a legislature (</w:t>
      </w:r>
      <w:r w:rsidRPr="00BF3B24">
        <w:rPr>
          <w:rFonts w:cs="Times New Roman"/>
          <w:i/>
        </w:rPr>
        <w:t>R. v. DeSousa</w:t>
      </w:r>
      <w:r w:rsidRPr="00BF3B24">
        <w:rPr>
          <w:rFonts w:cs="Times New Roman"/>
        </w:rPr>
        <w:t>, [1992] 2 S.C.R. 944, at p. 957).</w:t>
      </w:r>
    </w:p>
    <w:p w:rsidR="0059587F" w:rsidRPr="00BF3B24" w:rsidRDefault="0059587F" w:rsidP="0059587F">
      <w:pPr>
        <w:pStyle w:val="ParaNoNdepar-AltN"/>
        <w:spacing w:before="0"/>
        <w:rPr>
          <w:rFonts w:cs="Times New Roman"/>
        </w:rPr>
      </w:pPr>
      <w:r w:rsidRPr="00BF3B24">
        <w:rPr>
          <w:rFonts w:cs="Times New Roman"/>
        </w:rPr>
        <w:t xml:space="preserve">Once an unlawful act is proved, the first element of the </w:t>
      </w:r>
      <w:r w:rsidRPr="00BF3B24">
        <w:rPr>
          <w:rFonts w:cs="Times New Roman"/>
          <w:i/>
        </w:rPr>
        <w:t xml:space="preserve">actus reus </w:t>
      </w:r>
      <w:r w:rsidRPr="00BF3B24">
        <w:rPr>
          <w:rFonts w:cs="Times New Roman"/>
        </w:rPr>
        <w:t>(the underlying unlawful act) is therefore satisfied. The court must then consider the second element, that is, the requirement that the unlawful act be objectively dangerous. It is this element that is central to these proceedings.</w:t>
      </w:r>
    </w:p>
    <w:p w:rsidR="0059587F" w:rsidRPr="00BF3B24" w:rsidRDefault="0059587F" w:rsidP="0059587F">
      <w:pPr>
        <w:pStyle w:val="Title3LevelTitre3Niveau"/>
        <w:numPr>
          <w:ilvl w:val="2"/>
          <w:numId w:val="10"/>
        </w:numPr>
        <w:spacing w:before="0"/>
        <w:rPr>
          <w:rFonts w:cs="Times New Roman"/>
        </w:rPr>
      </w:pPr>
      <w:r w:rsidRPr="00BF3B24">
        <w:rPr>
          <w:rFonts w:cs="Times New Roman"/>
        </w:rPr>
        <w:t>Objectively Dangerous Conduct</w:t>
      </w:r>
    </w:p>
    <w:p w:rsidR="0059587F" w:rsidRPr="00BF3B24" w:rsidRDefault="0059587F" w:rsidP="0059587F">
      <w:pPr>
        <w:pStyle w:val="ParaNoNdepar-AltN"/>
        <w:spacing w:before="0"/>
        <w:rPr>
          <w:rFonts w:cs="Times New Roman"/>
        </w:rPr>
      </w:pPr>
      <w:r w:rsidRPr="00BF3B24">
        <w:rPr>
          <w:rFonts w:cs="Times New Roman"/>
        </w:rPr>
        <w:t>In addition to being unlawful, the impugned act must be objectively dangerous; in other words, it must be an act that a reasonable person would know is likely to subject another person to a risk of bodily harm (</w:t>
      </w:r>
      <w:r w:rsidRPr="00BF3B24">
        <w:rPr>
          <w:rFonts w:cs="Times New Roman"/>
          <w:i/>
        </w:rPr>
        <w:t>DeSousa</w:t>
      </w:r>
      <w:r w:rsidRPr="00BF3B24">
        <w:rPr>
          <w:rFonts w:cs="Times New Roman"/>
        </w:rPr>
        <w:t xml:space="preserve">, at p. 961). My colleague is of the view that this element is superfluous in the case of manslaughter </w:t>
      </w:r>
      <w:r w:rsidRPr="00BF3B24">
        <w:rPr>
          <w:rFonts w:cs="Times New Roman"/>
        </w:rPr>
        <w:lastRenderedPageBreak/>
        <w:t>because it duplicates the fault element, that is, foreseeability of the risk of bodily harm (</w:t>
      </w:r>
      <w:r w:rsidRPr="00BF3B24">
        <w:rPr>
          <w:rFonts w:cs="Times New Roman"/>
          <w:i/>
        </w:rPr>
        <w:t>R. v. Creighton</w:t>
      </w:r>
      <w:r w:rsidRPr="00BF3B24">
        <w:rPr>
          <w:rFonts w:cs="Times New Roman"/>
        </w:rPr>
        <w:t>,</w:t>
      </w:r>
      <w:r w:rsidRPr="00BF3B24">
        <w:rPr>
          <w:rFonts w:cs="Times New Roman"/>
          <w:i/>
        </w:rPr>
        <w:t xml:space="preserve"> </w:t>
      </w:r>
      <w:r w:rsidRPr="00BF3B24">
        <w:rPr>
          <w:rFonts w:cs="Times New Roman"/>
        </w:rPr>
        <w:t>[1993] 3 S.C.R. 3, at p. 24).</w:t>
      </w:r>
    </w:p>
    <w:p w:rsidR="0059587F" w:rsidRPr="00BF3B24" w:rsidRDefault="0059587F" w:rsidP="0059587F">
      <w:pPr>
        <w:pStyle w:val="ParaNoNdepar-AltN"/>
        <w:spacing w:before="0"/>
        <w:rPr>
          <w:rFonts w:cs="Times New Roman"/>
        </w:rPr>
      </w:pPr>
      <w:r w:rsidRPr="00BF3B24">
        <w:rPr>
          <w:rFonts w:cs="Times New Roman"/>
        </w:rPr>
        <w:t xml:space="preserve">While the objectively dangerous conduct is relevant to the </w:t>
      </w:r>
      <w:r w:rsidRPr="00BF3B24">
        <w:rPr>
          <w:rFonts w:cs="Times New Roman"/>
          <w:i/>
        </w:rPr>
        <w:t xml:space="preserve">actus reus </w:t>
      </w:r>
      <w:r w:rsidRPr="00BF3B24">
        <w:rPr>
          <w:rFonts w:cs="Times New Roman"/>
        </w:rPr>
        <w:t xml:space="preserve">and to the fault element, it cannot be said that it is assessed from the same perspective at both stages of the analysis. The </w:t>
      </w:r>
      <w:r w:rsidRPr="00BF3B24">
        <w:rPr>
          <w:rFonts w:cs="Times New Roman"/>
          <w:i/>
        </w:rPr>
        <w:t xml:space="preserve">actus reus </w:t>
      </w:r>
      <w:r w:rsidRPr="00BF3B24">
        <w:rPr>
          <w:rFonts w:cs="Times New Roman"/>
        </w:rPr>
        <w:t xml:space="preserve">will be proved if the court is satisfied that the accused did something that a reasonable person would have known was likely to subject another person to a risk of harm. In considering the </w:t>
      </w:r>
      <w:r w:rsidRPr="00BF3B24">
        <w:rPr>
          <w:rFonts w:cs="Times New Roman"/>
          <w:i/>
        </w:rPr>
        <w:t>actus reus</w:t>
      </w:r>
      <w:r w:rsidRPr="00BF3B24">
        <w:rPr>
          <w:rFonts w:cs="Times New Roman"/>
        </w:rPr>
        <w:t xml:space="preserve">, the court is not to assess the extent to which the accused’s conduct departed from this standard of care or the accused’s state of mind. Rather, the </w:t>
      </w:r>
      <w:r w:rsidRPr="00BF3B24">
        <w:rPr>
          <w:rFonts w:cs="Times New Roman"/>
          <w:i/>
        </w:rPr>
        <w:t xml:space="preserve">actus reus </w:t>
      </w:r>
      <w:r w:rsidRPr="00BF3B24">
        <w:rPr>
          <w:rFonts w:cs="Times New Roman"/>
        </w:rPr>
        <w:t>of penal negligence, like that of civil negligence, will be established where the court is satisfied that the impugned conduct deviated from the standard expected of a reasonably prudent person. This evidentiary threshold reflects the fact that, at this stage of the analysis, the court is considering whether the accused committed the physical element of the offence, not whether the accused had the state of mind required for a conviction.</w:t>
      </w:r>
    </w:p>
    <w:p w:rsidR="0059587F" w:rsidRPr="00BF3B24" w:rsidRDefault="0059587F" w:rsidP="0059587F">
      <w:pPr>
        <w:pStyle w:val="ParaNoNdepar-AltN"/>
        <w:spacing w:before="0"/>
        <w:rPr>
          <w:rFonts w:cs="Times New Roman"/>
        </w:rPr>
      </w:pPr>
      <w:r w:rsidRPr="00BF3B24">
        <w:rPr>
          <w:rFonts w:cs="Times New Roman"/>
        </w:rPr>
        <w:t xml:space="preserve">The second element of the </w:t>
      </w:r>
      <w:r w:rsidRPr="00BF3B24">
        <w:rPr>
          <w:rFonts w:cs="Times New Roman"/>
          <w:i/>
        </w:rPr>
        <w:t>actus reus</w:t>
      </w:r>
      <w:r w:rsidRPr="00BF3B24">
        <w:rPr>
          <w:rFonts w:cs="Times New Roman"/>
        </w:rPr>
        <w:t xml:space="preserve">, the objective dangerousness of the unlawful act, is therefore assessed without reference to the accused’s personal characteristics. This does not involve the application of the modified objective test, which allows the court to consider limited contextual factors. That test is instead applied in analyzing </w:t>
      </w:r>
      <w:r w:rsidRPr="00BF3B24">
        <w:rPr>
          <w:rFonts w:cs="Times New Roman"/>
          <w:i/>
        </w:rPr>
        <w:t>mens rea</w:t>
      </w:r>
      <w:r w:rsidRPr="00BF3B24">
        <w:rPr>
          <w:rFonts w:cs="Times New Roman"/>
        </w:rPr>
        <w:t xml:space="preserve"> and, where it is met, has the effect of exculpating an accused who has not breached the standard of care sufficiently for criminal liability to be imposed. It is important to note that the relevance of certain contextual factors that </w:t>
      </w:r>
      <w:r w:rsidRPr="00BF3B24">
        <w:rPr>
          <w:rFonts w:cs="Times New Roman"/>
        </w:rPr>
        <w:lastRenderedPageBreak/>
        <w:t xml:space="preserve">is described in </w:t>
      </w:r>
      <w:r w:rsidRPr="00BF3B24">
        <w:rPr>
          <w:rFonts w:cs="Times New Roman"/>
          <w:i/>
        </w:rPr>
        <w:t>Creighton</w:t>
      </w:r>
      <w:r w:rsidRPr="00BF3B24">
        <w:rPr>
          <w:rFonts w:cs="Times New Roman"/>
        </w:rPr>
        <w:t xml:space="preserve">, which I will discuss shortly, concerns the analysis of </w:t>
      </w:r>
      <w:r w:rsidRPr="00BF3B24">
        <w:rPr>
          <w:rFonts w:cs="Times New Roman"/>
          <w:i/>
        </w:rPr>
        <w:t>mens rea</w:t>
      </w:r>
      <w:r w:rsidRPr="00BF3B24">
        <w:rPr>
          <w:rFonts w:cs="Times New Roman"/>
        </w:rPr>
        <w:t xml:space="preserve">. The guidance provided by McLachlin J. (as she then was) on the consideration of such factors was in the context of the “debate about the degree to which personal characteristics should be reflected in the objective test </w:t>
      </w:r>
      <w:r w:rsidRPr="00BF3B24">
        <w:rPr>
          <w:rFonts w:cs="Times New Roman"/>
          <w:u w:val="single"/>
        </w:rPr>
        <w:t>for fault</w:t>
      </w:r>
      <w:r w:rsidRPr="00BF3B24">
        <w:rPr>
          <w:rFonts w:cs="Times New Roman"/>
        </w:rPr>
        <w:t xml:space="preserve"> in offences of penal negligence” (</w:t>
      </w:r>
      <w:r w:rsidRPr="00BF3B24">
        <w:rPr>
          <w:rFonts w:cs="Times New Roman"/>
          <w:i/>
        </w:rPr>
        <w:t>Creighton</w:t>
      </w:r>
      <w:r w:rsidRPr="00BF3B24">
        <w:rPr>
          <w:rFonts w:cs="Times New Roman"/>
        </w:rPr>
        <w:t>, at p. 60 (emphasis added)).</w:t>
      </w:r>
    </w:p>
    <w:p w:rsidR="0059587F" w:rsidRPr="00BF3B24" w:rsidRDefault="0059587F" w:rsidP="0059587F">
      <w:pPr>
        <w:pStyle w:val="Title3LevelTitre3Niveau"/>
        <w:numPr>
          <w:ilvl w:val="2"/>
          <w:numId w:val="10"/>
        </w:numPr>
        <w:spacing w:before="0"/>
        <w:rPr>
          <w:rFonts w:cs="Times New Roman"/>
        </w:rPr>
      </w:pPr>
      <w:r w:rsidRPr="00BF3B24">
        <w:rPr>
          <w:rFonts w:cs="Times New Roman"/>
        </w:rPr>
        <w:t>Causal Connection</w:t>
      </w:r>
    </w:p>
    <w:p w:rsidR="0059587F" w:rsidRPr="00BF3B24" w:rsidRDefault="0059587F" w:rsidP="0059587F">
      <w:pPr>
        <w:pStyle w:val="ParaNoNdepar-AltN"/>
        <w:spacing w:before="0"/>
        <w:rPr>
          <w:rFonts w:cs="Times New Roman"/>
        </w:rPr>
      </w:pPr>
      <w:r w:rsidRPr="00BF3B24">
        <w:rPr>
          <w:rFonts w:cs="Times New Roman"/>
        </w:rPr>
        <w:t xml:space="preserve">In addition to an underlying unlawful act that is objectively dangerous, one last element is required to establish the </w:t>
      </w:r>
      <w:r w:rsidRPr="00BF3B24">
        <w:rPr>
          <w:rFonts w:cs="Times New Roman"/>
          <w:i/>
        </w:rPr>
        <w:t>actus reus</w:t>
      </w:r>
      <w:r w:rsidRPr="00BF3B24">
        <w:rPr>
          <w:rFonts w:cs="Times New Roman"/>
        </w:rPr>
        <w:t>: a causal connection. Ms. Javanmardi argues for a strict interpretation of this concept. In her submission, this requirement will not be met unless the death results from the unlawful nature of the impugned conduct. She therefore argues that it was not sufficient in the case at bar to connect the death to the injection. Rather, the death had to have been caused by the illegal practice of medicine. I disagree.</w:t>
      </w:r>
    </w:p>
    <w:p w:rsidR="0059587F" w:rsidRPr="00BF3B24" w:rsidRDefault="0059587F" w:rsidP="0059587F">
      <w:pPr>
        <w:pStyle w:val="ParaNoNdepar-AltN"/>
        <w:spacing w:before="0"/>
        <w:rPr>
          <w:rFonts w:cs="Times New Roman"/>
        </w:rPr>
      </w:pPr>
      <w:r w:rsidRPr="00BF3B24">
        <w:rPr>
          <w:rFonts w:cs="Times New Roman"/>
        </w:rPr>
        <w:t xml:space="preserve">To begin with, Ms. Javanmardi’s arguments here are contradictory. At the stage where the causal connection is considered, she defines the act as being the illegal practice of medicine, but in her argument for uniform rules on the matter across provinces and territories, she focuses instead on the act of administering the injection (because, of course, the illegal practice of medicine is prohibited throughout the country). Furthermore, the emphasis she wishes to place on the connection between the unlawful nature of the act and the death is inconsistent with the detailed analytical </w:t>
      </w:r>
      <w:r w:rsidRPr="00BF3B24">
        <w:rPr>
          <w:rFonts w:cs="Times New Roman"/>
        </w:rPr>
        <w:lastRenderedPageBreak/>
        <w:t>approach used for negligence. The trial judge’s finding that the injection given by Ms. Javanmardi caused the victim’s death is therefore perfectly valid.</w:t>
      </w:r>
    </w:p>
    <w:p w:rsidR="0059587F" w:rsidRPr="00BF3B24" w:rsidRDefault="0059587F" w:rsidP="0059587F">
      <w:pPr>
        <w:pStyle w:val="Title2LevelTitre2Niveau"/>
        <w:numPr>
          <w:ilvl w:val="1"/>
          <w:numId w:val="10"/>
        </w:numPr>
        <w:spacing w:before="0"/>
        <w:rPr>
          <w:rFonts w:cs="Times New Roman"/>
        </w:rPr>
      </w:pPr>
      <w:r w:rsidRPr="00BF3B24">
        <w:rPr>
          <w:rFonts w:cs="Times New Roman"/>
        </w:rPr>
        <w:t>Mens Rea</w:t>
      </w:r>
    </w:p>
    <w:p w:rsidR="0059587F" w:rsidRPr="00BF3B24" w:rsidRDefault="0059587F" w:rsidP="0059587F">
      <w:pPr>
        <w:pStyle w:val="ParaNoNdepar-AltN"/>
        <w:spacing w:before="0"/>
        <w:rPr>
          <w:rFonts w:cs="Times New Roman"/>
        </w:rPr>
      </w:pPr>
      <w:r w:rsidRPr="00BF3B24">
        <w:rPr>
          <w:rFonts w:cs="Times New Roman"/>
        </w:rPr>
        <w:t xml:space="preserve">Unlawful act manslaughter has two cumulative fault elements: the </w:t>
      </w:r>
      <w:r w:rsidRPr="00BF3B24">
        <w:rPr>
          <w:rFonts w:cs="Times New Roman"/>
          <w:i/>
        </w:rPr>
        <w:t>mens rea</w:t>
      </w:r>
      <w:r w:rsidRPr="00BF3B24">
        <w:rPr>
          <w:rFonts w:cs="Times New Roman"/>
        </w:rPr>
        <w:t xml:space="preserve"> of the underlying act and the fault element specific to manslaughter.</w:t>
      </w:r>
    </w:p>
    <w:p w:rsidR="0059587F" w:rsidRPr="00BF3B24" w:rsidRDefault="0059587F" w:rsidP="0059587F">
      <w:pPr>
        <w:pStyle w:val="ParaNoNdepar-AltN"/>
        <w:spacing w:before="0"/>
        <w:rPr>
          <w:rFonts w:cs="Times New Roman"/>
        </w:rPr>
      </w:pPr>
      <w:r w:rsidRPr="00BF3B24">
        <w:rPr>
          <w:rFonts w:cs="Times New Roman"/>
        </w:rPr>
        <w:t>With regard to the underlying act, it is important to note that a verdict of manslaughter can be based on a violation of a statute or of regulations. A number of such violations, whether under a federal or a provincial enactment, involve “strict liability” and therefore lie midway between absolute liability offences, for which there is no fault element, and “</w:t>
      </w:r>
      <w:r w:rsidRPr="00BF3B24">
        <w:rPr>
          <w:rFonts w:cs="Times New Roman"/>
          <w:i/>
        </w:rPr>
        <w:t>mens rea</w:t>
      </w:r>
      <w:r w:rsidRPr="00BF3B24">
        <w:rPr>
          <w:rFonts w:cs="Times New Roman"/>
        </w:rPr>
        <w:t>” offences, for which the Crown must prove fault. Therefore, as Doyon J.A. wrote for the Quebec Court of Appeal with regard to strict liability:</w:t>
      </w:r>
    </w:p>
    <w:p w:rsidR="0059587F" w:rsidRPr="00BF3B24" w:rsidRDefault="0059587F" w:rsidP="0059587F">
      <w:pPr>
        <w:pStyle w:val="Citation-AltC"/>
        <w:spacing w:after="240"/>
        <w:ind w:hanging="446"/>
        <w:contextualSpacing w:val="0"/>
        <w:rPr>
          <w:shd w:val="clear" w:color="auto" w:fill="FFFFFF"/>
        </w:rPr>
      </w:pPr>
      <w:r w:rsidRPr="00BF3B24">
        <w:tab/>
        <w:t>[</w:t>
      </w:r>
      <w:r w:rsidRPr="00BF3B24">
        <w:rPr>
          <w:smallCaps/>
        </w:rPr>
        <w:t>translation</w:t>
      </w:r>
      <w:r w:rsidRPr="00BF3B24">
        <w:t xml:space="preserve">] </w:t>
      </w:r>
      <w:r w:rsidR="00D30EA4">
        <w:t>. . . p</w:t>
      </w:r>
      <w:r w:rsidRPr="00BF3B24">
        <w:t xml:space="preserve">roving </w:t>
      </w:r>
      <w:r w:rsidRPr="00BF3B24">
        <w:rPr>
          <w:i/>
        </w:rPr>
        <w:t>actus reus</w:t>
      </w:r>
      <w:r w:rsidRPr="00BF3B24">
        <w:t xml:space="preserve"> (the material elements of the offence) has the effect of compelling the defendant to deny the presumed intent (or the moral aspect), either by demonstrating his reasonable diligence or by establishing the existence of an error of fact based on reasonable grounds that explains his conduct</w:t>
      </w:r>
      <w:r w:rsidRPr="00BF3B24">
        <w:rPr>
          <w:shd w:val="clear" w:color="auto" w:fill="FFFFFF"/>
        </w:rPr>
        <w:t>.</w:t>
      </w:r>
    </w:p>
    <w:p w:rsidR="0059587F" w:rsidRPr="00BF3B24" w:rsidRDefault="0059587F" w:rsidP="003C7E77">
      <w:pPr>
        <w:pStyle w:val="Citation-AltC"/>
        <w:ind w:left="0"/>
        <w:contextualSpacing w:val="0"/>
      </w:pPr>
      <w:r w:rsidRPr="0059587F">
        <w:rPr>
          <w:shd w:val="clear" w:color="auto" w:fill="FFFFFF"/>
          <w:lang w:val="fr-CA"/>
        </w:rPr>
        <w:t>(</w:t>
      </w:r>
      <w:r w:rsidRPr="0059587F">
        <w:rPr>
          <w:i/>
          <w:shd w:val="clear" w:color="auto" w:fill="FFFFFF"/>
          <w:lang w:val="fr-CA"/>
        </w:rPr>
        <w:t>Autorité des marchés financiers v. Patry</w:t>
      </w:r>
      <w:r w:rsidR="003C7E77">
        <w:rPr>
          <w:shd w:val="clear" w:color="auto" w:fill="FFFFFF"/>
          <w:lang w:val="fr-CA"/>
        </w:rPr>
        <w:t>, 2015 QCCA 1933</w:t>
      </w:r>
      <w:r w:rsidRPr="0059587F">
        <w:rPr>
          <w:shd w:val="clear" w:color="auto" w:fill="FFFFFF"/>
          <w:lang w:val="fr-CA"/>
        </w:rPr>
        <w:t>, at para. </w:t>
      </w:r>
      <w:r w:rsidRPr="00BF3B24">
        <w:rPr>
          <w:shd w:val="clear" w:color="auto" w:fill="FFFFFF"/>
        </w:rPr>
        <w:t>59</w:t>
      </w:r>
      <w:r w:rsidR="003C7E77">
        <w:rPr>
          <w:shd w:val="clear" w:color="auto" w:fill="FFFFFF"/>
        </w:rPr>
        <w:t xml:space="preserve"> (CanLII)</w:t>
      </w:r>
      <w:r w:rsidRPr="00BF3B24">
        <w:rPr>
          <w:shd w:val="clear" w:color="auto" w:fill="FFFFFF"/>
        </w:rPr>
        <w:t>)</w:t>
      </w:r>
    </w:p>
    <w:p w:rsidR="0059587F" w:rsidRPr="00BF3B24" w:rsidRDefault="0059587F" w:rsidP="0059587F">
      <w:pPr>
        <w:pStyle w:val="ParaNoNdepar-AltN"/>
        <w:spacing w:before="0"/>
        <w:rPr>
          <w:rFonts w:cs="Times New Roman"/>
        </w:rPr>
      </w:pPr>
      <w:r w:rsidRPr="00BF3B24">
        <w:rPr>
          <w:rFonts w:cs="Times New Roman"/>
        </w:rPr>
        <w:t xml:space="preserve">Here, the Court of Appeal and the parties are agreed that, where such an offence forms the basis for a manslaughter charge, the reverse onus used in the case of strict liability offences is not appropriate. To ensure a minimum degree of moral </w:t>
      </w:r>
      <w:r w:rsidRPr="00BF3B24">
        <w:rPr>
          <w:rFonts w:cs="Times New Roman"/>
        </w:rPr>
        <w:lastRenderedPageBreak/>
        <w:t xml:space="preserve">blameworthiness, the Crown must therefore establish a negligent state of mind corresponding to a “marked departure”. The purpose is unquestionably a laudable one: to ensure that the accused had a culpable state of mind reflecting the seriousness of the crime. The fact that strict liability is a form of penal negligence explains the reliance on an objective fault element, that is, </w:t>
      </w:r>
      <w:r w:rsidRPr="00BF3B24">
        <w:rPr>
          <w:rFonts w:cs="Times New Roman"/>
          <w:i/>
        </w:rPr>
        <w:t>marked departure</w:t>
      </w:r>
      <w:r w:rsidRPr="00BF3B24">
        <w:rPr>
          <w:rFonts w:cs="Times New Roman"/>
        </w:rPr>
        <w:t>.</w:t>
      </w:r>
    </w:p>
    <w:p w:rsidR="0059587F" w:rsidRPr="00BF3B24" w:rsidRDefault="0059587F" w:rsidP="0059587F">
      <w:pPr>
        <w:pStyle w:val="ParaNoNdepar-AltN"/>
        <w:spacing w:before="0"/>
        <w:rPr>
          <w:rFonts w:cs="Times New Roman"/>
        </w:rPr>
      </w:pPr>
      <w:r w:rsidRPr="00BF3B24">
        <w:rPr>
          <w:rFonts w:cs="Times New Roman"/>
        </w:rPr>
        <w:t>I wish to be clear that, as this Court has repeatedly stated, “[s]hort of incapacity to appreciate the risk or incapacity to avoid creating it, personal attributes such as age, experience and education are not relevant. The standard against which the conduct must be measured is always the same” (</w:t>
      </w:r>
      <w:r w:rsidRPr="00BF3B24">
        <w:rPr>
          <w:rFonts w:cs="Times New Roman"/>
          <w:i/>
        </w:rPr>
        <w:t>R. v. Beatty</w:t>
      </w:r>
      <w:r w:rsidRPr="00BF3B24">
        <w:rPr>
          <w:rFonts w:cs="Times New Roman"/>
        </w:rPr>
        <w:t>, 2008 SCC 5, [2008] 1 S.C.R. 49, at para. 40). Every person, regardless of his or her professional training, is required to act in accordance with the standard expected of a reasonably prudent person in the same circumstances.</w:t>
      </w:r>
    </w:p>
    <w:p w:rsidR="0059587F" w:rsidRPr="00BF3B24" w:rsidRDefault="0059587F" w:rsidP="0059587F">
      <w:pPr>
        <w:pStyle w:val="ParaNoNdepar-AltN"/>
        <w:tabs>
          <w:tab w:val="left" w:pos="6030"/>
        </w:tabs>
        <w:spacing w:before="0"/>
        <w:rPr>
          <w:rFonts w:cs="Times New Roman"/>
        </w:rPr>
      </w:pPr>
      <w:r w:rsidRPr="00BF3B24">
        <w:rPr>
          <w:rFonts w:cs="Times New Roman"/>
        </w:rPr>
        <w:t>The fault element for manslaughter is objective foreseeability of the risk of bodily harm, regardless of how the death is caused (through an unlawful act or through criminal negligence) (</w:t>
      </w:r>
      <w:r w:rsidRPr="00BF3B24">
        <w:rPr>
          <w:rFonts w:cs="Times New Roman"/>
          <w:i/>
        </w:rPr>
        <w:t>Creighton</w:t>
      </w:r>
      <w:r w:rsidRPr="00BF3B24">
        <w:rPr>
          <w:rFonts w:cs="Times New Roman"/>
        </w:rPr>
        <w:t>,</w:t>
      </w:r>
      <w:r w:rsidRPr="00BF3B24">
        <w:rPr>
          <w:rFonts w:cs="Times New Roman"/>
          <w:i/>
        </w:rPr>
        <w:t xml:space="preserve"> </w:t>
      </w:r>
      <w:r w:rsidRPr="00BF3B24">
        <w:rPr>
          <w:rFonts w:cs="Times New Roman"/>
        </w:rPr>
        <w:t xml:space="preserve">at p. 24). It is acknowledged that the trial judge erred in law in this regard, since she found that the fault element required foreseeability of the risk of death. She thus applied the more stringent test proposed by the dissent in </w:t>
      </w:r>
      <w:r w:rsidRPr="00BF3B24">
        <w:rPr>
          <w:rFonts w:cs="Times New Roman"/>
          <w:i/>
        </w:rPr>
        <w:t>Creighton</w:t>
      </w:r>
      <w:r w:rsidRPr="00BF3B24">
        <w:rPr>
          <w:rFonts w:cs="Times New Roman"/>
        </w:rPr>
        <w:t>, which has never been recognized according to the current state of the law on the matter.</w:t>
      </w:r>
    </w:p>
    <w:p w:rsidR="0059587F" w:rsidRPr="00BF3B24" w:rsidRDefault="0059587F" w:rsidP="0059587F">
      <w:pPr>
        <w:pStyle w:val="ParaNoNdepar-AltN"/>
        <w:spacing w:before="0"/>
        <w:rPr>
          <w:rFonts w:cs="Times New Roman"/>
        </w:rPr>
      </w:pPr>
      <w:r w:rsidRPr="00BF3B24">
        <w:rPr>
          <w:rFonts w:cs="Times New Roman"/>
        </w:rPr>
        <w:t xml:space="preserve">That error on its own might not be sufficient to warrant an order for a new trial, since it was made after the trial judge raised a doubt about the commission of the </w:t>
      </w:r>
      <w:r w:rsidRPr="00BF3B24">
        <w:rPr>
          <w:rFonts w:cs="Times New Roman"/>
          <w:i/>
        </w:rPr>
        <w:lastRenderedPageBreak/>
        <w:t>actus reus</w:t>
      </w:r>
      <w:r w:rsidRPr="00BF3B24">
        <w:rPr>
          <w:rFonts w:cs="Times New Roman"/>
        </w:rPr>
        <w:t xml:space="preserve"> and can therefore be considered to have been made in </w:t>
      </w:r>
      <w:r w:rsidRPr="00BF3B24">
        <w:rPr>
          <w:rFonts w:cs="Times New Roman"/>
          <w:i/>
        </w:rPr>
        <w:t>obiter</w:t>
      </w:r>
      <w:r w:rsidRPr="00BF3B24">
        <w:rPr>
          <w:rFonts w:cs="Times New Roman"/>
        </w:rPr>
        <w:t xml:space="preserve">. However, as I will point out, because the analysis of the </w:t>
      </w:r>
      <w:r w:rsidRPr="00BF3B24">
        <w:rPr>
          <w:rFonts w:cs="Times New Roman"/>
          <w:i/>
        </w:rPr>
        <w:t>actus reus</w:t>
      </w:r>
      <w:r w:rsidRPr="00BF3B24">
        <w:rPr>
          <w:rFonts w:cs="Times New Roman"/>
        </w:rPr>
        <w:t xml:space="preserve"> (dangerous act) is itself vitiated, the sum of the errors made by the judge warrants an order for a new trial.</w:t>
      </w:r>
    </w:p>
    <w:p w:rsidR="0059587F" w:rsidRPr="00BF3B24" w:rsidRDefault="0059587F" w:rsidP="0059587F">
      <w:pPr>
        <w:pStyle w:val="Title1LevelTitre1Niveau-AltL"/>
        <w:numPr>
          <w:ilvl w:val="0"/>
          <w:numId w:val="10"/>
        </w:numPr>
        <w:spacing w:before="0"/>
        <w:rPr>
          <w:rFonts w:cs="Times New Roman"/>
        </w:rPr>
      </w:pPr>
      <w:r w:rsidRPr="00BF3B24">
        <w:rPr>
          <w:rFonts w:cs="Times New Roman"/>
        </w:rPr>
        <w:t>First Error of Law: Objective Dangerousness of the Unlawful Act</w:t>
      </w:r>
    </w:p>
    <w:p w:rsidR="0059587F" w:rsidRPr="00BF3B24" w:rsidRDefault="0059587F" w:rsidP="0059587F">
      <w:pPr>
        <w:pStyle w:val="ParaNoNdepar-AltN"/>
        <w:spacing w:before="0"/>
        <w:rPr>
          <w:rFonts w:cs="Times New Roman"/>
        </w:rPr>
      </w:pPr>
      <w:r w:rsidRPr="00BF3B24">
        <w:rPr>
          <w:rFonts w:cs="Times New Roman"/>
        </w:rPr>
        <w:t>The Court of Appeal expressed the view that the trial judge’s findings of fact led inevitably to the conclusion that the unlawful injection was objectively dangerous:</w:t>
      </w:r>
    </w:p>
    <w:p w:rsidR="0059587F" w:rsidRPr="00BF3B24" w:rsidRDefault="0059587F" w:rsidP="0059587F">
      <w:pPr>
        <w:pStyle w:val="Citation-AltC"/>
        <w:spacing w:after="240"/>
        <w:contextualSpacing w:val="0"/>
      </w:pPr>
      <w:r w:rsidRPr="00BF3B24">
        <w:tab/>
        <w:t>[</w:t>
      </w:r>
      <w:r w:rsidRPr="00BF3B24">
        <w:rPr>
          <w:smallCaps/>
        </w:rPr>
        <w:t>translation</w:t>
      </w:r>
      <w:r w:rsidRPr="00BF3B24">
        <w:t>] The findings of fact on which this argument is based are not in dispute: (1) the respondent is not authorized by the laws of Quebec to administer nutrients intravenously to a human being, (2) the respondent administered contaminated substances to Roger Matern intravenously, (3) the contaminated substances were not filtered out by Mr. Matern’s digestive system</w:t>
      </w:r>
      <w:r w:rsidR="002E2612">
        <w:t xml:space="preserve"> . . .</w:t>
      </w:r>
      <w:r w:rsidR="007055D1">
        <w:t> .</w:t>
      </w:r>
    </w:p>
    <w:p w:rsidR="0059587F" w:rsidRPr="00BF3B24" w:rsidRDefault="0059587F" w:rsidP="0059587F">
      <w:pPr>
        <w:pStyle w:val="Citation-AltC"/>
        <w:spacing w:after="240"/>
        <w:contextualSpacing w:val="0"/>
      </w:pPr>
      <w:r w:rsidRPr="00BF3B24">
        <w:tab/>
        <w:t>Intravenous injections pose inherent dangers to humans, including with respect to infection caused by the sudden introduction of microbes and bacteria into the body.</w:t>
      </w:r>
    </w:p>
    <w:p w:rsidR="0059587F" w:rsidRPr="00BF3B24" w:rsidRDefault="0059587F" w:rsidP="0059587F">
      <w:pPr>
        <w:pStyle w:val="Citation-AltC"/>
        <w:contextualSpacing w:val="0"/>
        <w:rPr>
          <w:szCs w:val="22"/>
        </w:rPr>
      </w:pPr>
      <w:r w:rsidRPr="00BF3B24">
        <w:tab/>
        <w:t xml:space="preserve">This reasonably foreseeable danger of causing another person bodily harm that is neither transitory nor trivial is not unrelated to the fact that this therapeutic procedure is an act reserved by the provincial legislature to a limited group </w:t>
      </w:r>
      <w:r w:rsidR="002E2612">
        <w:t>of health professionals . . .</w:t>
      </w:r>
      <w:r w:rsidR="007055D1">
        <w:t> .</w:t>
      </w:r>
      <w:r w:rsidR="002E2612">
        <w:t xml:space="preserve"> </w:t>
      </w:r>
      <w:r w:rsidRPr="00BF3B24">
        <w:t>[paras. 92</w:t>
      </w:r>
      <w:r w:rsidRPr="00BF3B24">
        <w:noBreakHyphen/>
        <w:t>94]</w:t>
      </w:r>
    </w:p>
    <w:p w:rsidR="0059587F" w:rsidRPr="00BF3B24" w:rsidRDefault="0059587F" w:rsidP="0059587F">
      <w:pPr>
        <w:pStyle w:val="ParaNoNdepar-AltN"/>
        <w:spacing w:before="0"/>
        <w:rPr>
          <w:rFonts w:cs="Times New Roman"/>
        </w:rPr>
      </w:pPr>
      <w:r w:rsidRPr="00BF3B24">
        <w:rPr>
          <w:rFonts w:cs="Times New Roman"/>
        </w:rPr>
        <w:t>I am in complete agreement with these remarks, and I would add that it is also not in dispute that Ms. Javanmardi administered the injection that day by drawing, for the third time, from a single</w:t>
      </w:r>
      <w:r w:rsidRPr="00BF3B24">
        <w:rPr>
          <w:rFonts w:cs="Times New Roman"/>
        </w:rPr>
        <w:noBreakHyphen/>
        <w:t xml:space="preserve">dose vial that had already been used for two other patients, a practice that is contraindicated according to the expert evidence. Moreover, in analyzing the validity of Mr. Matern’s consent, the trial judge stated that it could be </w:t>
      </w:r>
      <w:r w:rsidRPr="00BF3B24">
        <w:rPr>
          <w:rFonts w:cs="Times New Roman"/>
        </w:rPr>
        <w:lastRenderedPageBreak/>
        <w:t>inferred from the evidence that, before the injection, he and his family [</w:t>
      </w:r>
      <w:r w:rsidRPr="00BF3B24">
        <w:rPr>
          <w:rFonts w:cs="Times New Roman"/>
          <w:smallCaps/>
        </w:rPr>
        <w:t>translation</w:t>
      </w:r>
      <w:r w:rsidRPr="00BF3B24">
        <w:rPr>
          <w:rFonts w:cs="Times New Roman"/>
        </w:rPr>
        <w:t>] “accepted the inherent risks” of the treatment proposed by Ms. Javanmardi knowing that she was not a physician in the traditional sense of the term and that she administered nutrients intravenously (para. 409). It therefore follows that there were indeed risks. All of this should have led the trial court to find that the act was objectively dangerous. The Court of Appeal’s intervention was thus warranted.</w:t>
      </w:r>
    </w:p>
    <w:p w:rsidR="0059587F" w:rsidRPr="00BF3B24" w:rsidRDefault="0059587F" w:rsidP="0059587F">
      <w:pPr>
        <w:pStyle w:val="ParaNoNdepar-AltN"/>
        <w:spacing w:before="0"/>
        <w:rPr>
          <w:rFonts w:cs="Times New Roman"/>
        </w:rPr>
      </w:pPr>
      <w:r w:rsidRPr="00BF3B24">
        <w:rPr>
          <w:rFonts w:cs="Times New Roman"/>
        </w:rPr>
        <w:t xml:space="preserve">My colleague maintains that the requirement that the impugned act be objectively dangerous is superfluous and should not be considered when assessing the </w:t>
      </w:r>
      <w:r w:rsidRPr="00BF3B24">
        <w:rPr>
          <w:rFonts w:cs="Times New Roman"/>
          <w:i/>
        </w:rPr>
        <w:t>actus reus</w:t>
      </w:r>
      <w:r w:rsidRPr="00BF3B24">
        <w:rPr>
          <w:rFonts w:cs="Times New Roman"/>
        </w:rPr>
        <w:t>. In my view, a two</w:t>
      </w:r>
      <w:r w:rsidRPr="00BF3B24">
        <w:rPr>
          <w:rFonts w:cs="Times New Roman"/>
        </w:rPr>
        <w:noBreakHyphen/>
        <w:t xml:space="preserve">stage analysis is helpful. If the prosecution cannot establish beyond a reasonable doubt that the act committed — considered without regard to the context — was objectively dangerous, then the court does not have to conduct the more thorough analysis required for </w:t>
      </w:r>
      <w:r w:rsidRPr="00BF3B24">
        <w:rPr>
          <w:rFonts w:cs="Times New Roman"/>
          <w:i/>
        </w:rPr>
        <w:t>mens rea</w:t>
      </w:r>
      <w:r w:rsidRPr="00BF3B24">
        <w:rPr>
          <w:rFonts w:cs="Times New Roman"/>
        </w:rPr>
        <w:t xml:space="preserve">, which could make it necessary for the accused to advance and prove a defence in order to exculpate himself or herself. However, the analytical framework proposed by my colleague also leads to the conclusion that the trial judge made an error earlier in her decision that magnified the impact of the errors that followed it. Were the </w:t>
      </w:r>
      <w:r w:rsidRPr="00BF3B24">
        <w:rPr>
          <w:rFonts w:cs="Times New Roman"/>
          <w:i/>
        </w:rPr>
        <w:t>actus reus</w:t>
      </w:r>
      <w:r w:rsidRPr="00BF3B24">
        <w:rPr>
          <w:rFonts w:cs="Times New Roman"/>
        </w:rPr>
        <w:t xml:space="preserve"> of the offence to require only the commission of an unlawful act causing death, the physical element of the offence</w:t>
      </w:r>
      <w:r w:rsidRPr="00BF3B24">
        <w:rPr>
          <w:rFonts w:cs="Times New Roman"/>
          <w:i/>
        </w:rPr>
        <w:t xml:space="preserve"> </w:t>
      </w:r>
      <w:r w:rsidRPr="00BF3B24">
        <w:rPr>
          <w:rFonts w:cs="Times New Roman"/>
        </w:rPr>
        <w:t xml:space="preserve">would clearly be established in the instant case. It is not in dispute that Ms. Javanmardi was not legally authorized to administer an injection to Mr. Matern and that that unlawful act caused his death. The trial judge therefore erred in finding that the </w:t>
      </w:r>
      <w:r w:rsidRPr="00BF3B24">
        <w:rPr>
          <w:rFonts w:cs="Times New Roman"/>
          <w:i/>
        </w:rPr>
        <w:t xml:space="preserve">actus reus </w:t>
      </w:r>
      <w:r w:rsidRPr="00BF3B24">
        <w:rPr>
          <w:rFonts w:cs="Times New Roman"/>
        </w:rPr>
        <w:t>had not been established in this case.</w:t>
      </w:r>
    </w:p>
    <w:p w:rsidR="0059587F" w:rsidRPr="00BF3B24" w:rsidRDefault="0059587F" w:rsidP="0059587F">
      <w:pPr>
        <w:pStyle w:val="Title1LevelTitre1Niveau-AltL"/>
        <w:numPr>
          <w:ilvl w:val="0"/>
          <w:numId w:val="10"/>
        </w:numPr>
        <w:spacing w:before="0"/>
        <w:rPr>
          <w:rFonts w:cs="Times New Roman"/>
        </w:rPr>
      </w:pPr>
      <w:r w:rsidRPr="00BF3B24">
        <w:rPr>
          <w:rFonts w:cs="Times New Roman"/>
        </w:rPr>
        <w:lastRenderedPageBreak/>
        <w:t>Second Error of Law: Consideration of Personal Characteristics</w:t>
      </w:r>
    </w:p>
    <w:p w:rsidR="0059587F" w:rsidRPr="00BF3B24" w:rsidRDefault="0059587F" w:rsidP="0059587F">
      <w:pPr>
        <w:pStyle w:val="ParaNoNdepar-AltN"/>
        <w:spacing w:before="0"/>
        <w:rPr>
          <w:rFonts w:cs="Times New Roman"/>
        </w:rPr>
      </w:pPr>
      <w:r w:rsidRPr="00BF3B24">
        <w:rPr>
          <w:rFonts w:cs="Times New Roman"/>
        </w:rPr>
        <w:t xml:space="preserve">My colleague maintains that the trial judge, in her analysis, relied on Ms. Javanmardi’s experience and training to find that a reasonable naturopath in the same circumstances would not have foreseen the risk of bodily harm and that her conduct was therefore not a </w:t>
      </w:r>
      <w:r w:rsidRPr="00BF3B24">
        <w:rPr>
          <w:rFonts w:cs="Times New Roman"/>
          <w:i/>
        </w:rPr>
        <w:t>marked departure</w:t>
      </w:r>
      <w:r w:rsidRPr="00BF3B24">
        <w:rPr>
          <w:rFonts w:cs="Times New Roman"/>
        </w:rPr>
        <w:t>. My colleague adds that, according to this Court’s precedents, the standard of care against which an accused’s conduct must be measured may vary depending on the activity performed.</w:t>
      </w:r>
    </w:p>
    <w:p w:rsidR="0059587F" w:rsidRPr="00BF3B24" w:rsidRDefault="0059587F" w:rsidP="0059587F">
      <w:pPr>
        <w:pStyle w:val="ParaNoNdepar-AltN"/>
        <w:spacing w:before="0"/>
        <w:rPr>
          <w:rFonts w:cs="Times New Roman"/>
        </w:rPr>
      </w:pPr>
      <w:r w:rsidRPr="00BF3B24">
        <w:rPr>
          <w:rFonts w:cs="Times New Roman"/>
        </w:rPr>
        <w:t xml:space="preserve">On this point, I agree. It is in fact clear from the reasons of McLachlin J. in </w:t>
      </w:r>
      <w:r w:rsidRPr="00BF3B24">
        <w:rPr>
          <w:rFonts w:cs="Times New Roman"/>
          <w:i/>
        </w:rPr>
        <w:t>Creighton</w:t>
      </w:r>
      <w:r w:rsidRPr="00BF3B24">
        <w:rPr>
          <w:rFonts w:cs="Times New Roman"/>
        </w:rPr>
        <w:t xml:space="preserve"> that an ordinary day</w:t>
      </w:r>
      <w:r w:rsidRPr="00BF3B24">
        <w:rPr>
          <w:rFonts w:cs="Times New Roman"/>
        </w:rPr>
        <w:noBreakHyphen/>
        <w:t>to</w:t>
      </w:r>
      <w:r w:rsidRPr="00BF3B24">
        <w:rPr>
          <w:rFonts w:cs="Times New Roman"/>
        </w:rPr>
        <w:noBreakHyphen/>
        <w:t xml:space="preserve">day activity does not, </w:t>
      </w:r>
      <w:r w:rsidRPr="00BF3B24">
        <w:rPr>
          <w:rFonts w:cs="Times New Roman"/>
          <w:i/>
        </w:rPr>
        <w:t>a priori</w:t>
      </w:r>
      <w:r w:rsidRPr="00BF3B24">
        <w:rPr>
          <w:rFonts w:cs="Times New Roman"/>
        </w:rPr>
        <w:t>, require the same care as brain surgery.</w:t>
      </w:r>
    </w:p>
    <w:p w:rsidR="0059587F" w:rsidRPr="00BF3B24" w:rsidRDefault="0059587F" w:rsidP="0059587F">
      <w:pPr>
        <w:pStyle w:val="ParaNoNdepar-AltN"/>
        <w:spacing w:before="0"/>
        <w:rPr>
          <w:rFonts w:cs="Times New Roman"/>
        </w:rPr>
      </w:pPr>
      <w:r w:rsidRPr="00BF3B24">
        <w:rPr>
          <w:rFonts w:cs="Times New Roman"/>
        </w:rPr>
        <w:t xml:space="preserve">In </w:t>
      </w:r>
      <w:r w:rsidRPr="00BF3B24">
        <w:rPr>
          <w:rFonts w:cs="Times New Roman"/>
          <w:i/>
        </w:rPr>
        <w:t>Creighton</w:t>
      </w:r>
      <w:r w:rsidRPr="00BF3B24">
        <w:rPr>
          <w:rFonts w:cs="Times New Roman"/>
        </w:rPr>
        <w:t>, the majority</w:t>
      </w:r>
      <w:r w:rsidRPr="00BF3B24">
        <w:rPr>
          <w:rFonts w:cs="Times New Roman"/>
          <w:i/>
        </w:rPr>
        <w:t xml:space="preserve"> </w:t>
      </w:r>
      <w:r w:rsidRPr="00BF3B24">
        <w:rPr>
          <w:rFonts w:cs="Times New Roman"/>
        </w:rPr>
        <w:t>stated that a person who engages in an activity that requires special care to be exercised may fail to meet the standard of care either (i) because the person is not qualified to exercise the required care, or (ii) because the person fails to exercise that care (pp. 72</w:t>
      </w:r>
      <w:r w:rsidRPr="00BF3B24">
        <w:rPr>
          <w:rFonts w:cs="Times New Roman"/>
        </w:rPr>
        <w:noBreakHyphen/>
        <w:t xml:space="preserve">73). At this stage in the analysis, the accused’s training may become relevant, depending on what charges have been laid. Where the Crown argues that a person breached the standard of care by engaging in an activity without being qualified to exercise the required care, it is then for the court to consider any evidence adduced to show that the person was in fact qualified. However, the person’s experience is not relevant in determining what is required by the standard of care or what special care is required by the activity in question. As McLachlin J. </w:t>
      </w:r>
      <w:r w:rsidRPr="00BF3B24">
        <w:rPr>
          <w:rFonts w:cs="Times New Roman"/>
        </w:rPr>
        <w:lastRenderedPageBreak/>
        <w:t>explained, “[a] brain surgeon performing surgery in a grossly negligent way might violate the standard in this second way” (</w:t>
      </w:r>
      <w:r w:rsidRPr="00BF3B24">
        <w:rPr>
          <w:rFonts w:cs="Times New Roman"/>
          <w:i/>
        </w:rPr>
        <w:t>Creighton</w:t>
      </w:r>
      <w:r w:rsidRPr="00BF3B24">
        <w:rPr>
          <w:rFonts w:cs="Times New Roman"/>
        </w:rPr>
        <w:t>, at p. 73).</w:t>
      </w:r>
    </w:p>
    <w:p w:rsidR="0059587F" w:rsidRPr="00BF3B24" w:rsidRDefault="0059587F" w:rsidP="0059587F">
      <w:pPr>
        <w:pStyle w:val="ParaNoNdepar-AltN"/>
        <w:spacing w:before="0"/>
        <w:rPr>
          <w:rFonts w:cs="Times New Roman"/>
        </w:rPr>
      </w:pPr>
      <w:r w:rsidRPr="00BF3B24">
        <w:rPr>
          <w:rFonts w:cs="Times New Roman"/>
        </w:rPr>
        <w:t xml:space="preserve">The guidance provided by the majority in </w:t>
      </w:r>
      <w:r w:rsidRPr="00BF3B24">
        <w:rPr>
          <w:rFonts w:cs="Times New Roman"/>
          <w:i/>
        </w:rPr>
        <w:t>Creighton</w:t>
      </w:r>
      <w:r w:rsidRPr="00BF3B24">
        <w:rPr>
          <w:rFonts w:cs="Times New Roman"/>
        </w:rPr>
        <w:t xml:space="preserve"> concerning the ways in which a person may fail to meet an elevated standard of care — either by not being qualified to exercise the care required by the specialized activity or by failing to exercise that care — is relevant in the instant case. According to the evidence, the activity in issue poses inherent risks to health and therefore logically entails an elevated standard of care, including the holding of a permit and the use of multi</w:t>
      </w:r>
      <w:r w:rsidRPr="00BF3B24">
        <w:rPr>
          <w:rFonts w:cs="Times New Roman"/>
        </w:rPr>
        <w:noBreakHyphen/>
        <w:t xml:space="preserve">dose vials where such a measure is required. Consideration of Ms. Javanmardi’s qualifications at the </w:t>
      </w:r>
      <w:r w:rsidRPr="00BF3B24">
        <w:rPr>
          <w:rFonts w:cs="Times New Roman"/>
          <w:i/>
        </w:rPr>
        <w:t>mens rea</w:t>
      </w:r>
      <w:r w:rsidRPr="00BF3B24">
        <w:rPr>
          <w:rFonts w:cs="Times New Roman"/>
        </w:rPr>
        <w:t xml:space="preserve"> stage was therefore not an error as such. However, I am of the view that the trial judge erred in confining herself to the argument that because Ms. Javanmardi had the training required to administer injections and was accustomed to doing so without any complications occurring, a reasonable person in her position could not have anticipated the risk of bodily harm. In making that finding, the trial judge improperly combined the analyses of the two ways in which a person may fail to meet an elevated standard of care. I will explain.</w:t>
      </w:r>
    </w:p>
    <w:p w:rsidR="0059587F" w:rsidRPr="00BF3B24" w:rsidRDefault="0059587F" w:rsidP="0059587F">
      <w:pPr>
        <w:pStyle w:val="ParaNoNdepar-AltN"/>
        <w:spacing w:before="0"/>
        <w:rPr>
          <w:rFonts w:cs="Times New Roman"/>
        </w:rPr>
      </w:pPr>
      <w:r w:rsidRPr="00BF3B24">
        <w:rPr>
          <w:rFonts w:cs="Times New Roman"/>
        </w:rPr>
        <w:t xml:space="preserve">A review of Ms. Javanmardi’s qualifications was necessary because the prosecution alleged that she had failed to meet the standard of care by engaging in a specialized activity without being qualified to do so. This did not obviate the need to analyze the second possibility for breaching the standard of care, that is, failure to exercise the required care. Although it was established that Ms. Javanmardi was </w:t>
      </w:r>
      <w:r w:rsidRPr="00BF3B24">
        <w:rPr>
          <w:rFonts w:cs="Times New Roman"/>
        </w:rPr>
        <w:lastRenderedPageBreak/>
        <w:t>qualified to exercise the care required to administer an intravenous injection, that training could not affect the level of care she had to meet.</w:t>
      </w:r>
    </w:p>
    <w:p w:rsidR="0059587F" w:rsidRPr="00BF3B24" w:rsidRDefault="0059587F" w:rsidP="0059587F">
      <w:pPr>
        <w:pStyle w:val="ParaNoNdepar-AltN"/>
        <w:spacing w:before="0"/>
        <w:rPr>
          <w:rFonts w:cs="Times New Roman"/>
        </w:rPr>
      </w:pPr>
      <w:r w:rsidRPr="00BF3B24">
        <w:rPr>
          <w:rFonts w:cs="Times New Roman"/>
        </w:rPr>
        <w:t>The act performed in the instant case was objectively dangerous, and Ms. Javanmardi’s experience does not alter this. The dangerousness of the act would have been established even if it had been performed by a health professional who was authorized to do so: the difference lies rather in Ms. Javanmardi’s qualifications to perform the act in question and in the care exercised in performing it. Injecting a substance across physiological barriers is an “inherently dangerous activity”, like driving (</w:t>
      </w:r>
      <w:r w:rsidRPr="00BF3B24">
        <w:rPr>
          <w:rFonts w:cs="Times New Roman"/>
          <w:i/>
        </w:rPr>
        <w:t>Beatty</w:t>
      </w:r>
      <w:r w:rsidRPr="00BF3B24">
        <w:rPr>
          <w:rFonts w:cs="Times New Roman"/>
        </w:rPr>
        <w:t>, at para. 31). On this point, the trial judge erred.</w:t>
      </w:r>
    </w:p>
    <w:p w:rsidR="0059587F" w:rsidRPr="00BF3B24" w:rsidRDefault="0059587F" w:rsidP="0059587F">
      <w:pPr>
        <w:pStyle w:val="ParaNoNdepar-AltN"/>
        <w:spacing w:before="0"/>
        <w:rPr>
          <w:rFonts w:cs="Times New Roman"/>
        </w:rPr>
      </w:pPr>
      <w:r w:rsidRPr="00BF3B24">
        <w:rPr>
          <w:rFonts w:cs="Times New Roman"/>
        </w:rPr>
        <w:t xml:space="preserve">Because it was of the view that conduct amounting to a </w:t>
      </w:r>
      <w:r w:rsidRPr="00BF3B24">
        <w:rPr>
          <w:rFonts w:cs="Times New Roman"/>
          <w:i/>
        </w:rPr>
        <w:t>marked departure</w:t>
      </w:r>
      <w:r w:rsidRPr="00BF3B24">
        <w:rPr>
          <w:rFonts w:cs="Times New Roman"/>
        </w:rPr>
        <w:t xml:space="preserve"> relative to that of a reasonable person had been proved, the Court of Appeal convicted Ms. Javanmardi of the offence of manslaughter. It found only that there was a </w:t>
      </w:r>
      <w:r w:rsidRPr="00BF3B24">
        <w:rPr>
          <w:rFonts w:cs="Times New Roman"/>
          <w:i/>
        </w:rPr>
        <w:t>marked departure</w:t>
      </w:r>
      <w:r w:rsidRPr="00BF3B24">
        <w:rPr>
          <w:rFonts w:cs="Times New Roman"/>
        </w:rPr>
        <w:t xml:space="preserve">, because it did not think that the evidence led inevitably to a finding of </w:t>
      </w:r>
      <w:r w:rsidRPr="00BF3B24">
        <w:rPr>
          <w:rFonts w:cs="Times New Roman"/>
          <w:i/>
        </w:rPr>
        <w:t xml:space="preserve">marked and substantial </w:t>
      </w:r>
      <w:r w:rsidRPr="00BF3B24">
        <w:rPr>
          <w:rFonts w:cs="Times New Roman"/>
        </w:rPr>
        <w:t>departure. It therefore ordered a new trial on the offence of criminal negligence causing death.</w:t>
      </w:r>
    </w:p>
    <w:p w:rsidR="0059587F" w:rsidRPr="00BF3B24" w:rsidRDefault="0059587F" w:rsidP="0059587F">
      <w:pPr>
        <w:pStyle w:val="ParaNoNdepar-AltN"/>
        <w:spacing w:before="0"/>
        <w:rPr>
          <w:rFonts w:cs="Times New Roman"/>
        </w:rPr>
      </w:pPr>
      <w:r w:rsidRPr="00BF3B24">
        <w:rPr>
          <w:rFonts w:cs="Times New Roman"/>
        </w:rPr>
        <w:t>By making Ms. Javanmardi’s training the main point of her analysis, the trial judge failed to consider certain undisputed facts that might establish a marked departure regardless of the experience of the person performing the act in question. I note, for example, the conduct set out below, on which the Court of Appeal relied in finding a marked departure. I agree with the Court of Appeal that, in the same circumstances, a reasonable person would not have:</w:t>
      </w:r>
    </w:p>
    <w:p w:rsidR="00ED42AA" w:rsidRPr="00BF3B24" w:rsidRDefault="0059587F" w:rsidP="00ED42AA">
      <w:pPr>
        <w:pStyle w:val="Citation-AltC"/>
        <w:spacing w:after="240"/>
        <w:ind w:left="1440" w:hanging="274"/>
        <w:contextualSpacing w:val="0"/>
      </w:pPr>
      <w:r w:rsidRPr="00BF3B24">
        <w:lastRenderedPageBreak/>
        <w:tab/>
        <w:t>[</w:t>
      </w:r>
      <w:r w:rsidRPr="00BF3B24">
        <w:rPr>
          <w:smallCaps/>
        </w:rPr>
        <w:t>translation</w:t>
      </w:r>
      <w:r w:rsidRPr="00BF3B24">
        <w:t>]</w:t>
      </w:r>
    </w:p>
    <w:p w:rsidR="00ED42AA" w:rsidRPr="00BF3B24" w:rsidRDefault="0059587F" w:rsidP="00ED42AA">
      <w:pPr>
        <w:pStyle w:val="Citation-AltC"/>
        <w:numPr>
          <w:ilvl w:val="0"/>
          <w:numId w:val="12"/>
        </w:numPr>
        <w:spacing w:after="240"/>
        <w:ind w:hanging="446"/>
        <w:contextualSpacing w:val="0"/>
      </w:pPr>
      <w:r w:rsidRPr="00BF3B24">
        <w:t xml:space="preserve">injected a product intravenously into a client without the required medical prescription, but would instead have administered authorized substances orally, in accordance with the provisions of Quebec’s </w:t>
      </w:r>
      <w:r w:rsidRPr="00BF3B24">
        <w:rPr>
          <w:i/>
        </w:rPr>
        <w:t>Medical Act</w:t>
      </w:r>
      <w:r w:rsidRPr="00BF3B24">
        <w:t>;</w:t>
      </w:r>
    </w:p>
    <w:p w:rsidR="00ED42AA" w:rsidRPr="00BF3B24" w:rsidRDefault="0059587F" w:rsidP="00ED42AA">
      <w:pPr>
        <w:pStyle w:val="Citation-AltC"/>
        <w:numPr>
          <w:ilvl w:val="0"/>
          <w:numId w:val="12"/>
        </w:numPr>
        <w:spacing w:after="240"/>
        <w:ind w:hanging="446"/>
        <w:contextualSpacing w:val="0"/>
      </w:pPr>
      <w:r w:rsidRPr="00BF3B24">
        <w:t>drawn a product from a single</w:t>
      </w:r>
      <w:r w:rsidRPr="00BF3B24">
        <w:noBreakHyphen/>
        <w:t>dose vial three times and then injected it into three different clients;</w:t>
      </w:r>
    </w:p>
    <w:p w:rsidR="00ED42AA" w:rsidRPr="00BF3B24" w:rsidRDefault="0059587F" w:rsidP="00ED42AA">
      <w:pPr>
        <w:pStyle w:val="Citation-AltC"/>
        <w:numPr>
          <w:ilvl w:val="0"/>
          <w:numId w:val="12"/>
        </w:numPr>
        <w:spacing w:after="240"/>
        <w:ind w:hanging="446"/>
        <w:contextualSpacing w:val="0"/>
      </w:pPr>
      <w:r w:rsidRPr="00BF3B24">
        <w:t>violated his or her normal treatment protocol, rather than deviating from it at the insistence of a patient being seen for the first time;</w:t>
      </w:r>
    </w:p>
    <w:p w:rsidR="00ED42AA" w:rsidRPr="00BF3B24" w:rsidRDefault="0059587F" w:rsidP="00ED42AA">
      <w:pPr>
        <w:pStyle w:val="Citation-AltC"/>
        <w:numPr>
          <w:ilvl w:val="0"/>
          <w:numId w:val="12"/>
        </w:numPr>
        <w:spacing w:after="240"/>
        <w:ind w:hanging="446"/>
        <w:contextualSpacing w:val="0"/>
      </w:pPr>
      <w:r w:rsidRPr="00BF3B24">
        <w:t>left it to an untrained member of his or her administrative staff to monitor the client during such a treatment;</w:t>
      </w:r>
    </w:p>
    <w:p w:rsidR="00ED42AA" w:rsidRPr="00BF3B24" w:rsidRDefault="0059587F" w:rsidP="00ED42AA">
      <w:pPr>
        <w:pStyle w:val="Citation-AltC"/>
        <w:numPr>
          <w:ilvl w:val="0"/>
          <w:numId w:val="12"/>
        </w:numPr>
        <w:spacing w:after="240"/>
        <w:ind w:hanging="446"/>
        <w:contextualSpacing w:val="0"/>
      </w:pPr>
      <w:r w:rsidRPr="00BF3B24">
        <w:t>recommended to a patient who was having alarming reactions within minutes of starting treatment (sudden hot flashes followed by shivering, confusion, erratic behaviour, vomiting and generalized weakness) that the patient ingest tea, honey or sweetened juice or be given a massage;</w:t>
      </w:r>
    </w:p>
    <w:p w:rsidR="00ED42AA" w:rsidRPr="00BF3B24" w:rsidRDefault="0059587F" w:rsidP="00ED42AA">
      <w:pPr>
        <w:pStyle w:val="Citation-AltC"/>
        <w:numPr>
          <w:ilvl w:val="0"/>
          <w:numId w:val="12"/>
        </w:numPr>
        <w:spacing w:after="240"/>
        <w:ind w:hanging="446"/>
        <w:contextualSpacing w:val="0"/>
      </w:pPr>
      <w:r w:rsidRPr="00BF3B24">
        <w:t xml:space="preserve">failed, when faced with symptoms unknown to the person, to refer the client to a physician’s care; </w:t>
      </w:r>
    </w:p>
    <w:p w:rsidR="0059587F" w:rsidRPr="00BF3B24" w:rsidRDefault="0059587F" w:rsidP="00ED42AA">
      <w:pPr>
        <w:pStyle w:val="Citation-AltC"/>
        <w:numPr>
          <w:ilvl w:val="0"/>
          <w:numId w:val="12"/>
        </w:numPr>
        <w:ind w:hanging="446"/>
        <w:contextualSpacing w:val="0"/>
      </w:pPr>
      <w:r w:rsidRPr="00BF3B24">
        <w:t>failed, when advised a few hours later that the patient’s condition was worsening, to recommend that the patient be taken to a hospital. [para. 120]</w:t>
      </w:r>
    </w:p>
    <w:p w:rsidR="0059587F" w:rsidRPr="00BF3B24" w:rsidRDefault="0059587F" w:rsidP="0059587F">
      <w:pPr>
        <w:pStyle w:val="ContinueParaSuitedupar-AltP"/>
        <w:spacing w:before="0"/>
        <w:rPr>
          <w:rFonts w:cs="Times New Roman"/>
          <w:lang w:val="en-CA"/>
        </w:rPr>
      </w:pPr>
      <w:r w:rsidRPr="00BF3B24">
        <w:rPr>
          <w:rFonts w:cs="Times New Roman"/>
          <w:lang w:val="en-CA"/>
        </w:rPr>
        <w:t>It should also be noted that the vial used had no date of manufacture or expiration date on it, that the label showed a concentration that was not the actual concentration and that Ms. Javanmardi did not wear a smock or other proper clothing when she administered the injection (C.A., at para. 87).</w:t>
      </w:r>
    </w:p>
    <w:p w:rsidR="0059587F" w:rsidRPr="00BF3B24" w:rsidRDefault="0059587F" w:rsidP="0059587F">
      <w:pPr>
        <w:pStyle w:val="ParaNoNdepar-AltN"/>
        <w:spacing w:before="0"/>
        <w:rPr>
          <w:rFonts w:cs="Times New Roman"/>
        </w:rPr>
      </w:pPr>
      <w:r w:rsidRPr="00BF3B24">
        <w:rPr>
          <w:rFonts w:cs="Times New Roman"/>
        </w:rPr>
        <w:t xml:space="preserve">Entering a conviction on an appeal from an acquittal is an exceptional measure, and the error of law at issue here is also a rare occurrence. While it is a palpable error as regards the dangerous act, it is not as palpable as regards the </w:t>
      </w:r>
      <w:r w:rsidRPr="00BF3B24">
        <w:rPr>
          <w:rFonts w:cs="Times New Roman"/>
          <w:i/>
        </w:rPr>
        <w:t xml:space="preserve">marked </w:t>
      </w:r>
      <w:r w:rsidRPr="00BF3B24">
        <w:rPr>
          <w:rFonts w:cs="Times New Roman"/>
          <w:i/>
        </w:rPr>
        <w:lastRenderedPageBreak/>
        <w:t>departure</w:t>
      </w:r>
      <w:r w:rsidRPr="00BF3B24">
        <w:rPr>
          <w:rFonts w:cs="Times New Roman"/>
        </w:rPr>
        <w:t xml:space="preserve"> standard. I am of the view that Ms. Javanmardi’s conduct constitutes a marked departure, particularly because she used a single</w:t>
      </w:r>
      <w:r w:rsidRPr="00BF3B24">
        <w:rPr>
          <w:rFonts w:cs="Times New Roman"/>
        </w:rPr>
        <w:noBreakHyphen/>
        <w:t>dose vial three times, although I acknowledge that the trial judge reached the opposite conclusion and that she had evidence tending to support that conclusion, namely testimony to the effect that public institutions sometimes use single</w:t>
      </w:r>
      <w:r w:rsidRPr="00BF3B24">
        <w:rPr>
          <w:rFonts w:cs="Times New Roman"/>
        </w:rPr>
        <w:noBreakHyphen/>
        <w:t>dose vials more than once despite official recommendations to the contrary (A.F., at para. 17).</w:t>
      </w:r>
    </w:p>
    <w:p w:rsidR="0059587F" w:rsidRPr="00BF3B24" w:rsidRDefault="0059587F" w:rsidP="0059587F">
      <w:pPr>
        <w:pStyle w:val="ParaNoNdepar-AltN"/>
        <w:spacing w:before="0"/>
        <w:rPr>
          <w:rFonts w:cs="Times New Roman"/>
        </w:rPr>
      </w:pPr>
      <w:r w:rsidRPr="00BF3B24">
        <w:rPr>
          <w:rFonts w:cs="Times New Roman"/>
        </w:rPr>
        <w:t>Moreover, presumably because she considered the post</w:t>
      </w:r>
      <w:r w:rsidRPr="00BF3B24">
        <w:rPr>
          <w:rFonts w:cs="Times New Roman"/>
        </w:rPr>
        <w:noBreakHyphen/>
        <w:t>offence conduct irrelevant given her key finding of fact on the causal connection, the trial judge failed to consider whether Ms. Javanmardi was qualified to deal with any complications, a point that had been vigorously argued before her. As a result, the Court of Appeal could not assume that Ms. Javanmardi was unqualified in this respect, especially since the trial judge described Ms. Javanmardi’s entire testimony — in which she defended her post</w:t>
      </w:r>
      <w:r w:rsidRPr="00BF3B24">
        <w:rPr>
          <w:rFonts w:cs="Times New Roman"/>
        </w:rPr>
        <w:noBreakHyphen/>
        <w:t>injection qualifications — as credible (C.Q., at paras. 425</w:t>
      </w:r>
      <w:r w:rsidRPr="00BF3B24">
        <w:rPr>
          <w:rFonts w:cs="Times New Roman"/>
        </w:rPr>
        <w:noBreakHyphen/>
        <w:t>29). In other words, while a conviction for manslaughter was undoubtedly reasonable in this case, it was not so inevitable as to justify the measure ordered by the Court of Appeal.</w:t>
      </w:r>
    </w:p>
    <w:p w:rsidR="0059587F" w:rsidRPr="00BF3B24" w:rsidRDefault="0059587F" w:rsidP="0059587F">
      <w:pPr>
        <w:pStyle w:val="ParaNoNdepar-AltN"/>
        <w:spacing w:before="0"/>
        <w:rPr>
          <w:rFonts w:cs="Times New Roman"/>
        </w:rPr>
      </w:pPr>
      <w:r w:rsidRPr="00BF3B24">
        <w:rPr>
          <w:rFonts w:cs="Times New Roman"/>
        </w:rPr>
        <w:t xml:space="preserve">The fact remains that the trial judge erred in failing to find that the unlawful injection given by Ms. Javanmardi was objectively dangerous. She also applied the wrong standard of proof concerning the </w:t>
      </w:r>
      <w:r w:rsidRPr="00BF3B24">
        <w:rPr>
          <w:rFonts w:cs="Times New Roman"/>
          <w:i/>
        </w:rPr>
        <w:t>mens rea</w:t>
      </w:r>
      <w:r w:rsidRPr="00BF3B24">
        <w:rPr>
          <w:rFonts w:cs="Times New Roman"/>
        </w:rPr>
        <w:t xml:space="preserve"> of manslaughter, since she required objective foreseeability of the risk of death rather than of the risk of bodily harm. Finally, the judge erred in considering Ms. Javanmardi’s professional training when assessing the objective nature of the risk posed by the injection. Those errors, whose </w:t>
      </w:r>
      <w:r w:rsidRPr="00BF3B24">
        <w:rPr>
          <w:rFonts w:cs="Times New Roman"/>
        </w:rPr>
        <w:lastRenderedPageBreak/>
        <w:t>effect is to invalidate most of the legal conclusions reached on the essential elements of the offence of manslaughter, had a sufficient impact. In light of their number and scope, I am of the view that the analysis must be carried out again for both charges.</w:t>
      </w:r>
    </w:p>
    <w:p w:rsidR="0059587F" w:rsidRPr="00BF3B24" w:rsidRDefault="0059587F" w:rsidP="0059587F">
      <w:pPr>
        <w:pStyle w:val="Title1LevelTitre1Niveau-AltL"/>
        <w:numPr>
          <w:ilvl w:val="0"/>
          <w:numId w:val="10"/>
        </w:numPr>
        <w:spacing w:before="0"/>
        <w:rPr>
          <w:rFonts w:cs="Times New Roman"/>
        </w:rPr>
      </w:pPr>
      <w:r w:rsidRPr="00BF3B24">
        <w:rPr>
          <w:rFonts w:cs="Times New Roman"/>
        </w:rPr>
        <w:t>Disposition</w:t>
      </w:r>
    </w:p>
    <w:p w:rsidR="0059587F" w:rsidRPr="00BF3B24" w:rsidRDefault="0059587F" w:rsidP="0059587F">
      <w:pPr>
        <w:pStyle w:val="ParaNoNdepar-AltN"/>
        <w:spacing w:before="0"/>
        <w:rPr>
          <w:rFonts w:cs="Times New Roman"/>
        </w:rPr>
      </w:pPr>
      <w:r w:rsidRPr="00BF3B24">
        <w:rPr>
          <w:rFonts w:cs="Times New Roman"/>
        </w:rPr>
        <w:t>If Ms. Javanmardi were convicted of both charges, the sentencing judge would, of course, stay one of the charges (</w:t>
      </w:r>
      <w:r w:rsidRPr="00BF3B24">
        <w:rPr>
          <w:rFonts w:cs="Times New Roman"/>
          <w:i/>
        </w:rPr>
        <w:t>Kienapple v. The Queen</w:t>
      </w:r>
      <w:r w:rsidRPr="00BF3B24">
        <w:rPr>
          <w:rFonts w:cs="Times New Roman"/>
        </w:rPr>
        <w:t>, [1975] 1 S.C.R. 729). But this does not mean that one of them must be dropped at this stage, especially since criminal negligence causing death, as the more serious offence, is usually the charge that will stand (</w:t>
      </w:r>
      <w:r w:rsidRPr="00BF3B24">
        <w:rPr>
          <w:rFonts w:cs="Times New Roman"/>
          <w:i/>
        </w:rPr>
        <w:t>R. v. J.F.</w:t>
      </w:r>
      <w:r w:rsidRPr="00BF3B24">
        <w:rPr>
          <w:rFonts w:cs="Times New Roman"/>
        </w:rPr>
        <w:t>, 2008 SCC 60, [2008] 3 S.C.R. 215, at para. 13). The order for a new trial therefore applies to both.</w:t>
      </w:r>
    </w:p>
    <w:p w:rsidR="0059587F" w:rsidRPr="00EE276D" w:rsidRDefault="0059587F" w:rsidP="0059587F">
      <w:pPr>
        <w:pStyle w:val="ParaNoNdepar-AltN"/>
        <w:spacing w:before="0"/>
        <w:rPr>
          <w:rFonts w:cs="Times New Roman"/>
        </w:rPr>
      </w:pPr>
      <w:r w:rsidRPr="00BF3B24">
        <w:rPr>
          <w:rFonts w:cs="Times New Roman"/>
        </w:rPr>
        <w:t>Finally, I will not deal with the constitutional questions raised in the alternative by Ms. Javanmardi, which were not considered at trial. I would allow the appeal in part solely to set aside the conviction for manslaughter entered by the Court of Appeal and to order a new trial on this charge.</w:t>
      </w:r>
    </w:p>
    <w:p w:rsidR="009B57B3" w:rsidRPr="00AE7F28" w:rsidRDefault="00121EDA" w:rsidP="000514DD">
      <w:pPr>
        <w:pStyle w:val="SCCNormalDoubleSpacing"/>
        <w:spacing w:after="480"/>
      </w:pPr>
      <w:r w:rsidRPr="00AE7F28">
        <w:tab/>
      </w:r>
      <w:r w:rsidR="00DA2174" w:rsidRPr="00AE7F28">
        <w:rPr>
          <w:i/>
          <w:iCs/>
          <w:lang w:val="en"/>
        </w:rPr>
        <w:t xml:space="preserve">Appeal allowed, </w:t>
      </w:r>
      <w:r w:rsidR="005B1F41" w:rsidRPr="00AE7F28">
        <w:rPr>
          <w:smallCaps/>
          <w:lang w:val="en"/>
        </w:rPr>
        <w:t>Wagner </w:t>
      </w:r>
      <w:r w:rsidR="00DA2174" w:rsidRPr="00AE7F28">
        <w:rPr>
          <w:smallCaps/>
          <w:lang w:val="en"/>
        </w:rPr>
        <w:t>C.J.</w:t>
      </w:r>
      <w:r w:rsidR="00DA2174" w:rsidRPr="00AE7F28">
        <w:rPr>
          <w:i/>
          <w:iCs/>
          <w:lang w:val="en"/>
        </w:rPr>
        <w:t xml:space="preserve"> and </w:t>
      </w:r>
      <w:r w:rsidR="00DA2174" w:rsidRPr="00AE7F28">
        <w:rPr>
          <w:smallCaps/>
          <w:lang w:val="en-US"/>
        </w:rPr>
        <w:t>Rowe</w:t>
      </w:r>
      <w:r w:rsidR="005B1F41" w:rsidRPr="00AE7F28">
        <w:rPr>
          <w:smallCaps/>
          <w:lang w:val="en-US"/>
        </w:rPr>
        <w:t> </w:t>
      </w:r>
      <w:r w:rsidR="00DA2174" w:rsidRPr="00AE7F28">
        <w:rPr>
          <w:iCs/>
          <w:lang w:val="en-US"/>
        </w:rPr>
        <w:t xml:space="preserve">J. </w:t>
      </w:r>
      <w:r w:rsidR="00DA2174" w:rsidRPr="00AE7F28">
        <w:rPr>
          <w:i/>
          <w:iCs/>
          <w:lang w:val="en"/>
        </w:rPr>
        <w:t>dissenting.</w:t>
      </w:r>
    </w:p>
    <w:p w:rsidR="00560F7E" w:rsidRPr="00AE7F28" w:rsidRDefault="00AF5524" w:rsidP="000514DD">
      <w:pPr>
        <w:pStyle w:val="SCCLawFirm"/>
        <w:spacing w:after="480"/>
        <w:rPr>
          <w:lang w:val="en-US"/>
        </w:rPr>
      </w:pPr>
      <w:r w:rsidRPr="00AE7F28">
        <w:tab/>
      </w:r>
      <w:r w:rsidRPr="00AE7F28">
        <w:rPr>
          <w:lang w:val="en-US"/>
        </w:rPr>
        <w:t>Solicitor</w:t>
      </w:r>
      <w:r w:rsidR="00E723AE" w:rsidRPr="00AE7F28">
        <w:rPr>
          <w:lang w:val="en-US"/>
        </w:rPr>
        <w:t>s</w:t>
      </w:r>
      <w:r w:rsidRPr="00AE7F28">
        <w:rPr>
          <w:lang w:val="en-US"/>
        </w:rPr>
        <w:t xml:space="preserve"> for the appellant:</w:t>
      </w:r>
      <w:r w:rsidR="005B1F41" w:rsidRPr="00AE7F28">
        <w:rPr>
          <w:lang w:val="en-US"/>
        </w:rPr>
        <w:t xml:space="preserve"> </w:t>
      </w:r>
      <w:r w:rsidRPr="00AE7F28">
        <w:rPr>
          <w:lang w:val="en-US"/>
        </w:rPr>
        <w:t>Schurman</w:t>
      </w:r>
      <w:r w:rsidR="00560F7E" w:rsidRPr="00AE7F28">
        <w:rPr>
          <w:lang w:val="en-US"/>
        </w:rPr>
        <w:t>,</w:t>
      </w:r>
      <w:r w:rsidRPr="00AE7F28">
        <w:rPr>
          <w:lang w:val="en-US"/>
        </w:rPr>
        <w:t xml:space="preserve"> Grenier</w:t>
      </w:r>
      <w:r w:rsidR="00560F7E" w:rsidRPr="00AE7F28">
        <w:rPr>
          <w:lang w:val="en-US"/>
        </w:rPr>
        <w:t>,</w:t>
      </w:r>
      <w:r w:rsidRPr="00AE7F28">
        <w:rPr>
          <w:lang w:val="en-US"/>
        </w:rPr>
        <w:t xml:space="preserve"> Strapatsas</w:t>
      </w:r>
      <w:r w:rsidR="00560F7E" w:rsidRPr="00AE7F28">
        <w:rPr>
          <w:lang w:val="en-US"/>
        </w:rPr>
        <w:t xml:space="preserve"> &amp; Associates</w:t>
      </w:r>
      <w:r w:rsidR="00E723AE" w:rsidRPr="00AE7F28">
        <w:rPr>
          <w:lang w:val="en-US"/>
        </w:rPr>
        <w:t>, Montréal; Drivod Services Juridiques</w:t>
      </w:r>
      <w:r w:rsidR="00560F7E" w:rsidRPr="00AE7F28">
        <w:rPr>
          <w:lang w:val="en-US"/>
        </w:rPr>
        <w:t>, Montréal.</w:t>
      </w:r>
    </w:p>
    <w:p w:rsidR="0019759B" w:rsidRPr="00AE7F28" w:rsidRDefault="00AF5524" w:rsidP="000514DD">
      <w:pPr>
        <w:pStyle w:val="SCCLawFirm"/>
        <w:spacing w:after="480"/>
        <w:rPr>
          <w:lang w:val="en-US"/>
        </w:rPr>
      </w:pPr>
      <w:r w:rsidRPr="00AE7F28">
        <w:rPr>
          <w:lang w:val="en-US"/>
        </w:rPr>
        <w:lastRenderedPageBreak/>
        <w:tab/>
        <w:t>S</w:t>
      </w:r>
      <w:r w:rsidR="00E723AE" w:rsidRPr="00AE7F28">
        <w:rPr>
          <w:lang w:val="en-US"/>
        </w:rPr>
        <w:t>olicitor for the respondent</w:t>
      </w:r>
      <w:r w:rsidR="00B536CC" w:rsidRPr="00AE7F28">
        <w:rPr>
          <w:lang w:val="en-US"/>
        </w:rPr>
        <w:t xml:space="preserve"> Her Majesty The Queen</w:t>
      </w:r>
      <w:r w:rsidR="00E723AE" w:rsidRPr="00AE7F28">
        <w:rPr>
          <w:lang w:val="en-US"/>
        </w:rPr>
        <w:t>:</w:t>
      </w:r>
      <w:r w:rsidR="005B1F41" w:rsidRPr="00AE7F28">
        <w:rPr>
          <w:lang w:val="en-US"/>
        </w:rPr>
        <w:t xml:space="preserve"> </w:t>
      </w:r>
      <w:r w:rsidR="00E723AE" w:rsidRPr="00AE7F28">
        <w:rPr>
          <w:iCs/>
        </w:rPr>
        <w:t>Director of Criminal and Penal Prosecutions</w:t>
      </w:r>
      <w:r w:rsidRPr="00AE7F28">
        <w:rPr>
          <w:lang w:val="en-US"/>
        </w:rPr>
        <w:t>, Montréal.</w:t>
      </w:r>
    </w:p>
    <w:p w:rsidR="0019759B" w:rsidRPr="00AE7F28" w:rsidRDefault="00AF5524" w:rsidP="000514DD">
      <w:pPr>
        <w:pStyle w:val="SCCLawFirm"/>
        <w:spacing w:after="480"/>
        <w:rPr>
          <w:lang w:val="en-US"/>
        </w:rPr>
      </w:pPr>
      <w:r w:rsidRPr="00AE7F28">
        <w:rPr>
          <w:lang w:val="en-US"/>
        </w:rPr>
        <w:tab/>
      </w:r>
      <w:r w:rsidR="002A0690" w:rsidRPr="00AE7F28">
        <w:rPr>
          <w:lang w:val="en-US"/>
        </w:rPr>
        <w:t>Solicitor</w:t>
      </w:r>
      <w:r w:rsidRPr="00AE7F28">
        <w:rPr>
          <w:lang w:val="en-US"/>
        </w:rPr>
        <w:t xml:space="preserve"> for the respondent</w:t>
      </w:r>
      <w:r w:rsidR="0037114A" w:rsidRPr="00AE7F28">
        <w:rPr>
          <w:lang w:val="en-US"/>
        </w:rPr>
        <w:t xml:space="preserve"> the Attorney General of Quebec</w:t>
      </w:r>
      <w:r w:rsidRPr="00AE7F28">
        <w:rPr>
          <w:lang w:val="en-US"/>
        </w:rPr>
        <w:t>:</w:t>
      </w:r>
      <w:r w:rsidR="005B1F41" w:rsidRPr="00AE7F28">
        <w:rPr>
          <w:lang w:val="en-US"/>
        </w:rPr>
        <w:t xml:space="preserve"> </w:t>
      </w:r>
      <w:r w:rsidR="0037114A" w:rsidRPr="00AE7F28">
        <w:rPr>
          <w:lang w:val="en-US"/>
        </w:rPr>
        <w:t>Attorney General of Quebec</w:t>
      </w:r>
      <w:r w:rsidRPr="00AE7F28">
        <w:rPr>
          <w:lang w:val="en-US"/>
        </w:rPr>
        <w:t>, Montréal.</w:t>
      </w:r>
    </w:p>
    <w:p w:rsidR="0019759B" w:rsidRPr="00AE7F28" w:rsidRDefault="00AF5524" w:rsidP="000514DD">
      <w:pPr>
        <w:pStyle w:val="SCCLawFirm"/>
        <w:spacing w:after="480"/>
        <w:rPr>
          <w:lang w:val="fr-CA"/>
        </w:rPr>
      </w:pPr>
      <w:r w:rsidRPr="00AE7F28">
        <w:rPr>
          <w:lang w:val="en-US"/>
        </w:rPr>
        <w:tab/>
      </w:r>
      <w:r w:rsidR="002A0690" w:rsidRPr="00AE7F28">
        <w:rPr>
          <w:lang w:val="fr-CA"/>
        </w:rPr>
        <w:t>Solicitors</w:t>
      </w:r>
      <w:r w:rsidRPr="00AE7F28">
        <w:rPr>
          <w:lang w:val="fr-CA"/>
        </w:rPr>
        <w:t xml:space="preserve"> for the intervener Association des avocats de la défense de Montréal: Desrosiers, Joncas, Nouraie, Massicotte, Montréal.</w:t>
      </w:r>
    </w:p>
    <w:p w:rsidR="0019759B" w:rsidRPr="00AE7F28" w:rsidRDefault="00AF5524" w:rsidP="000514DD">
      <w:pPr>
        <w:pStyle w:val="SCCLawFirm"/>
        <w:spacing w:after="480"/>
        <w:rPr>
          <w:lang w:val="fr-CA"/>
        </w:rPr>
      </w:pPr>
      <w:r w:rsidRPr="00AE7F28">
        <w:rPr>
          <w:lang w:val="fr-CA"/>
        </w:rPr>
        <w:tab/>
        <w:t>Solicitors for the intervener</w:t>
      </w:r>
      <w:r w:rsidR="0037114A" w:rsidRPr="00AE7F28">
        <w:rPr>
          <w:lang w:val="fr-CA"/>
        </w:rPr>
        <w:t>s the</w:t>
      </w:r>
      <w:r w:rsidRPr="00AE7F28">
        <w:rPr>
          <w:lang w:val="fr-CA"/>
        </w:rPr>
        <w:t xml:space="preserve"> Québec Association of Naturopat</w:t>
      </w:r>
      <w:r w:rsidR="00B14E2C" w:rsidRPr="00AE7F28">
        <w:rPr>
          <w:lang w:val="fr-CA"/>
        </w:rPr>
        <w:t>hic Medi</w:t>
      </w:r>
      <w:r w:rsidRPr="00AE7F28">
        <w:rPr>
          <w:lang w:val="fr-CA"/>
        </w:rPr>
        <w:t>cine and Association des naturopathes agréés du Québec: Batti</w:t>
      </w:r>
      <w:r w:rsidR="002A0690" w:rsidRPr="00AE7F28">
        <w:rPr>
          <w:lang w:val="fr-CA"/>
        </w:rPr>
        <w:t>sta Turcot Israel Corbo</w:t>
      </w:r>
      <w:r w:rsidR="00B14E2C" w:rsidRPr="00AE7F28">
        <w:rPr>
          <w:lang w:val="fr-CA"/>
        </w:rPr>
        <w:t>, Montréal</w:t>
      </w:r>
      <w:r w:rsidR="0020767B" w:rsidRPr="00AE7F28">
        <w:rPr>
          <w:lang w:val="fr-CA"/>
        </w:rPr>
        <w:t>.</w:t>
      </w:r>
    </w:p>
    <w:p w:rsidR="0019759B" w:rsidRPr="00AE7F28" w:rsidRDefault="00AF5524" w:rsidP="000514DD">
      <w:pPr>
        <w:pStyle w:val="SCCLawFirm"/>
        <w:spacing w:after="480"/>
      </w:pPr>
      <w:r w:rsidRPr="00AE7F28">
        <w:rPr>
          <w:lang w:val="fr-CA"/>
        </w:rPr>
        <w:tab/>
      </w:r>
      <w:r w:rsidRPr="00AE7F28">
        <w:t xml:space="preserve">Solicitors for the intervener </w:t>
      </w:r>
      <w:r w:rsidR="0037114A" w:rsidRPr="00AE7F28">
        <w:t xml:space="preserve">the </w:t>
      </w:r>
      <w:r w:rsidRPr="00AE7F28">
        <w:t>Canadian Association of Naturopathic Do</w:t>
      </w:r>
      <w:r w:rsidR="0020767B" w:rsidRPr="00AE7F28">
        <w:t>ctors:</w:t>
      </w:r>
      <w:r w:rsidR="005B1F41" w:rsidRPr="00AE7F28">
        <w:t xml:space="preserve"> </w:t>
      </w:r>
      <w:r w:rsidR="0020767B" w:rsidRPr="00AE7F28">
        <w:t>Conway Baxter Wilson</w:t>
      </w:r>
      <w:r w:rsidRPr="00AE7F28">
        <w:t>, Ottawa</w:t>
      </w:r>
      <w:r w:rsidR="0020767B" w:rsidRPr="00AE7F28">
        <w:t>.</w:t>
      </w:r>
    </w:p>
    <w:p w:rsidR="009B57B3" w:rsidRPr="00AE7F28" w:rsidRDefault="0020767B" w:rsidP="000514DD">
      <w:pPr>
        <w:pStyle w:val="SCCLawFirm"/>
        <w:spacing w:after="480"/>
        <w:rPr>
          <w:lang w:val="en-US"/>
        </w:rPr>
      </w:pPr>
      <w:r w:rsidRPr="00AE7F28">
        <w:tab/>
        <w:t>Solicitor</w:t>
      </w:r>
      <w:r w:rsidR="00AF5524" w:rsidRPr="00AE7F28">
        <w:t xml:space="preserve">s for the intervener </w:t>
      </w:r>
      <w:r w:rsidR="0037114A" w:rsidRPr="00AE7F28">
        <w:t xml:space="preserve">the </w:t>
      </w:r>
      <w:r w:rsidR="00AF5524" w:rsidRPr="00AE7F28">
        <w:t>Criminal Lawyers</w:t>
      </w:r>
      <w:r w:rsidR="005B1F41" w:rsidRPr="00AE7F28">
        <w:t>’</w:t>
      </w:r>
      <w:r w:rsidR="00AF5524" w:rsidRPr="00AE7F28">
        <w:t xml:space="preserve"> Association:</w:t>
      </w:r>
      <w:r w:rsidR="005B1F41" w:rsidRPr="00AE7F28">
        <w:t xml:space="preserve"> </w:t>
      </w:r>
      <w:r w:rsidR="00AF5524" w:rsidRPr="00AE7F28">
        <w:t>Kapoor Barristers, Toronto.</w:t>
      </w:r>
    </w:p>
    <w:sectPr w:rsidR="009B57B3" w:rsidRPr="00AE7F2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EB" w:rsidRDefault="00557EEB">
      <w:r>
        <w:separator/>
      </w:r>
    </w:p>
  </w:endnote>
  <w:endnote w:type="continuationSeparator" w:id="0">
    <w:p w:rsidR="00557EEB" w:rsidRDefault="0055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5F" w:rsidRDefault="00853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5F" w:rsidRDefault="00853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5F" w:rsidRDefault="00853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EB" w:rsidRDefault="00557EEB">
      <w:r>
        <w:separator/>
      </w:r>
    </w:p>
  </w:footnote>
  <w:footnote w:type="continuationSeparator" w:id="0">
    <w:p w:rsidR="00557EEB" w:rsidRDefault="00557EEB">
      <w:r>
        <w:continuationSeparator/>
      </w:r>
    </w:p>
  </w:footnote>
  <w:footnote w:id="1">
    <w:p w:rsidR="0059587F" w:rsidRPr="0083451E" w:rsidRDefault="0059587F" w:rsidP="0059587F">
      <w:pPr>
        <w:pStyle w:val="ParaNoNdepar-AltN"/>
        <w:numPr>
          <w:ilvl w:val="0"/>
          <w:numId w:val="0"/>
        </w:numPr>
        <w:spacing w:before="0" w:after="0"/>
        <w:rPr>
          <w:rFonts w:cs="Times New Roman"/>
          <w:sz w:val="20"/>
          <w:szCs w:val="20"/>
        </w:rPr>
      </w:pPr>
      <w:r w:rsidRPr="00390BFB">
        <w:rPr>
          <w:rStyle w:val="FootnoteReference"/>
          <w:sz w:val="22"/>
        </w:rPr>
        <w:footnoteRef/>
      </w:r>
      <w:r w:rsidRPr="00390BFB">
        <w:rPr>
          <w:sz w:val="22"/>
        </w:rPr>
        <w:t xml:space="preserve"> </w:t>
      </w:r>
      <w:r w:rsidRPr="0083451E">
        <w:rPr>
          <w:rFonts w:cs="Times New Roman"/>
          <w:sz w:val="20"/>
          <w:szCs w:val="20"/>
        </w:rPr>
        <w:t>Section 31 states:</w:t>
      </w:r>
    </w:p>
    <w:p w:rsidR="0059587F" w:rsidRPr="0083451E" w:rsidRDefault="0059587F" w:rsidP="00E97AC5">
      <w:pPr>
        <w:pStyle w:val="Citation-AltC"/>
        <w:tabs>
          <w:tab w:val="left" w:pos="360"/>
        </w:tabs>
        <w:spacing w:after="0"/>
        <w:ind w:left="360"/>
        <w:rPr>
          <w:rStyle w:val="texte-courant"/>
          <w:sz w:val="20"/>
          <w:szCs w:val="20"/>
        </w:rPr>
      </w:pPr>
      <w:r w:rsidRPr="0083451E">
        <w:rPr>
          <w:rStyle w:val="texte-courant"/>
          <w:b/>
          <w:sz w:val="20"/>
          <w:szCs w:val="20"/>
        </w:rPr>
        <w:t>31.</w:t>
      </w:r>
      <w:r w:rsidR="00A40E8E" w:rsidRPr="0083451E">
        <w:rPr>
          <w:rStyle w:val="texte-courant"/>
          <w:sz w:val="20"/>
          <w:szCs w:val="20"/>
        </w:rPr>
        <w:tab/>
      </w:r>
      <w:r w:rsidRPr="0083451E">
        <w:rPr>
          <w:rStyle w:val="texte-courant"/>
          <w:sz w:val="20"/>
          <w:szCs w:val="20"/>
        </w:rPr>
        <w:t>The practice of medicine consists in assessing and diagnosing any health deficiency in a person in interaction with their environment, in preventing and treating illness to maintain or restore health or to provide appropriate symptom relief.</w:t>
      </w:r>
    </w:p>
    <w:p w:rsidR="0059587F" w:rsidRPr="0083451E" w:rsidRDefault="0059587F" w:rsidP="00E97AC5">
      <w:pPr>
        <w:pStyle w:val="Citation-AltC"/>
        <w:tabs>
          <w:tab w:val="left" w:pos="360"/>
        </w:tabs>
        <w:spacing w:after="0"/>
        <w:ind w:left="360"/>
        <w:rPr>
          <w:rStyle w:val="texte-courant"/>
          <w:sz w:val="20"/>
          <w:szCs w:val="20"/>
        </w:rPr>
      </w:pPr>
    </w:p>
    <w:p w:rsidR="0059587F" w:rsidRPr="0083451E" w:rsidRDefault="0059587F" w:rsidP="00E97AC5">
      <w:pPr>
        <w:pStyle w:val="Citation-AltC"/>
        <w:tabs>
          <w:tab w:val="left" w:pos="360"/>
        </w:tabs>
        <w:spacing w:after="0"/>
        <w:ind w:left="360"/>
        <w:rPr>
          <w:rStyle w:val="texte-courant"/>
          <w:sz w:val="20"/>
          <w:szCs w:val="20"/>
        </w:rPr>
      </w:pPr>
      <w:r w:rsidRPr="0083451E">
        <w:rPr>
          <w:rStyle w:val="texte-courant"/>
          <w:sz w:val="20"/>
          <w:szCs w:val="20"/>
        </w:rPr>
        <w:t>The following activities in the practice of medicine are reserved to physicians:</w:t>
      </w:r>
    </w:p>
    <w:p w:rsidR="00DA28D3" w:rsidRPr="0083451E" w:rsidRDefault="00DA28D3" w:rsidP="00E97AC5">
      <w:pPr>
        <w:pStyle w:val="Citation-AltC"/>
        <w:tabs>
          <w:tab w:val="left" w:pos="360"/>
        </w:tabs>
        <w:spacing w:after="0"/>
        <w:ind w:left="360"/>
        <w:rPr>
          <w:sz w:val="20"/>
          <w:szCs w:val="20"/>
        </w:rPr>
      </w:pPr>
    </w:p>
    <w:p w:rsidR="0059587F" w:rsidRPr="0083451E" w:rsidRDefault="0059587F" w:rsidP="00E97AC5">
      <w:pPr>
        <w:pStyle w:val="Citation-AltC"/>
        <w:tabs>
          <w:tab w:val="left" w:pos="360"/>
        </w:tabs>
        <w:spacing w:after="240"/>
        <w:ind w:left="360"/>
        <w:contextualSpacing w:val="0"/>
        <w:rPr>
          <w:sz w:val="20"/>
          <w:szCs w:val="20"/>
        </w:rPr>
      </w:pPr>
      <w:r w:rsidRPr="0083451E">
        <w:rPr>
          <w:rStyle w:val="Normal1"/>
          <w:sz w:val="20"/>
          <w:szCs w:val="20"/>
        </w:rPr>
        <w:t>(</w:t>
      </w:r>
      <w:r w:rsidRPr="0083451E">
        <w:rPr>
          <w:rStyle w:val="label-z"/>
          <w:sz w:val="20"/>
          <w:szCs w:val="20"/>
        </w:rPr>
        <w:t>1</w:t>
      </w:r>
      <w:r w:rsidRPr="0083451E">
        <w:rPr>
          <w:rStyle w:val="Normal1"/>
          <w:sz w:val="20"/>
          <w:szCs w:val="20"/>
        </w:rPr>
        <w:t>) </w:t>
      </w:r>
      <w:r w:rsidRPr="0083451E">
        <w:rPr>
          <w:rStyle w:val="widthfixforlabel"/>
          <w:sz w:val="20"/>
          <w:szCs w:val="20"/>
        </w:rPr>
        <w:t> </w:t>
      </w:r>
      <w:r w:rsidRPr="0083451E">
        <w:rPr>
          <w:rStyle w:val="texte-courant"/>
          <w:sz w:val="20"/>
          <w:szCs w:val="20"/>
        </w:rPr>
        <w:t>diagnosing illnesses;</w:t>
      </w:r>
    </w:p>
    <w:p w:rsidR="0059587F" w:rsidRPr="0083451E" w:rsidRDefault="0059587F" w:rsidP="00E97AC5">
      <w:pPr>
        <w:pStyle w:val="Citation-AltC"/>
        <w:tabs>
          <w:tab w:val="left" w:pos="360"/>
        </w:tabs>
        <w:spacing w:after="240"/>
        <w:ind w:left="360"/>
        <w:contextualSpacing w:val="0"/>
        <w:rPr>
          <w:sz w:val="20"/>
          <w:szCs w:val="20"/>
        </w:rPr>
      </w:pPr>
      <w:r w:rsidRPr="0083451E">
        <w:rPr>
          <w:rStyle w:val="Normal1"/>
          <w:sz w:val="20"/>
          <w:szCs w:val="20"/>
        </w:rPr>
        <w:t>(</w:t>
      </w:r>
      <w:r w:rsidRPr="0083451E">
        <w:rPr>
          <w:rStyle w:val="label-z"/>
          <w:sz w:val="20"/>
          <w:szCs w:val="20"/>
        </w:rPr>
        <w:t>2</w:t>
      </w:r>
      <w:r w:rsidRPr="0083451E">
        <w:rPr>
          <w:rStyle w:val="Normal1"/>
          <w:sz w:val="20"/>
          <w:szCs w:val="20"/>
        </w:rPr>
        <w:t>) </w:t>
      </w:r>
      <w:r w:rsidRPr="0083451E">
        <w:rPr>
          <w:rStyle w:val="widthfixforlabel"/>
          <w:sz w:val="20"/>
          <w:szCs w:val="20"/>
        </w:rPr>
        <w:t> </w:t>
      </w:r>
      <w:r w:rsidRPr="0083451E">
        <w:rPr>
          <w:rStyle w:val="texte-courant"/>
          <w:sz w:val="20"/>
          <w:szCs w:val="20"/>
        </w:rPr>
        <w:t>prescribing diagnostic examinations;</w:t>
      </w:r>
    </w:p>
    <w:p w:rsidR="0059587F" w:rsidRPr="0083451E" w:rsidRDefault="0059587F" w:rsidP="00E97AC5">
      <w:pPr>
        <w:pStyle w:val="Citation-AltC"/>
        <w:tabs>
          <w:tab w:val="left" w:pos="360"/>
        </w:tabs>
        <w:spacing w:after="240"/>
        <w:ind w:left="360"/>
        <w:contextualSpacing w:val="0"/>
        <w:rPr>
          <w:sz w:val="20"/>
          <w:szCs w:val="20"/>
        </w:rPr>
      </w:pPr>
      <w:r w:rsidRPr="0083451E">
        <w:rPr>
          <w:rStyle w:val="Normal1"/>
          <w:sz w:val="20"/>
          <w:szCs w:val="20"/>
        </w:rPr>
        <w:t>(</w:t>
      </w:r>
      <w:r w:rsidRPr="0083451E">
        <w:rPr>
          <w:rStyle w:val="label-z"/>
          <w:sz w:val="20"/>
          <w:szCs w:val="20"/>
        </w:rPr>
        <w:t>3</w:t>
      </w:r>
      <w:r w:rsidRPr="0083451E">
        <w:rPr>
          <w:rStyle w:val="Normal1"/>
          <w:sz w:val="20"/>
          <w:szCs w:val="20"/>
        </w:rPr>
        <w:t>) </w:t>
      </w:r>
      <w:r w:rsidRPr="0083451E">
        <w:rPr>
          <w:rStyle w:val="widthfixforlabel"/>
          <w:sz w:val="20"/>
          <w:szCs w:val="20"/>
        </w:rPr>
        <w:t> </w:t>
      </w:r>
      <w:r w:rsidRPr="0083451E">
        <w:rPr>
          <w:rStyle w:val="texte-courant"/>
          <w:sz w:val="20"/>
          <w:szCs w:val="20"/>
        </w:rPr>
        <w:t>using diagnostic techniques that are invasive or entail risks of injury;</w:t>
      </w:r>
    </w:p>
    <w:p w:rsidR="0059587F" w:rsidRPr="0083451E" w:rsidRDefault="0059587F" w:rsidP="00E97AC5">
      <w:pPr>
        <w:pStyle w:val="Citation-AltC"/>
        <w:tabs>
          <w:tab w:val="left" w:pos="360"/>
        </w:tabs>
        <w:spacing w:after="240"/>
        <w:ind w:left="360"/>
        <w:contextualSpacing w:val="0"/>
        <w:rPr>
          <w:sz w:val="20"/>
          <w:szCs w:val="20"/>
        </w:rPr>
      </w:pPr>
      <w:r w:rsidRPr="0083451E">
        <w:rPr>
          <w:rStyle w:val="Normal1"/>
          <w:sz w:val="20"/>
          <w:szCs w:val="20"/>
        </w:rPr>
        <w:t>(</w:t>
      </w:r>
      <w:r w:rsidRPr="0083451E">
        <w:rPr>
          <w:rStyle w:val="label-z"/>
          <w:sz w:val="20"/>
          <w:szCs w:val="20"/>
        </w:rPr>
        <w:t>4</w:t>
      </w:r>
      <w:r w:rsidRPr="0083451E">
        <w:rPr>
          <w:rStyle w:val="Normal1"/>
          <w:sz w:val="20"/>
          <w:szCs w:val="20"/>
        </w:rPr>
        <w:t>) </w:t>
      </w:r>
      <w:r w:rsidRPr="0083451E">
        <w:rPr>
          <w:rStyle w:val="widthfixforlabel"/>
          <w:sz w:val="20"/>
          <w:szCs w:val="20"/>
        </w:rPr>
        <w:t> </w:t>
      </w:r>
      <w:r w:rsidRPr="0083451E">
        <w:rPr>
          <w:rStyle w:val="texte-courant"/>
          <w:sz w:val="20"/>
          <w:szCs w:val="20"/>
        </w:rPr>
        <w:t>determining medical treatment;</w:t>
      </w:r>
    </w:p>
    <w:p w:rsidR="0059587F" w:rsidRPr="0083451E" w:rsidRDefault="0059587F" w:rsidP="00E97AC5">
      <w:pPr>
        <w:pStyle w:val="Citation-AltC"/>
        <w:tabs>
          <w:tab w:val="left" w:pos="360"/>
        </w:tabs>
        <w:spacing w:after="240"/>
        <w:ind w:left="360"/>
        <w:contextualSpacing w:val="0"/>
        <w:rPr>
          <w:sz w:val="20"/>
          <w:szCs w:val="20"/>
        </w:rPr>
      </w:pPr>
      <w:r w:rsidRPr="0083451E">
        <w:rPr>
          <w:rStyle w:val="Normal1"/>
          <w:sz w:val="20"/>
          <w:szCs w:val="20"/>
        </w:rPr>
        <w:t>(</w:t>
      </w:r>
      <w:r w:rsidRPr="0083451E">
        <w:rPr>
          <w:rStyle w:val="label-z"/>
          <w:sz w:val="20"/>
          <w:szCs w:val="20"/>
        </w:rPr>
        <w:t>5</w:t>
      </w:r>
      <w:r w:rsidRPr="0083451E">
        <w:rPr>
          <w:rStyle w:val="Normal1"/>
          <w:sz w:val="20"/>
          <w:szCs w:val="20"/>
        </w:rPr>
        <w:t>) </w:t>
      </w:r>
      <w:r w:rsidRPr="0083451E">
        <w:rPr>
          <w:rStyle w:val="widthfixforlabel"/>
          <w:sz w:val="20"/>
          <w:szCs w:val="20"/>
        </w:rPr>
        <w:t> </w:t>
      </w:r>
      <w:r w:rsidRPr="0083451E">
        <w:rPr>
          <w:rStyle w:val="texte-courant"/>
          <w:sz w:val="20"/>
          <w:szCs w:val="20"/>
        </w:rPr>
        <w:t>prescribing medications and other substances;</w:t>
      </w:r>
    </w:p>
    <w:p w:rsidR="0059587F" w:rsidRPr="0083451E" w:rsidRDefault="0059587F" w:rsidP="00E97AC5">
      <w:pPr>
        <w:pStyle w:val="Citation-AltC"/>
        <w:tabs>
          <w:tab w:val="left" w:pos="360"/>
        </w:tabs>
        <w:spacing w:after="240"/>
        <w:ind w:left="360"/>
        <w:contextualSpacing w:val="0"/>
        <w:rPr>
          <w:sz w:val="20"/>
          <w:szCs w:val="20"/>
        </w:rPr>
      </w:pPr>
      <w:r w:rsidRPr="0083451E">
        <w:rPr>
          <w:rStyle w:val="Normal1"/>
          <w:sz w:val="20"/>
          <w:szCs w:val="20"/>
        </w:rPr>
        <w:t>(</w:t>
      </w:r>
      <w:r w:rsidRPr="0083451E">
        <w:rPr>
          <w:rStyle w:val="label-z"/>
          <w:sz w:val="20"/>
          <w:szCs w:val="20"/>
        </w:rPr>
        <w:t>6</w:t>
      </w:r>
      <w:r w:rsidRPr="0083451E">
        <w:rPr>
          <w:rStyle w:val="Normal1"/>
          <w:sz w:val="20"/>
          <w:szCs w:val="20"/>
        </w:rPr>
        <w:t>) </w:t>
      </w:r>
      <w:r w:rsidRPr="0083451E">
        <w:rPr>
          <w:rStyle w:val="widthfixforlabel"/>
          <w:sz w:val="20"/>
          <w:szCs w:val="20"/>
        </w:rPr>
        <w:t> </w:t>
      </w:r>
      <w:r w:rsidRPr="0083451E">
        <w:rPr>
          <w:rStyle w:val="texte-courant"/>
          <w:sz w:val="20"/>
          <w:szCs w:val="20"/>
        </w:rPr>
        <w:t>prescribing treatment;</w:t>
      </w:r>
    </w:p>
    <w:p w:rsidR="0059587F" w:rsidRPr="0083451E" w:rsidRDefault="0059587F" w:rsidP="00E97AC5">
      <w:pPr>
        <w:pStyle w:val="Citation-AltC"/>
        <w:tabs>
          <w:tab w:val="left" w:pos="360"/>
        </w:tabs>
        <w:spacing w:after="240"/>
        <w:ind w:left="360"/>
        <w:contextualSpacing w:val="0"/>
        <w:rPr>
          <w:sz w:val="20"/>
          <w:szCs w:val="20"/>
        </w:rPr>
      </w:pPr>
      <w:r w:rsidRPr="0083451E">
        <w:rPr>
          <w:rStyle w:val="Normal1"/>
          <w:sz w:val="20"/>
          <w:szCs w:val="20"/>
        </w:rPr>
        <w:t>(7) </w:t>
      </w:r>
      <w:r w:rsidRPr="0083451E">
        <w:rPr>
          <w:rStyle w:val="texte-courant"/>
          <w:sz w:val="20"/>
          <w:szCs w:val="20"/>
        </w:rPr>
        <w:t> using techniques or applying treatments that are invasive or entail risks of injury, including aesthetic procedures</w:t>
      </w:r>
      <w:r w:rsidR="00F45A06">
        <w:rPr>
          <w:rStyle w:val="texte-courant"/>
          <w:sz w:val="20"/>
          <w:szCs w:val="20"/>
        </w:rPr>
        <w:t>.</w:t>
      </w:r>
      <w:r w:rsidR="00C05980" w:rsidRPr="0083451E">
        <w:rPr>
          <w:rStyle w:val="texte-courant"/>
          <w:sz w:val="20"/>
          <w:szCs w:val="20"/>
        </w:rPr>
        <w:t xml:space="preserve"> . . .</w:t>
      </w:r>
    </w:p>
  </w:footnote>
  <w:footnote w:id="2">
    <w:p w:rsidR="0059587F" w:rsidRPr="00C879C5" w:rsidRDefault="0059587F" w:rsidP="0059587F">
      <w:pPr>
        <w:pStyle w:val="FootnoteText"/>
        <w:ind w:left="142" w:hanging="142"/>
        <w:jc w:val="both"/>
      </w:pPr>
      <w:r>
        <w:rPr>
          <w:rStyle w:val="FootnoteReference"/>
        </w:rPr>
        <w:footnoteRef/>
      </w:r>
      <w:r>
        <w:t xml:space="preserve"> </w:t>
      </w:r>
      <w:r w:rsidRPr="009D5771">
        <w:t>The Court of Appeal declined to substitute a conviction on the criminal negligence charg</w:t>
      </w:r>
      <w:r>
        <w:t>e because, in its view, without [</w:t>
      </w:r>
      <w:r w:rsidR="007654CC">
        <w:rPr>
          <w:smallCaps/>
        </w:rPr>
        <w:t>t</w:t>
      </w:r>
      <w:r w:rsidRPr="004E0226">
        <w:rPr>
          <w:smallCaps/>
        </w:rPr>
        <w:t>ranslation</w:t>
      </w:r>
      <w:r>
        <w:t xml:space="preserve">] </w:t>
      </w:r>
      <w:r w:rsidRPr="009D5771">
        <w:t>“</w:t>
      </w:r>
      <w:r>
        <w:t>an overall assessment</w:t>
      </w:r>
      <w:r w:rsidR="00F769F2">
        <w:t xml:space="preserve"> of the evidence” (para. </w:t>
      </w:r>
      <w:r w:rsidRPr="009D5771">
        <w:t>124), it was not po</w:t>
      </w:r>
      <w:r w:rsidR="00BD7662">
        <w:t>ssible to determine whether Ms. </w:t>
      </w:r>
      <w:r w:rsidRPr="009D5771">
        <w:t xml:space="preserve">Javanmardi’s conduct amounted to a marked </w:t>
      </w:r>
      <w:r w:rsidRPr="009D5771">
        <w:rPr>
          <w:i/>
        </w:rPr>
        <w:t xml:space="preserve">and substantial </w:t>
      </w:r>
      <w:r w:rsidRPr="009D5771">
        <w:t>departure from the reasonable person standard.</w:t>
      </w:r>
    </w:p>
  </w:footnote>
  <w:footnote w:id="3">
    <w:p w:rsidR="0059587F" w:rsidRPr="00D162C5" w:rsidRDefault="0059587F" w:rsidP="0059587F">
      <w:pPr>
        <w:pStyle w:val="FootnoteText"/>
        <w:ind w:left="142" w:hanging="142"/>
        <w:jc w:val="both"/>
      </w:pPr>
      <w:r w:rsidRPr="007C76F7">
        <w:rPr>
          <w:rStyle w:val="FootnoteReference"/>
        </w:rPr>
        <w:footnoteRef/>
      </w:r>
      <w:r w:rsidRPr="007C76F7">
        <w:t xml:space="preserve"> </w:t>
      </w:r>
      <w:r w:rsidR="00B20740">
        <w:tab/>
      </w:r>
      <w:r w:rsidRPr="007C76F7">
        <w:t xml:space="preserve">In </w:t>
      </w:r>
      <w:r w:rsidRPr="007C76F7">
        <w:rPr>
          <w:i/>
        </w:rPr>
        <w:t>J.F.</w:t>
      </w:r>
      <w:r w:rsidRPr="007C76F7">
        <w:t>, this Court held that the determination of whether the accused’s conduct d</w:t>
      </w:r>
      <w:r>
        <w:t>eparted to the requisite degree</w:t>
      </w:r>
      <w:r w:rsidRPr="007C76F7">
        <w:t xml:space="preserve"> is properly viewed as an assessment of fault, not </w:t>
      </w:r>
      <w:r w:rsidRPr="007C76F7">
        <w:rPr>
          <w:i/>
        </w:rPr>
        <w:t>actus reus</w:t>
      </w:r>
      <w:r w:rsidRPr="007C76F7">
        <w:t xml:space="preserve"> (see Hamish Stewart, “</w:t>
      </w:r>
      <w:r>
        <w:rPr>
          <w:i/>
        </w:rPr>
        <w:t>F.</w:t>
      </w:r>
      <w:r w:rsidR="00A2073D">
        <w:rPr>
          <w:i/>
        </w:rPr>
        <w:t xml:space="preserve"> </w:t>
      </w:r>
      <w:r w:rsidRPr="00EA7C89">
        <w:rPr>
          <w:i/>
        </w:rPr>
        <w:t>(J.)</w:t>
      </w:r>
      <w:r w:rsidRPr="007C76F7">
        <w:t>: The Continued Evolution of the Law of Penal Negligence” (2008)</w:t>
      </w:r>
      <w:r>
        <w:t>,</w:t>
      </w:r>
      <w:r w:rsidRPr="007C76F7">
        <w:t xml:space="preserve"> 60 C.R. (6th) 243, at p. 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5F" w:rsidRDefault="00853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5F" w:rsidRDefault="00853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0A3461"/>
    <w:multiLevelType w:val="hybridMultilevel"/>
    <w:tmpl w:val="6F28BDD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D002705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6B30A1E4"/>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FA2BDB"/>
    <w:multiLevelType w:val="hybridMultilevel"/>
    <w:tmpl w:val="52F012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530697"/>
    <w:multiLevelType w:val="hybridMultilevel"/>
    <w:tmpl w:val="1742C4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
  </w:num>
  <w:num w:numId="6">
    <w:abstractNumId w:val="0"/>
  </w:num>
  <w:num w:numId="7">
    <w:abstractNumId w:val="4"/>
  </w:num>
  <w:num w:numId="8">
    <w:abstractNumId w:val="5"/>
  </w:num>
  <w:num w:numId="9">
    <w:abstractNumId w:val="3"/>
  </w:num>
  <w:num w:numId="10">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3D2"/>
    <w:rsid w:val="00025198"/>
    <w:rsid w:val="000514DD"/>
    <w:rsid w:val="000578A3"/>
    <w:rsid w:val="000648CC"/>
    <w:rsid w:val="00070D79"/>
    <w:rsid w:val="000724AC"/>
    <w:rsid w:val="00084435"/>
    <w:rsid w:val="00092A7B"/>
    <w:rsid w:val="000A510B"/>
    <w:rsid w:val="000B6AF9"/>
    <w:rsid w:val="000C59B8"/>
    <w:rsid w:val="000C6AF0"/>
    <w:rsid w:val="000D4386"/>
    <w:rsid w:val="000E27F0"/>
    <w:rsid w:val="000F5C21"/>
    <w:rsid w:val="000F7924"/>
    <w:rsid w:val="00104F33"/>
    <w:rsid w:val="00111DE2"/>
    <w:rsid w:val="00116B38"/>
    <w:rsid w:val="001210E9"/>
    <w:rsid w:val="00121EDA"/>
    <w:rsid w:val="00135406"/>
    <w:rsid w:val="00135972"/>
    <w:rsid w:val="001369F2"/>
    <w:rsid w:val="001426A9"/>
    <w:rsid w:val="00154D7C"/>
    <w:rsid w:val="001570B0"/>
    <w:rsid w:val="0015752C"/>
    <w:rsid w:val="00157737"/>
    <w:rsid w:val="00165277"/>
    <w:rsid w:val="00167E06"/>
    <w:rsid w:val="00170592"/>
    <w:rsid w:val="00175123"/>
    <w:rsid w:val="00186351"/>
    <w:rsid w:val="00190AF3"/>
    <w:rsid w:val="00195D83"/>
    <w:rsid w:val="0019759B"/>
    <w:rsid w:val="001A00C1"/>
    <w:rsid w:val="001A487B"/>
    <w:rsid w:val="001B33E0"/>
    <w:rsid w:val="001B4257"/>
    <w:rsid w:val="001B4573"/>
    <w:rsid w:val="001C779F"/>
    <w:rsid w:val="001D03E1"/>
    <w:rsid w:val="001D2AC1"/>
    <w:rsid w:val="001D4E88"/>
    <w:rsid w:val="0020767B"/>
    <w:rsid w:val="00214BAE"/>
    <w:rsid w:val="00220FC2"/>
    <w:rsid w:val="002222F4"/>
    <w:rsid w:val="00224FC0"/>
    <w:rsid w:val="00225EA4"/>
    <w:rsid w:val="00226EAF"/>
    <w:rsid w:val="00231F3A"/>
    <w:rsid w:val="00234199"/>
    <w:rsid w:val="002406EE"/>
    <w:rsid w:val="00243EC8"/>
    <w:rsid w:val="002458F7"/>
    <w:rsid w:val="00251B1D"/>
    <w:rsid w:val="00262B69"/>
    <w:rsid w:val="00270D93"/>
    <w:rsid w:val="002745CC"/>
    <w:rsid w:val="00274BAD"/>
    <w:rsid w:val="00287834"/>
    <w:rsid w:val="002A0690"/>
    <w:rsid w:val="002B7924"/>
    <w:rsid w:val="002B7D69"/>
    <w:rsid w:val="002C4567"/>
    <w:rsid w:val="002D28C3"/>
    <w:rsid w:val="002D39A4"/>
    <w:rsid w:val="002E2612"/>
    <w:rsid w:val="002E2CFF"/>
    <w:rsid w:val="002E3117"/>
    <w:rsid w:val="002E61D2"/>
    <w:rsid w:val="002E6705"/>
    <w:rsid w:val="002F0AA5"/>
    <w:rsid w:val="00301D08"/>
    <w:rsid w:val="0030329A"/>
    <w:rsid w:val="00303CED"/>
    <w:rsid w:val="0031086F"/>
    <w:rsid w:val="0031414C"/>
    <w:rsid w:val="00314E01"/>
    <w:rsid w:val="0032089D"/>
    <w:rsid w:val="003310DE"/>
    <w:rsid w:val="003323B0"/>
    <w:rsid w:val="0035169A"/>
    <w:rsid w:val="0035259D"/>
    <w:rsid w:val="00355BC0"/>
    <w:rsid w:val="0036411C"/>
    <w:rsid w:val="00364B18"/>
    <w:rsid w:val="00364E6F"/>
    <w:rsid w:val="00364E79"/>
    <w:rsid w:val="0037114A"/>
    <w:rsid w:val="00372FDE"/>
    <w:rsid w:val="003743BB"/>
    <w:rsid w:val="00381B37"/>
    <w:rsid w:val="00396CCA"/>
    <w:rsid w:val="00397BB7"/>
    <w:rsid w:val="003A125D"/>
    <w:rsid w:val="003A2F0B"/>
    <w:rsid w:val="003A4C70"/>
    <w:rsid w:val="003B215F"/>
    <w:rsid w:val="003B4AA4"/>
    <w:rsid w:val="003C2E17"/>
    <w:rsid w:val="003C799C"/>
    <w:rsid w:val="003C7E77"/>
    <w:rsid w:val="003D0399"/>
    <w:rsid w:val="003E1C71"/>
    <w:rsid w:val="003E6061"/>
    <w:rsid w:val="003F327B"/>
    <w:rsid w:val="004040A9"/>
    <w:rsid w:val="00406166"/>
    <w:rsid w:val="00406D88"/>
    <w:rsid w:val="0040704B"/>
    <w:rsid w:val="00410A55"/>
    <w:rsid w:val="00411300"/>
    <w:rsid w:val="00415417"/>
    <w:rsid w:val="00426659"/>
    <w:rsid w:val="00436752"/>
    <w:rsid w:val="00450352"/>
    <w:rsid w:val="00454BDB"/>
    <w:rsid w:val="00463BCD"/>
    <w:rsid w:val="00464800"/>
    <w:rsid w:val="00465132"/>
    <w:rsid w:val="00466859"/>
    <w:rsid w:val="00480C90"/>
    <w:rsid w:val="0048396F"/>
    <w:rsid w:val="00493C18"/>
    <w:rsid w:val="004A27F4"/>
    <w:rsid w:val="004A600C"/>
    <w:rsid w:val="004A6118"/>
    <w:rsid w:val="004C478D"/>
    <w:rsid w:val="004E2C26"/>
    <w:rsid w:val="004E50E2"/>
    <w:rsid w:val="004F36FF"/>
    <w:rsid w:val="004F3EF7"/>
    <w:rsid w:val="005125A8"/>
    <w:rsid w:val="00521AE8"/>
    <w:rsid w:val="00522DED"/>
    <w:rsid w:val="00527180"/>
    <w:rsid w:val="0054030C"/>
    <w:rsid w:val="0054201E"/>
    <w:rsid w:val="005478F8"/>
    <w:rsid w:val="00555291"/>
    <w:rsid w:val="00557EEB"/>
    <w:rsid w:val="00560F7E"/>
    <w:rsid w:val="00566AD1"/>
    <w:rsid w:val="00571427"/>
    <w:rsid w:val="00583EDE"/>
    <w:rsid w:val="00590611"/>
    <w:rsid w:val="005942FF"/>
    <w:rsid w:val="0059587F"/>
    <w:rsid w:val="005973F9"/>
    <w:rsid w:val="005A1E81"/>
    <w:rsid w:val="005A5509"/>
    <w:rsid w:val="005A6079"/>
    <w:rsid w:val="005B1F41"/>
    <w:rsid w:val="005B5D6A"/>
    <w:rsid w:val="005C7913"/>
    <w:rsid w:val="005E4698"/>
    <w:rsid w:val="006015DC"/>
    <w:rsid w:val="00605842"/>
    <w:rsid w:val="00610539"/>
    <w:rsid w:val="00613969"/>
    <w:rsid w:val="0061473B"/>
    <w:rsid w:val="00622317"/>
    <w:rsid w:val="00623081"/>
    <w:rsid w:val="00625141"/>
    <w:rsid w:val="00625C35"/>
    <w:rsid w:val="00631A56"/>
    <w:rsid w:val="006333CE"/>
    <w:rsid w:val="00636F70"/>
    <w:rsid w:val="00656313"/>
    <w:rsid w:val="006565F4"/>
    <w:rsid w:val="00662497"/>
    <w:rsid w:val="00662BD5"/>
    <w:rsid w:val="00670FD1"/>
    <w:rsid w:val="006749C2"/>
    <w:rsid w:val="00684EEA"/>
    <w:rsid w:val="00691C58"/>
    <w:rsid w:val="0069689B"/>
    <w:rsid w:val="006A1551"/>
    <w:rsid w:val="006B009A"/>
    <w:rsid w:val="006B5FF5"/>
    <w:rsid w:val="006C22A9"/>
    <w:rsid w:val="006C55D8"/>
    <w:rsid w:val="006D3AE7"/>
    <w:rsid w:val="006D546C"/>
    <w:rsid w:val="006E3975"/>
    <w:rsid w:val="006F30AF"/>
    <w:rsid w:val="00701759"/>
    <w:rsid w:val="007055D1"/>
    <w:rsid w:val="00705C15"/>
    <w:rsid w:val="00714C14"/>
    <w:rsid w:val="0071600E"/>
    <w:rsid w:val="007208D1"/>
    <w:rsid w:val="007222DE"/>
    <w:rsid w:val="00725E8C"/>
    <w:rsid w:val="00726703"/>
    <w:rsid w:val="00726956"/>
    <w:rsid w:val="007417DA"/>
    <w:rsid w:val="00747288"/>
    <w:rsid w:val="00747DD3"/>
    <w:rsid w:val="007549C8"/>
    <w:rsid w:val="00754A0B"/>
    <w:rsid w:val="007654CC"/>
    <w:rsid w:val="00766812"/>
    <w:rsid w:val="00766D14"/>
    <w:rsid w:val="00767A0F"/>
    <w:rsid w:val="00774976"/>
    <w:rsid w:val="007915D3"/>
    <w:rsid w:val="007A05F6"/>
    <w:rsid w:val="007B6F4A"/>
    <w:rsid w:val="007C0D24"/>
    <w:rsid w:val="007D5045"/>
    <w:rsid w:val="007E1C47"/>
    <w:rsid w:val="007E337A"/>
    <w:rsid w:val="007E5C70"/>
    <w:rsid w:val="007F2FF5"/>
    <w:rsid w:val="007F3F08"/>
    <w:rsid w:val="007F7CB3"/>
    <w:rsid w:val="00804CC6"/>
    <w:rsid w:val="00817190"/>
    <w:rsid w:val="00820EE5"/>
    <w:rsid w:val="008260E2"/>
    <w:rsid w:val="008322BD"/>
    <w:rsid w:val="00833E0A"/>
    <w:rsid w:val="0083451E"/>
    <w:rsid w:val="00834F73"/>
    <w:rsid w:val="00844781"/>
    <w:rsid w:val="00850074"/>
    <w:rsid w:val="00850A69"/>
    <w:rsid w:val="0085395F"/>
    <w:rsid w:val="00864CF8"/>
    <w:rsid w:val="00872819"/>
    <w:rsid w:val="00874914"/>
    <w:rsid w:val="00891422"/>
    <w:rsid w:val="00892E1A"/>
    <w:rsid w:val="0089319B"/>
    <w:rsid w:val="008A0C27"/>
    <w:rsid w:val="008A3F29"/>
    <w:rsid w:val="008B660A"/>
    <w:rsid w:val="008C01DA"/>
    <w:rsid w:val="008C6E4C"/>
    <w:rsid w:val="008E5353"/>
    <w:rsid w:val="008F067A"/>
    <w:rsid w:val="008F78E9"/>
    <w:rsid w:val="00900F81"/>
    <w:rsid w:val="00905AF7"/>
    <w:rsid w:val="0091197F"/>
    <w:rsid w:val="00911989"/>
    <w:rsid w:val="009179F9"/>
    <w:rsid w:val="00933E5E"/>
    <w:rsid w:val="00935218"/>
    <w:rsid w:val="009403F3"/>
    <w:rsid w:val="009416AE"/>
    <w:rsid w:val="00954D1E"/>
    <w:rsid w:val="00954ED4"/>
    <w:rsid w:val="009555B7"/>
    <w:rsid w:val="00955ED3"/>
    <w:rsid w:val="009567AA"/>
    <w:rsid w:val="00967374"/>
    <w:rsid w:val="00967A76"/>
    <w:rsid w:val="009A343A"/>
    <w:rsid w:val="009A5D0B"/>
    <w:rsid w:val="009B2F23"/>
    <w:rsid w:val="009B57B3"/>
    <w:rsid w:val="009C5B92"/>
    <w:rsid w:val="009D2920"/>
    <w:rsid w:val="009D5AEB"/>
    <w:rsid w:val="009F0E33"/>
    <w:rsid w:val="009F28E9"/>
    <w:rsid w:val="009F6E73"/>
    <w:rsid w:val="00A0091B"/>
    <w:rsid w:val="00A030CE"/>
    <w:rsid w:val="00A12F28"/>
    <w:rsid w:val="00A149DF"/>
    <w:rsid w:val="00A1755C"/>
    <w:rsid w:val="00A2073D"/>
    <w:rsid w:val="00A21B90"/>
    <w:rsid w:val="00A22B58"/>
    <w:rsid w:val="00A36772"/>
    <w:rsid w:val="00A40E8E"/>
    <w:rsid w:val="00A41805"/>
    <w:rsid w:val="00A42CFC"/>
    <w:rsid w:val="00A42DCD"/>
    <w:rsid w:val="00A52AFB"/>
    <w:rsid w:val="00A548CB"/>
    <w:rsid w:val="00A5521C"/>
    <w:rsid w:val="00A561F9"/>
    <w:rsid w:val="00A643E7"/>
    <w:rsid w:val="00A70142"/>
    <w:rsid w:val="00A73C38"/>
    <w:rsid w:val="00AA4BB1"/>
    <w:rsid w:val="00AB4F15"/>
    <w:rsid w:val="00AB670D"/>
    <w:rsid w:val="00AB6D7B"/>
    <w:rsid w:val="00AD0275"/>
    <w:rsid w:val="00AD105F"/>
    <w:rsid w:val="00AE4535"/>
    <w:rsid w:val="00AE7F28"/>
    <w:rsid w:val="00AF03C5"/>
    <w:rsid w:val="00AF0E14"/>
    <w:rsid w:val="00AF368E"/>
    <w:rsid w:val="00AF5524"/>
    <w:rsid w:val="00B000D8"/>
    <w:rsid w:val="00B00F75"/>
    <w:rsid w:val="00B145B6"/>
    <w:rsid w:val="00B14E2C"/>
    <w:rsid w:val="00B17FCC"/>
    <w:rsid w:val="00B20740"/>
    <w:rsid w:val="00B20A6C"/>
    <w:rsid w:val="00B22FC3"/>
    <w:rsid w:val="00B279EB"/>
    <w:rsid w:val="00B3153A"/>
    <w:rsid w:val="00B31BEF"/>
    <w:rsid w:val="00B3286A"/>
    <w:rsid w:val="00B50C81"/>
    <w:rsid w:val="00B536CC"/>
    <w:rsid w:val="00B54EBB"/>
    <w:rsid w:val="00B557F8"/>
    <w:rsid w:val="00B64951"/>
    <w:rsid w:val="00B7012C"/>
    <w:rsid w:val="00B815FC"/>
    <w:rsid w:val="00B868D8"/>
    <w:rsid w:val="00B93FBC"/>
    <w:rsid w:val="00B96656"/>
    <w:rsid w:val="00BA2DDF"/>
    <w:rsid w:val="00BA7DA0"/>
    <w:rsid w:val="00BB2C1D"/>
    <w:rsid w:val="00BB2EE4"/>
    <w:rsid w:val="00BB68CB"/>
    <w:rsid w:val="00BC0BDE"/>
    <w:rsid w:val="00BC2108"/>
    <w:rsid w:val="00BC48A9"/>
    <w:rsid w:val="00BD0E9E"/>
    <w:rsid w:val="00BD1BEC"/>
    <w:rsid w:val="00BD32FF"/>
    <w:rsid w:val="00BD6956"/>
    <w:rsid w:val="00BD6B31"/>
    <w:rsid w:val="00BD7662"/>
    <w:rsid w:val="00BF31E9"/>
    <w:rsid w:val="00C02092"/>
    <w:rsid w:val="00C02A9D"/>
    <w:rsid w:val="00C05980"/>
    <w:rsid w:val="00C210A1"/>
    <w:rsid w:val="00C23396"/>
    <w:rsid w:val="00C24D91"/>
    <w:rsid w:val="00C465CF"/>
    <w:rsid w:val="00C53F14"/>
    <w:rsid w:val="00C600CF"/>
    <w:rsid w:val="00C6084F"/>
    <w:rsid w:val="00C62A66"/>
    <w:rsid w:val="00C6748E"/>
    <w:rsid w:val="00C71458"/>
    <w:rsid w:val="00C77613"/>
    <w:rsid w:val="00C828E7"/>
    <w:rsid w:val="00C86719"/>
    <w:rsid w:val="00C921DD"/>
    <w:rsid w:val="00CA1277"/>
    <w:rsid w:val="00CA2C89"/>
    <w:rsid w:val="00CA6391"/>
    <w:rsid w:val="00CB2CCA"/>
    <w:rsid w:val="00CB6A4D"/>
    <w:rsid w:val="00CC34BD"/>
    <w:rsid w:val="00CD4301"/>
    <w:rsid w:val="00CE161A"/>
    <w:rsid w:val="00CE3171"/>
    <w:rsid w:val="00CF1601"/>
    <w:rsid w:val="00D0172F"/>
    <w:rsid w:val="00D068A7"/>
    <w:rsid w:val="00D17476"/>
    <w:rsid w:val="00D25B92"/>
    <w:rsid w:val="00D30EA4"/>
    <w:rsid w:val="00D32086"/>
    <w:rsid w:val="00D37A3F"/>
    <w:rsid w:val="00D40223"/>
    <w:rsid w:val="00D41B02"/>
    <w:rsid w:val="00D4431D"/>
    <w:rsid w:val="00D4667A"/>
    <w:rsid w:val="00D56FA2"/>
    <w:rsid w:val="00D63838"/>
    <w:rsid w:val="00D63A1C"/>
    <w:rsid w:val="00D7516F"/>
    <w:rsid w:val="00D7658C"/>
    <w:rsid w:val="00D8579F"/>
    <w:rsid w:val="00D904FD"/>
    <w:rsid w:val="00D91445"/>
    <w:rsid w:val="00D92A25"/>
    <w:rsid w:val="00D93577"/>
    <w:rsid w:val="00D95F8E"/>
    <w:rsid w:val="00DA0590"/>
    <w:rsid w:val="00DA2174"/>
    <w:rsid w:val="00DA28D3"/>
    <w:rsid w:val="00DB1505"/>
    <w:rsid w:val="00DB7BEA"/>
    <w:rsid w:val="00DC1739"/>
    <w:rsid w:val="00DC1788"/>
    <w:rsid w:val="00DE319C"/>
    <w:rsid w:val="00DE67EC"/>
    <w:rsid w:val="00DF00A8"/>
    <w:rsid w:val="00DF0CA8"/>
    <w:rsid w:val="00DF2B48"/>
    <w:rsid w:val="00DF49A7"/>
    <w:rsid w:val="00DF7E36"/>
    <w:rsid w:val="00E045AF"/>
    <w:rsid w:val="00E07EE2"/>
    <w:rsid w:val="00E07FD1"/>
    <w:rsid w:val="00E105C2"/>
    <w:rsid w:val="00E10EC3"/>
    <w:rsid w:val="00E159C8"/>
    <w:rsid w:val="00E176D8"/>
    <w:rsid w:val="00E21683"/>
    <w:rsid w:val="00E24573"/>
    <w:rsid w:val="00E25E1E"/>
    <w:rsid w:val="00E27EE7"/>
    <w:rsid w:val="00E35404"/>
    <w:rsid w:val="00E45109"/>
    <w:rsid w:val="00E47B7A"/>
    <w:rsid w:val="00E56A44"/>
    <w:rsid w:val="00E60269"/>
    <w:rsid w:val="00E65FFE"/>
    <w:rsid w:val="00E723AE"/>
    <w:rsid w:val="00E72888"/>
    <w:rsid w:val="00E76889"/>
    <w:rsid w:val="00E776FE"/>
    <w:rsid w:val="00E77932"/>
    <w:rsid w:val="00E97830"/>
    <w:rsid w:val="00E97AC5"/>
    <w:rsid w:val="00EA695D"/>
    <w:rsid w:val="00EA787E"/>
    <w:rsid w:val="00EC3347"/>
    <w:rsid w:val="00ED42AA"/>
    <w:rsid w:val="00EE11EA"/>
    <w:rsid w:val="00EE24D4"/>
    <w:rsid w:val="00EE276D"/>
    <w:rsid w:val="00EE643C"/>
    <w:rsid w:val="00EF0683"/>
    <w:rsid w:val="00EF122E"/>
    <w:rsid w:val="00EF69D2"/>
    <w:rsid w:val="00EF71BB"/>
    <w:rsid w:val="00EF766E"/>
    <w:rsid w:val="00F004C8"/>
    <w:rsid w:val="00F005DF"/>
    <w:rsid w:val="00F0070C"/>
    <w:rsid w:val="00F00EB7"/>
    <w:rsid w:val="00F030E7"/>
    <w:rsid w:val="00F36AB6"/>
    <w:rsid w:val="00F37A09"/>
    <w:rsid w:val="00F409CE"/>
    <w:rsid w:val="00F4379D"/>
    <w:rsid w:val="00F45A06"/>
    <w:rsid w:val="00F47A61"/>
    <w:rsid w:val="00F50D2D"/>
    <w:rsid w:val="00F56C8B"/>
    <w:rsid w:val="00F66810"/>
    <w:rsid w:val="00F769F2"/>
    <w:rsid w:val="00F81BD0"/>
    <w:rsid w:val="00F846D9"/>
    <w:rsid w:val="00F84DF4"/>
    <w:rsid w:val="00F853F2"/>
    <w:rsid w:val="00F85C97"/>
    <w:rsid w:val="00F9158B"/>
    <w:rsid w:val="00F954B2"/>
    <w:rsid w:val="00F95C02"/>
    <w:rsid w:val="00F97DB5"/>
    <w:rsid w:val="00FB37D2"/>
    <w:rsid w:val="00FB59D8"/>
    <w:rsid w:val="00FC4EFB"/>
    <w:rsid w:val="00FD068D"/>
    <w:rsid w:val="00FD4F28"/>
    <w:rsid w:val="00FE6784"/>
    <w:rsid w:val="00FF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C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5A5509"/>
    <w:rPr>
      <w:color w:val="0000FF" w:themeColor="hyperlink"/>
      <w:u w:val="single"/>
    </w:rPr>
  </w:style>
  <w:style w:type="paragraph" w:customStyle="1" w:styleId="Citation-AltC">
    <w:name w:val="Citation - Alt C"/>
    <w:uiPriority w:val="2"/>
    <w:qFormat/>
    <w:rsid w:val="0059587F"/>
    <w:pPr>
      <w:spacing w:after="720"/>
      <w:ind w:left="1166"/>
      <w:contextualSpacing/>
      <w:jc w:val="both"/>
    </w:pPr>
    <w:rPr>
      <w:sz w:val="24"/>
      <w:szCs w:val="24"/>
    </w:rPr>
  </w:style>
  <w:style w:type="paragraph" w:customStyle="1" w:styleId="JudgeJuge">
    <w:name w:val="Judge / Juge"/>
    <w:uiPriority w:val="3"/>
    <w:rsid w:val="0059587F"/>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59587F"/>
    <w:pPr>
      <w:numPr>
        <w:numId w:val="1"/>
      </w:numPr>
      <w:spacing w:before="480" w:after="480" w:line="480" w:lineRule="auto"/>
      <w:jc w:val="both"/>
    </w:pPr>
    <w:rPr>
      <w:rFonts w:eastAsiaTheme="minorEastAsia" w:cstheme="minorBidi"/>
      <w:sz w:val="24"/>
      <w:szCs w:val="24"/>
      <w:lang w:eastAsia="en-US"/>
    </w:rPr>
  </w:style>
  <w:style w:type="paragraph" w:customStyle="1" w:styleId="TitleTitre-AltT">
    <w:name w:val="Title / Titre - Alt T"/>
    <w:next w:val="ParaNoNdepar-AltN"/>
    <w:uiPriority w:val="3"/>
    <w:qFormat/>
    <w:rsid w:val="0059587F"/>
    <w:pPr>
      <w:tabs>
        <w:tab w:val="left" w:pos="360"/>
      </w:tabs>
      <w:spacing w:before="480" w:after="720"/>
      <w:ind w:left="360" w:hanging="360"/>
      <w:jc w:val="both"/>
      <w:outlineLvl w:val="0"/>
    </w:pPr>
    <w:rPr>
      <w:rFonts w:eastAsiaTheme="minorHAnsi" w:cstheme="minorBidi"/>
      <w:sz w:val="24"/>
      <w:szCs w:val="24"/>
      <w:lang w:eastAsia="en-US"/>
    </w:rPr>
  </w:style>
  <w:style w:type="character" w:customStyle="1" w:styleId="ParaNoNdepar-AltNChar">
    <w:name w:val="Para. No. / Nº de par. - Alt N Char"/>
    <w:basedOn w:val="DefaultParagraphFont"/>
    <w:link w:val="ParaNoNdepar-AltN"/>
    <w:rsid w:val="0059587F"/>
    <w:rPr>
      <w:rFonts w:eastAsiaTheme="minorEastAsia" w:cstheme="minorBidi"/>
      <w:sz w:val="24"/>
      <w:szCs w:val="24"/>
      <w:lang w:eastAsia="en-US"/>
    </w:rPr>
  </w:style>
  <w:style w:type="character" w:customStyle="1" w:styleId="texte-courant">
    <w:name w:val="texte-courant"/>
    <w:basedOn w:val="DefaultParagraphFont"/>
    <w:rsid w:val="0059587F"/>
  </w:style>
  <w:style w:type="character" w:customStyle="1" w:styleId="label-z">
    <w:name w:val="label-z"/>
    <w:basedOn w:val="DefaultParagraphFont"/>
    <w:rsid w:val="0059587F"/>
  </w:style>
  <w:style w:type="character" w:customStyle="1" w:styleId="Normal1">
    <w:name w:val="Normal1"/>
    <w:basedOn w:val="DefaultParagraphFont"/>
    <w:rsid w:val="0059587F"/>
  </w:style>
  <w:style w:type="character" w:customStyle="1" w:styleId="widthfixforlabel">
    <w:name w:val="widthfixforlabel"/>
    <w:basedOn w:val="DefaultParagraphFont"/>
    <w:rsid w:val="0059587F"/>
  </w:style>
  <w:style w:type="paragraph" w:styleId="FootnoteText">
    <w:name w:val="footnote text"/>
    <w:basedOn w:val="Normal"/>
    <w:link w:val="FootnoteTextChar"/>
    <w:uiPriority w:val="99"/>
    <w:unhideWhenUsed/>
    <w:rsid w:val="0059587F"/>
    <w:rPr>
      <w:rFonts w:eastAsiaTheme="minorHAnsi" w:cstheme="minorBidi"/>
      <w:sz w:val="20"/>
      <w:lang w:val="en-US" w:eastAsia="en-US"/>
    </w:rPr>
  </w:style>
  <w:style w:type="character" w:customStyle="1" w:styleId="FootnoteTextChar">
    <w:name w:val="Footnote Text Char"/>
    <w:basedOn w:val="DefaultParagraphFont"/>
    <w:link w:val="FootnoteText"/>
    <w:uiPriority w:val="99"/>
    <w:rsid w:val="0059587F"/>
    <w:rPr>
      <w:rFonts w:eastAsiaTheme="minorHAnsi" w:cstheme="minorBidi"/>
      <w:lang w:val="en-US" w:eastAsia="en-US"/>
    </w:rPr>
  </w:style>
  <w:style w:type="character" w:styleId="FootnoteReference">
    <w:name w:val="footnote reference"/>
    <w:basedOn w:val="DefaultParagraphFont"/>
    <w:uiPriority w:val="99"/>
    <w:semiHidden/>
    <w:unhideWhenUsed/>
    <w:rsid w:val="0059587F"/>
    <w:rPr>
      <w:vertAlign w:val="superscript"/>
    </w:rPr>
  </w:style>
  <w:style w:type="paragraph" w:styleId="NoSpacing">
    <w:name w:val="No Spacing"/>
    <w:uiPriority w:val="1"/>
    <w:rsid w:val="0059587F"/>
    <w:rPr>
      <w:sz w:val="24"/>
    </w:rPr>
  </w:style>
  <w:style w:type="paragraph" w:customStyle="1" w:styleId="SCCLsocOtherPartyRoleSeparator">
    <w:name w:val="SCC.Lsoc.OtherPartyRoleSeparator"/>
    <w:basedOn w:val="Normal"/>
    <w:next w:val="Normal"/>
    <w:link w:val="SCCLsocOtherPartyRoleSeparatorChar"/>
    <w:rsid w:val="0059587F"/>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59587F"/>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9587F"/>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9587F"/>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9587F"/>
    <w:rPr>
      <w:b/>
      <w:sz w:val="24"/>
    </w:rPr>
  </w:style>
  <w:style w:type="table" w:styleId="TableGrid">
    <w:name w:val="Table Grid"/>
    <w:basedOn w:val="TableNormal"/>
    <w:uiPriority w:val="59"/>
    <w:rsid w:val="005958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59587F"/>
    <w:pPr>
      <w:spacing w:before="480" w:after="480" w:line="480" w:lineRule="auto"/>
      <w:jc w:val="both"/>
    </w:pPr>
    <w:rPr>
      <w:rFonts w:eastAsiaTheme="minorHAnsi" w:cstheme="minorBidi"/>
      <w:sz w:val="24"/>
      <w:szCs w:val="22"/>
      <w:lang w:val="fr-CA" w:eastAsia="en-US"/>
    </w:rPr>
  </w:style>
  <w:style w:type="paragraph" w:customStyle="1" w:styleId="Title1LevelTitre1Niveau-AltL">
    <w:name w:val="Title 1 Level / Titre 1 Niveau - Alt L"/>
    <w:next w:val="ParaNoNdepar-AltN"/>
    <w:uiPriority w:val="4"/>
    <w:qFormat/>
    <w:rsid w:val="0059587F"/>
    <w:pPr>
      <w:numPr>
        <w:numId w:val="9"/>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9587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9587F"/>
    <w:pPr>
      <w:numPr>
        <w:ilvl w:val="2"/>
      </w:numPr>
      <w:outlineLvl w:val="2"/>
    </w:pPr>
  </w:style>
  <w:style w:type="paragraph" w:customStyle="1" w:styleId="Title4LevelTitre4Niveau">
    <w:name w:val="Title 4 Level / Titre 4 Niveau"/>
    <w:basedOn w:val="Title3LevelTitre3Niveau"/>
    <w:next w:val="ParaNoNdepar-AltN"/>
    <w:uiPriority w:val="4"/>
    <w:qFormat/>
    <w:rsid w:val="0059587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9587F"/>
    <w:pPr>
      <w:numPr>
        <w:ilvl w:val="4"/>
      </w:numPr>
      <w:outlineLvl w:val="4"/>
    </w:pPr>
  </w:style>
  <w:style w:type="paragraph" w:customStyle="1" w:styleId="Title6LevelTitre6Niveau">
    <w:name w:val="Title 6 Level / Titre 6 Niveau"/>
    <w:basedOn w:val="Title5LevelTitre5Niveau"/>
    <w:next w:val="ParaNoNdepar-AltN"/>
    <w:uiPriority w:val="4"/>
    <w:qFormat/>
    <w:rsid w:val="0059587F"/>
    <w:pPr>
      <w:numPr>
        <w:ilvl w:val="5"/>
      </w:numPr>
      <w:outlineLvl w:val="5"/>
    </w:pPr>
    <w:rPr>
      <w:i/>
      <w:u w:val="none"/>
    </w:rPr>
  </w:style>
  <w:style w:type="table" w:customStyle="1" w:styleId="TableGrid1">
    <w:name w:val="Table Grid1"/>
    <w:basedOn w:val="TableNormal"/>
    <w:next w:val="TableGrid"/>
    <w:uiPriority w:val="59"/>
    <w:rsid w:val="0059587F"/>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D42AA"/>
    <w:pPr>
      <w:ind w:left="720"/>
      <w:contextualSpacing/>
    </w:pPr>
  </w:style>
  <w:style w:type="table" w:customStyle="1" w:styleId="TableGrid2">
    <w:name w:val="Table Grid2"/>
    <w:basedOn w:val="TableNormal"/>
    <w:next w:val="TableGrid"/>
    <w:uiPriority w:val="59"/>
    <w:rsid w:val="001A487B"/>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8803">
      <w:bodyDiv w:val="1"/>
      <w:marLeft w:val="0"/>
      <w:marRight w:val="0"/>
      <w:marTop w:val="0"/>
      <w:marBottom w:val="0"/>
      <w:divBdr>
        <w:top w:val="none" w:sz="0" w:space="0" w:color="auto"/>
        <w:left w:val="none" w:sz="0" w:space="0" w:color="auto"/>
        <w:bottom w:val="none" w:sz="0" w:space="0" w:color="auto"/>
        <w:right w:val="none" w:sz="0" w:space="0" w:color="auto"/>
      </w:divBdr>
    </w:div>
    <w:div w:id="3244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01EDE-3C90-4776-AD7E-7A4CE7D6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10658</Words>
  <Characters>55264</Characters>
  <Application>Microsoft Office Word</Application>
  <DocSecurity>0</DocSecurity>
  <Lines>460</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2022-07-11T16:54:00Z</dcterms:created>
  <dcterms:modified xsi:type="dcterms:W3CDTF">2022-07-11T16:54:00Z</dcterms:modified>
</cp:coreProperties>
</file>