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540"/>
      </w:tblGrid>
      <w:tr w:rsidR="00CB19CA" w:rsidTr="0049785F">
        <w:trPr>
          <w:trHeight w:val="1784"/>
        </w:trPr>
        <w:tc>
          <w:tcPr>
            <w:tcW w:w="5000" w:type="pct"/>
          </w:tcPr>
          <w:p w:rsidR="00CB19CA" w:rsidRDefault="00CB19CA" w:rsidP="0049785F">
            <w:pPr>
              <w:jc w:val="center"/>
            </w:pPr>
            <w:r w:rsidRPr="00C22905">
              <w:rPr>
                <w:rFonts w:eastAsia="Calibr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5.3pt" o:ole="">
                  <v:imagedata r:id="rId8" o:title=""/>
                </v:shape>
                <o:OLEObject Type="Embed" ProgID="Presentations.Drawing.15" ShapeID="_x0000_i1025" DrawAspect="Content" ObjectID="_1708614148" r:id="rId9"/>
              </w:object>
            </w:r>
          </w:p>
          <w:p w:rsidR="00CB19CA" w:rsidRDefault="00CB19CA" w:rsidP="0049785F">
            <w:pPr>
              <w:spacing w:before="120" w:after="100" w:afterAutospacing="1"/>
              <w:jc w:val="center"/>
              <w:rPr>
                <w:rFonts w:eastAsia="Calibri"/>
              </w:rPr>
            </w:pPr>
            <w:r w:rsidRPr="00C22905">
              <w:rPr>
                <w:rFonts w:eastAsia="Calibri"/>
                <w:b/>
                <w:szCs w:val="24"/>
                <w:lang w:eastAsia="en-US"/>
              </w:rPr>
              <w:t>SUPREME COURT OF CANADA</w:t>
            </w:r>
          </w:p>
        </w:tc>
      </w:tr>
    </w:tbl>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808"/>
        <w:gridCol w:w="810"/>
        <w:gridCol w:w="2772"/>
        <w:gridCol w:w="162"/>
        <w:gridCol w:w="2898"/>
      </w:tblGrid>
      <w:tr w:rsidR="00CB19CA" w:rsidRPr="006B210C" w:rsidTr="0049785F">
        <w:trPr>
          <w:cantSplit/>
        </w:trPr>
        <w:tc>
          <w:tcPr>
            <w:tcW w:w="6390" w:type="dxa"/>
            <w:gridSpan w:val="3"/>
          </w:tcPr>
          <w:p w:rsidR="00CB19CA" w:rsidRDefault="00CB19CA" w:rsidP="0049785F">
            <w:pPr>
              <w:ind w:firstLine="32"/>
              <w:rPr>
                <w:lang w:val="en-US"/>
              </w:rPr>
            </w:pPr>
            <w:r w:rsidRPr="00CB3AFE">
              <w:rPr>
                <w:b/>
                <w:smallCaps/>
                <w:lang w:val="en-US"/>
              </w:rPr>
              <w:t>Citation:</w:t>
            </w:r>
            <w:r w:rsidRPr="00CB3AFE">
              <w:rPr>
                <w:lang w:val="en-US"/>
              </w:rPr>
              <w:t xml:space="preserve"> Volkswagen Group Canada Inc.</w:t>
            </w:r>
          </w:p>
          <w:p w:rsidR="00CB19CA" w:rsidRDefault="00CB19CA" w:rsidP="0049785F">
            <w:pPr>
              <w:ind w:firstLine="32"/>
              <w:rPr>
                <w:lang w:val="fr-CA"/>
              </w:rPr>
            </w:pPr>
            <w:r w:rsidRPr="00CB3AFE">
              <w:rPr>
                <w:i/>
                <w:lang w:val="fr-CA"/>
              </w:rPr>
              <w:t xml:space="preserve">v. </w:t>
            </w:r>
            <w:r w:rsidRPr="00CB3AFE">
              <w:rPr>
                <w:lang w:val="fr-CA"/>
              </w:rPr>
              <w:t xml:space="preserve">Association québécoise de lutte contre la </w:t>
            </w:r>
          </w:p>
          <w:p w:rsidR="00CB19CA" w:rsidRDefault="00CB19CA" w:rsidP="0049785F">
            <w:pPr>
              <w:ind w:firstLine="32"/>
              <w:rPr>
                <w:lang w:val="fr-CA"/>
              </w:rPr>
            </w:pPr>
            <w:r w:rsidRPr="00CB3AFE">
              <w:rPr>
                <w:lang w:val="fr-CA"/>
              </w:rPr>
              <w:t xml:space="preserve">pollution atmosphérique, 2019 SCC 53, </w:t>
            </w:r>
          </w:p>
          <w:p w:rsidR="00CB19CA" w:rsidRPr="00CB3AFE" w:rsidRDefault="00CB19CA" w:rsidP="0049785F">
            <w:pPr>
              <w:ind w:firstLine="32"/>
              <w:rPr>
                <w:lang w:val="fr-CA"/>
              </w:rPr>
            </w:pPr>
            <w:r w:rsidRPr="00CB3AFE">
              <w:rPr>
                <w:lang w:val="fr-CA"/>
              </w:rPr>
              <w:t>[2019] 3 S.C.R. 920</w:t>
            </w:r>
          </w:p>
        </w:tc>
        <w:tc>
          <w:tcPr>
            <w:tcW w:w="3060" w:type="dxa"/>
            <w:gridSpan w:val="2"/>
          </w:tcPr>
          <w:p w:rsidR="00CB19CA" w:rsidRDefault="00CB19CA" w:rsidP="0049785F">
            <w:pPr>
              <w:ind w:left="32"/>
            </w:pPr>
            <w:r>
              <w:rPr>
                <w:b/>
                <w:smallCaps/>
              </w:rPr>
              <w:t>Appeal Heard:</w:t>
            </w:r>
            <w:r w:rsidRPr="006B210C">
              <w:t xml:space="preserve"> </w:t>
            </w:r>
            <w:r>
              <w:t>November 13, 2019</w:t>
            </w:r>
          </w:p>
          <w:p w:rsidR="00CB19CA" w:rsidRPr="006B210C" w:rsidRDefault="00CB19CA" w:rsidP="0049785F">
            <w:pPr>
              <w:ind w:left="32"/>
            </w:pPr>
            <w:r>
              <w:rPr>
                <w:b/>
              </w:rPr>
              <w:t>J</w:t>
            </w:r>
            <w:r>
              <w:rPr>
                <w:b/>
                <w:smallCaps/>
              </w:rPr>
              <w:t xml:space="preserve">udgment Rendered: </w:t>
            </w:r>
            <w:r>
              <w:t>November 13, 2019</w:t>
            </w:r>
          </w:p>
          <w:p w:rsidR="00CB19CA" w:rsidRPr="006B210C" w:rsidRDefault="00CB19CA" w:rsidP="0049785F">
            <w:r w:rsidRPr="006B210C">
              <w:rPr>
                <w:b/>
                <w:smallCaps/>
              </w:rPr>
              <w:t>Docket</w:t>
            </w:r>
            <w:r>
              <w:rPr>
                <w:b/>
                <w:smallCaps/>
              </w:rPr>
              <w:t>:</w:t>
            </w:r>
            <w:r w:rsidRPr="006B210C">
              <w:t xml:space="preserve"> </w:t>
            </w:r>
            <w:r>
              <w:t>38297</w:t>
            </w:r>
          </w:p>
        </w:tc>
      </w:tr>
      <w:tr w:rsidR="00CB19CA" w:rsidTr="00497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280"/>
        </w:trPr>
        <w:tc>
          <w:tcPr>
            <w:tcW w:w="9450" w:type="dxa"/>
            <w:gridSpan w:val="5"/>
            <w:tcBorders>
              <w:top w:val="nil"/>
              <w:left w:val="nil"/>
              <w:bottom w:val="nil"/>
              <w:right w:val="nil"/>
            </w:tcBorders>
          </w:tcPr>
          <w:p w:rsidR="00CB19CA" w:rsidRPr="006B210C" w:rsidRDefault="00CB19CA" w:rsidP="0049785F"/>
          <w:p w:rsidR="00CB19CA" w:rsidRDefault="00CB19CA" w:rsidP="0049785F">
            <w:pPr>
              <w:pStyle w:val="SCCLsocPrefix"/>
            </w:pPr>
            <w:r>
              <w:t>Between:</w:t>
            </w:r>
          </w:p>
          <w:p w:rsidR="00CB19CA" w:rsidRPr="0044341F" w:rsidRDefault="00CB19CA" w:rsidP="0049785F"/>
          <w:p w:rsidR="00CB19CA" w:rsidRDefault="00CB19CA" w:rsidP="0049785F">
            <w:pPr>
              <w:pStyle w:val="SCCLsocParty"/>
            </w:pPr>
            <w:r>
              <w:t>Volkswagen Group Canada Inc., Volkswagen Group of America Inc., Volkswagen AG, Audi Canada Inc., Audi of America Inc. and Audi AG</w:t>
            </w:r>
          </w:p>
          <w:p w:rsidR="00CB19CA" w:rsidRPr="00016404" w:rsidRDefault="00CB19CA" w:rsidP="0049785F">
            <w:pPr>
              <w:pStyle w:val="SCCLsocPartyRole"/>
              <w:rPr>
                <w:lang w:val="fr-CA"/>
              </w:rPr>
            </w:pPr>
            <w:r w:rsidRPr="00016404">
              <w:rPr>
                <w:lang w:val="fr-CA"/>
              </w:rPr>
              <w:t>Appellants</w:t>
            </w:r>
          </w:p>
          <w:p w:rsidR="00CB19CA" w:rsidRPr="00016404" w:rsidRDefault="00CB19CA" w:rsidP="0049785F">
            <w:pPr>
              <w:pStyle w:val="SCCLsocVersus"/>
              <w:rPr>
                <w:lang w:val="fr-CA"/>
              </w:rPr>
            </w:pPr>
          </w:p>
          <w:p w:rsidR="00CB19CA" w:rsidRPr="00016404" w:rsidRDefault="00CB19CA" w:rsidP="0049785F">
            <w:pPr>
              <w:pStyle w:val="SCCLsocVersus"/>
              <w:rPr>
                <w:lang w:val="fr-CA"/>
              </w:rPr>
            </w:pPr>
            <w:r w:rsidRPr="00016404">
              <w:rPr>
                <w:lang w:val="fr-CA"/>
              </w:rPr>
              <w:t>and</w:t>
            </w:r>
          </w:p>
          <w:p w:rsidR="00CB19CA" w:rsidRPr="00016404" w:rsidRDefault="00CB19CA" w:rsidP="0049785F">
            <w:pPr>
              <w:rPr>
                <w:lang w:val="fr-CA"/>
              </w:rPr>
            </w:pPr>
          </w:p>
          <w:p w:rsidR="00CB19CA" w:rsidRPr="00016404" w:rsidRDefault="00CB19CA" w:rsidP="0049785F">
            <w:pPr>
              <w:pStyle w:val="SCCLsocParty"/>
              <w:rPr>
                <w:lang w:val="fr-CA"/>
              </w:rPr>
            </w:pPr>
            <w:r w:rsidRPr="00016404">
              <w:rPr>
                <w:lang w:val="fr-CA"/>
              </w:rPr>
              <w:t>Association québécoise de lutte contre la pollution atmosphérique and André Bélisle</w:t>
            </w:r>
          </w:p>
          <w:p w:rsidR="00CB19CA" w:rsidRPr="00016404" w:rsidRDefault="00CB19CA" w:rsidP="0049785F">
            <w:pPr>
              <w:pStyle w:val="SCCLsocPartyRole"/>
              <w:rPr>
                <w:lang w:val="fr-CA"/>
              </w:rPr>
            </w:pPr>
            <w:r w:rsidRPr="00016404">
              <w:rPr>
                <w:lang w:val="fr-CA"/>
              </w:rPr>
              <w:t>Respondents</w:t>
            </w:r>
          </w:p>
          <w:p w:rsidR="00CB19CA" w:rsidRPr="00016404" w:rsidRDefault="00CB19CA" w:rsidP="0049785F">
            <w:pPr>
              <w:rPr>
                <w:lang w:val="fr-CA"/>
              </w:rPr>
            </w:pPr>
          </w:p>
          <w:p w:rsidR="00CB19CA" w:rsidRPr="00016404" w:rsidRDefault="00CB19CA" w:rsidP="0049785F">
            <w:pPr>
              <w:pStyle w:val="SCCLsocOtherPartySeparator"/>
              <w:rPr>
                <w:lang w:val="fr-CA"/>
              </w:rPr>
            </w:pPr>
            <w:r w:rsidRPr="00016404">
              <w:rPr>
                <w:lang w:val="fr-CA"/>
              </w:rPr>
              <w:t>- and -</w:t>
            </w:r>
          </w:p>
          <w:p w:rsidR="00CB19CA" w:rsidRPr="00016404" w:rsidRDefault="00CB19CA" w:rsidP="0049785F">
            <w:pPr>
              <w:pStyle w:val="SCCLsocParty"/>
              <w:rPr>
                <w:lang w:val="fr-CA"/>
              </w:rPr>
            </w:pPr>
          </w:p>
          <w:p w:rsidR="00CB19CA" w:rsidRPr="00127BA2" w:rsidRDefault="00CB19CA" w:rsidP="0049785F">
            <w:pPr>
              <w:pStyle w:val="SCCLsocParty"/>
              <w:rPr>
                <w:lang w:val="fr-CA"/>
              </w:rPr>
            </w:pPr>
            <w:r w:rsidRPr="00016404">
              <w:rPr>
                <w:lang w:val="fr-CA"/>
              </w:rPr>
              <w:t xml:space="preserve">ENvironnement </w:t>
            </w:r>
            <w:r w:rsidRPr="00127BA2">
              <w:rPr>
                <w:lang w:val="fr-CA"/>
              </w:rPr>
              <w:t>JEUnesse and Quebec Environmental Law Centre</w:t>
            </w:r>
          </w:p>
          <w:p w:rsidR="00CB19CA" w:rsidRDefault="00CB19CA" w:rsidP="0049785F">
            <w:pPr>
              <w:pStyle w:val="SCCLsocPartyRole"/>
            </w:pPr>
            <w:r>
              <w:t>Interveners</w:t>
            </w:r>
          </w:p>
          <w:p w:rsidR="00CB19CA" w:rsidRDefault="00CB19CA" w:rsidP="0049785F"/>
          <w:p w:rsidR="00CB19CA" w:rsidRPr="006B210C" w:rsidRDefault="00CB19CA" w:rsidP="0049785F"/>
          <w:p w:rsidR="00CB19CA" w:rsidRPr="006B210C" w:rsidRDefault="00CB19CA" w:rsidP="0049785F">
            <w:pPr>
              <w:jc w:val="center"/>
              <w:rPr>
                <w:b/>
                <w:smallCaps/>
              </w:rPr>
            </w:pPr>
            <w:r w:rsidRPr="006B210C">
              <w:rPr>
                <w:b/>
                <w:smallCaps/>
              </w:rPr>
              <w:t>Official English Translation</w:t>
            </w:r>
          </w:p>
          <w:p w:rsidR="00CB19CA" w:rsidRDefault="00CB19CA" w:rsidP="0049785F"/>
        </w:tc>
      </w:tr>
      <w:tr w:rsidR="00CB19CA" w:rsidTr="00497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080"/>
        </w:trPr>
        <w:tc>
          <w:tcPr>
            <w:tcW w:w="9450" w:type="dxa"/>
            <w:gridSpan w:val="5"/>
            <w:tcBorders>
              <w:top w:val="nil"/>
              <w:left w:val="nil"/>
              <w:bottom w:val="nil"/>
              <w:right w:val="nil"/>
            </w:tcBorders>
          </w:tcPr>
          <w:p w:rsidR="00CB19CA" w:rsidRPr="006B210C" w:rsidRDefault="00CB19CA" w:rsidP="0049785F"/>
          <w:p w:rsidR="00CB19CA" w:rsidRPr="006B210C" w:rsidRDefault="00CB19CA" w:rsidP="0049785F">
            <w:r w:rsidRPr="006B210C">
              <w:rPr>
                <w:b/>
                <w:smallCaps/>
              </w:rPr>
              <w:t>Coram</w:t>
            </w:r>
            <w:r>
              <w:rPr>
                <w:b/>
                <w:smallCaps/>
              </w:rPr>
              <w:t>:</w:t>
            </w:r>
            <w:r w:rsidRPr="006B210C">
              <w:t xml:space="preserve"> </w:t>
            </w:r>
            <w:r>
              <w:t>Wagner C.J. and Abella, Moldaver, Karakatsanis, Côté, Brown, Rowe, Martin and Kasirer JJ.</w:t>
            </w:r>
          </w:p>
          <w:p w:rsidR="00CB19CA" w:rsidRDefault="00CB19CA" w:rsidP="0049785F"/>
        </w:tc>
      </w:tr>
      <w:tr w:rsidR="00CB19CA" w:rsidRPr="006B210C" w:rsidTr="0049785F">
        <w:trPr>
          <w:cantSplit/>
        </w:trPr>
        <w:tc>
          <w:tcPr>
            <w:tcW w:w="3618" w:type="dxa"/>
            <w:gridSpan w:val="2"/>
          </w:tcPr>
          <w:p w:rsidR="00CB19CA" w:rsidRDefault="00CB19CA" w:rsidP="0049785F">
            <w:pPr>
              <w:ind w:firstLine="32"/>
              <w:rPr>
                <w:b/>
                <w:smallCaps/>
              </w:rPr>
            </w:pPr>
            <w:r w:rsidRPr="006B210C">
              <w:rPr>
                <w:b/>
                <w:smallCaps/>
              </w:rPr>
              <w:t>Reasons for Judgment</w:t>
            </w:r>
            <w:r>
              <w:rPr>
                <w:b/>
                <w:smallCaps/>
              </w:rPr>
              <w:t>:</w:t>
            </w:r>
          </w:p>
          <w:p w:rsidR="00CB19CA" w:rsidRPr="006B210C" w:rsidRDefault="00CB19CA" w:rsidP="0049785F">
            <w:pPr>
              <w:ind w:firstLine="32"/>
            </w:pPr>
            <w:r w:rsidRPr="000B5EAC">
              <w:t>(paras. 1 to 3)</w:t>
            </w:r>
          </w:p>
        </w:tc>
        <w:tc>
          <w:tcPr>
            <w:tcW w:w="5832" w:type="dxa"/>
            <w:gridSpan w:val="3"/>
          </w:tcPr>
          <w:p w:rsidR="00CB19CA" w:rsidRPr="006B210C" w:rsidRDefault="00CB19CA" w:rsidP="0049785F">
            <w:r w:rsidRPr="00561005">
              <w:t xml:space="preserve">Wagner C.J. </w:t>
            </w:r>
            <w:r w:rsidRPr="00106519">
              <w:t>(</w:t>
            </w:r>
            <w:r>
              <w:t>Abella, Moldaver, Karakatsanis, Côté, Brown, Rowe, Martin and Kasirer JJ. concurring</w:t>
            </w:r>
            <w:r w:rsidRPr="00561005">
              <w:t>)</w:t>
            </w:r>
          </w:p>
        </w:tc>
      </w:tr>
      <w:tr w:rsidR="00CB19CA" w:rsidTr="0049785F">
        <w:tblPrEx>
          <w:tblCellMar>
            <w:top w:w="0" w:type="dxa"/>
            <w:left w:w="108" w:type="dxa"/>
            <w:bottom w:w="0" w:type="dxa"/>
            <w:right w:w="108" w:type="dxa"/>
          </w:tblCellMar>
        </w:tblPrEx>
        <w:tc>
          <w:tcPr>
            <w:tcW w:w="2808" w:type="dxa"/>
            <w:tcMar>
              <w:top w:w="284" w:type="dxa"/>
            </w:tcMar>
          </w:tcPr>
          <w:p w:rsidR="00CB19CA" w:rsidRDefault="00CB19CA" w:rsidP="0049785F">
            <w:pPr>
              <w:rPr>
                <w:rFonts w:eastAsia="Calibri"/>
              </w:rPr>
            </w:pPr>
          </w:p>
        </w:tc>
        <w:tc>
          <w:tcPr>
            <w:tcW w:w="3744" w:type="dxa"/>
            <w:gridSpan w:val="3"/>
            <w:tcBorders>
              <w:bottom w:val="single" w:sz="4" w:space="0" w:color="auto"/>
            </w:tcBorders>
            <w:tcMar>
              <w:top w:w="284" w:type="dxa"/>
            </w:tcMar>
          </w:tcPr>
          <w:p w:rsidR="00CB19CA" w:rsidRDefault="00CB19CA" w:rsidP="0049785F">
            <w:pPr>
              <w:rPr>
                <w:rFonts w:eastAsia="Calibri"/>
              </w:rPr>
            </w:pPr>
          </w:p>
        </w:tc>
        <w:tc>
          <w:tcPr>
            <w:tcW w:w="2898" w:type="dxa"/>
            <w:tcMar>
              <w:top w:w="284" w:type="dxa"/>
            </w:tcMar>
          </w:tcPr>
          <w:p w:rsidR="00CB19CA" w:rsidRDefault="00CB19CA" w:rsidP="0049785F">
            <w:pPr>
              <w:rPr>
                <w:rFonts w:eastAsia="Calibri"/>
              </w:rPr>
            </w:pPr>
          </w:p>
        </w:tc>
      </w:tr>
    </w:tbl>
    <w:p w:rsidR="00CB19CA" w:rsidRDefault="00CB19CA" w:rsidP="00CB19CA"/>
    <w:p w:rsidR="00CB19CA" w:rsidRDefault="00CB19CA" w:rsidP="00CB19CA">
      <w:bookmarkStart w:id="0" w:name="_GoBack"/>
      <w:bookmarkEnd w:id="0"/>
    </w:p>
    <w:p w:rsidR="00EB3B81" w:rsidRPr="000B420A" w:rsidRDefault="00EB3B81" w:rsidP="00EB3B81">
      <w:pPr>
        <w:spacing w:after="720"/>
        <w:jc w:val="both"/>
        <w:rPr>
          <w:lang w:val="en-US"/>
        </w:rPr>
      </w:pPr>
      <w:r w:rsidRPr="000B420A">
        <w:rPr>
          <w:smallCaps/>
          <w:lang w:val="en-US"/>
        </w:rPr>
        <w:t xml:space="preserve">volkswagen </w:t>
      </w:r>
      <w:r w:rsidRPr="000B420A">
        <w:rPr>
          <w:i/>
          <w:lang w:val="en-US"/>
        </w:rPr>
        <w:t>v</w:t>
      </w:r>
      <w:r w:rsidRPr="000B420A">
        <w:rPr>
          <w:smallCaps/>
          <w:lang w:val="en-US"/>
        </w:rPr>
        <w:t xml:space="preserve">. aqlpa </w:t>
      </w:r>
    </w:p>
    <w:p w:rsidR="00EB3B81" w:rsidRDefault="00EB3B81" w:rsidP="00EB3B81">
      <w:pPr>
        <w:pStyle w:val="SCCLsocParty"/>
        <w:jc w:val="left"/>
      </w:pPr>
      <w:r>
        <w:lastRenderedPageBreak/>
        <w:t>Volkswagen Group Canada Inc.,</w:t>
      </w:r>
    </w:p>
    <w:p w:rsidR="00EB3B81" w:rsidRDefault="00EB3B81" w:rsidP="00EB3B81">
      <w:pPr>
        <w:pStyle w:val="SCCLsocLastPartyInRole"/>
        <w:spacing w:after="0"/>
      </w:pPr>
      <w:r>
        <w:t xml:space="preserve">Volkswagen Group of America Inc., </w:t>
      </w:r>
    </w:p>
    <w:p w:rsidR="00EB3B81" w:rsidRDefault="00EB3B81" w:rsidP="00EB3B81">
      <w:pPr>
        <w:pStyle w:val="SCCLsocLastPartyInRole"/>
        <w:spacing w:after="0"/>
      </w:pPr>
      <w:r>
        <w:t xml:space="preserve">Volkswagen AG, </w:t>
      </w:r>
    </w:p>
    <w:p w:rsidR="00EB3B81" w:rsidRDefault="00EB3B81" w:rsidP="00EB3B81">
      <w:pPr>
        <w:pStyle w:val="SCCLsocLastPartyInRole"/>
        <w:spacing w:after="0"/>
      </w:pPr>
      <w:r>
        <w:t xml:space="preserve">Audi Canada Inc., </w:t>
      </w:r>
    </w:p>
    <w:p w:rsidR="00EB3B81" w:rsidRPr="00EB3B81" w:rsidRDefault="00EB3B81" w:rsidP="00EB3B81">
      <w:pPr>
        <w:tabs>
          <w:tab w:val="right" w:pos="8222"/>
        </w:tabs>
        <w:jc w:val="both"/>
        <w:rPr>
          <w:rFonts w:eastAsia="Times New Roman" w:cs="Times New Roman"/>
          <w:b/>
          <w:szCs w:val="20"/>
          <w:lang w:val="en-US" w:eastAsia="en-CA"/>
        </w:rPr>
      </w:pPr>
      <w:r w:rsidRPr="00EB3B81">
        <w:rPr>
          <w:rFonts w:eastAsia="Times New Roman" w:cs="Times New Roman"/>
          <w:b/>
          <w:szCs w:val="20"/>
          <w:lang w:val="en-US" w:eastAsia="en-CA"/>
        </w:rPr>
        <w:t xml:space="preserve">Audi of America Inc. and </w:t>
      </w:r>
    </w:p>
    <w:p w:rsidR="00EB3B81" w:rsidRPr="00EB3B81" w:rsidRDefault="00EB3B81" w:rsidP="00EB3B81">
      <w:pPr>
        <w:tabs>
          <w:tab w:val="left" w:pos="8100"/>
          <w:tab w:val="right" w:pos="8222"/>
        </w:tabs>
        <w:spacing w:after="720"/>
        <w:rPr>
          <w:rFonts w:eastAsia="Times New Roman" w:cs="Times New Roman"/>
          <w:b/>
          <w:szCs w:val="20"/>
          <w:lang w:val="en-US" w:eastAsia="en-CA"/>
        </w:rPr>
      </w:pPr>
      <w:r w:rsidRPr="00EB3B81">
        <w:rPr>
          <w:rFonts w:eastAsia="Times New Roman" w:cs="Times New Roman"/>
          <w:b/>
          <w:szCs w:val="20"/>
          <w:lang w:val="en-US" w:eastAsia="en-CA"/>
        </w:rPr>
        <w:t>Audi AG</w:t>
      </w:r>
      <w:r w:rsidRPr="00EB3B81">
        <w:rPr>
          <w:rFonts w:eastAsia="Times New Roman" w:cs="Times New Roman"/>
          <w:b/>
          <w:szCs w:val="20"/>
          <w:lang w:val="en-US" w:eastAsia="en-CA"/>
        </w:rPr>
        <w:tab/>
      </w:r>
      <w:r w:rsidRPr="00EB3B81">
        <w:rPr>
          <w:rFonts w:eastAsia="Times New Roman" w:cs="Times New Roman"/>
          <w:i/>
          <w:szCs w:val="20"/>
          <w:lang w:val="en-US" w:eastAsia="en-CA"/>
        </w:rPr>
        <w:t>Appellants</w:t>
      </w:r>
    </w:p>
    <w:p w:rsidR="00EB3B81" w:rsidRPr="00BD644A" w:rsidRDefault="00EB3B81" w:rsidP="00EB3B81">
      <w:pPr>
        <w:tabs>
          <w:tab w:val="left" w:pos="8100"/>
          <w:tab w:val="right" w:pos="8222"/>
        </w:tabs>
        <w:spacing w:after="720"/>
        <w:rPr>
          <w:rFonts w:eastAsia="Times New Roman" w:cs="Times New Roman"/>
          <w:i/>
          <w:szCs w:val="20"/>
          <w:lang w:val="fr-CA" w:eastAsia="en-CA"/>
        </w:rPr>
      </w:pPr>
      <w:r w:rsidRPr="00BD644A">
        <w:rPr>
          <w:rFonts w:eastAsia="Times New Roman" w:cs="Times New Roman"/>
          <w:i/>
          <w:szCs w:val="20"/>
          <w:lang w:val="fr-CA" w:eastAsia="en-CA"/>
        </w:rPr>
        <w:t>v.</w:t>
      </w:r>
    </w:p>
    <w:p w:rsidR="00EB3B81" w:rsidRPr="00BD644A" w:rsidRDefault="00EB3B81" w:rsidP="00EB3B81">
      <w:pPr>
        <w:tabs>
          <w:tab w:val="right" w:pos="8222"/>
        </w:tabs>
        <w:jc w:val="both"/>
        <w:rPr>
          <w:rFonts w:eastAsia="Times New Roman" w:cs="Times New Roman"/>
          <w:b/>
          <w:szCs w:val="20"/>
          <w:lang w:val="fr-CA" w:eastAsia="en-CA"/>
        </w:rPr>
      </w:pPr>
      <w:r w:rsidRPr="00BD644A">
        <w:rPr>
          <w:rFonts w:eastAsia="Times New Roman" w:cs="Times New Roman"/>
          <w:b/>
          <w:szCs w:val="20"/>
          <w:lang w:val="fr-CA" w:eastAsia="en-CA"/>
        </w:rPr>
        <w:t>Association québécoise de lutte co</w:t>
      </w:r>
      <w:r>
        <w:rPr>
          <w:rFonts w:eastAsia="Times New Roman" w:cs="Times New Roman"/>
          <w:b/>
          <w:szCs w:val="20"/>
          <w:lang w:val="fr-CA" w:eastAsia="en-CA"/>
        </w:rPr>
        <w:t>ntre la pollution atmosphérique</w:t>
      </w:r>
    </w:p>
    <w:p w:rsidR="00EB3B81" w:rsidRPr="00BD644A" w:rsidRDefault="00EB3B81" w:rsidP="00EB3B81">
      <w:pPr>
        <w:tabs>
          <w:tab w:val="left" w:pos="8100"/>
          <w:tab w:val="right" w:pos="8222"/>
        </w:tabs>
        <w:spacing w:after="720"/>
        <w:rPr>
          <w:rFonts w:eastAsia="Times New Roman" w:cs="Times New Roman"/>
          <w:b/>
          <w:szCs w:val="20"/>
          <w:lang w:val="fr-CA" w:eastAsia="en-CA"/>
        </w:rPr>
      </w:pPr>
      <w:r w:rsidRPr="00BD644A">
        <w:rPr>
          <w:rFonts w:eastAsia="Times New Roman" w:cs="Times New Roman"/>
          <w:b/>
          <w:szCs w:val="20"/>
          <w:lang w:val="fr-CA" w:eastAsia="en-CA"/>
        </w:rPr>
        <w:t>and André Bélisle</w:t>
      </w:r>
      <w:r w:rsidRPr="00BD644A">
        <w:rPr>
          <w:rFonts w:eastAsia="Times New Roman" w:cs="Times New Roman"/>
          <w:i/>
          <w:szCs w:val="20"/>
          <w:lang w:val="fr-CA" w:eastAsia="en-CA"/>
        </w:rPr>
        <w:tab/>
        <w:t>Respondents</w:t>
      </w:r>
    </w:p>
    <w:p w:rsidR="00EB3B81" w:rsidRPr="00BD644A" w:rsidRDefault="00EB3B81" w:rsidP="00EB3B81">
      <w:pPr>
        <w:spacing w:after="720"/>
        <w:rPr>
          <w:rFonts w:eastAsia="Times New Roman" w:cs="Times New Roman"/>
          <w:szCs w:val="20"/>
          <w:lang w:val="fr-CA" w:eastAsia="en-CA"/>
        </w:rPr>
      </w:pPr>
      <w:r w:rsidRPr="00BD644A">
        <w:rPr>
          <w:rFonts w:eastAsia="Times New Roman" w:cs="Times New Roman"/>
          <w:szCs w:val="20"/>
          <w:lang w:val="fr-CA" w:eastAsia="en-CA"/>
        </w:rPr>
        <w:t>and</w:t>
      </w:r>
    </w:p>
    <w:p w:rsidR="00EB3B81" w:rsidRPr="00BD644A" w:rsidRDefault="00EB3B81" w:rsidP="00EB3B81">
      <w:pPr>
        <w:tabs>
          <w:tab w:val="right" w:pos="8222"/>
        </w:tabs>
        <w:rPr>
          <w:rFonts w:eastAsia="Times New Roman" w:cs="Times New Roman"/>
          <w:b/>
          <w:szCs w:val="20"/>
          <w:lang w:val="fr-CA" w:eastAsia="en-CA"/>
        </w:rPr>
      </w:pPr>
      <w:r w:rsidRPr="00BD644A">
        <w:rPr>
          <w:rFonts w:eastAsia="Times New Roman" w:cs="Times New Roman"/>
          <w:b/>
          <w:szCs w:val="20"/>
          <w:lang w:val="fr-CA" w:eastAsia="en-CA"/>
        </w:rPr>
        <w:t xml:space="preserve">ENvironnement JEUnesse and </w:t>
      </w:r>
    </w:p>
    <w:p w:rsidR="00EB3B81" w:rsidRPr="00BD644A" w:rsidRDefault="00EB3B81" w:rsidP="00EB3B81">
      <w:pPr>
        <w:tabs>
          <w:tab w:val="left" w:pos="8100"/>
          <w:tab w:val="right" w:pos="8222"/>
        </w:tabs>
        <w:spacing w:after="720"/>
        <w:rPr>
          <w:rFonts w:eastAsia="Times New Roman" w:cs="Times New Roman"/>
          <w:b/>
          <w:szCs w:val="20"/>
          <w:lang w:val="fr-CA" w:eastAsia="en-CA"/>
        </w:rPr>
      </w:pPr>
      <w:r w:rsidRPr="00BD644A">
        <w:rPr>
          <w:rFonts w:eastAsia="Times New Roman" w:cs="Times New Roman"/>
          <w:b/>
          <w:szCs w:val="20"/>
          <w:lang w:val="fr-CA" w:eastAsia="en-CA"/>
        </w:rPr>
        <w:t>Quebec Environmental Law Centre</w:t>
      </w:r>
      <w:r w:rsidRPr="00BD644A">
        <w:rPr>
          <w:rFonts w:eastAsia="Times New Roman" w:cs="Times New Roman"/>
          <w:i/>
          <w:szCs w:val="20"/>
          <w:lang w:val="fr-CA" w:eastAsia="en-CA"/>
        </w:rPr>
        <w:tab/>
        <w:t>Interveners</w:t>
      </w:r>
    </w:p>
    <w:p w:rsidR="00EB3B81" w:rsidRPr="003352E5" w:rsidRDefault="00EB3B81" w:rsidP="00EB3B81">
      <w:pPr>
        <w:spacing w:after="720"/>
        <w:jc w:val="both"/>
        <w:rPr>
          <w:lang w:val="fr-CA"/>
        </w:rPr>
      </w:pPr>
      <w:r w:rsidRPr="003352E5">
        <w:rPr>
          <w:b/>
          <w:lang w:val="fr-CA"/>
        </w:rPr>
        <w:t xml:space="preserve">Indexed as: </w:t>
      </w:r>
      <w:r w:rsidRPr="00230B6E">
        <w:rPr>
          <w:rStyle w:val="SCCAppellantForIndexChar"/>
          <w:rFonts w:eastAsiaTheme="minorHAnsi"/>
          <w:lang w:val="fr-CA"/>
        </w:rPr>
        <w:t xml:space="preserve">Volkswagen Group Canada Inc. </w:t>
      </w:r>
      <w:r>
        <w:rPr>
          <w:b/>
          <w:i/>
          <w:lang w:val="fr-CA"/>
        </w:rPr>
        <w:t>v</w:t>
      </w:r>
      <w:r w:rsidRPr="00230B6E">
        <w:rPr>
          <w:b/>
          <w:i/>
          <w:lang w:val="fr-CA"/>
        </w:rPr>
        <w:t>.</w:t>
      </w:r>
      <w:r w:rsidRPr="00230B6E">
        <w:rPr>
          <w:b/>
          <w:lang w:val="fr-CA"/>
        </w:rPr>
        <w:t xml:space="preserve"> </w:t>
      </w:r>
      <w:r w:rsidRPr="00230B6E">
        <w:rPr>
          <w:rStyle w:val="SCCRespondentForIndexChar"/>
          <w:rFonts w:eastAsiaTheme="minorHAnsi"/>
          <w:lang w:val="fr-CA"/>
        </w:rPr>
        <w:t>Association québécoise de l</w:t>
      </w:r>
      <w:r>
        <w:rPr>
          <w:rStyle w:val="SCCRespondentForIndexChar"/>
          <w:rFonts w:eastAsiaTheme="minorHAnsi"/>
          <w:lang w:val="fr-CA"/>
        </w:rPr>
        <w:t>utte contre la pollution atmosphérique</w:t>
      </w:r>
    </w:p>
    <w:p w:rsidR="00EB3B81" w:rsidRDefault="00EB3B81" w:rsidP="00EB3B81">
      <w:pPr>
        <w:pStyle w:val="SCCSystemYear"/>
        <w:spacing w:after="720"/>
        <w:jc w:val="both"/>
      </w:pPr>
      <w:r>
        <w:t xml:space="preserve">2019 SCC </w:t>
      </w:r>
      <w:r w:rsidRPr="002C4633">
        <w:t>53</w:t>
      </w:r>
    </w:p>
    <w:p w:rsidR="00EB3B81" w:rsidRDefault="00EB3B81" w:rsidP="00EB3B81">
      <w:pPr>
        <w:spacing w:after="720"/>
        <w:jc w:val="both"/>
      </w:pPr>
      <w:r>
        <w:t>File No.: 38297</w:t>
      </w:r>
      <w:r w:rsidRPr="001426A9">
        <w:t>.</w:t>
      </w:r>
    </w:p>
    <w:p w:rsidR="00EB3B81" w:rsidRDefault="00EB3B81" w:rsidP="00EB3B81">
      <w:pPr>
        <w:spacing w:after="720"/>
        <w:jc w:val="both"/>
      </w:pPr>
      <w:r w:rsidRPr="006F4680">
        <w:t>2019: November 13.</w:t>
      </w:r>
    </w:p>
    <w:p w:rsidR="00EB3B81" w:rsidRDefault="00EB3B81" w:rsidP="00EB3B81">
      <w:pPr>
        <w:spacing w:after="720"/>
        <w:jc w:val="both"/>
      </w:pPr>
      <w:r>
        <w:t>Present: Wagner C.J. and Abella, Moldaver, Karakatsanis, Côté, Brown, Rowe, Martin and Kasirer JJ.</w:t>
      </w:r>
    </w:p>
    <w:p w:rsidR="00EB3B81" w:rsidRPr="001426A9" w:rsidRDefault="00EB3B81" w:rsidP="00EB3B81">
      <w:pPr>
        <w:pStyle w:val="SCCLowerCourtNameLowercase"/>
        <w:spacing w:after="720" w:line="240" w:lineRule="auto"/>
      </w:pPr>
      <w:r w:rsidRPr="006F4680">
        <w:t xml:space="preserve">on appeal from the court of appeal for quebec </w:t>
      </w:r>
    </w:p>
    <w:p w:rsidR="00EB3B81" w:rsidRPr="001B177D" w:rsidRDefault="00EB3B81" w:rsidP="00EB3B81">
      <w:pPr>
        <w:pStyle w:val="SCCNormalDoubleSpacing"/>
        <w:rPr>
          <w:i/>
        </w:rPr>
      </w:pPr>
      <w:r w:rsidRPr="001864BD">
        <w:rPr>
          <w:lang w:val="en-US"/>
        </w:rPr>
        <w:lastRenderedPageBreak/>
        <w:tab/>
      </w:r>
      <w:r w:rsidRPr="001B177D">
        <w:rPr>
          <w:i/>
        </w:rPr>
        <w:t>Civil procedure — Class actions — Authorization to institute class action — Appeals — Leave to appeal — Application for authorization to institute class action to compensate all Quebec residents for environmental consequences of failure of automobile manufacturers to comply with environmental standards — Application for authorization granted by Superior Court with respect to claim for punitive damages, but not to claim for compensatory damages — Court of Appeal denying leave to appeal — Court of Appeal not erring in exercising its discretion.</w:t>
      </w:r>
    </w:p>
    <w:p w:rsidR="00EB3B81" w:rsidRDefault="00EB3B81" w:rsidP="00EB3B81">
      <w:pPr>
        <w:pStyle w:val="SCCNormalDoubleSpacing"/>
      </w:pPr>
    </w:p>
    <w:p w:rsidR="00EB3B81" w:rsidRDefault="00EB3B81" w:rsidP="00EB3B81">
      <w:pPr>
        <w:pStyle w:val="SCCNormalDoubleSpacing"/>
      </w:pPr>
      <w:r w:rsidRPr="001426A9">
        <w:tab/>
        <w:t xml:space="preserve">APPEAL from a judgment of the </w:t>
      </w:r>
      <w:r>
        <w:t>Quebec Court of Appeal (</w:t>
      </w:r>
      <w:r w:rsidRPr="00E96CCB">
        <w:t>Bélanger</w:t>
      </w:r>
      <w:r>
        <w:t xml:space="preserve"> J.A.) </w:t>
      </w:r>
      <w:r w:rsidRPr="00E96CCB">
        <w:t>2018 QCCA 1034</w:t>
      </w:r>
      <w:r>
        <w:t>,</w:t>
      </w:r>
      <w:r w:rsidRPr="00501828">
        <w:t xml:space="preserve"> 18 C.E.L.R. (4th) 107, </w:t>
      </w:r>
      <w:r w:rsidRPr="000D030A">
        <w:t>[2018]</w:t>
      </w:r>
      <w:r>
        <w:t xml:space="preserve"> </w:t>
      </w:r>
      <w:r w:rsidRPr="00501828">
        <w:t>AZ-51504875, [2018] J.Q. n</w:t>
      </w:r>
      <w:r w:rsidRPr="006F4680">
        <w:rPr>
          <w:vertAlign w:val="superscript"/>
        </w:rPr>
        <w:t>o</w:t>
      </w:r>
      <w:r>
        <w:t> </w:t>
      </w:r>
      <w:r w:rsidRPr="00501828">
        <w:t>5422</w:t>
      </w:r>
      <w:r>
        <w:t xml:space="preserve"> (QL)</w:t>
      </w:r>
      <w:r w:rsidRPr="00501828">
        <w:t>, 2018 CarswellQue 5117 (WL Can.)</w:t>
      </w:r>
      <w:r>
        <w:t xml:space="preserve">, denying leave to appeal </w:t>
      </w:r>
      <w:r w:rsidRPr="006D4909">
        <w:t>a decision of Dumais </w:t>
      </w:r>
      <w:r w:rsidRPr="006D4909">
        <w:rPr>
          <w:lang w:val="en-GB"/>
        </w:rPr>
        <w:t xml:space="preserve">J., </w:t>
      </w:r>
      <w:r w:rsidRPr="006D4909">
        <w:t>2018</w:t>
      </w:r>
      <w:r w:rsidRPr="00AB45A8">
        <w:t xml:space="preserve"> QCCS 174, 15 C.E.L.R. (4th) 187,</w:t>
      </w:r>
      <w:r w:rsidRPr="00AB45A8" w:rsidDel="003336AF">
        <w:t xml:space="preserve"> </w:t>
      </w:r>
      <w:r w:rsidRPr="00AB45A8">
        <w:t>[2018] AZ-51461688</w:t>
      </w:r>
      <w:r w:rsidRPr="00AB45A8" w:rsidDel="003336AF">
        <w:t>,</w:t>
      </w:r>
      <w:r w:rsidRPr="00AB45A8">
        <w:rPr>
          <w:b/>
          <w:bCs/>
        </w:rPr>
        <w:t xml:space="preserve"> </w:t>
      </w:r>
      <w:r w:rsidRPr="00AB45A8">
        <w:rPr>
          <w:bCs/>
        </w:rPr>
        <w:t>[2018] J.Q. n</w:t>
      </w:r>
      <w:r w:rsidRPr="006F4680">
        <w:rPr>
          <w:bCs/>
          <w:vertAlign w:val="superscript"/>
        </w:rPr>
        <w:t>o</w:t>
      </w:r>
      <w:r>
        <w:rPr>
          <w:bCs/>
          <w:vertAlign w:val="superscript"/>
        </w:rPr>
        <w:t> </w:t>
      </w:r>
      <w:r w:rsidRPr="00AB45A8">
        <w:rPr>
          <w:bCs/>
        </w:rPr>
        <w:t>294</w:t>
      </w:r>
      <w:r w:rsidRPr="00AB45A8" w:rsidDel="003336AF">
        <w:t xml:space="preserve"> </w:t>
      </w:r>
      <w:r w:rsidRPr="00AB45A8">
        <w:t>(QL), 2018 CarswellQue 426 (WL Can.).</w:t>
      </w:r>
      <w:r>
        <w:t xml:space="preserve"> </w:t>
      </w:r>
      <w:r w:rsidRPr="002531EE">
        <w:t xml:space="preserve">Appeal </w:t>
      </w:r>
      <w:r>
        <w:t>dismissed, Moldaver, Côté, Brown and Rowe JJ. dissenting.</w:t>
      </w:r>
    </w:p>
    <w:p w:rsidR="00EB3B81" w:rsidRDefault="00EB3B81" w:rsidP="00EB3B81">
      <w:pPr>
        <w:pStyle w:val="SCCNormalDoubleSpacing"/>
      </w:pPr>
    </w:p>
    <w:p w:rsidR="00EB3B81" w:rsidRDefault="00EB3B81" w:rsidP="00EB3B81">
      <w:pPr>
        <w:pStyle w:val="SCCNormalDoubleSpacing"/>
      </w:pPr>
      <w:r>
        <w:rPr>
          <w:rStyle w:val="SCCCounselNameChar"/>
        </w:rPr>
        <w:tab/>
        <w:t>Guy Pratte</w:t>
      </w:r>
      <w:r>
        <w:rPr>
          <w:rStyle w:val="SCCCounselSeparatorChar"/>
        </w:rPr>
        <w:t xml:space="preserve"> and </w:t>
      </w:r>
      <w:r>
        <w:rPr>
          <w:rStyle w:val="SCCCounselNameChar"/>
        </w:rPr>
        <w:t>Stéphane Pitre</w:t>
      </w:r>
      <w:r w:rsidRPr="00681917">
        <w:rPr>
          <w:rStyle w:val="SCCCounselNameChar"/>
        </w:rPr>
        <w:t>,</w:t>
      </w:r>
      <w:r>
        <w:rPr>
          <w:rStyle w:val="SCCCounselNameChar"/>
        </w:rPr>
        <w:t xml:space="preserve"> </w:t>
      </w:r>
      <w:r>
        <w:rPr>
          <w:rStyle w:val="SCCCounselPartyRoleChar"/>
        </w:rPr>
        <w:t>for the appellants.</w:t>
      </w:r>
    </w:p>
    <w:p w:rsidR="00EB3B81" w:rsidRDefault="00EB3B81" w:rsidP="00EB3B81">
      <w:pPr>
        <w:pStyle w:val="SCCNormalDoubleSpacing"/>
      </w:pPr>
    </w:p>
    <w:p w:rsidR="00EB3B81" w:rsidRDefault="00EB3B81" w:rsidP="00EB3B81">
      <w:pPr>
        <w:pStyle w:val="SCCNormalDoubleSpacing"/>
      </w:pPr>
      <w:r>
        <w:rPr>
          <w:rStyle w:val="SCCCounselNameChar"/>
        </w:rPr>
        <w:tab/>
        <w:t>Stéphane Pagé</w:t>
      </w:r>
      <w:r>
        <w:rPr>
          <w:rStyle w:val="SCCCounselSeparatorChar"/>
        </w:rPr>
        <w:t xml:space="preserve">, </w:t>
      </w:r>
      <w:r>
        <w:rPr>
          <w:rStyle w:val="SCCCounselNameChar"/>
        </w:rPr>
        <w:t>Éric Bouchard</w:t>
      </w:r>
      <w:r>
        <w:rPr>
          <w:rStyle w:val="SCCCounselSeparatorChar"/>
        </w:rPr>
        <w:t xml:space="preserve"> and </w:t>
      </w:r>
      <w:r>
        <w:rPr>
          <w:rStyle w:val="SCCCounselNameChar"/>
        </w:rPr>
        <w:t>Dominique Neuman</w:t>
      </w:r>
      <w:r>
        <w:rPr>
          <w:rStyle w:val="SCCCounselPartyRoleChar"/>
        </w:rPr>
        <w:t>, for the respondents.</w:t>
      </w:r>
    </w:p>
    <w:p w:rsidR="00EB3B81" w:rsidRDefault="00EB3B81" w:rsidP="00EB3B81">
      <w:pPr>
        <w:pStyle w:val="SCCNormalDoubleSpacing"/>
      </w:pPr>
    </w:p>
    <w:p w:rsidR="00EB3B81" w:rsidRDefault="00EB3B81" w:rsidP="00EB3B81">
      <w:pPr>
        <w:pStyle w:val="SCCNormalDoubleSpacing"/>
      </w:pPr>
      <w:r>
        <w:rPr>
          <w:rStyle w:val="SCCCounselNameChar"/>
        </w:rPr>
        <w:tab/>
      </w:r>
      <w:r w:rsidRPr="00D20E40">
        <w:rPr>
          <w:rStyle w:val="SCCCounselNameChar"/>
        </w:rPr>
        <w:t>Bruce W. Johnston</w:t>
      </w:r>
      <w:r w:rsidRPr="00D20E40">
        <w:rPr>
          <w:rStyle w:val="SCCCounselSeparatorChar"/>
        </w:rPr>
        <w:t xml:space="preserve"> and </w:t>
      </w:r>
      <w:r w:rsidRPr="00D20E40">
        <w:rPr>
          <w:rStyle w:val="SCCCounselNameChar"/>
        </w:rPr>
        <w:t>Anne-Julie Asselin</w:t>
      </w:r>
      <w:r w:rsidRPr="000B420A">
        <w:rPr>
          <w:rStyle w:val="SCCCounselNameChar"/>
        </w:rPr>
        <w:t>,</w:t>
      </w:r>
      <w:r w:rsidRPr="000B420A">
        <w:rPr>
          <w:rStyle w:val="SCCCounselSeparatorChar"/>
        </w:rPr>
        <w:t xml:space="preserve"> </w:t>
      </w:r>
      <w:r w:rsidRPr="00D20E40">
        <w:rPr>
          <w:rStyle w:val="SCCCounselPartyRoleChar"/>
        </w:rPr>
        <w:t>for the intervener</w:t>
      </w:r>
      <w:r>
        <w:rPr>
          <w:rStyle w:val="SCCCounselPartyRoleChar"/>
        </w:rPr>
        <w:t>s.</w:t>
      </w:r>
    </w:p>
    <w:p w:rsidR="00EB3B81" w:rsidRPr="00D20E40" w:rsidRDefault="00EB3B81" w:rsidP="00EB3B81">
      <w:pPr>
        <w:pStyle w:val="SCCNormalDoubleSpacing"/>
      </w:pPr>
    </w:p>
    <w:p w:rsidR="00EB3B81" w:rsidRDefault="00EB3B81" w:rsidP="00EB3B81">
      <w:pPr>
        <w:pStyle w:val="SCCNormalDoubleSpacing"/>
      </w:pPr>
      <w:r w:rsidRPr="001426A9">
        <w:tab/>
      </w:r>
      <w:r w:rsidRPr="00173A02">
        <w:t>English version of the judgment of the Court delivered orally by</w:t>
      </w:r>
      <w:r w:rsidRPr="00D1798D">
        <w:t xml:space="preserve"> </w:t>
      </w:r>
    </w:p>
    <w:p w:rsidR="00EB3B81" w:rsidRPr="00181E96" w:rsidRDefault="00EB3B81" w:rsidP="00EB3B81">
      <w:pPr>
        <w:pStyle w:val="ParaNoNdepar-AltN"/>
        <w:numPr>
          <w:ilvl w:val="0"/>
          <w:numId w:val="2"/>
        </w:numPr>
        <w:rPr>
          <w:smallCaps w:val="0"/>
          <w:lang w:val="en-CA"/>
        </w:rPr>
      </w:pPr>
      <w:r w:rsidRPr="00681917">
        <w:rPr>
          <w:lang w:val="en-CA"/>
        </w:rPr>
        <w:t>The Chief Justice</w:t>
      </w:r>
      <w:r w:rsidRPr="00181E96">
        <w:rPr>
          <w:smallCaps w:val="0"/>
          <w:lang w:val="en-CA"/>
        </w:rPr>
        <w:t xml:space="preserve"> — A majority of the Court finds that the Court of Appeal judge did not err in exercising her discretion, and the appeal is therefore dismissed with costs.</w:t>
      </w:r>
    </w:p>
    <w:p w:rsidR="00EB3B81" w:rsidRPr="00181E96" w:rsidRDefault="00EB3B81" w:rsidP="00EB3B81">
      <w:pPr>
        <w:pStyle w:val="ParaNoNdepar-AltN"/>
        <w:numPr>
          <w:ilvl w:val="0"/>
          <w:numId w:val="2"/>
        </w:numPr>
        <w:rPr>
          <w:smallCaps w:val="0"/>
          <w:lang w:val="en"/>
        </w:rPr>
      </w:pPr>
      <w:r w:rsidRPr="00181E96">
        <w:rPr>
          <w:smallCaps w:val="0"/>
          <w:lang w:val="en"/>
        </w:rPr>
        <w:lastRenderedPageBreak/>
        <w:t>Justices Moldaver, Brown and Rowe would have allowed the appeal on the basis that the Court of Appeal judge should have granted leave to appeal on the question of law raised by the appellants. They would have remanded the case to the Court of Appeal for a decision on the merits.</w:t>
      </w:r>
    </w:p>
    <w:p w:rsidR="00EB3B81" w:rsidRPr="00681917" w:rsidRDefault="00EB3B81" w:rsidP="00EB3B81">
      <w:pPr>
        <w:pStyle w:val="ParaNoNdepar-AltN"/>
        <w:numPr>
          <w:ilvl w:val="0"/>
          <w:numId w:val="2"/>
        </w:numPr>
        <w:rPr>
          <w:lang w:val="en-CA"/>
        </w:rPr>
      </w:pPr>
      <w:r w:rsidRPr="002269EC">
        <w:rPr>
          <w:lang w:val="en-CA"/>
        </w:rPr>
        <w:t>J</w:t>
      </w:r>
      <w:r w:rsidRPr="00181E96">
        <w:rPr>
          <w:smallCaps w:val="0"/>
          <w:lang w:val="en-CA"/>
        </w:rPr>
        <w:t>ustice</w:t>
      </w:r>
      <w:r w:rsidRPr="002269EC">
        <w:rPr>
          <w:lang w:val="en-CA"/>
        </w:rPr>
        <w:t xml:space="preserve"> C</w:t>
      </w:r>
      <w:r w:rsidRPr="00181E96">
        <w:rPr>
          <w:smallCaps w:val="0"/>
          <w:lang w:val="en-CA"/>
        </w:rPr>
        <w:t>ôté would have allowed the appeal with costs</w:t>
      </w:r>
      <w:r w:rsidRPr="002269EC">
        <w:rPr>
          <w:lang w:val="en-CA"/>
        </w:rPr>
        <w:t>.</w:t>
      </w:r>
    </w:p>
    <w:p w:rsidR="00EB3B81" w:rsidRPr="00EA3E0F" w:rsidRDefault="00EB3B81" w:rsidP="00EB3B81">
      <w:pPr>
        <w:pStyle w:val="SCCNormalDoubleSpacing"/>
        <w:rPr>
          <w:lang w:val="en-US"/>
        </w:rPr>
      </w:pPr>
      <w:r>
        <w:rPr>
          <w:i/>
        </w:rPr>
        <w:tab/>
        <w:t>Judg</w:t>
      </w:r>
      <w:r w:rsidRPr="00DC7CAF">
        <w:rPr>
          <w:i/>
        </w:rPr>
        <w:t>ment accordingly</w:t>
      </w:r>
      <w:r w:rsidRPr="00EA3E0F">
        <w:t>.</w:t>
      </w:r>
    </w:p>
    <w:p w:rsidR="00EB3B81" w:rsidRPr="001426A9" w:rsidRDefault="00EB3B81" w:rsidP="00EB3B81">
      <w:pPr>
        <w:pStyle w:val="SCCNormalDoubleSpacing"/>
      </w:pPr>
    </w:p>
    <w:p w:rsidR="00EB3B81" w:rsidRDefault="00EB3B81" w:rsidP="00EB3B81">
      <w:pPr>
        <w:pStyle w:val="SCCLawFirm"/>
      </w:pPr>
      <w:r>
        <w:tab/>
      </w:r>
      <w:r w:rsidRPr="00301441">
        <w:t>Solicitors for the appella</w:t>
      </w:r>
      <w:r>
        <w:t>nts: Borden Ladner Gervais, Montr</w:t>
      </w:r>
      <w:r w:rsidRPr="002646AE">
        <w:t>é</w:t>
      </w:r>
      <w:r w:rsidRPr="00301441">
        <w:t>al</w:t>
      </w:r>
      <w:r w:rsidRPr="00EA3E0F">
        <w:rPr>
          <w:i w:val="0"/>
        </w:rPr>
        <w:t>.</w:t>
      </w:r>
    </w:p>
    <w:p w:rsidR="00EB3B81" w:rsidRDefault="00EB3B81" w:rsidP="00EB3B81">
      <w:pPr>
        <w:pStyle w:val="SCCLawFirm"/>
      </w:pPr>
    </w:p>
    <w:p w:rsidR="00EB3B81" w:rsidRPr="005F6CE9" w:rsidRDefault="00EB3B81" w:rsidP="00EB3B81">
      <w:pPr>
        <w:pStyle w:val="SCCLawFirm"/>
      </w:pPr>
      <w:r>
        <w:tab/>
      </w:r>
      <w:r w:rsidRPr="005F6CE9">
        <w:t>Solicitors for the respondents: Bouchard+Avocats inc., Québec; Dominique Neuman avocat, Montréal</w:t>
      </w:r>
      <w:r w:rsidRPr="005F6CE9">
        <w:rPr>
          <w:i w:val="0"/>
        </w:rPr>
        <w:t>.</w:t>
      </w:r>
    </w:p>
    <w:p w:rsidR="00EB3B81" w:rsidRPr="005F6CE9" w:rsidRDefault="00EB3B81" w:rsidP="00EB3B81">
      <w:pPr>
        <w:pStyle w:val="SCCLawFirm"/>
      </w:pPr>
    </w:p>
    <w:p w:rsidR="00EB3B81" w:rsidRPr="002A2661" w:rsidRDefault="00EB3B81" w:rsidP="00EB3B81">
      <w:pPr>
        <w:pStyle w:val="SCCLawFirm"/>
      </w:pPr>
      <w:r w:rsidRPr="005F6CE9">
        <w:tab/>
      </w:r>
      <w:r>
        <w:t>Solicitors for the interveners: Trudel Johnston &amp; Lespérance, Montréal</w:t>
      </w:r>
      <w:r w:rsidRPr="00EA3E0F">
        <w:rPr>
          <w:i w:val="0"/>
        </w:rPr>
        <w:t>.</w:t>
      </w:r>
    </w:p>
    <w:p w:rsidR="00447EA7" w:rsidRPr="00EB3B81" w:rsidRDefault="00447EA7" w:rsidP="00EB3B81"/>
    <w:sectPr w:rsidR="00447EA7" w:rsidRPr="00EB3B81"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04" w:rsidRDefault="00EF1704" w:rsidP="00F72014">
      <w:r>
        <w:separator/>
      </w:r>
    </w:p>
  </w:endnote>
  <w:endnote w:type="continuationSeparator" w:id="0">
    <w:p w:rsidR="00EF1704" w:rsidRDefault="00EF170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04" w:rsidRDefault="00EF1704" w:rsidP="00F72014">
      <w:r>
        <w:separator/>
      </w:r>
    </w:p>
  </w:footnote>
  <w:footnote w:type="continuationSeparator" w:id="0">
    <w:p w:rsidR="00EF1704" w:rsidRDefault="00EF1704"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E2CE06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6404"/>
    <w:rsid w:val="000B5EAC"/>
    <w:rsid w:val="00127BA2"/>
    <w:rsid w:val="001311DA"/>
    <w:rsid w:val="001412E4"/>
    <w:rsid w:val="001648D4"/>
    <w:rsid w:val="001B0985"/>
    <w:rsid w:val="001D6B8C"/>
    <w:rsid w:val="001F1F83"/>
    <w:rsid w:val="00205C5C"/>
    <w:rsid w:val="00205C5D"/>
    <w:rsid w:val="00252460"/>
    <w:rsid w:val="00273D07"/>
    <w:rsid w:val="0028675F"/>
    <w:rsid w:val="002C5A33"/>
    <w:rsid w:val="002D4FC9"/>
    <w:rsid w:val="00302349"/>
    <w:rsid w:val="00355967"/>
    <w:rsid w:val="00384384"/>
    <w:rsid w:val="003B2BE1"/>
    <w:rsid w:val="003B3C63"/>
    <w:rsid w:val="0044341F"/>
    <w:rsid w:val="00447EA7"/>
    <w:rsid w:val="00460AFC"/>
    <w:rsid w:val="004E69EC"/>
    <w:rsid w:val="004F090E"/>
    <w:rsid w:val="00520A5B"/>
    <w:rsid w:val="00540106"/>
    <w:rsid w:val="00582136"/>
    <w:rsid w:val="005D4801"/>
    <w:rsid w:val="006B210C"/>
    <w:rsid w:val="00701ABD"/>
    <w:rsid w:val="007740CA"/>
    <w:rsid w:val="00815561"/>
    <w:rsid w:val="00842677"/>
    <w:rsid w:val="00852D4E"/>
    <w:rsid w:val="008807C2"/>
    <w:rsid w:val="00880B14"/>
    <w:rsid w:val="008B3D57"/>
    <w:rsid w:val="00904937"/>
    <w:rsid w:val="0093524C"/>
    <w:rsid w:val="00996510"/>
    <w:rsid w:val="0099776C"/>
    <w:rsid w:val="009E1B85"/>
    <w:rsid w:val="00A15427"/>
    <w:rsid w:val="00A51D10"/>
    <w:rsid w:val="00AB2201"/>
    <w:rsid w:val="00AE5BF1"/>
    <w:rsid w:val="00BD4217"/>
    <w:rsid w:val="00C003E6"/>
    <w:rsid w:val="00CB19CA"/>
    <w:rsid w:val="00CE17A0"/>
    <w:rsid w:val="00D030DA"/>
    <w:rsid w:val="00D76BDF"/>
    <w:rsid w:val="00DF15D7"/>
    <w:rsid w:val="00E22DBA"/>
    <w:rsid w:val="00E356C7"/>
    <w:rsid w:val="00E5364D"/>
    <w:rsid w:val="00E64FA7"/>
    <w:rsid w:val="00E770CB"/>
    <w:rsid w:val="00EB3B81"/>
    <w:rsid w:val="00EF0E44"/>
    <w:rsid w:val="00EF1704"/>
    <w:rsid w:val="00F36AF0"/>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semiHidden/>
    <w:unhideWhenUsed/>
    <w:rsid w:val="00F72014"/>
    <w:pPr>
      <w:tabs>
        <w:tab w:val="center" w:pos="4680"/>
        <w:tab w:val="right" w:pos="9360"/>
      </w:tabs>
    </w:pPr>
  </w:style>
  <w:style w:type="character" w:customStyle="1" w:styleId="HeaderChar">
    <w:name w:val="Header Char"/>
    <w:basedOn w:val="DefaultParagraphFont"/>
    <w:link w:val="Header"/>
    <w:uiPriority w:val="99"/>
    <w:semiHidden/>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NormalDoubleSpacing">
    <w:name w:val="SCC.Normal.DoubleSpacing"/>
    <w:basedOn w:val="Normal"/>
    <w:link w:val="SCCNormalDoubleSpacingChar"/>
    <w:rsid w:val="00EB3B81"/>
    <w:pPr>
      <w:tabs>
        <w:tab w:val="left" w:pos="1168"/>
      </w:tabs>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EB3B81"/>
    <w:rPr>
      <w:rFonts w:eastAsia="Times New Roman" w:cs="Times New Roman"/>
      <w:szCs w:val="20"/>
      <w:lang w:val="en-CA" w:eastAsia="en-CA"/>
    </w:rPr>
  </w:style>
  <w:style w:type="paragraph" w:customStyle="1" w:styleId="SCCAppellantForIndex">
    <w:name w:val="SCC.AppellantForIndex"/>
    <w:basedOn w:val="Normal"/>
    <w:next w:val="Normal"/>
    <w:link w:val="SCCAppellantForIndexChar"/>
    <w:rsid w:val="00EB3B81"/>
    <w:rPr>
      <w:rFonts w:eastAsia="Times New Roman" w:cs="Times New Roman"/>
      <w:b/>
      <w:szCs w:val="20"/>
      <w:lang w:eastAsia="en-CA"/>
    </w:rPr>
  </w:style>
  <w:style w:type="character" w:customStyle="1" w:styleId="SCCAppellantForIndexChar">
    <w:name w:val="SCC.AppellantForIndex Char"/>
    <w:basedOn w:val="DefaultParagraphFont"/>
    <w:link w:val="SCCAppellantForIndex"/>
    <w:rsid w:val="00EB3B81"/>
    <w:rPr>
      <w:rFonts w:eastAsia="Times New Roman" w:cs="Times New Roman"/>
      <w:b/>
      <w:szCs w:val="20"/>
      <w:lang w:val="en-CA" w:eastAsia="en-CA"/>
    </w:rPr>
  </w:style>
  <w:style w:type="paragraph" w:customStyle="1" w:styleId="SCCRespondentForIndex">
    <w:name w:val="SCC.RespondentForIndex"/>
    <w:basedOn w:val="Normal"/>
    <w:next w:val="Normal"/>
    <w:link w:val="SCCRespondentForIndexChar"/>
    <w:rsid w:val="00EB3B81"/>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EB3B81"/>
    <w:rPr>
      <w:rFonts w:eastAsia="Times New Roman" w:cs="Times New Roman"/>
      <w:b/>
      <w:szCs w:val="20"/>
      <w:lang w:val="en-CA" w:eastAsia="en-CA"/>
    </w:rPr>
  </w:style>
  <w:style w:type="paragraph" w:customStyle="1" w:styleId="SCCSystemYear">
    <w:name w:val="SCC.SystemYear"/>
    <w:basedOn w:val="Normal"/>
    <w:next w:val="Normal"/>
    <w:link w:val="SCCSystemYearChar"/>
    <w:rsid w:val="00EB3B81"/>
    <w:rPr>
      <w:rFonts w:eastAsia="Times New Roman" w:cs="Times New Roman"/>
      <w:b/>
      <w:szCs w:val="20"/>
      <w:lang w:eastAsia="en-CA"/>
    </w:rPr>
  </w:style>
  <w:style w:type="character" w:customStyle="1" w:styleId="SCCSystemYearChar">
    <w:name w:val="SCC.SystemYear Char"/>
    <w:basedOn w:val="DefaultParagraphFont"/>
    <w:link w:val="SCCSystemYear"/>
    <w:rsid w:val="00EB3B81"/>
    <w:rPr>
      <w:rFonts w:eastAsia="Times New Roman" w:cs="Times New Roman"/>
      <w:b/>
      <w:szCs w:val="20"/>
      <w:lang w:val="en-CA" w:eastAsia="en-CA"/>
    </w:rPr>
  </w:style>
  <w:style w:type="paragraph" w:customStyle="1" w:styleId="SCCLowerCourtNameLowercase">
    <w:name w:val="SCC.LowerCourtNameLowercase"/>
    <w:basedOn w:val="SCCNormalDoubleSpacing"/>
    <w:next w:val="SCCNormalDoubleSpacing"/>
    <w:rsid w:val="00EB3B81"/>
    <w:rPr>
      <w:smallCaps/>
    </w:rPr>
  </w:style>
  <w:style w:type="paragraph" w:customStyle="1" w:styleId="SCCCounselName">
    <w:name w:val="SCC.CounselName"/>
    <w:basedOn w:val="SCCNormalDoubleSpacing"/>
    <w:next w:val="SCCNormalDoubleSpacing"/>
    <w:link w:val="SCCCounselNameChar"/>
    <w:rsid w:val="00EB3B81"/>
    <w:rPr>
      <w:i/>
    </w:rPr>
  </w:style>
  <w:style w:type="character" w:customStyle="1" w:styleId="SCCCounselNameChar">
    <w:name w:val="SCC.CounselName Char"/>
    <w:basedOn w:val="SCCNormalDoubleSpacingChar"/>
    <w:link w:val="SCCCounselName"/>
    <w:rsid w:val="00EB3B81"/>
    <w:rPr>
      <w:rFonts w:eastAsia="Times New Roman" w:cs="Times New Roman"/>
      <w:i/>
      <w:szCs w:val="20"/>
      <w:lang w:val="en-CA" w:eastAsia="en-CA"/>
    </w:rPr>
  </w:style>
  <w:style w:type="paragraph" w:customStyle="1" w:styleId="SCCCounselSeparator">
    <w:name w:val="SCC.CounselSeparator"/>
    <w:basedOn w:val="SCCNormalDoubleSpacing"/>
    <w:next w:val="SCCNormalDoubleSpacing"/>
    <w:link w:val="SCCCounselSeparatorChar"/>
    <w:rsid w:val="00EB3B81"/>
  </w:style>
  <w:style w:type="character" w:customStyle="1" w:styleId="SCCCounselSeparatorChar">
    <w:name w:val="SCC.CounselSeparator Char"/>
    <w:basedOn w:val="SCCNormalDoubleSpacingChar"/>
    <w:link w:val="SCCCounselSeparator"/>
    <w:rsid w:val="00EB3B81"/>
    <w:rPr>
      <w:rFonts w:eastAsia="Times New Roman" w:cs="Times New Roman"/>
      <w:szCs w:val="20"/>
      <w:lang w:val="en-CA" w:eastAsia="en-CA"/>
    </w:rPr>
  </w:style>
  <w:style w:type="paragraph" w:customStyle="1" w:styleId="SCCLawFirm">
    <w:name w:val="SCC.LawFirm"/>
    <w:basedOn w:val="SCCNormalDoubleSpacing"/>
    <w:next w:val="SCCNormalDoubleSpacing"/>
    <w:link w:val="SCCLawFirmChar"/>
    <w:rsid w:val="00EB3B81"/>
    <w:rPr>
      <w:i/>
    </w:rPr>
  </w:style>
  <w:style w:type="character" w:customStyle="1" w:styleId="SCCLawFirmChar">
    <w:name w:val="SCC.LawFirm Char"/>
    <w:basedOn w:val="SCCNormalDoubleSpacingChar"/>
    <w:link w:val="SCCLawFirm"/>
    <w:rsid w:val="00EB3B81"/>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EB3B81"/>
  </w:style>
  <w:style w:type="character" w:customStyle="1" w:styleId="SCCCounselPartyRoleChar">
    <w:name w:val="SCC.CounselPartyRole Char"/>
    <w:basedOn w:val="SCCNormalDoubleSpacingChar"/>
    <w:link w:val="SCCCounselPartyRole"/>
    <w:rsid w:val="00EB3B81"/>
    <w:rPr>
      <w:rFonts w:eastAsia="Times New Roman" w:cs="Times New Roman"/>
      <w:szCs w:val="20"/>
      <w:lang w:val="en-CA" w:eastAsia="en-CA"/>
    </w:rPr>
  </w:style>
  <w:style w:type="paragraph" w:customStyle="1" w:styleId="SCCLsocLastPartyInRole">
    <w:name w:val="SCC.Lsoc.LastPartyInRole"/>
    <w:basedOn w:val="Normal"/>
    <w:next w:val="Normal"/>
    <w:link w:val="SCCLsocLastPartyInRoleChar"/>
    <w:qFormat/>
    <w:rsid w:val="00EB3B81"/>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EB3B81"/>
    <w:rPr>
      <w:rFonts w:eastAsia="Times New Roman" w:cs="Times New Roman"/>
      <w:b/>
      <w:szCs w:val="20"/>
      <w:lang w:val="en-CA" w:eastAsia="en-CA"/>
    </w:rPr>
  </w:style>
  <w:style w:type="paragraph" w:customStyle="1" w:styleId="ParaNoNdepar-AltN">
    <w:name w:val="Para. No. / Nº de par. - Alt N"/>
    <w:qFormat/>
    <w:rsid w:val="00EB3B81"/>
    <w:pPr>
      <w:widowControl w:val="0"/>
      <w:numPr>
        <w:numId w:val="1"/>
      </w:numPr>
      <w:spacing w:before="480" w:after="480" w:line="480" w:lineRule="auto"/>
      <w:jc w:val="both"/>
    </w:pPr>
    <w:rPr>
      <w:rFonts w:eastAsia="Times New Roman" w:cs="Times New Roman"/>
      <w:smallCaps/>
      <w:lang w:val="fr-CA" w:eastAsia="en-CA"/>
    </w:rPr>
  </w:style>
  <w:style w:type="table" w:customStyle="1" w:styleId="TableGrid1">
    <w:name w:val="Table Grid1"/>
    <w:basedOn w:val="TableNormal"/>
    <w:next w:val="TableGrid"/>
    <w:uiPriority w:val="59"/>
    <w:rsid w:val="00CB19CA"/>
    <w:rPr>
      <w:rFonts w:eastAsia="Times New Roman" w:cs="Times New Roman"/>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90CB-3DC4-4029-BDF6-C4D7D217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2021-05-20T12:54:00Z</dcterms:created>
  <dcterms:modified xsi:type="dcterms:W3CDTF">2022-03-12T23:15:00Z</dcterms:modified>
</cp:coreProperties>
</file>