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C9" w:rsidRDefault="001B41C9" w:rsidP="001B41C9">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4.5pt" o:ole="">
            <v:imagedata r:id="rId8" o:title=""/>
          </v:shape>
          <o:OLEObject Type="Embed" ProgID="Presentations.Drawing.13" ShapeID="_x0000_i1025" DrawAspect="Content" ObjectID="_1737357173" r:id="rId9"/>
        </w:object>
      </w:r>
      <w:r>
        <w:t xml:space="preserve"> </w:t>
      </w:r>
      <w:r>
        <w:ptab w:relativeTo="margin" w:alignment="right" w:leader="none"/>
      </w:r>
    </w:p>
    <w:p w:rsidR="001B41C9" w:rsidRDefault="001B41C9" w:rsidP="001B41C9">
      <w:pPr>
        <w:pStyle w:val="Header"/>
      </w:pPr>
    </w:p>
    <w:p w:rsidR="001B41C9" w:rsidRPr="006B210C" w:rsidRDefault="001B41C9" w:rsidP="001B41C9">
      <w:pPr>
        <w:jc w:val="center"/>
        <w:rPr>
          <w:b/>
        </w:rPr>
      </w:pPr>
      <w:r w:rsidRPr="006B210C">
        <w:rPr>
          <w:b/>
        </w:rPr>
        <w:t>SUPREME COURT OF CANADA</w:t>
      </w:r>
    </w:p>
    <w:p w:rsidR="001B41C9" w:rsidRDefault="001B41C9" w:rsidP="001B41C9"/>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860"/>
        <w:gridCol w:w="4050"/>
      </w:tblGrid>
      <w:tr w:rsidR="001B41C9" w:rsidRPr="006B210C" w:rsidTr="002F5735">
        <w:trPr>
          <w:cantSplit/>
        </w:trPr>
        <w:tc>
          <w:tcPr>
            <w:tcW w:w="4860" w:type="dxa"/>
          </w:tcPr>
          <w:p w:rsidR="001B41C9" w:rsidRDefault="001B41C9" w:rsidP="002F5735">
            <w:pPr>
              <w:rPr>
                <w:lang w:val="fr-CA"/>
              </w:rPr>
            </w:pPr>
            <w:r w:rsidRPr="00FE120C">
              <w:rPr>
                <w:b/>
                <w:smallCaps/>
                <w:lang w:val="fr-CA"/>
              </w:rPr>
              <w:t>Citation:</w:t>
            </w:r>
            <w:r w:rsidRPr="00FE120C">
              <w:rPr>
                <w:lang w:val="fr-CA"/>
              </w:rPr>
              <w:t xml:space="preserve"> 9354-9186 Qu</w:t>
            </w:r>
            <w:r>
              <w:rPr>
                <w:lang w:val="fr-CA"/>
              </w:rPr>
              <w:t xml:space="preserve">ébec </w:t>
            </w:r>
            <w:proofErr w:type="spellStart"/>
            <w:r>
              <w:rPr>
                <w:lang w:val="fr-CA"/>
              </w:rPr>
              <w:t>inc.</w:t>
            </w:r>
            <w:proofErr w:type="spellEnd"/>
            <w:r>
              <w:rPr>
                <w:lang w:val="fr-CA"/>
              </w:rPr>
              <w:t xml:space="preserve"> </w:t>
            </w:r>
            <w:r w:rsidRPr="00FE120C">
              <w:rPr>
                <w:i/>
                <w:lang w:val="fr-CA"/>
              </w:rPr>
              <w:t>v.</w:t>
            </w:r>
            <w:r>
              <w:rPr>
                <w:lang w:val="fr-CA"/>
              </w:rPr>
              <w:t xml:space="preserve"> </w:t>
            </w:r>
          </w:p>
          <w:p w:rsidR="001B41C9" w:rsidRPr="00FE120C" w:rsidRDefault="001B41C9" w:rsidP="002F5735">
            <w:pPr>
              <w:rPr>
                <w:lang w:val="fr-CA"/>
              </w:rPr>
            </w:pPr>
            <w:proofErr w:type="spellStart"/>
            <w:r>
              <w:rPr>
                <w:lang w:val="fr-CA"/>
              </w:rPr>
              <w:t>Callidus</w:t>
            </w:r>
            <w:proofErr w:type="spellEnd"/>
            <w:r>
              <w:rPr>
                <w:lang w:val="fr-CA"/>
              </w:rPr>
              <w:t xml:space="preserve"> Capital Corp., 2020 </w:t>
            </w:r>
            <w:proofErr w:type="spellStart"/>
            <w:r w:rsidRPr="007431B9">
              <w:rPr>
                <w:lang w:val="fr-CA"/>
              </w:rPr>
              <w:t>SCC</w:t>
            </w:r>
            <w:proofErr w:type="spellEnd"/>
            <w:r w:rsidRPr="007431B9">
              <w:rPr>
                <w:lang w:val="fr-CA"/>
              </w:rPr>
              <w:t xml:space="preserve"> 10</w:t>
            </w:r>
            <w:r>
              <w:rPr>
                <w:lang w:val="fr-CA"/>
              </w:rPr>
              <w:t>,</w:t>
            </w:r>
            <w:r w:rsidR="00FF69D0">
              <w:rPr>
                <w:lang w:val="fr-CA"/>
              </w:rPr>
              <w:t xml:space="preserve"> [2020] 1 </w:t>
            </w:r>
            <w:proofErr w:type="spellStart"/>
            <w:r w:rsidR="00FF69D0">
              <w:rPr>
                <w:lang w:val="fr-CA"/>
              </w:rPr>
              <w:t>S.C.R</w:t>
            </w:r>
            <w:proofErr w:type="spellEnd"/>
            <w:r w:rsidR="00FF69D0">
              <w:rPr>
                <w:lang w:val="fr-CA"/>
              </w:rPr>
              <w:t>. 521</w:t>
            </w:r>
          </w:p>
        </w:tc>
        <w:tc>
          <w:tcPr>
            <w:tcW w:w="4050" w:type="dxa"/>
          </w:tcPr>
          <w:p w:rsidR="001B41C9" w:rsidRPr="000C044E" w:rsidRDefault="001B41C9" w:rsidP="002F5735">
            <w:r w:rsidRPr="00766DBF">
              <w:rPr>
                <w:b/>
                <w:smallCaps/>
              </w:rPr>
              <w:t>Appeals Heard and Judgment Rendered:</w:t>
            </w:r>
            <w:r w:rsidRPr="000C044E">
              <w:t xml:space="preserve"> January 23, 2020</w:t>
            </w:r>
          </w:p>
          <w:p w:rsidR="001B41C9" w:rsidRPr="000C044E" w:rsidRDefault="001B41C9" w:rsidP="002F5735">
            <w:r w:rsidRPr="00067045">
              <w:rPr>
                <w:b/>
                <w:smallCaps/>
              </w:rPr>
              <w:t xml:space="preserve">Reasons for Judgment: </w:t>
            </w:r>
            <w:r w:rsidRPr="00067045">
              <w:t>May</w:t>
            </w:r>
            <w:r w:rsidRPr="000C044E">
              <w:t xml:space="preserve"> 8, 2020</w:t>
            </w:r>
          </w:p>
          <w:p w:rsidR="001B41C9" w:rsidRPr="006B210C" w:rsidRDefault="001B41C9" w:rsidP="002F5735">
            <w:r w:rsidRPr="000C044E">
              <w:rPr>
                <w:b/>
                <w:smallCaps/>
              </w:rPr>
              <w:t>Docket:</w:t>
            </w:r>
            <w:r w:rsidRPr="000C044E">
              <w:t xml:space="preserve"> 38594</w:t>
            </w:r>
          </w:p>
        </w:tc>
      </w:tr>
    </w:tbl>
    <w:p w:rsidR="001B41C9" w:rsidRPr="006B210C" w:rsidRDefault="001B41C9" w:rsidP="001B41C9"/>
    <w:p w:rsidR="001B41C9" w:rsidRDefault="001B41C9" w:rsidP="001B41C9">
      <w:pPr>
        <w:pStyle w:val="SCCLsocPrefix"/>
        <w:rPr>
          <w:lang w:val="en-US"/>
        </w:rPr>
      </w:pPr>
      <w:r w:rsidRPr="005D1640">
        <w:rPr>
          <w:lang w:val="en-US"/>
        </w:rPr>
        <w:t>Between:</w:t>
      </w:r>
    </w:p>
    <w:p w:rsidR="001B41C9" w:rsidRPr="00AD746F" w:rsidRDefault="001B41C9" w:rsidP="001B41C9">
      <w:pPr>
        <w:rPr>
          <w:lang w:val="en-US"/>
        </w:rPr>
      </w:pPr>
    </w:p>
    <w:p w:rsidR="001B41C9" w:rsidRPr="00766DBF" w:rsidRDefault="001B41C9" w:rsidP="001B41C9">
      <w:pPr>
        <w:pStyle w:val="SCCLsocParty"/>
        <w:jc w:val="center"/>
        <w:rPr>
          <w:lang w:val="en-US"/>
        </w:rPr>
      </w:pPr>
      <w:r w:rsidRPr="00766DBF">
        <w:rPr>
          <w:lang w:val="en-US"/>
        </w:rPr>
        <w:t xml:space="preserve">9354-9186 Québec </w:t>
      </w:r>
      <w:proofErr w:type="spellStart"/>
      <w:r w:rsidRPr="00766DBF">
        <w:rPr>
          <w:lang w:val="en-US"/>
        </w:rPr>
        <w:t>inc.</w:t>
      </w:r>
      <w:proofErr w:type="spellEnd"/>
      <w:r w:rsidRPr="00766DBF">
        <w:rPr>
          <w:lang w:val="en-US"/>
        </w:rPr>
        <w:t xml:space="preserve"> and 9354-9178 Québec </w:t>
      </w:r>
      <w:proofErr w:type="spellStart"/>
      <w:proofErr w:type="gramStart"/>
      <w:r w:rsidRPr="00766DBF">
        <w:rPr>
          <w:lang w:val="en-US"/>
        </w:rPr>
        <w:t>inc</w:t>
      </w:r>
      <w:proofErr w:type="gramEnd"/>
      <w:r w:rsidRPr="00766DBF">
        <w:rPr>
          <w:lang w:val="en-US"/>
        </w:rPr>
        <w:t>.</w:t>
      </w:r>
      <w:proofErr w:type="spellEnd"/>
    </w:p>
    <w:p w:rsidR="001B41C9" w:rsidRPr="00B10377" w:rsidRDefault="001B41C9" w:rsidP="001B41C9">
      <w:pPr>
        <w:jc w:val="center"/>
        <w:rPr>
          <w:lang w:val="fr-CA"/>
        </w:rPr>
      </w:pPr>
      <w:proofErr w:type="spellStart"/>
      <w:r w:rsidRPr="00B10377">
        <w:rPr>
          <w:lang w:val="fr-CA"/>
        </w:rPr>
        <w:t>Appellants</w:t>
      </w:r>
      <w:proofErr w:type="spellEnd"/>
    </w:p>
    <w:p w:rsidR="001B41C9" w:rsidRPr="00B10377" w:rsidRDefault="001B41C9" w:rsidP="001B41C9">
      <w:pPr>
        <w:rPr>
          <w:lang w:val="fr-CA"/>
        </w:rPr>
      </w:pPr>
    </w:p>
    <w:p w:rsidR="001B41C9" w:rsidRPr="001B41C9" w:rsidRDefault="001B41C9" w:rsidP="001B41C9">
      <w:pPr>
        <w:pStyle w:val="SCCLsocVersus"/>
        <w:spacing w:after="0"/>
        <w:jc w:val="center"/>
        <w:rPr>
          <w:i w:val="0"/>
          <w:lang w:val="fr-CA"/>
        </w:rPr>
      </w:pPr>
      <w:proofErr w:type="gramStart"/>
      <w:r w:rsidRPr="001B41C9">
        <w:rPr>
          <w:i w:val="0"/>
          <w:lang w:val="fr-CA"/>
        </w:rPr>
        <w:t>and</w:t>
      </w:r>
      <w:proofErr w:type="gramEnd"/>
    </w:p>
    <w:p w:rsidR="001B41C9" w:rsidRPr="00B10377" w:rsidRDefault="001B41C9" w:rsidP="001B41C9">
      <w:pPr>
        <w:rPr>
          <w:lang w:val="fr-CA"/>
        </w:rPr>
      </w:pPr>
    </w:p>
    <w:p w:rsidR="001B41C9" w:rsidRDefault="001B41C9" w:rsidP="001B41C9">
      <w:pPr>
        <w:pStyle w:val="SCCLsocParty"/>
        <w:jc w:val="center"/>
        <w:rPr>
          <w:lang w:val="fr-CA"/>
        </w:rPr>
      </w:pPr>
      <w:proofErr w:type="spellStart"/>
      <w:r w:rsidRPr="00F60BFB">
        <w:rPr>
          <w:lang w:val="fr-CA"/>
        </w:rPr>
        <w:t>Callidus</w:t>
      </w:r>
      <w:proofErr w:type="spellEnd"/>
      <w:r w:rsidRPr="00F60BFB">
        <w:rPr>
          <w:lang w:val="fr-CA"/>
        </w:rPr>
        <w:t xml:space="preserve"> Capital Corp</w:t>
      </w:r>
      <w:r>
        <w:rPr>
          <w:lang w:val="fr-CA"/>
        </w:rPr>
        <w:t>oration</w:t>
      </w:r>
      <w:r w:rsidRPr="00F60BFB">
        <w:rPr>
          <w:lang w:val="fr-CA"/>
        </w:rPr>
        <w:t xml:space="preserve">, International Game </w:t>
      </w:r>
      <w:proofErr w:type="spellStart"/>
      <w:r w:rsidRPr="00F60BFB">
        <w:rPr>
          <w:lang w:val="fr-CA"/>
        </w:rPr>
        <w:t>Technology</w:t>
      </w:r>
      <w:proofErr w:type="spellEnd"/>
      <w:r w:rsidRPr="00F60BFB">
        <w:rPr>
          <w:lang w:val="fr-CA"/>
        </w:rPr>
        <w:t xml:space="preserve">, Deloitte </w:t>
      </w:r>
      <w:proofErr w:type="spellStart"/>
      <w:r>
        <w:rPr>
          <w:lang w:val="fr-CA"/>
        </w:rPr>
        <w:t>LLP</w:t>
      </w:r>
      <w:proofErr w:type="spellEnd"/>
      <w:r w:rsidRPr="00F60BFB">
        <w:rPr>
          <w:lang w:val="fr-CA"/>
        </w:rPr>
        <w:t>,</w:t>
      </w:r>
    </w:p>
    <w:p w:rsidR="001B41C9" w:rsidRPr="00F60BFB" w:rsidRDefault="001B41C9" w:rsidP="001B41C9">
      <w:pPr>
        <w:pStyle w:val="SCCLsocParty"/>
        <w:jc w:val="center"/>
        <w:rPr>
          <w:lang w:val="fr-CA"/>
        </w:rPr>
      </w:pPr>
      <w:r w:rsidRPr="00F60BFB">
        <w:rPr>
          <w:lang w:val="fr-CA"/>
        </w:rPr>
        <w:t xml:space="preserve">Luc Carignan, François Vigneault, Philippe </w:t>
      </w:r>
      <w:proofErr w:type="spellStart"/>
      <w:r w:rsidRPr="00F60BFB">
        <w:rPr>
          <w:lang w:val="fr-CA"/>
        </w:rPr>
        <w:t>Millette</w:t>
      </w:r>
      <w:proofErr w:type="spellEnd"/>
      <w:r w:rsidRPr="00F60BFB">
        <w:rPr>
          <w:lang w:val="fr-CA"/>
        </w:rPr>
        <w:t xml:space="preserve">, </w:t>
      </w:r>
      <w:r>
        <w:rPr>
          <w:lang w:val="fr-CA"/>
        </w:rPr>
        <w:t>Francis Proulx and</w:t>
      </w:r>
      <w:r w:rsidRPr="00F60BFB">
        <w:rPr>
          <w:lang w:val="fr-CA"/>
        </w:rPr>
        <w:t xml:space="preserve"> François Pelletier</w:t>
      </w:r>
    </w:p>
    <w:p w:rsidR="001B41C9" w:rsidRDefault="001B41C9" w:rsidP="001B41C9">
      <w:pPr>
        <w:jc w:val="center"/>
        <w:rPr>
          <w:lang w:val="en-US"/>
        </w:rPr>
      </w:pPr>
      <w:r w:rsidRPr="00B10377">
        <w:rPr>
          <w:lang w:val="en-US"/>
        </w:rPr>
        <w:t>Respondents</w:t>
      </w:r>
    </w:p>
    <w:p w:rsidR="001B41C9" w:rsidRPr="00B54403" w:rsidRDefault="001B41C9" w:rsidP="001B41C9">
      <w:pPr>
        <w:rPr>
          <w:lang w:val="en-US"/>
        </w:rPr>
      </w:pPr>
    </w:p>
    <w:p w:rsidR="001B41C9" w:rsidRDefault="001B41C9" w:rsidP="001B41C9">
      <w:pPr>
        <w:jc w:val="center"/>
      </w:pPr>
      <w:r>
        <w:t xml:space="preserve">- </w:t>
      </w:r>
      <w:proofErr w:type="gramStart"/>
      <w:r>
        <w:t>and</w:t>
      </w:r>
      <w:proofErr w:type="gramEnd"/>
      <w:r>
        <w:t xml:space="preserve"> -</w:t>
      </w:r>
    </w:p>
    <w:p w:rsidR="001B41C9" w:rsidRPr="00B54403" w:rsidRDefault="001B41C9" w:rsidP="001B41C9"/>
    <w:p w:rsidR="001B41C9" w:rsidRPr="00BF3DD1" w:rsidRDefault="001B41C9" w:rsidP="001B41C9">
      <w:pPr>
        <w:jc w:val="center"/>
        <w:rPr>
          <w:b/>
          <w:bCs/>
          <w:lang w:val="en-US"/>
        </w:rPr>
      </w:pPr>
      <w:r w:rsidRPr="002F72F8">
        <w:rPr>
          <w:b/>
        </w:rPr>
        <w:t>Ernst &amp; Young Inc., IMF Bentham Limited</w:t>
      </w:r>
      <w:r>
        <w:rPr>
          <w:b/>
        </w:rPr>
        <w:t xml:space="preserve"> </w:t>
      </w:r>
      <w:r w:rsidRPr="00BF3DD1">
        <w:rPr>
          <w:b/>
          <w:bCs/>
          <w:lang w:val="en-US"/>
        </w:rPr>
        <w:t>(now known as Omni Bridgeway Limited)</w:t>
      </w:r>
      <w:r w:rsidRPr="002F72F8">
        <w:rPr>
          <w:b/>
        </w:rPr>
        <w:t>,</w:t>
      </w:r>
    </w:p>
    <w:p w:rsidR="001B41C9" w:rsidRDefault="001B41C9" w:rsidP="001B41C9">
      <w:pPr>
        <w:jc w:val="center"/>
        <w:rPr>
          <w:b/>
        </w:rPr>
      </w:pPr>
      <w:r w:rsidRPr="002F72F8">
        <w:rPr>
          <w:b/>
        </w:rPr>
        <w:t>Bentham IMF Capital Limited</w:t>
      </w:r>
      <w:r>
        <w:rPr>
          <w:b/>
        </w:rPr>
        <w:t xml:space="preserve"> </w:t>
      </w:r>
      <w:r w:rsidRPr="00BF3DD1">
        <w:rPr>
          <w:b/>
        </w:rPr>
        <w:t>(now known as Omni Bridgeway Capital (Canada) Limited)</w:t>
      </w:r>
      <w:r w:rsidRPr="002F72F8">
        <w:rPr>
          <w:b/>
        </w:rPr>
        <w:t>, Insolvency Institute of Canada and</w:t>
      </w:r>
    </w:p>
    <w:p w:rsidR="001B41C9" w:rsidRPr="002F72F8" w:rsidRDefault="001B41C9" w:rsidP="001B41C9">
      <w:pPr>
        <w:jc w:val="center"/>
        <w:rPr>
          <w:b/>
        </w:rPr>
      </w:pPr>
      <w:r w:rsidRPr="002F72F8">
        <w:rPr>
          <w:b/>
        </w:rPr>
        <w:t>Canadian Association of Insolvency and Restructuring Professionals</w:t>
      </w:r>
    </w:p>
    <w:p w:rsidR="001B41C9" w:rsidRDefault="001B41C9" w:rsidP="001B41C9">
      <w:pPr>
        <w:jc w:val="center"/>
      </w:pPr>
      <w:r>
        <w:t>Interveners</w:t>
      </w:r>
    </w:p>
    <w:p w:rsidR="001B41C9" w:rsidRDefault="001B41C9" w:rsidP="001B41C9">
      <w:pPr>
        <w:pStyle w:val="SCCLsocSubfileSeparator"/>
        <w:spacing w:after="0"/>
        <w:rPr>
          <w:lang w:val="en-US"/>
        </w:rPr>
      </w:pPr>
    </w:p>
    <w:p w:rsidR="001B41C9" w:rsidRPr="007B067B" w:rsidRDefault="001B41C9" w:rsidP="001B41C9">
      <w:pPr>
        <w:pStyle w:val="SCCLsocSubfileSeparator"/>
        <w:spacing w:after="0"/>
        <w:rPr>
          <w:b/>
          <w:smallCaps/>
          <w:lang w:val="en-US"/>
        </w:rPr>
      </w:pPr>
      <w:r w:rsidRPr="007B067B">
        <w:rPr>
          <w:b/>
          <w:smallCaps/>
          <w:lang w:val="en-US"/>
        </w:rPr>
        <w:t>And Between:</w:t>
      </w:r>
    </w:p>
    <w:p w:rsidR="001B41C9" w:rsidRPr="00AD746F" w:rsidRDefault="001B41C9" w:rsidP="001B41C9">
      <w:pPr>
        <w:rPr>
          <w:lang w:val="en-US"/>
        </w:rPr>
      </w:pPr>
    </w:p>
    <w:p w:rsidR="001B41C9" w:rsidRDefault="001B41C9" w:rsidP="001B41C9">
      <w:pPr>
        <w:pStyle w:val="SCCLsocParty"/>
        <w:jc w:val="center"/>
      </w:pPr>
      <w:r>
        <w:t xml:space="preserve">IMF Bentham Limited </w:t>
      </w:r>
      <w:r w:rsidRPr="0099702F">
        <w:t>(now known as Omni Bridgeway Limited)</w:t>
      </w:r>
      <w:r>
        <w:t xml:space="preserve"> and Bentham IMF Capital Limited </w:t>
      </w:r>
      <w:r w:rsidRPr="0099702F">
        <w:rPr>
          <w:bCs/>
        </w:rPr>
        <w:t>(now known as Omni Bridgeway Capital (Canada) Limited)</w:t>
      </w:r>
    </w:p>
    <w:p w:rsidR="001B41C9" w:rsidRDefault="001B41C9" w:rsidP="001B41C9">
      <w:pPr>
        <w:jc w:val="center"/>
        <w:rPr>
          <w:lang w:val="fr-CA"/>
        </w:rPr>
      </w:pPr>
      <w:proofErr w:type="spellStart"/>
      <w:r w:rsidRPr="00B10377">
        <w:rPr>
          <w:lang w:val="fr-CA"/>
        </w:rPr>
        <w:t>Appellant</w:t>
      </w:r>
      <w:r>
        <w:rPr>
          <w:lang w:val="fr-CA"/>
        </w:rPr>
        <w:t>s</w:t>
      </w:r>
      <w:proofErr w:type="spellEnd"/>
    </w:p>
    <w:p w:rsidR="001B41C9" w:rsidRPr="00B54403" w:rsidRDefault="001B41C9" w:rsidP="001B41C9">
      <w:pPr>
        <w:rPr>
          <w:lang w:val="fr-CA"/>
        </w:rPr>
      </w:pPr>
    </w:p>
    <w:p w:rsidR="001B41C9" w:rsidRDefault="001B41C9" w:rsidP="001B41C9">
      <w:pPr>
        <w:jc w:val="center"/>
        <w:rPr>
          <w:lang w:val="fr-CA"/>
        </w:rPr>
      </w:pPr>
      <w:proofErr w:type="gramStart"/>
      <w:r w:rsidRPr="00AD746F">
        <w:rPr>
          <w:lang w:val="fr-CA"/>
        </w:rPr>
        <w:t>and</w:t>
      </w:r>
      <w:proofErr w:type="gramEnd"/>
    </w:p>
    <w:p w:rsidR="001B41C9" w:rsidRPr="00B54403" w:rsidRDefault="001B41C9" w:rsidP="001B41C9">
      <w:pPr>
        <w:rPr>
          <w:lang w:val="fr-CA"/>
        </w:rPr>
      </w:pPr>
    </w:p>
    <w:p w:rsidR="001B41C9" w:rsidRDefault="001B41C9" w:rsidP="001B41C9">
      <w:pPr>
        <w:pStyle w:val="SCCLsocParty"/>
        <w:jc w:val="center"/>
        <w:rPr>
          <w:lang w:val="fr-CA"/>
        </w:rPr>
      </w:pPr>
      <w:proofErr w:type="spellStart"/>
      <w:r w:rsidRPr="00B10377">
        <w:rPr>
          <w:lang w:val="fr-CA"/>
        </w:rPr>
        <w:t>Callidus</w:t>
      </w:r>
      <w:proofErr w:type="spellEnd"/>
      <w:r w:rsidRPr="00B10377">
        <w:rPr>
          <w:lang w:val="fr-CA"/>
        </w:rPr>
        <w:t xml:space="preserve"> Capital Corp</w:t>
      </w:r>
      <w:r>
        <w:rPr>
          <w:lang w:val="fr-CA"/>
        </w:rPr>
        <w:t>oration</w:t>
      </w:r>
      <w:r w:rsidRPr="00B10377">
        <w:rPr>
          <w:lang w:val="fr-CA"/>
        </w:rPr>
        <w:t xml:space="preserve">, International Game </w:t>
      </w:r>
      <w:proofErr w:type="spellStart"/>
      <w:r w:rsidRPr="00B10377">
        <w:rPr>
          <w:lang w:val="fr-CA"/>
        </w:rPr>
        <w:t>Technology</w:t>
      </w:r>
      <w:proofErr w:type="spellEnd"/>
      <w:r w:rsidRPr="00B10377">
        <w:rPr>
          <w:lang w:val="fr-CA"/>
        </w:rPr>
        <w:t>, Deloitte</w:t>
      </w:r>
      <w:r>
        <w:rPr>
          <w:lang w:val="fr-CA"/>
        </w:rPr>
        <w:t xml:space="preserve"> </w:t>
      </w:r>
      <w:proofErr w:type="spellStart"/>
      <w:r>
        <w:rPr>
          <w:lang w:val="fr-CA"/>
        </w:rPr>
        <w:t>LLP</w:t>
      </w:r>
      <w:proofErr w:type="spellEnd"/>
      <w:r w:rsidRPr="00B10377">
        <w:rPr>
          <w:lang w:val="fr-CA"/>
        </w:rPr>
        <w:t>,</w:t>
      </w:r>
    </w:p>
    <w:p w:rsidR="001B41C9" w:rsidRPr="00B10377" w:rsidRDefault="001B41C9" w:rsidP="001B41C9">
      <w:pPr>
        <w:pStyle w:val="SCCLsocParty"/>
        <w:jc w:val="center"/>
        <w:rPr>
          <w:lang w:val="fr-CA"/>
        </w:rPr>
      </w:pPr>
      <w:r w:rsidRPr="00B10377">
        <w:rPr>
          <w:lang w:val="fr-CA"/>
        </w:rPr>
        <w:t xml:space="preserve">Luc Carignan, François Vigneault, Philippe </w:t>
      </w:r>
      <w:proofErr w:type="spellStart"/>
      <w:r>
        <w:rPr>
          <w:lang w:val="fr-CA"/>
        </w:rPr>
        <w:t>Millette</w:t>
      </w:r>
      <w:proofErr w:type="spellEnd"/>
      <w:r>
        <w:rPr>
          <w:lang w:val="fr-CA"/>
        </w:rPr>
        <w:t xml:space="preserve">, Francis Proulx and </w:t>
      </w:r>
      <w:r w:rsidRPr="00B10377">
        <w:rPr>
          <w:lang w:val="fr-CA"/>
        </w:rPr>
        <w:t>François Pelletier</w:t>
      </w:r>
    </w:p>
    <w:p w:rsidR="001B41C9" w:rsidRDefault="001B41C9" w:rsidP="001B41C9">
      <w:pPr>
        <w:jc w:val="center"/>
      </w:pPr>
      <w:r>
        <w:lastRenderedPageBreak/>
        <w:t>Respondents</w:t>
      </w:r>
    </w:p>
    <w:p w:rsidR="001B41C9" w:rsidRPr="00B54403" w:rsidRDefault="001B41C9" w:rsidP="001B41C9"/>
    <w:p w:rsidR="001B41C9" w:rsidRDefault="001B41C9" w:rsidP="001B41C9">
      <w:pPr>
        <w:jc w:val="center"/>
      </w:pPr>
      <w:r>
        <w:t xml:space="preserve">- </w:t>
      </w:r>
      <w:proofErr w:type="gramStart"/>
      <w:r>
        <w:t>and</w:t>
      </w:r>
      <w:proofErr w:type="gramEnd"/>
      <w:r>
        <w:t xml:space="preserve"> -</w:t>
      </w:r>
    </w:p>
    <w:p w:rsidR="001B41C9" w:rsidRPr="00B54403" w:rsidRDefault="001B41C9" w:rsidP="001B41C9"/>
    <w:p w:rsidR="001B41C9" w:rsidRPr="00B54403" w:rsidRDefault="001B41C9" w:rsidP="001B41C9">
      <w:pPr>
        <w:pStyle w:val="SCCLsocParty"/>
        <w:jc w:val="center"/>
        <w:rPr>
          <w:b w:val="0"/>
          <w:lang w:val="en-US"/>
        </w:rPr>
      </w:pPr>
      <w:r w:rsidRPr="002F72F8">
        <w:t xml:space="preserve">Ernst &amp; Young Inc., </w:t>
      </w:r>
      <w:r w:rsidRPr="005D1640">
        <w:rPr>
          <w:lang w:val="en-US"/>
        </w:rPr>
        <w:t xml:space="preserve">9354-9186 Québec </w:t>
      </w:r>
      <w:proofErr w:type="spellStart"/>
      <w:r w:rsidRPr="005D1640">
        <w:rPr>
          <w:lang w:val="en-US"/>
        </w:rPr>
        <w:t>inc.</w:t>
      </w:r>
      <w:proofErr w:type="spellEnd"/>
      <w:r>
        <w:rPr>
          <w:lang w:val="en-US"/>
        </w:rPr>
        <w:t xml:space="preserve">, </w:t>
      </w:r>
      <w:r w:rsidRPr="005D1640">
        <w:rPr>
          <w:lang w:val="en-US"/>
        </w:rPr>
        <w:t xml:space="preserve">9354-9178 Québec </w:t>
      </w:r>
      <w:proofErr w:type="spellStart"/>
      <w:r w:rsidRPr="005D1640">
        <w:rPr>
          <w:lang w:val="en-US"/>
        </w:rPr>
        <w:t>inc</w:t>
      </w:r>
      <w:proofErr w:type="gramStart"/>
      <w:r w:rsidRPr="005D1640">
        <w:rPr>
          <w:lang w:val="en-US"/>
        </w:rPr>
        <w:t>.</w:t>
      </w:r>
      <w:proofErr w:type="spellEnd"/>
      <w:r>
        <w:rPr>
          <w:lang w:val="en-US"/>
        </w:rPr>
        <w:t>,</w:t>
      </w:r>
      <w:proofErr w:type="gramEnd"/>
    </w:p>
    <w:p w:rsidR="001B41C9" w:rsidRDefault="001B41C9" w:rsidP="001B41C9">
      <w:pPr>
        <w:jc w:val="center"/>
        <w:rPr>
          <w:b/>
        </w:rPr>
      </w:pPr>
      <w:r w:rsidRPr="002F72F8">
        <w:rPr>
          <w:b/>
        </w:rPr>
        <w:t>Insolvency Institute of Canada and</w:t>
      </w:r>
    </w:p>
    <w:p w:rsidR="001B41C9" w:rsidRPr="002F72F8" w:rsidRDefault="001B41C9" w:rsidP="001B41C9">
      <w:pPr>
        <w:jc w:val="center"/>
        <w:rPr>
          <w:b/>
        </w:rPr>
      </w:pPr>
      <w:r w:rsidRPr="002F72F8">
        <w:rPr>
          <w:b/>
        </w:rPr>
        <w:t>Canadian Association of Insolvency and Restructuring Professionals</w:t>
      </w:r>
    </w:p>
    <w:p w:rsidR="001B41C9" w:rsidRDefault="001B41C9" w:rsidP="001B41C9">
      <w:pPr>
        <w:jc w:val="center"/>
      </w:pPr>
      <w:r>
        <w:t>Interveners</w:t>
      </w:r>
    </w:p>
    <w:p w:rsidR="001B41C9" w:rsidRDefault="001B41C9" w:rsidP="001B41C9"/>
    <w:p w:rsidR="001B41C9" w:rsidRPr="006B210C" w:rsidRDefault="001B41C9" w:rsidP="001B41C9"/>
    <w:p w:rsidR="001B41C9" w:rsidRPr="006B210C" w:rsidRDefault="001B41C9" w:rsidP="001B41C9">
      <w:r w:rsidRPr="006B210C">
        <w:rPr>
          <w:b/>
          <w:smallCaps/>
        </w:rPr>
        <w:t>Coram</w:t>
      </w:r>
      <w:r>
        <w:rPr>
          <w:b/>
          <w:smallCaps/>
        </w:rPr>
        <w:t>:</w:t>
      </w:r>
      <w:r w:rsidRPr="006B210C">
        <w:t xml:space="preserve"> </w:t>
      </w:r>
      <w:r>
        <w:t>Wagner </w:t>
      </w:r>
      <w:proofErr w:type="spellStart"/>
      <w:r>
        <w:t>C.J</w:t>
      </w:r>
      <w:proofErr w:type="spellEnd"/>
      <w:r>
        <w:t xml:space="preserve">. and </w:t>
      </w:r>
      <w:proofErr w:type="spellStart"/>
      <w:r>
        <w:t>Abella</w:t>
      </w:r>
      <w:proofErr w:type="spellEnd"/>
      <w:r>
        <w:t xml:space="preserve">, </w:t>
      </w:r>
      <w:proofErr w:type="spellStart"/>
      <w:r>
        <w:t>Moldaver</w:t>
      </w:r>
      <w:proofErr w:type="spellEnd"/>
      <w:r>
        <w:t xml:space="preserve">, </w:t>
      </w:r>
      <w:proofErr w:type="spellStart"/>
      <w:r>
        <w:t>Karakatsanis</w:t>
      </w:r>
      <w:proofErr w:type="spellEnd"/>
      <w:r>
        <w:t xml:space="preserve">, Côté, Rowe and </w:t>
      </w:r>
      <w:proofErr w:type="spellStart"/>
      <w:r>
        <w:t>Kasirer</w:t>
      </w:r>
      <w:proofErr w:type="spellEnd"/>
      <w:r>
        <w:t> </w:t>
      </w:r>
      <w:proofErr w:type="spellStart"/>
      <w:r>
        <w:t>JJ</w:t>
      </w:r>
      <w:proofErr w:type="spellEnd"/>
      <w:r>
        <w:t>.</w:t>
      </w:r>
    </w:p>
    <w:p w:rsidR="001B41C9" w:rsidRPr="006B210C" w:rsidRDefault="001B41C9" w:rsidP="001B41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1B41C9" w:rsidRPr="006B210C" w:rsidTr="002F5735">
        <w:trPr>
          <w:cantSplit/>
        </w:trPr>
        <w:tc>
          <w:tcPr>
            <w:tcW w:w="3618" w:type="dxa"/>
          </w:tcPr>
          <w:p w:rsidR="001B41C9" w:rsidRDefault="001B41C9" w:rsidP="002F5735">
            <w:pPr>
              <w:rPr>
                <w:b/>
                <w:smallCaps/>
              </w:rPr>
            </w:pPr>
            <w:r>
              <w:rPr>
                <w:b/>
                <w:smallCaps/>
              </w:rPr>
              <w:t>Joint Reasons for Judgment:</w:t>
            </w:r>
          </w:p>
          <w:p w:rsidR="001B41C9" w:rsidRPr="008C0503" w:rsidRDefault="001B41C9" w:rsidP="002F5735">
            <w:r w:rsidRPr="008C0503">
              <w:rPr>
                <w:smallCaps/>
              </w:rPr>
              <w:t>(</w:t>
            </w:r>
            <w:r w:rsidRPr="000B7876">
              <w:t xml:space="preserve">paras. </w:t>
            </w:r>
            <w:r>
              <w:t>1 to 117</w:t>
            </w:r>
            <w:r w:rsidRPr="000B7876">
              <w:rPr>
                <w:smallCaps/>
              </w:rPr>
              <w:t>)</w:t>
            </w:r>
          </w:p>
        </w:tc>
        <w:tc>
          <w:tcPr>
            <w:tcW w:w="5958" w:type="dxa"/>
          </w:tcPr>
          <w:p w:rsidR="001B41C9" w:rsidRPr="006B210C" w:rsidRDefault="001B41C9" w:rsidP="002F5735">
            <w:r>
              <w:t>Wagner </w:t>
            </w:r>
            <w:proofErr w:type="spellStart"/>
            <w:r>
              <w:t>C.J</w:t>
            </w:r>
            <w:proofErr w:type="spellEnd"/>
            <w:r>
              <w:t xml:space="preserve">. and </w:t>
            </w:r>
            <w:proofErr w:type="spellStart"/>
            <w:r>
              <w:t>Moldaver</w:t>
            </w:r>
            <w:proofErr w:type="spellEnd"/>
            <w:r>
              <w:t xml:space="preserve"> J. (</w:t>
            </w:r>
            <w:proofErr w:type="spellStart"/>
            <w:r>
              <w:t>Abella</w:t>
            </w:r>
            <w:proofErr w:type="spellEnd"/>
            <w:r>
              <w:t xml:space="preserve">, </w:t>
            </w:r>
            <w:proofErr w:type="spellStart"/>
            <w:r>
              <w:t>Karakatsanis</w:t>
            </w:r>
            <w:proofErr w:type="spellEnd"/>
            <w:r>
              <w:t xml:space="preserve">, Côté, Rowe and </w:t>
            </w:r>
            <w:proofErr w:type="spellStart"/>
            <w:r>
              <w:t>Kasirer</w:t>
            </w:r>
            <w:proofErr w:type="spellEnd"/>
            <w:r>
              <w:t> </w:t>
            </w:r>
            <w:proofErr w:type="spellStart"/>
            <w:r>
              <w:t>JJ</w:t>
            </w:r>
            <w:proofErr w:type="spellEnd"/>
            <w:r>
              <w:t>. concurring)</w:t>
            </w:r>
          </w:p>
          <w:p w:rsidR="001B41C9" w:rsidRPr="006B210C" w:rsidRDefault="001B41C9" w:rsidP="002F5735"/>
        </w:tc>
      </w:tr>
    </w:tbl>
    <w:p w:rsidR="001B41C9" w:rsidRDefault="001B41C9" w:rsidP="001B41C9"/>
    <w:p w:rsidR="001B41C9" w:rsidRPr="006B210C" w:rsidRDefault="001B41C9" w:rsidP="001B41C9">
      <w:r>
        <w:rPr>
          <w:noProof/>
          <w:lang w:val="fr-CA" w:eastAsia="fr-CA"/>
        </w:rPr>
        <mc:AlternateContent>
          <mc:Choice Requires="wps">
            <w:drawing>
              <wp:anchor distT="0" distB="0" distL="114300" distR="114300" simplePos="0" relativeHeight="251659264" behindDoc="0" locked="0" layoutInCell="1" allowOverlap="1" wp14:anchorId="64C2CAA5" wp14:editId="1FE4FA6E">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071E3"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1B41C9" w:rsidRDefault="001B41C9" w:rsidP="00A46BE5">
      <w:pPr>
        <w:spacing w:after="720"/>
        <w:jc w:val="both"/>
        <w:rPr>
          <w:rStyle w:val="SCCAppellantForRunningHeadChar"/>
        </w:rPr>
      </w:pPr>
      <w:r>
        <w:rPr>
          <w:rStyle w:val="SCCAppellantForRunningHeadChar"/>
        </w:rPr>
        <w:br w:type="page"/>
      </w:r>
    </w:p>
    <w:p w:rsidR="00261E19" w:rsidRPr="007B067B" w:rsidRDefault="00371065">
      <w:pPr>
        <w:pStyle w:val="SCCLsocParty"/>
        <w:rPr>
          <w:lang w:val="fr-CA"/>
        </w:rPr>
      </w:pPr>
      <w:r w:rsidRPr="007B067B">
        <w:rPr>
          <w:lang w:val="fr-CA"/>
        </w:rPr>
        <w:lastRenderedPageBreak/>
        <w:t xml:space="preserve">9354-9186 Québec </w:t>
      </w:r>
      <w:proofErr w:type="spellStart"/>
      <w:r w:rsidRPr="007B067B">
        <w:rPr>
          <w:lang w:val="fr-CA"/>
        </w:rPr>
        <w:t>inc.</w:t>
      </w:r>
      <w:proofErr w:type="spellEnd"/>
      <w:r w:rsidR="000B337B" w:rsidRPr="007B067B">
        <w:rPr>
          <w:lang w:val="fr-CA"/>
        </w:rPr>
        <w:t xml:space="preserve"> and</w:t>
      </w:r>
    </w:p>
    <w:p w:rsidR="00261E19" w:rsidRPr="001B41C9" w:rsidRDefault="00065661" w:rsidP="00A46BE5">
      <w:pPr>
        <w:pStyle w:val="SCCLsocLastPartyInRole"/>
      </w:pPr>
      <w:r w:rsidRPr="007B067B">
        <w:rPr>
          <w:lang w:val="fr-CA"/>
        </w:rPr>
        <w:t xml:space="preserve">9354-9178 Québec </w:t>
      </w:r>
      <w:proofErr w:type="spellStart"/>
      <w:r w:rsidRPr="007B067B">
        <w:rPr>
          <w:lang w:val="fr-CA"/>
        </w:rPr>
        <w:t>inc.</w:t>
      </w:r>
      <w:proofErr w:type="spellEnd"/>
      <w:r w:rsidRPr="007B067B">
        <w:rPr>
          <w:rStyle w:val="SCCLsocPartyRole"/>
          <w:lang w:val="fr-CA"/>
        </w:rPr>
        <w:tab/>
      </w:r>
      <w:r w:rsidRPr="001B41C9">
        <w:rPr>
          <w:rStyle w:val="SCCLsocPartyRole"/>
        </w:rPr>
        <w:t>Appellants</w:t>
      </w:r>
    </w:p>
    <w:p w:rsidR="00261E19" w:rsidRPr="007B067B" w:rsidRDefault="00065661" w:rsidP="00A46BE5">
      <w:pPr>
        <w:pStyle w:val="SCCLsocVersus"/>
        <w:rPr>
          <w:lang w:val="fr-CA"/>
        </w:rPr>
      </w:pPr>
      <w:r w:rsidRPr="007B067B">
        <w:rPr>
          <w:lang w:val="fr-CA"/>
        </w:rPr>
        <w:t>v.</w:t>
      </w:r>
    </w:p>
    <w:p w:rsidR="00261E19" w:rsidRPr="007B067B" w:rsidRDefault="00065661">
      <w:pPr>
        <w:pStyle w:val="SCCLsocParty"/>
        <w:rPr>
          <w:lang w:val="fr-CA"/>
        </w:rPr>
      </w:pPr>
      <w:proofErr w:type="spellStart"/>
      <w:r w:rsidRPr="007B067B">
        <w:rPr>
          <w:lang w:val="fr-CA"/>
        </w:rPr>
        <w:t>Callidus</w:t>
      </w:r>
      <w:proofErr w:type="spellEnd"/>
      <w:r w:rsidRPr="007B067B">
        <w:rPr>
          <w:lang w:val="fr-CA"/>
        </w:rPr>
        <w:t xml:space="preserve"> Capital Corporation,</w:t>
      </w:r>
    </w:p>
    <w:p w:rsidR="00261E19" w:rsidRPr="005E3239" w:rsidRDefault="00834C93" w:rsidP="00A46BE5">
      <w:pPr>
        <w:pStyle w:val="SCCLsocLastPartyInRole"/>
        <w:rPr>
          <w:rStyle w:val="SCCLsocPartyRole"/>
          <w:lang w:val="fr-CA"/>
        </w:rPr>
      </w:pPr>
      <w:r w:rsidRPr="007B067B">
        <w:rPr>
          <w:lang w:val="fr-CA"/>
        </w:rPr>
        <w:t xml:space="preserve">International Game </w:t>
      </w:r>
      <w:proofErr w:type="spellStart"/>
      <w:r w:rsidRPr="007B067B">
        <w:rPr>
          <w:lang w:val="fr-CA"/>
        </w:rPr>
        <w:t>Technology</w:t>
      </w:r>
      <w:proofErr w:type="spellEnd"/>
      <w:proofErr w:type="gramStart"/>
      <w:r w:rsidRPr="007B067B">
        <w:rPr>
          <w:lang w:val="fr-CA"/>
        </w:rPr>
        <w:t>,</w:t>
      </w:r>
      <w:proofErr w:type="gramEnd"/>
      <w:r w:rsidR="00465CE8" w:rsidRPr="007B067B">
        <w:rPr>
          <w:lang w:val="fr-CA"/>
        </w:rPr>
        <w:br/>
      </w:r>
      <w:r w:rsidR="00164235" w:rsidRPr="007B067B">
        <w:rPr>
          <w:lang w:val="fr-CA"/>
        </w:rPr>
        <w:t>Delo</w:t>
      </w:r>
      <w:r w:rsidR="00164235" w:rsidRPr="00B75032">
        <w:rPr>
          <w:lang w:val="fr-CA"/>
        </w:rPr>
        <w:t xml:space="preserve">itte </w:t>
      </w:r>
      <w:proofErr w:type="spellStart"/>
      <w:r w:rsidR="00164235" w:rsidRPr="00B75032">
        <w:rPr>
          <w:lang w:val="fr-CA"/>
        </w:rPr>
        <w:t>LLP</w:t>
      </w:r>
      <w:proofErr w:type="spellEnd"/>
      <w:r w:rsidR="00065661" w:rsidRPr="00B75032">
        <w:rPr>
          <w:lang w:val="fr-CA"/>
        </w:rPr>
        <w:t xml:space="preserve">, Luc Carignan, </w:t>
      </w:r>
      <w:r w:rsidRPr="00B75032">
        <w:rPr>
          <w:lang w:val="fr-CA"/>
        </w:rPr>
        <w:br/>
      </w:r>
      <w:r w:rsidR="00065661" w:rsidRPr="005E3239">
        <w:rPr>
          <w:lang w:val="fr-CA"/>
        </w:rPr>
        <w:t xml:space="preserve">François Vigneault, Philippe </w:t>
      </w:r>
      <w:proofErr w:type="spellStart"/>
      <w:r w:rsidR="00065661" w:rsidRPr="005E3239">
        <w:rPr>
          <w:lang w:val="fr-CA"/>
        </w:rPr>
        <w:t>Millette</w:t>
      </w:r>
      <w:proofErr w:type="spellEnd"/>
      <w:r w:rsidR="00065661" w:rsidRPr="005E3239">
        <w:rPr>
          <w:lang w:val="fr-CA"/>
        </w:rPr>
        <w:t xml:space="preserve">, </w:t>
      </w:r>
      <w:r w:rsidRPr="005E3239">
        <w:rPr>
          <w:lang w:val="fr-CA"/>
        </w:rPr>
        <w:br/>
      </w:r>
      <w:r w:rsidR="00371065" w:rsidRPr="005E3239">
        <w:rPr>
          <w:lang w:val="fr-CA"/>
        </w:rPr>
        <w:t>Francis Proulx</w:t>
      </w:r>
      <w:r w:rsidR="00065661" w:rsidRPr="005E3239">
        <w:rPr>
          <w:lang w:val="fr-CA"/>
        </w:rPr>
        <w:t xml:space="preserve"> </w:t>
      </w:r>
      <w:r w:rsidRPr="005E3239">
        <w:rPr>
          <w:lang w:val="fr-CA"/>
        </w:rPr>
        <w:t xml:space="preserve">and </w:t>
      </w:r>
      <w:r w:rsidR="00065661" w:rsidRPr="005E3239">
        <w:rPr>
          <w:lang w:val="fr-CA"/>
        </w:rPr>
        <w:t>François Pelletier</w:t>
      </w:r>
      <w:r w:rsidR="00065661" w:rsidRPr="005E3239">
        <w:rPr>
          <w:rStyle w:val="SCCLsocPartyRole"/>
          <w:lang w:val="fr-CA"/>
        </w:rPr>
        <w:tab/>
      </w:r>
      <w:proofErr w:type="spellStart"/>
      <w:r w:rsidR="00065661" w:rsidRPr="005E3239">
        <w:rPr>
          <w:rStyle w:val="SCCLsocPartyRole"/>
          <w:lang w:val="fr-CA"/>
        </w:rPr>
        <w:t>Respondents</w:t>
      </w:r>
      <w:proofErr w:type="spellEnd"/>
    </w:p>
    <w:p w:rsidR="00164235" w:rsidRPr="005E3239" w:rsidRDefault="00164235" w:rsidP="00A46BE5">
      <w:pPr>
        <w:pStyle w:val="SCCLsocOtherPartySeparator"/>
      </w:pPr>
      <w:proofErr w:type="gramStart"/>
      <w:r w:rsidRPr="005E3239">
        <w:t>and</w:t>
      </w:r>
      <w:proofErr w:type="gramEnd"/>
    </w:p>
    <w:p w:rsidR="00164235" w:rsidRPr="00E04BEF" w:rsidRDefault="00164235" w:rsidP="00164235">
      <w:pPr>
        <w:pStyle w:val="SCCLsocParty"/>
      </w:pPr>
      <w:r w:rsidRPr="00E04BEF">
        <w:t>Ernst &amp; Young Inc.,</w:t>
      </w:r>
    </w:p>
    <w:p w:rsidR="00164235" w:rsidRPr="00E04BEF" w:rsidRDefault="00164235" w:rsidP="00164235">
      <w:pPr>
        <w:pStyle w:val="SCCLsocParty"/>
        <w:rPr>
          <w:bCs/>
          <w:lang w:val="en-US"/>
        </w:rPr>
      </w:pPr>
      <w:r w:rsidRPr="00E04BEF">
        <w:t>IMF Bentham Limited</w:t>
      </w:r>
      <w:r w:rsidR="00FD319E" w:rsidRPr="00E04BEF">
        <w:t xml:space="preserve"> </w:t>
      </w:r>
      <w:r w:rsidR="00FD319E" w:rsidRPr="00E04BEF">
        <w:rPr>
          <w:bCs/>
          <w:lang w:val="en-US"/>
        </w:rPr>
        <w:t>(now known as Omni Bridgeway Limited)</w:t>
      </w:r>
      <w:r w:rsidRPr="00E04BEF">
        <w:t>,</w:t>
      </w:r>
    </w:p>
    <w:p w:rsidR="00164235" w:rsidRPr="00C5617E" w:rsidRDefault="00164235" w:rsidP="00FD319E">
      <w:pPr>
        <w:pStyle w:val="SCCLsocLastPartyInRole"/>
        <w:rPr>
          <w:rStyle w:val="SCCLsocPartyRole"/>
          <w:lang w:val="en-US"/>
        </w:rPr>
      </w:pPr>
      <w:r w:rsidRPr="00E04BEF">
        <w:t>Bentham IMF Capital Limited</w:t>
      </w:r>
      <w:r w:rsidR="00FD319E" w:rsidRPr="00E04BEF">
        <w:t xml:space="preserve"> </w:t>
      </w:r>
      <w:r w:rsidR="00FD319E" w:rsidRPr="00E04BEF">
        <w:rPr>
          <w:bCs/>
        </w:rPr>
        <w:t>(now known as Omni Bridgeway Capital (Canada) Limited)</w:t>
      </w:r>
      <w:r w:rsidR="00B75032" w:rsidRPr="00E04BEF">
        <w:t>,</w:t>
      </w:r>
      <w:r w:rsidR="00FD319E" w:rsidRPr="00E04BEF">
        <w:t xml:space="preserve"> </w:t>
      </w:r>
      <w:r w:rsidRPr="00E04BEF">
        <w:t xml:space="preserve">Insolvency Institute of Canada and </w:t>
      </w:r>
      <w:r w:rsidRPr="00E04BEF">
        <w:br/>
        <w:t>Canadian Association of Insolvency and Restructuring Professionals</w:t>
      </w:r>
      <w:r w:rsidRPr="00E04BEF">
        <w:rPr>
          <w:rStyle w:val="SCCLsocPartyRole"/>
        </w:rPr>
        <w:tab/>
      </w:r>
      <w:r w:rsidRPr="00C5617E">
        <w:rPr>
          <w:rStyle w:val="SCCLsocPartyRole"/>
          <w:lang w:val="en-US"/>
        </w:rPr>
        <w:t>Interveners</w:t>
      </w:r>
    </w:p>
    <w:p w:rsidR="00261E19" w:rsidRPr="00E04BEF" w:rsidRDefault="00065661" w:rsidP="00FD319E">
      <w:pPr>
        <w:pStyle w:val="SCCLsocLastPartyInRole"/>
        <w:rPr>
          <w:rStyle w:val="SCCLsocPartyRole"/>
          <w:i w:val="0"/>
          <w:lang w:val="en-US"/>
        </w:rPr>
      </w:pPr>
      <w:r w:rsidRPr="00E04BEF">
        <w:rPr>
          <w:rStyle w:val="SCCLsocPartyRole"/>
          <w:i w:val="0"/>
          <w:lang w:val="en-US"/>
        </w:rPr>
        <w:t xml:space="preserve">- </w:t>
      </w:r>
      <w:proofErr w:type="gramStart"/>
      <w:r w:rsidRPr="00E04BEF">
        <w:rPr>
          <w:rStyle w:val="SCCLsocPartyRole"/>
          <w:i w:val="0"/>
          <w:lang w:val="en-US"/>
        </w:rPr>
        <w:t>and</w:t>
      </w:r>
      <w:proofErr w:type="gramEnd"/>
      <w:r w:rsidRPr="00E04BEF">
        <w:rPr>
          <w:rStyle w:val="SCCLsocPartyRole"/>
          <w:i w:val="0"/>
          <w:lang w:val="en-US"/>
        </w:rPr>
        <w:t xml:space="preserve"> -</w:t>
      </w:r>
    </w:p>
    <w:p w:rsidR="00261E19" w:rsidRPr="00FD319E" w:rsidRDefault="00371065" w:rsidP="00A46BE5">
      <w:pPr>
        <w:pStyle w:val="SCCLsocLastPartyInRole"/>
        <w:rPr>
          <w:bCs/>
          <w:lang w:val="en-US"/>
        </w:rPr>
      </w:pPr>
      <w:r w:rsidRPr="00E04BEF">
        <w:rPr>
          <w:lang w:val="en-US"/>
        </w:rPr>
        <w:t>IMF Bentham Limited</w:t>
      </w:r>
      <w:r w:rsidR="00065661" w:rsidRPr="00E04BEF">
        <w:rPr>
          <w:lang w:val="en-US"/>
        </w:rPr>
        <w:t xml:space="preserve"> </w:t>
      </w:r>
      <w:r w:rsidR="00FD319E" w:rsidRPr="00E04BEF">
        <w:rPr>
          <w:bCs/>
          <w:lang w:val="en-US"/>
        </w:rPr>
        <w:t xml:space="preserve">(now known as Omni Bridgeway Limited) </w:t>
      </w:r>
      <w:r w:rsidR="000B337B" w:rsidRPr="00E04BEF">
        <w:rPr>
          <w:lang w:val="en-US"/>
        </w:rPr>
        <w:t>and</w:t>
      </w:r>
      <w:r w:rsidR="000B337B" w:rsidRPr="00E04BEF">
        <w:rPr>
          <w:lang w:val="en-US"/>
        </w:rPr>
        <w:br/>
      </w:r>
      <w:r w:rsidR="00065661" w:rsidRPr="00E04BEF">
        <w:rPr>
          <w:lang w:val="en-US"/>
        </w:rPr>
        <w:t>Bentham IMF Capital Limited</w:t>
      </w:r>
      <w:r w:rsidR="00FD319E" w:rsidRPr="00E04BEF">
        <w:rPr>
          <w:lang w:val="en-US"/>
        </w:rPr>
        <w:t xml:space="preserve"> </w:t>
      </w:r>
      <w:r w:rsidR="00FD319E" w:rsidRPr="00E04BEF">
        <w:rPr>
          <w:bCs/>
        </w:rPr>
        <w:t>(now known as Omni Bridgeway Capital (Canada) Limited)</w:t>
      </w:r>
      <w:r w:rsidR="00065661" w:rsidRPr="005E3239">
        <w:rPr>
          <w:rStyle w:val="SCCLsocPartyRole"/>
          <w:lang w:val="en-US"/>
        </w:rPr>
        <w:tab/>
        <w:t>Appellant</w:t>
      </w:r>
      <w:r w:rsidR="000B337B" w:rsidRPr="005E3239">
        <w:rPr>
          <w:rStyle w:val="SCCLsocPartyRole"/>
          <w:lang w:val="en-US"/>
        </w:rPr>
        <w:t>s</w:t>
      </w:r>
    </w:p>
    <w:p w:rsidR="00261E19" w:rsidRPr="005E3239" w:rsidRDefault="00065661" w:rsidP="00A46BE5">
      <w:pPr>
        <w:pStyle w:val="SCCLsocVersus"/>
        <w:rPr>
          <w:lang w:val="fr-CA"/>
        </w:rPr>
      </w:pPr>
      <w:r w:rsidRPr="005E3239">
        <w:rPr>
          <w:lang w:val="fr-CA"/>
        </w:rPr>
        <w:t>v.</w:t>
      </w:r>
    </w:p>
    <w:p w:rsidR="00261E19" w:rsidRPr="005E3239" w:rsidRDefault="00065661" w:rsidP="00192528">
      <w:pPr>
        <w:pStyle w:val="SCCLsocParty"/>
        <w:jc w:val="left"/>
        <w:rPr>
          <w:lang w:val="fr-CA"/>
        </w:rPr>
      </w:pPr>
      <w:proofErr w:type="spellStart"/>
      <w:r w:rsidRPr="005E3239">
        <w:rPr>
          <w:lang w:val="fr-CA"/>
        </w:rPr>
        <w:t>Callidus</w:t>
      </w:r>
      <w:proofErr w:type="spellEnd"/>
      <w:r w:rsidRPr="005E3239">
        <w:rPr>
          <w:lang w:val="fr-CA"/>
        </w:rPr>
        <w:t xml:space="preserve"> Capital Corporation,</w:t>
      </w:r>
    </w:p>
    <w:p w:rsidR="00261E19" w:rsidRPr="005E3239" w:rsidRDefault="00DB7F42" w:rsidP="008D2A18">
      <w:pPr>
        <w:pStyle w:val="SCCLsocParty"/>
        <w:spacing w:after="720"/>
        <w:jc w:val="left"/>
        <w:rPr>
          <w:lang w:val="fr-CA"/>
        </w:rPr>
      </w:pPr>
      <w:r w:rsidRPr="005E3239">
        <w:rPr>
          <w:lang w:val="fr-CA"/>
        </w:rPr>
        <w:t xml:space="preserve">International Game </w:t>
      </w:r>
      <w:proofErr w:type="spellStart"/>
      <w:r w:rsidRPr="005E3239">
        <w:rPr>
          <w:lang w:val="fr-CA"/>
        </w:rPr>
        <w:t>Technology</w:t>
      </w:r>
      <w:proofErr w:type="spellEnd"/>
      <w:proofErr w:type="gramStart"/>
      <w:r w:rsidRPr="005E3239">
        <w:rPr>
          <w:lang w:val="fr-CA"/>
        </w:rPr>
        <w:t>,</w:t>
      </w:r>
      <w:proofErr w:type="gramEnd"/>
      <w:r w:rsidR="00465CE8" w:rsidRPr="005E3239">
        <w:rPr>
          <w:lang w:val="fr-CA"/>
        </w:rPr>
        <w:br/>
      </w:r>
      <w:r w:rsidR="00164235" w:rsidRPr="005E3239">
        <w:rPr>
          <w:lang w:val="fr-CA"/>
        </w:rPr>
        <w:t xml:space="preserve">Deloitte </w:t>
      </w:r>
      <w:proofErr w:type="spellStart"/>
      <w:r w:rsidR="00164235" w:rsidRPr="005E3239">
        <w:rPr>
          <w:lang w:val="fr-CA"/>
        </w:rPr>
        <w:t>LLP</w:t>
      </w:r>
      <w:proofErr w:type="spellEnd"/>
      <w:r w:rsidR="00065661" w:rsidRPr="005E3239">
        <w:rPr>
          <w:lang w:val="fr-CA"/>
        </w:rPr>
        <w:t xml:space="preserve">, Luc Carignan, </w:t>
      </w:r>
      <w:r w:rsidR="00834C93" w:rsidRPr="005E3239">
        <w:rPr>
          <w:lang w:val="fr-CA"/>
        </w:rPr>
        <w:br/>
      </w:r>
      <w:r w:rsidR="00065661" w:rsidRPr="005E3239">
        <w:rPr>
          <w:lang w:val="fr-CA"/>
        </w:rPr>
        <w:t xml:space="preserve">François Vigneault, Philippe </w:t>
      </w:r>
      <w:proofErr w:type="spellStart"/>
      <w:r w:rsidR="00065661" w:rsidRPr="005E3239">
        <w:rPr>
          <w:lang w:val="fr-CA"/>
        </w:rPr>
        <w:t>Millette</w:t>
      </w:r>
      <w:proofErr w:type="spellEnd"/>
      <w:r w:rsidR="00065661" w:rsidRPr="005E3239">
        <w:rPr>
          <w:lang w:val="fr-CA"/>
        </w:rPr>
        <w:t xml:space="preserve">, </w:t>
      </w:r>
      <w:r w:rsidR="00834C93" w:rsidRPr="005E3239">
        <w:rPr>
          <w:lang w:val="fr-CA"/>
        </w:rPr>
        <w:br/>
      </w:r>
      <w:r w:rsidR="00371065" w:rsidRPr="005E3239">
        <w:rPr>
          <w:lang w:val="fr-CA"/>
        </w:rPr>
        <w:t>Francis Proulx</w:t>
      </w:r>
      <w:r w:rsidR="00065661" w:rsidRPr="005E3239">
        <w:rPr>
          <w:lang w:val="fr-CA"/>
        </w:rPr>
        <w:t xml:space="preserve"> </w:t>
      </w:r>
      <w:r w:rsidR="00834C93" w:rsidRPr="005E3239">
        <w:rPr>
          <w:lang w:val="fr-CA"/>
        </w:rPr>
        <w:t xml:space="preserve">and </w:t>
      </w:r>
      <w:r w:rsidR="00065661" w:rsidRPr="005E3239">
        <w:rPr>
          <w:lang w:val="fr-CA"/>
        </w:rPr>
        <w:t>François Pelletier</w:t>
      </w:r>
      <w:r w:rsidR="00065661" w:rsidRPr="005E3239">
        <w:rPr>
          <w:rStyle w:val="SCCLsocPartyRole"/>
          <w:lang w:val="fr-CA"/>
        </w:rPr>
        <w:tab/>
      </w:r>
      <w:proofErr w:type="spellStart"/>
      <w:r w:rsidR="00065661" w:rsidRPr="005E3239">
        <w:rPr>
          <w:rStyle w:val="SCCLsocPartyRole"/>
          <w:lang w:val="fr-CA"/>
        </w:rPr>
        <w:t>Respondents</w:t>
      </w:r>
      <w:proofErr w:type="spellEnd"/>
    </w:p>
    <w:p w:rsidR="00261E19" w:rsidRPr="005E3239" w:rsidRDefault="00065661" w:rsidP="00A46BE5">
      <w:pPr>
        <w:pStyle w:val="SCCLsocOtherPartySeparator"/>
      </w:pPr>
      <w:proofErr w:type="gramStart"/>
      <w:r w:rsidRPr="005E3239">
        <w:lastRenderedPageBreak/>
        <w:t>and</w:t>
      </w:r>
      <w:proofErr w:type="gramEnd"/>
    </w:p>
    <w:p w:rsidR="00261E19" w:rsidRPr="005E3239" w:rsidRDefault="00065661" w:rsidP="00BD3F33">
      <w:pPr>
        <w:pStyle w:val="SCCLsocParty"/>
        <w:jc w:val="left"/>
      </w:pPr>
      <w:r w:rsidRPr="005E3239">
        <w:t>Ernst &amp; Young Inc.,</w:t>
      </w:r>
    </w:p>
    <w:p w:rsidR="00371065" w:rsidRPr="005E3239" w:rsidRDefault="00164235" w:rsidP="00BD3F33">
      <w:pPr>
        <w:pStyle w:val="SCCLsocParty"/>
        <w:jc w:val="left"/>
      </w:pPr>
      <w:r w:rsidRPr="005E3239">
        <w:rPr>
          <w:lang w:val="en-US"/>
        </w:rPr>
        <w:t xml:space="preserve">9354-9186 Québec </w:t>
      </w:r>
      <w:proofErr w:type="spellStart"/>
      <w:r w:rsidRPr="005E3239">
        <w:rPr>
          <w:lang w:val="en-US"/>
        </w:rPr>
        <w:t>inc</w:t>
      </w:r>
      <w:proofErr w:type="gramStart"/>
      <w:r w:rsidRPr="005E3239">
        <w:rPr>
          <w:lang w:val="en-US"/>
        </w:rPr>
        <w:t>.</w:t>
      </w:r>
      <w:proofErr w:type="spellEnd"/>
      <w:r w:rsidR="00065661" w:rsidRPr="005E3239">
        <w:t>,</w:t>
      </w:r>
      <w:proofErr w:type="gramEnd"/>
    </w:p>
    <w:p w:rsidR="00BD3F33" w:rsidRPr="00BD3F33" w:rsidRDefault="00164235" w:rsidP="00BD3F33">
      <w:pPr>
        <w:pStyle w:val="SCCLsocParty"/>
        <w:jc w:val="left"/>
        <w:rPr>
          <w:lang w:val="en-US"/>
        </w:rPr>
      </w:pPr>
      <w:r w:rsidRPr="00BD3F33">
        <w:rPr>
          <w:lang w:val="en-US"/>
        </w:rPr>
        <w:t xml:space="preserve">9354-9178 Québec </w:t>
      </w:r>
      <w:proofErr w:type="spellStart"/>
      <w:r w:rsidRPr="00BD3F33">
        <w:rPr>
          <w:lang w:val="en-US"/>
        </w:rPr>
        <w:t>inc</w:t>
      </w:r>
      <w:proofErr w:type="gramStart"/>
      <w:r w:rsidRPr="00BD3F33">
        <w:rPr>
          <w:lang w:val="en-US"/>
        </w:rPr>
        <w:t>.</w:t>
      </w:r>
      <w:proofErr w:type="spellEnd"/>
      <w:r w:rsidRPr="00BD3F33">
        <w:rPr>
          <w:lang w:val="en-US"/>
        </w:rPr>
        <w:t>,</w:t>
      </w:r>
      <w:proofErr w:type="gramEnd"/>
      <w:r w:rsidRPr="00BD3F33">
        <w:rPr>
          <w:lang w:val="en-US"/>
        </w:rPr>
        <w:t xml:space="preserve"> </w:t>
      </w:r>
    </w:p>
    <w:p w:rsidR="00BD3F33" w:rsidRDefault="00065661" w:rsidP="00BD3F33">
      <w:pPr>
        <w:pStyle w:val="SCCLsocParty"/>
        <w:jc w:val="left"/>
        <w:rPr>
          <w:lang w:val="en-US"/>
        </w:rPr>
      </w:pPr>
      <w:r w:rsidRPr="00BD3F33">
        <w:rPr>
          <w:lang w:val="en-US"/>
        </w:rPr>
        <w:t xml:space="preserve">Insolvency Institute of Canada and </w:t>
      </w:r>
      <w:r w:rsidR="00371065" w:rsidRPr="00BD3F33">
        <w:rPr>
          <w:lang w:val="en-US"/>
        </w:rPr>
        <w:br/>
      </w:r>
      <w:r w:rsidRPr="00BD3F33">
        <w:rPr>
          <w:lang w:val="en-US"/>
        </w:rPr>
        <w:t>Canadian Association of Insolvency</w:t>
      </w:r>
    </w:p>
    <w:p w:rsidR="00261E19" w:rsidRDefault="00065661" w:rsidP="00BD3F33">
      <w:pPr>
        <w:pStyle w:val="SCCLsocParty"/>
        <w:jc w:val="left"/>
      </w:pPr>
      <w:proofErr w:type="gramStart"/>
      <w:r w:rsidRPr="00BD3F33">
        <w:rPr>
          <w:lang w:val="en-US"/>
        </w:rPr>
        <w:t>and</w:t>
      </w:r>
      <w:proofErr w:type="gramEnd"/>
      <w:r w:rsidRPr="00BD3F33">
        <w:rPr>
          <w:lang w:val="en-US"/>
        </w:rPr>
        <w:t xml:space="preserve"> Restructuring Professionals</w:t>
      </w:r>
      <w:r w:rsidRPr="005E3239">
        <w:rPr>
          <w:rStyle w:val="SCCLsocPartyRole"/>
        </w:rPr>
        <w:tab/>
        <w:t>Interveners</w:t>
      </w:r>
    </w:p>
    <w:p w:rsidR="00BD3F33" w:rsidRDefault="00BD3F33" w:rsidP="00A46BE5">
      <w:pPr>
        <w:spacing w:after="720"/>
        <w:jc w:val="both"/>
        <w:rPr>
          <w:b/>
          <w:lang w:val="en-US"/>
        </w:rPr>
      </w:pPr>
    </w:p>
    <w:p w:rsidR="00426659" w:rsidRPr="00371065" w:rsidRDefault="00426659" w:rsidP="00A46BE5">
      <w:pPr>
        <w:spacing w:after="720"/>
        <w:jc w:val="both"/>
        <w:rPr>
          <w:b/>
          <w:lang w:val="en-US"/>
        </w:rPr>
      </w:pPr>
      <w:r w:rsidRPr="00371065">
        <w:rPr>
          <w:b/>
          <w:lang w:val="en-US"/>
        </w:rPr>
        <w:t xml:space="preserve">Indexed as: </w:t>
      </w:r>
      <w:r w:rsidR="00465CE8" w:rsidRPr="00371065">
        <w:rPr>
          <w:rStyle w:val="SCCAppellantForIndexChar"/>
          <w:lang w:val="en-US"/>
        </w:rPr>
        <w:t xml:space="preserve">9354-9186 Québec </w:t>
      </w:r>
      <w:proofErr w:type="spellStart"/>
      <w:r w:rsidR="00465CE8" w:rsidRPr="00371065">
        <w:rPr>
          <w:rStyle w:val="SCCAppellantForIndexChar"/>
          <w:lang w:val="en-US"/>
        </w:rPr>
        <w:t>inc.</w:t>
      </w:r>
      <w:proofErr w:type="spellEnd"/>
      <w:r w:rsidR="00465CE8" w:rsidRPr="00371065">
        <w:rPr>
          <w:rStyle w:val="SCCAppellantForIndexChar"/>
          <w:lang w:val="en-US"/>
        </w:rPr>
        <w:t xml:space="preserve"> </w:t>
      </w:r>
      <w:r w:rsidRPr="00371065">
        <w:rPr>
          <w:b/>
          <w:i/>
          <w:lang w:val="en-US"/>
        </w:rPr>
        <w:t>v.</w:t>
      </w:r>
      <w:r w:rsidRPr="00371065">
        <w:rPr>
          <w:b/>
          <w:lang w:val="en-US"/>
        </w:rPr>
        <w:t xml:space="preserve"> </w:t>
      </w:r>
      <w:proofErr w:type="spellStart"/>
      <w:r w:rsidR="00465CE8" w:rsidRPr="00371065">
        <w:rPr>
          <w:rStyle w:val="SCCRespondentForIndexChar"/>
          <w:lang w:val="en-US"/>
        </w:rPr>
        <w:t>Callidus</w:t>
      </w:r>
      <w:proofErr w:type="spellEnd"/>
      <w:r w:rsidR="00465CE8" w:rsidRPr="00371065">
        <w:rPr>
          <w:rStyle w:val="SCCRespondentForIndexChar"/>
          <w:lang w:val="en-US"/>
        </w:rPr>
        <w:t xml:space="preserve"> </w:t>
      </w:r>
      <w:r w:rsidR="00465CE8" w:rsidRPr="00B87514">
        <w:rPr>
          <w:rStyle w:val="SCCRespondentForIndexChar"/>
          <w:lang w:val="en-US"/>
        </w:rPr>
        <w:t>Capital Corp.</w:t>
      </w:r>
    </w:p>
    <w:p w:rsidR="00426659" w:rsidRPr="00C02092" w:rsidRDefault="00AE4535" w:rsidP="00A46BE5">
      <w:pPr>
        <w:pStyle w:val="SCCSystemYear"/>
        <w:spacing w:after="720"/>
        <w:jc w:val="both"/>
      </w:pPr>
      <w:r>
        <w:t>2020</w:t>
      </w:r>
      <w:r w:rsidR="003D0399">
        <w:t xml:space="preserve"> </w:t>
      </w:r>
      <w:r w:rsidR="00C065FE">
        <w:t xml:space="preserve">SCC </w:t>
      </w:r>
      <w:r w:rsidR="00AB1AAF" w:rsidRPr="00AB1AAF">
        <w:t>10</w:t>
      </w:r>
    </w:p>
    <w:p w:rsidR="008322BD" w:rsidRDefault="00465CE8" w:rsidP="00A46BE5">
      <w:pPr>
        <w:spacing w:after="720"/>
        <w:jc w:val="both"/>
      </w:pPr>
      <w:r>
        <w:t xml:space="preserve">File No.: </w:t>
      </w:r>
      <w:r w:rsidR="009B57B3">
        <w:t>38594</w:t>
      </w:r>
      <w:r w:rsidR="009B57B3" w:rsidRPr="001426A9">
        <w:t>.</w:t>
      </w:r>
    </w:p>
    <w:p w:rsidR="002F5FA0" w:rsidRPr="00097021" w:rsidRDefault="00A46BE5" w:rsidP="00282560">
      <w:pPr>
        <w:spacing w:after="480"/>
        <w:jc w:val="both"/>
      </w:pPr>
      <w:r>
        <w:t>Hearing and judgment: January </w:t>
      </w:r>
      <w:r w:rsidR="0076023F">
        <w:t>23, 2020</w:t>
      </w:r>
      <w:r w:rsidR="0076023F" w:rsidRPr="0076023F">
        <w:t>.</w:t>
      </w:r>
    </w:p>
    <w:p w:rsidR="0076023F" w:rsidRPr="0076023F" w:rsidRDefault="00A46BE5" w:rsidP="00A46BE5">
      <w:pPr>
        <w:spacing w:after="720"/>
        <w:jc w:val="both"/>
        <w:rPr>
          <w:lang w:val="en-US"/>
        </w:rPr>
      </w:pPr>
      <w:r>
        <w:rPr>
          <w:lang w:val="en-US"/>
        </w:rPr>
        <w:t>Reasons delivered: May </w:t>
      </w:r>
      <w:r w:rsidR="0076023F">
        <w:rPr>
          <w:lang w:val="en-US"/>
        </w:rPr>
        <w:t>8, 2020</w:t>
      </w:r>
      <w:r w:rsidR="0076023F" w:rsidRPr="0076023F">
        <w:rPr>
          <w:lang w:val="en-US"/>
        </w:rPr>
        <w:t>.</w:t>
      </w:r>
    </w:p>
    <w:p w:rsidR="008322BD" w:rsidRDefault="00465CE8" w:rsidP="00A46BE5">
      <w:pPr>
        <w:spacing w:after="720"/>
        <w:jc w:val="both"/>
      </w:pPr>
      <w:r>
        <w:t xml:space="preserve">Present: </w:t>
      </w:r>
      <w:r w:rsidR="009B57B3">
        <w:t>Wagner </w:t>
      </w:r>
      <w:proofErr w:type="spellStart"/>
      <w:r w:rsidR="009B57B3">
        <w:t>C.J</w:t>
      </w:r>
      <w:proofErr w:type="spellEnd"/>
      <w:r w:rsidR="009B57B3">
        <w:t xml:space="preserve">. and </w:t>
      </w:r>
      <w:proofErr w:type="spellStart"/>
      <w:r w:rsidR="009B57B3">
        <w:t>Abella</w:t>
      </w:r>
      <w:proofErr w:type="spellEnd"/>
      <w:r w:rsidR="009B57B3">
        <w:t xml:space="preserve">, </w:t>
      </w:r>
      <w:proofErr w:type="spellStart"/>
      <w:r w:rsidR="009B57B3">
        <w:t>Moldaver</w:t>
      </w:r>
      <w:proofErr w:type="spellEnd"/>
      <w:r w:rsidR="009B57B3">
        <w:t xml:space="preserve">, </w:t>
      </w:r>
      <w:proofErr w:type="spellStart"/>
      <w:r w:rsidR="009B57B3">
        <w:t>Karakatsanis</w:t>
      </w:r>
      <w:proofErr w:type="spellEnd"/>
      <w:r w:rsidR="009B57B3">
        <w:t xml:space="preserve">, Côté, Rowe and </w:t>
      </w:r>
      <w:proofErr w:type="spellStart"/>
      <w:r w:rsidR="009B57B3">
        <w:t>Kasirer</w:t>
      </w:r>
      <w:proofErr w:type="spellEnd"/>
      <w:r w:rsidR="009B57B3">
        <w:t> </w:t>
      </w:r>
      <w:proofErr w:type="spellStart"/>
      <w:r w:rsidR="009B57B3">
        <w:t>JJ</w:t>
      </w:r>
      <w:proofErr w:type="spellEnd"/>
      <w:r w:rsidR="009B57B3">
        <w:t>.</w:t>
      </w:r>
    </w:p>
    <w:p w:rsidR="008322BD" w:rsidRPr="001C779F" w:rsidRDefault="00656313" w:rsidP="00A46BE5">
      <w:pPr>
        <w:pStyle w:val="SCCLowerCourtNameLowercase"/>
        <w:spacing w:after="720" w:line="240" w:lineRule="auto"/>
      </w:pPr>
      <w:r>
        <w:t>o</w:t>
      </w:r>
      <w:r w:rsidR="00170592">
        <w:t>n</w:t>
      </w:r>
      <w:r w:rsidR="00224FC0">
        <w:t xml:space="preserve"> </w:t>
      </w:r>
      <w:r>
        <w:t>a</w:t>
      </w:r>
      <w:r w:rsidR="00170592">
        <w:t>ppeal</w:t>
      </w:r>
      <w:r w:rsidR="00224FC0">
        <w:t xml:space="preserve"> </w:t>
      </w:r>
      <w:r w:rsidR="00170592">
        <w:t>from</w:t>
      </w:r>
      <w:r w:rsidR="009567AA">
        <w:t xml:space="preserve"> the</w:t>
      </w:r>
      <w:r w:rsidR="00224FC0">
        <w:t xml:space="preserve"> </w:t>
      </w:r>
      <w:r w:rsidR="009B57B3">
        <w:t>cour</w:t>
      </w:r>
      <w:r w:rsidR="00F93F24">
        <w:t>t of appeal for</w:t>
      </w:r>
      <w:r w:rsidR="00465CE8">
        <w:t xml:space="preserve"> </w:t>
      </w:r>
      <w:proofErr w:type="spellStart"/>
      <w:r w:rsidR="00465CE8">
        <w:t>quebec</w:t>
      </w:r>
      <w:proofErr w:type="spellEnd"/>
    </w:p>
    <w:p w:rsidR="008322BD" w:rsidRPr="006E1C87" w:rsidRDefault="00F82E78" w:rsidP="00A46BE5">
      <w:pPr>
        <w:pStyle w:val="SCCNormalDoubleSpacing"/>
        <w:spacing w:after="480"/>
      </w:pPr>
      <w:r>
        <w:tab/>
      </w:r>
      <w:r w:rsidR="008D0E14">
        <w:rPr>
          <w:rStyle w:val="QuoteChar"/>
          <w:color w:val="auto"/>
          <w:lang w:val="en-CA"/>
        </w:rPr>
        <w:t>Bankruptcy and insolvency ⸺ Discretionary authority of supervising judge in proceedings under Companies</w:t>
      </w:r>
      <w:r w:rsidR="008D2A18">
        <w:rPr>
          <w:rStyle w:val="QuoteChar"/>
          <w:color w:val="auto"/>
          <w:lang w:val="en-CA"/>
        </w:rPr>
        <w:t>’</w:t>
      </w:r>
      <w:r w:rsidR="008D0E14">
        <w:rPr>
          <w:rStyle w:val="QuoteChar"/>
          <w:color w:val="auto"/>
          <w:lang w:val="en-CA"/>
        </w:rPr>
        <w:t xml:space="preserve"> Creditors Arrangement Act ⸺ Appellate review of decisions of supervising judge ⸺ Whether supervising judge has discretion to bar creditor from voting on plan of arrangement where creditor is acting for </w:t>
      </w:r>
      <w:r w:rsidR="008D0E14">
        <w:rPr>
          <w:rStyle w:val="QuoteChar"/>
          <w:color w:val="auto"/>
          <w:lang w:val="en-CA"/>
        </w:rPr>
        <w:lastRenderedPageBreak/>
        <w:t>improper purpose ⸺ Whether supervising judge can approve third party litigation funding as interim financing ⸺ Companies</w:t>
      </w:r>
      <w:r w:rsidR="008D2A18">
        <w:rPr>
          <w:rStyle w:val="QuoteChar"/>
          <w:color w:val="auto"/>
          <w:lang w:val="en-CA"/>
        </w:rPr>
        <w:t>’</w:t>
      </w:r>
      <w:r w:rsidR="008D0E14">
        <w:rPr>
          <w:rStyle w:val="QuoteChar"/>
          <w:color w:val="auto"/>
          <w:lang w:val="en-CA"/>
        </w:rPr>
        <w:t xml:space="preserve"> Creditors A</w:t>
      </w:r>
      <w:r w:rsidR="00A46BE5">
        <w:rPr>
          <w:rStyle w:val="QuoteChar"/>
          <w:color w:val="auto"/>
          <w:lang w:val="en-CA"/>
        </w:rPr>
        <w:t xml:space="preserve">rrangement Act, </w:t>
      </w:r>
      <w:proofErr w:type="spellStart"/>
      <w:r w:rsidR="00A46BE5">
        <w:rPr>
          <w:rStyle w:val="QuoteChar"/>
          <w:color w:val="auto"/>
          <w:lang w:val="en-CA"/>
        </w:rPr>
        <w:t>R.S.C</w:t>
      </w:r>
      <w:proofErr w:type="spellEnd"/>
      <w:r w:rsidR="00A46BE5">
        <w:rPr>
          <w:rStyle w:val="QuoteChar"/>
          <w:color w:val="auto"/>
          <w:lang w:val="en-CA"/>
        </w:rPr>
        <w:t>. 1985, c. C-36, ss. </w:t>
      </w:r>
      <w:r w:rsidR="006E1C87">
        <w:rPr>
          <w:rStyle w:val="QuoteChar"/>
          <w:color w:val="auto"/>
          <w:lang w:val="en-CA"/>
        </w:rPr>
        <w:t>11, 11.2.</w:t>
      </w:r>
    </w:p>
    <w:p w:rsidR="008322BD" w:rsidRDefault="00F82E78" w:rsidP="00A46BE5">
      <w:pPr>
        <w:pStyle w:val="SCCNormalDoubleSpacing"/>
        <w:spacing w:after="480"/>
        <w:rPr>
          <w:rStyle w:val="QuoteChar"/>
          <w:i w:val="0"/>
          <w:color w:val="auto"/>
          <w:lang w:val="en-CA"/>
        </w:rPr>
      </w:pPr>
      <w:r>
        <w:tab/>
      </w:r>
      <w:r w:rsidR="008D0E14">
        <w:t xml:space="preserve">The debtor companies filed a petition for the issuance of an initial order under the </w:t>
      </w:r>
      <w:r w:rsidR="008D0E14">
        <w:rPr>
          <w:rStyle w:val="QuoteChar"/>
          <w:color w:val="auto"/>
          <w:lang w:val="en-CA"/>
        </w:rPr>
        <w:t>Companies</w:t>
      </w:r>
      <w:r w:rsidR="008D2A18">
        <w:rPr>
          <w:rStyle w:val="QuoteChar"/>
          <w:color w:val="auto"/>
          <w:lang w:val="en-CA"/>
        </w:rPr>
        <w:t>’</w:t>
      </w:r>
      <w:r w:rsidR="008D0E14">
        <w:rPr>
          <w:rStyle w:val="QuoteChar"/>
          <w:color w:val="auto"/>
          <w:lang w:val="en-CA"/>
        </w:rPr>
        <w:t xml:space="preserve"> Creditors Arrangement Act</w:t>
      </w:r>
      <w:r w:rsidR="008D0E14">
        <w:rPr>
          <w:rStyle w:val="QuoteChar"/>
          <w:i w:val="0"/>
          <w:color w:val="auto"/>
          <w:lang w:val="en-CA"/>
        </w:rPr>
        <w:t xml:space="preserve"> (“</w:t>
      </w:r>
      <w:proofErr w:type="spellStart"/>
      <w:r w:rsidR="008D0E14" w:rsidRPr="00657784">
        <w:rPr>
          <w:rStyle w:val="QuoteChar"/>
          <w:color w:val="auto"/>
          <w:lang w:val="en-CA"/>
        </w:rPr>
        <w:t>CCAA</w:t>
      </w:r>
      <w:proofErr w:type="spellEnd"/>
      <w:r w:rsidR="008D0E14">
        <w:rPr>
          <w:rStyle w:val="QuoteChar"/>
          <w:i w:val="0"/>
          <w:color w:val="auto"/>
          <w:lang w:val="en-CA"/>
        </w:rPr>
        <w:t xml:space="preserve">”) in November 2015. The petition succeeded, and the initial order was issued by a supervising judge, who became responsible for overseeing the proceedings. Since then, substantially all </w:t>
      </w:r>
      <w:r w:rsidR="00B044E8">
        <w:rPr>
          <w:rStyle w:val="QuoteChar"/>
          <w:i w:val="0"/>
          <w:color w:val="auto"/>
          <w:lang w:val="en-CA"/>
        </w:rPr>
        <w:t xml:space="preserve">of the </w:t>
      </w:r>
      <w:r w:rsidR="008D0E14">
        <w:rPr>
          <w:rStyle w:val="QuoteChar"/>
          <w:i w:val="0"/>
          <w:color w:val="auto"/>
          <w:lang w:val="en-CA"/>
        </w:rPr>
        <w:t>assets of the debtor companies have been liquidated, with the notable exception of retained claims for damages against the companies</w:t>
      </w:r>
      <w:r w:rsidR="008D2A18">
        <w:rPr>
          <w:rStyle w:val="QuoteChar"/>
          <w:i w:val="0"/>
          <w:color w:val="auto"/>
          <w:lang w:val="en-CA"/>
        </w:rPr>
        <w:t>’</w:t>
      </w:r>
      <w:r w:rsidR="008D0E14">
        <w:rPr>
          <w:rStyle w:val="QuoteChar"/>
          <w:i w:val="0"/>
          <w:color w:val="auto"/>
          <w:lang w:val="en-CA"/>
        </w:rPr>
        <w:t xml:space="preserve"> only secured creditor. In September 2017, the secured creditor proposed a plan of arrangement, which later failed to receive sufficient creditor support. In February 2018, the secured creditor proposed another, virtually identical, plan of arrangement. It also sought the supervising judge</w:t>
      </w:r>
      <w:r w:rsidR="008D2A18">
        <w:rPr>
          <w:rStyle w:val="QuoteChar"/>
          <w:i w:val="0"/>
          <w:color w:val="auto"/>
          <w:lang w:val="en-CA"/>
        </w:rPr>
        <w:t>’</w:t>
      </w:r>
      <w:r w:rsidR="008D0E14">
        <w:rPr>
          <w:rStyle w:val="QuoteChar"/>
          <w:i w:val="0"/>
          <w:color w:val="auto"/>
          <w:lang w:val="en-CA"/>
        </w:rPr>
        <w:t>s permission to vote on this new plan in the same class as the debtor companies</w:t>
      </w:r>
      <w:r w:rsidR="008D2A18">
        <w:rPr>
          <w:rStyle w:val="QuoteChar"/>
          <w:i w:val="0"/>
          <w:color w:val="auto"/>
          <w:lang w:val="en-CA"/>
        </w:rPr>
        <w:t>’</w:t>
      </w:r>
      <w:r w:rsidR="008D0E14">
        <w:rPr>
          <w:rStyle w:val="QuoteChar"/>
          <w:i w:val="0"/>
          <w:color w:val="auto"/>
          <w:lang w:val="en-CA"/>
        </w:rPr>
        <w:t xml:space="preserve"> unsecured creditors, on the basis that its security was worth nil. Around the same time, the debtor companies sought interim financing in the form of a proposed third party litigation funding agreement, which would permit them to pursue litigation of the retained claims. They also sought </w:t>
      </w:r>
      <w:r w:rsidR="008D2A18">
        <w:rPr>
          <w:rStyle w:val="QuoteChar"/>
          <w:i w:val="0"/>
          <w:color w:val="auto"/>
          <w:lang w:val="en-CA"/>
        </w:rPr>
        <w:t>the approval of a related super</w:t>
      </w:r>
      <w:r w:rsidR="008D2A18">
        <w:rPr>
          <w:rStyle w:val="QuoteChar"/>
          <w:i w:val="0"/>
          <w:color w:val="auto"/>
          <w:lang w:val="en-CA"/>
        </w:rPr>
        <w:noBreakHyphen/>
      </w:r>
      <w:r w:rsidR="008D0E14">
        <w:rPr>
          <w:rStyle w:val="QuoteChar"/>
          <w:i w:val="0"/>
          <w:color w:val="auto"/>
          <w:lang w:val="en-CA"/>
        </w:rPr>
        <w:t>priori</w:t>
      </w:r>
      <w:r w:rsidR="006E1C87">
        <w:rPr>
          <w:rStyle w:val="QuoteChar"/>
          <w:i w:val="0"/>
          <w:color w:val="auto"/>
          <w:lang w:val="en-CA"/>
        </w:rPr>
        <w:t>ty litigation financing charge.</w:t>
      </w:r>
    </w:p>
    <w:p w:rsidR="00F82E78" w:rsidRDefault="00F82E78" w:rsidP="00A46BE5">
      <w:pPr>
        <w:pStyle w:val="SCCNormalDoubleSpacing"/>
        <w:spacing w:after="480"/>
        <w:rPr>
          <w:rStyle w:val="QuoteChar"/>
          <w:i w:val="0"/>
          <w:color w:val="auto"/>
          <w:lang w:val="en-CA"/>
        </w:rPr>
      </w:pPr>
      <w:r>
        <w:rPr>
          <w:rStyle w:val="QuoteChar"/>
          <w:i w:val="0"/>
          <w:color w:val="auto"/>
          <w:lang w:val="en-CA"/>
        </w:rPr>
        <w:tab/>
        <w:t xml:space="preserve">The supervising judge determined that the secured creditor should not be permitted to vote on the new plan because it was acting with an improper purpose. As a result, the new plan had no reasonable prospect of success and was not put to a </w:t>
      </w:r>
      <w:r>
        <w:rPr>
          <w:rStyle w:val="QuoteChar"/>
          <w:i w:val="0"/>
          <w:color w:val="auto"/>
          <w:lang w:val="en-CA"/>
        </w:rPr>
        <w:lastRenderedPageBreak/>
        <w:t>creditors</w:t>
      </w:r>
      <w:r w:rsidR="008D2A18">
        <w:rPr>
          <w:rStyle w:val="QuoteChar"/>
          <w:i w:val="0"/>
          <w:color w:val="auto"/>
          <w:lang w:val="en-CA"/>
        </w:rPr>
        <w:t>’</w:t>
      </w:r>
      <w:r>
        <w:rPr>
          <w:rStyle w:val="QuoteChar"/>
          <w:i w:val="0"/>
          <w:color w:val="auto"/>
          <w:lang w:val="en-CA"/>
        </w:rPr>
        <w:t xml:space="preserve"> vote. The supervising judge allowed the debtor companies</w:t>
      </w:r>
      <w:r w:rsidR="008D2A18">
        <w:rPr>
          <w:rStyle w:val="QuoteChar"/>
          <w:i w:val="0"/>
          <w:color w:val="auto"/>
          <w:lang w:val="en-CA"/>
        </w:rPr>
        <w:t>’</w:t>
      </w:r>
      <w:r>
        <w:rPr>
          <w:rStyle w:val="QuoteChar"/>
          <w:i w:val="0"/>
          <w:color w:val="auto"/>
          <w:lang w:val="en-CA"/>
        </w:rPr>
        <w:t xml:space="preserve"> application, authorizing them to enter into a third party litigation funding agreement. On appeal by the secured creditor and certain of the unsecured creditors, the Court of Appeal set aside the supervising judge</w:t>
      </w:r>
      <w:r w:rsidR="008D2A18">
        <w:rPr>
          <w:rStyle w:val="QuoteChar"/>
          <w:i w:val="0"/>
          <w:color w:val="auto"/>
          <w:lang w:val="en-CA"/>
        </w:rPr>
        <w:t>’</w:t>
      </w:r>
      <w:r>
        <w:rPr>
          <w:rStyle w:val="QuoteChar"/>
          <w:i w:val="0"/>
          <w:color w:val="auto"/>
          <w:lang w:val="en-CA"/>
        </w:rPr>
        <w:t>s order, holding that he had erred in reac</w:t>
      </w:r>
      <w:r w:rsidR="006E1C87">
        <w:rPr>
          <w:rStyle w:val="QuoteChar"/>
          <w:i w:val="0"/>
          <w:color w:val="auto"/>
          <w:lang w:val="en-CA"/>
        </w:rPr>
        <w:t>hing the foregoing conclusions.</w:t>
      </w:r>
    </w:p>
    <w:p w:rsidR="008322BD" w:rsidRPr="001426A9" w:rsidRDefault="009B57B3" w:rsidP="00A46BE5">
      <w:pPr>
        <w:pStyle w:val="SCCNormalDoubleSpacing"/>
        <w:spacing w:after="480"/>
      </w:pPr>
      <w:r w:rsidRPr="001426A9">
        <w:tab/>
      </w:r>
      <w:r w:rsidRPr="00F82E78">
        <w:rPr>
          <w:rStyle w:val="QuoteChar"/>
          <w:color w:val="auto"/>
          <w:lang w:val="en-CA"/>
        </w:rPr>
        <w:t>Held</w:t>
      </w:r>
      <w:r w:rsidRPr="001426A9">
        <w:rPr>
          <w:rStyle w:val="QuoteChar"/>
          <w:i w:val="0"/>
          <w:color w:val="auto"/>
          <w:lang w:val="en-CA"/>
        </w:rPr>
        <w:t>:</w:t>
      </w:r>
      <w:r w:rsidR="008D2A18">
        <w:t xml:space="preserve"> </w:t>
      </w:r>
      <w:r w:rsidRPr="001426A9">
        <w:t>The appeal should be</w:t>
      </w:r>
      <w:r w:rsidR="00F82E78">
        <w:t xml:space="preserve"> allowed and the supervising judge</w:t>
      </w:r>
      <w:r w:rsidR="008D2A18">
        <w:t>’</w:t>
      </w:r>
      <w:r w:rsidR="00F82E78">
        <w:t>s order reinstated</w:t>
      </w:r>
      <w:r w:rsidR="00B044E8">
        <w:t>.</w:t>
      </w:r>
    </w:p>
    <w:p w:rsidR="00610539" w:rsidRDefault="00F82E78" w:rsidP="00A46BE5">
      <w:pPr>
        <w:pStyle w:val="SCCNormalDoubleSpacing"/>
        <w:spacing w:after="480"/>
      </w:pPr>
      <w:r>
        <w:tab/>
        <w:t>The supervising judge made no error in barring the secured creditor from voting or in authorizing the third party litigating funding agreement. A supervising judge has the discretion to bar a creditor from voting on a plan of arrangement where they determine that the creditor is acting for an improper purpose. A supervising judge can also approve third party litigation funding as in</w:t>
      </w:r>
      <w:r w:rsidR="008D2A18">
        <w:t>terim financing, pursuant to s. </w:t>
      </w:r>
      <w:r>
        <w:t xml:space="preserve">11.2 of the </w:t>
      </w:r>
      <w:proofErr w:type="spellStart"/>
      <w:r w:rsidRPr="00F82E78">
        <w:rPr>
          <w:i/>
        </w:rPr>
        <w:t>CCAA</w:t>
      </w:r>
      <w:proofErr w:type="spellEnd"/>
      <w:r>
        <w:t>. The Court of Appeal was not justified in interfering with the supervising judge</w:t>
      </w:r>
      <w:r w:rsidR="008D2A18">
        <w:t>’</w:t>
      </w:r>
      <w:r>
        <w:t>s discretionary decisions in this regard, having failed to treat them with the a</w:t>
      </w:r>
      <w:r w:rsidR="006E1C87">
        <w:t>ppropriate degree of deference.</w:t>
      </w:r>
    </w:p>
    <w:p w:rsidR="007561E4" w:rsidRDefault="007561E4" w:rsidP="00A46BE5">
      <w:pPr>
        <w:pStyle w:val="SCCNormalDoubleSpacing"/>
        <w:spacing w:after="480"/>
      </w:pPr>
      <w:r>
        <w:tab/>
        <w:t xml:space="preserve">The </w:t>
      </w:r>
      <w:proofErr w:type="spellStart"/>
      <w:r w:rsidRPr="007561E4">
        <w:rPr>
          <w:i/>
        </w:rPr>
        <w:t>CCAA</w:t>
      </w:r>
      <w:proofErr w:type="spellEnd"/>
      <w:r>
        <w:t xml:space="preserve"> is one of three principal insolvency statutes in Canada. It pursues an array of overarching remedial objectives that reflect the wide ranging and potentially catastrophic impacts insolvency can have. These objectives include: providing for timely, efficient and impartial resolution of a debtor</w:t>
      </w:r>
      <w:r w:rsidR="008D2A18">
        <w:t>’</w:t>
      </w:r>
      <w:r>
        <w:t>s insolvency; preserving and maximizing the value of a debtor</w:t>
      </w:r>
      <w:r w:rsidR="008D2A18">
        <w:t>’</w:t>
      </w:r>
      <w:r>
        <w:t xml:space="preserve">s assets; ensuring fair and equitable treatment of the claims against a debtor; protecting the public interest; and, in the </w:t>
      </w:r>
      <w:r>
        <w:lastRenderedPageBreak/>
        <w:t xml:space="preserve">context of a commercial insolvency, balancing the costs and benefits of restructuring or liquidating the company. The architecture of the </w:t>
      </w:r>
      <w:proofErr w:type="spellStart"/>
      <w:r w:rsidRPr="007561E4">
        <w:rPr>
          <w:i/>
        </w:rPr>
        <w:t>CCAA</w:t>
      </w:r>
      <w:proofErr w:type="spellEnd"/>
      <w:r>
        <w:t xml:space="preserve"> leaves the case-specific assessment and balancing of these objec</w:t>
      </w:r>
      <w:r w:rsidR="006E1C87">
        <w:t>tives to the supervising judge.</w:t>
      </w:r>
    </w:p>
    <w:p w:rsidR="00D3065F" w:rsidRDefault="007561E4" w:rsidP="00A46BE5">
      <w:pPr>
        <w:pStyle w:val="SCCNormalDoubleSpacing"/>
        <w:spacing w:after="480"/>
      </w:pPr>
      <w:r>
        <w:tab/>
        <w:t xml:space="preserve">From beginning to end, each proceeding under the </w:t>
      </w:r>
      <w:proofErr w:type="spellStart"/>
      <w:r w:rsidRPr="006D3D84">
        <w:rPr>
          <w:i/>
        </w:rPr>
        <w:t>CCAA</w:t>
      </w:r>
      <w:proofErr w:type="spellEnd"/>
      <w:r>
        <w:t xml:space="preserve"> is overseen by a single supervising judge, who has broad discretion to make a variety of orders that respond to the circumstances of each case. The </w:t>
      </w:r>
      <w:r w:rsidR="00382557">
        <w:t>anchor of this</w:t>
      </w:r>
      <w:r>
        <w:t xml:space="preserve"> discretionary authority is s.</w:t>
      </w:r>
      <w:r w:rsidR="008D2A18">
        <w:t> </w:t>
      </w:r>
      <w:r>
        <w:t xml:space="preserve">11 of the </w:t>
      </w:r>
      <w:proofErr w:type="spellStart"/>
      <w:r w:rsidRPr="006D3D84">
        <w:rPr>
          <w:i/>
        </w:rPr>
        <w:t>CCAA</w:t>
      </w:r>
      <w:proofErr w:type="spellEnd"/>
      <w:r>
        <w:t>, with empowers a judge to make any order that they consider appropriate in the circumstances. This discretionary authority is broad, but not boundless</w:t>
      </w:r>
      <w:r w:rsidR="00D3065F">
        <w:t xml:space="preserve">. It must be exercised in furtherance of the remedial objectives of the </w:t>
      </w:r>
      <w:proofErr w:type="spellStart"/>
      <w:r w:rsidR="00D3065F" w:rsidRPr="006D3D84">
        <w:rPr>
          <w:i/>
        </w:rPr>
        <w:t>CCAA</w:t>
      </w:r>
      <w:proofErr w:type="spellEnd"/>
      <w:r w:rsidR="00D3065F">
        <w:t xml:space="preserve"> and with three baseline considerations in mind: (1)</w:t>
      </w:r>
      <w:r w:rsidR="008D2A18">
        <w:t> </w:t>
      </w:r>
      <w:r w:rsidR="00D3065F">
        <w:t>that the order sought is appropriate in the circumstances, and (2)</w:t>
      </w:r>
      <w:r w:rsidR="008D2A18">
        <w:t> </w:t>
      </w:r>
      <w:r w:rsidR="00D3065F">
        <w:t>that the applicant has be</w:t>
      </w:r>
      <w:r w:rsidR="008D2A18">
        <w:t>en acting in good faith and (3) </w:t>
      </w:r>
      <w:r w:rsidR="00D3065F">
        <w:t xml:space="preserve">with due diligence. The due diligence consideration discourages parties from sitting on their rights and ensures that creditors do not strategically manoeuvre or position themselves to gain an advantage. A high degree of deference is owed to discretionary decisions made by judges supervising </w:t>
      </w:r>
      <w:proofErr w:type="spellStart"/>
      <w:r w:rsidR="00D3065F" w:rsidRPr="006D3D84">
        <w:rPr>
          <w:i/>
        </w:rPr>
        <w:t>CCAA</w:t>
      </w:r>
      <w:proofErr w:type="spellEnd"/>
      <w:r w:rsidR="00D3065F">
        <w:t xml:space="preserve"> proceedings and, as such, appellate intervention will only be justified if the supervising judge erred in principle or exercised their discretion unreasonably.</w:t>
      </w:r>
    </w:p>
    <w:p w:rsidR="009E6220" w:rsidRDefault="009E6220" w:rsidP="00A46BE5">
      <w:pPr>
        <w:pStyle w:val="SCCNormalDoubleSpacing"/>
        <w:spacing w:after="480"/>
      </w:pPr>
      <w:r>
        <w:tab/>
        <w:t xml:space="preserve">A creditor can generally vote on a plan of arrangement or compromise that affects its rights, subject to any specific provisions of the </w:t>
      </w:r>
      <w:proofErr w:type="spellStart"/>
      <w:r w:rsidRPr="006D3D84">
        <w:rPr>
          <w:i/>
        </w:rPr>
        <w:t>CCAA</w:t>
      </w:r>
      <w:proofErr w:type="spellEnd"/>
      <w:r>
        <w:t xml:space="preserve"> that may restrict its voting rights, or a proper exercise of discretion by the supervising judge to constrain or bar the creditor</w:t>
      </w:r>
      <w:r w:rsidR="008D2A18">
        <w:t>’</w:t>
      </w:r>
      <w:r>
        <w:t xml:space="preserve">s right to vote. Given that the </w:t>
      </w:r>
      <w:proofErr w:type="spellStart"/>
      <w:r w:rsidRPr="006D3D84">
        <w:rPr>
          <w:i/>
        </w:rPr>
        <w:t>CCAA</w:t>
      </w:r>
      <w:proofErr w:type="spellEnd"/>
      <w:r>
        <w:t xml:space="preserve"> regime contemplates creditor </w:t>
      </w:r>
      <w:r>
        <w:lastRenderedPageBreak/>
        <w:t xml:space="preserve">participation in decision-making as an integral facet of the workout regime, the discretion to bar a creditor from voting should only be exercised where the circumstances demand such an outcome. Where a creditor is seeking to exercise its voting rights in a manner that frustrates, undermines, or runs counter to the remedial objectives of the </w:t>
      </w:r>
      <w:proofErr w:type="spellStart"/>
      <w:r w:rsidRPr="006D3D84">
        <w:rPr>
          <w:i/>
        </w:rPr>
        <w:t>CCAA</w:t>
      </w:r>
      <w:proofErr w:type="spellEnd"/>
      <w:r>
        <w:t xml:space="preserve"> ⸺ that is, acting for an improper purpose ⸺ s. 11 of the </w:t>
      </w:r>
      <w:proofErr w:type="spellStart"/>
      <w:r w:rsidRPr="006D3D84">
        <w:rPr>
          <w:i/>
        </w:rPr>
        <w:t>CCAA</w:t>
      </w:r>
      <w:proofErr w:type="spellEnd"/>
      <w:r>
        <w:t xml:space="preserve"> supplies the supervising judge with the discretion to bar that creditor from voting. This discretion parallels the similar discretion that exists under the </w:t>
      </w:r>
      <w:r w:rsidRPr="0071202E">
        <w:rPr>
          <w:i/>
        </w:rPr>
        <w:t>Bankruptcy and Insolvency Act</w:t>
      </w:r>
      <w:r>
        <w:t xml:space="preserve"> and advances the basic fairness that permeates Canadian insolvency law and practice. Whether this discretion ought to be exercised in a particular case is a circumstance-specific inquiry that the supervising judge is best-positioned to undertake.</w:t>
      </w:r>
    </w:p>
    <w:p w:rsidR="009E6220" w:rsidRDefault="009E6220" w:rsidP="00A46BE5">
      <w:pPr>
        <w:pStyle w:val="SCCNormalDoubleSpacing"/>
        <w:spacing w:after="480"/>
      </w:pPr>
      <w:r>
        <w:tab/>
        <w:t>In the instant case, the supervising judge</w:t>
      </w:r>
      <w:r w:rsidR="008D2A18">
        <w:t>’</w:t>
      </w:r>
      <w:r>
        <w:t>s decision to bar the secured creditor from voting on the new plan discloses no error justifying appellate intervention. W</w:t>
      </w:r>
      <w:r w:rsidR="00382557">
        <w:t xml:space="preserve">hen </w:t>
      </w:r>
      <w:r>
        <w:t>he m</w:t>
      </w:r>
      <w:r w:rsidR="00382557">
        <w:t>ade this</w:t>
      </w:r>
      <w:r>
        <w:t xml:space="preserve"> decision, the supervising judge was intimately familiar with these proceedings, having presided over them for over 2 years, received 15 reports from the monitor, and issued approximately 25 orders. He considered the whole of the circumstances and concluded that the secured creditor</w:t>
      </w:r>
      <w:r w:rsidR="008D2A18">
        <w:t>’</w:t>
      </w:r>
      <w:r>
        <w:t>s vote would serve an improper purpose. He was aware that the secured creditor had chosen not to value any of its claim as unsecured prior to the vote on the first plan and did not attempt to vote on that plan</w:t>
      </w:r>
      <w:r w:rsidR="006D3D84">
        <w:t>, which ultimately failed to receive the other creditors</w:t>
      </w:r>
      <w:r w:rsidR="008D2A18">
        <w:t>’</w:t>
      </w:r>
      <w:r w:rsidR="006D3D84">
        <w:t xml:space="preserve"> approval. Between the failure of the first plan and the proposal of the (essentially identical) new plan, none of the factual circumstances relating to the debtor companies</w:t>
      </w:r>
      <w:r w:rsidR="008D2A18">
        <w:t>’</w:t>
      </w:r>
      <w:r w:rsidR="006D3D84">
        <w:t xml:space="preserve"> financial or business affairs had </w:t>
      </w:r>
      <w:r w:rsidR="006D3D84">
        <w:lastRenderedPageBreak/>
        <w:t xml:space="preserve">materially changed. However, the secured creditor sought to value the entirety of its security at nil and, on that basis, sought leave to vote on the new plan as an unsecured creditor. If the secured creditor were permitted to vote in this way, the new plan would certainly have met the double majority threshold for approval under s. 6(1) of the </w:t>
      </w:r>
      <w:proofErr w:type="spellStart"/>
      <w:r w:rsidR="006D3D84" w:rsidRPr="006D3D84">
        <w:rPr>
          <w:i/>
        </w:rPr>
        <w:t>CCAA</w:t>
      </w:r>
      <w:proofErr w:type="spellEnd"/>
      <w:r w:rsidR="006D3D84">
        <w:t xml:space="preserve">. The inescapable inference was that the secured creditor was attempting to strategically value its security to acquire control over the outcome of the vote and thereby circumvent the creditor democracy the </w:t>
      </w:r>
      <w:proofErr w:type="spellStart"/>
      <w:r w:rsidR="006D3D84" w:rsidRPr="006D3D84">
        <w:rPr>
          <w:i/>
        </w:rPr>
        <w:t>CCAA</w:t>
      </w:r>
      <w:proofErr w:type="spellEnd"/>
      <w:r w:rsidR="006D3D84">
        <w:t xml:space="preserve"> protects. The secured creditor</w:t>
      </w:r>
      <w:r w:rsidR="008D2A18">
        <w:t>’</w:t>
      </w:r>
      <w:r w:rsidR="006D3D84">
        <w:t>s course of action was also plainly contrary to the expectation that parties act with due diligence in an insolvency proceeding, which includes acting with due diligence in valuing their claims and security. The secured creditor was therefore properly barr</w:t>
      </w:r>
      <w:r w:rsidR="006E1C87">
        <w:t>ed from voting on the new plan.</w:t>
      </w:r>
    </w:p>
    <w:p w:rsidR="006D3D84" w:rsidRDefault="006D3D84" w:rsidP="00A46BE5">
      <w:pPr>
        <w:pStyle w:val="SCCNormalDoubleSpacing"/>
        <w:spacing w:after="480"/>
      </w:pPr>
      <w:r>
        <w:tab/>
        <w:t>Whether third party litigation funding should be approved as interim financing is a case-specific inquiry that shoul</w:t>
      </w:r>
      <w:r w:rsidR="008D2A18">
        <w:t>d have regard to the text of s. </w:t>
      </w:r>
      <w:r>
        <w:t xml:space="preserve">11.2 of the </w:t>
      </w:r>
      <w:proofErr w:type="spellStart"/>
      <w:r w:rsidRPr="00CE5FA5">
        <w:rPr>
          <w:i/>
        </w:rPr>
        <w:t>CCAA</w:t>
      </w:r>
      <w:proofErr w:type="spellEnd"/>
      <w:r>
        <w:t xml:space="preserve"> and the remedial objectives of the </w:t>
      </w:r>
      <w:proofErr w:type="spellStart"/>
      <w:r w:rsidRPr="00CE5FA5">
        <w:rPr>
          <w:i/>
        </w:rPr>
        <w:t>CCAA</w:t>
      </w:r>
      <w:proofErr w:type="spellEnd"/>
      <w:r>
        <w:t xml:space="preserve"> more generally. </w:t>
      </w:r>
      <w:r w:rsidR="00CE5FA5">
        <w:t xml:space="preserve">Interim financing is a flexible tool that may take on a range of forms. This is </w:t>
      </w:r>
      <w:r w:rsidR="008D2A18">
        <w:t>apparent from the wording of s. </w:t>
      </w:r>
      <w:r w:rsidR="00CE5FA5">
        <w:t>11.2(1), which is broad and does not mandate any standard form or terms. At its core, interim financing enables the preservation and realization of the value of a debtor</w:t>
      </w:r>
      <w:r w:rsidR="008D2A18">
        <w:t>’</w:t>
      </w:r>
      <w:r w:rsidR="00CE5FA5">
        <w:t xml:space="preserve">s assets. In some circumstances, like the instant case, litigation funding furthers this basic purpose. Third party litigation funding agreements may therefore be approved as interim financing in </w:t>
      </w:r>
      <w:proofErr w:type="spellStart"/>
      <w:r w:rsidR="00CE5FA5" w:rsidRPr="00CE5FA5">
        <w:rPr>
          <w:i/>
        </w:rPr>
        <w:t>CCAA</w:t>
      </w:r>
      <w:proofErr w:type="spellEnd"/>
      <w:r w:rsidR="00CE5FA5">
        <w:t xml:space="preserve"> proceedings when the supervisin</w:t>
      </w:r>
      <w:r w:rsidR="00382557">
        <w:t>g judge determines</w:t>
      </w:r>
      <w:r w:rsidR="00CE5FA5">
        <w:t xml:space="preserve"> that doing so would be fair and appropriate, having regard to all the circumstances and the objectives of the Act. This requires consideration of the</w:t>
      </w:r>
      <w:r w:rsidR="008D2A18">
        <w:t xml:space="preserve"> specific factors set out in </w:t>
      </w:r>
      <w:r w:rsidR="008D2A18">
        <w:lastRenderedPageBreak/>
        <w:t>s. </w:t>
      </w:r>
      <w:r w:rsidR="00CE5FA5">
        <w:t xml:space="preserve">11.2(4) of the </w:t>
      </w:r>
      <w:proofErr w:type="spellStart"/>
      <w:r w:rsidR="00CE5FA5" w:rsidRPr="00CE5FA5">
        <w:rPr>
          <w:i/>
        </w:rPr>
        <w:t>CCAA</w:t>
      </w:r>
      <w:proofErr w:type="spellEnd"/>
      <w:r w:rsidR="00CE5FA5">
        <w:t>. These factors need not be mechanically applied or individually reviewed by the supervising judge, as not all of them will be significant in every case, nor are they exhaustive. Additionally, in order for a third party litigation funding agreement to be approved as interim financing, the agreement must not contain terms that effectively convert it into a plan of arrangement.</w:t>
      </w:r>
    </w:p>
    <w:p w:rsidR="00CE5FA5" w:rsidRPr="009E6220" w:rsidRDefault="00CE5FA5" w:rsidP="00A46BE5">
      <w:pPr>
        <w:pStyle w:val="SCCNormalDoubleSpacing"/>
        <w:spacing w:after="480"/>
      </w:pPr>
      <w:r>
        <w:tab/>
        <w:t>In the instant case, there is no basis upon which to interfere with the supervising judge</w:t>
      </w:r>
      <w:r w:rsidR="008D2A18">
        <w:t>’</w:t>
      </w:r>
      <w:r>
        <w:t>s exercise of his discretion to approve the litigation funding agreement as interim financing. A review of the supervising judge</w:t>
      </w:r>
      <w:r w:rsidR="008D2A18">
        <w:t>’</w:t>
      </w:r>
      <w:r>
        <w:t>s reasons as a whole, combined with a recognition of his manifest experience with the debtor companies</w:t>
      </w:r>
      <w:r w:rsidR="008D2A18">
        <w:t>’</w:t>
      </w:r>
      <w:r>
        <w:t xml:space="preserve"> </w:t>
      </w:r>
      <w:proofErr w:type="spellStart"/>
      <w:r w:rsidRPr="00694920">
        <w:rPr>
          <w:i/>
        </w:rPr>
        <w:t>CCAA</w:t>
      </w:r>
      <w:proofErr w:type="spellEnd"/>
      <w:r>
        <w:t xml:space="preserve"> proceedings, leads to the conclusio</w:t>
      </w:r>
      <w:r w:rsidR="008D2A18">
        <w:t>n that the factors listed in s. </w:t>
      </w:r>
      <w:r w:rsidR="00694920">
        <w:t xml:space="preserve">11.2(4) concern matters that could not have escaped his attention and due consideration. It is apparent that he was focussed on the fairness at stake to all parties, the specific objectives of the </w:t>
      </w:r>
      <w:proofErr w:type="spellStart"/>
      <w:r w:rsidR="00694920" w:rsidRPr="00694920">
        <w:rPr>
          <w:i/>
        </w:rPr>
        <w:t>CCAA</w:t>
      </w:r>
      <w:proofErr w:type="spellEnd"/>
      <w:r w:rsidR="00694920">
        <w:t>, and the particular circumstances of this case when he approved the litigation funding agreement as interim financing. Further, the litigation funding agreement is not a plan of arrangement because it does not propose any compromise of the creditors</w:t>
      </w:r>
      <w:r w:rsidR="008D2A18">
        <w:t>’</w:t>
      </w:r>
      <w:r w:rsidR="00694920">
        <w:t xml:space="preserve"> rights. The fact that the creditors may walk away with more or less money at the end of the d</w:t>
      </w:r>
      <w:r w:rsidR="00382557">
        <w:t>ay does not change the nature or</w:t>
      </w:r>
      <w:r w:rsidR="00694920">
        <w:t xml:space="preserve"> existence of their rights to access the funds generated from the debtor companies</w:t>
      </w:r>
      <w:r w:rsidR="008D2A18">
        <w:t>’</w:t>
      </w:r>
      <w:r w:rsidR="00694920">
        <w:t xml:space="preserve"> assets, nor can it be said to compromise those rights. Finally, th</w:t>
      </w:r>
      <w:r w:rsidR="00382557">
        <w:t>e litigation financing charge do</w:t>
      </w:r>
      <w:r w:rsidR="00694920">
        <w:t>es not convert the litigation funding agreement into a plan of arrangement. Holding otherwise would effectively extinguish the supervising judge</w:t>
      </w:r>
      <w:r w:rsidR="008D2A18">
        <w:t>’</w:t>
      </w:r>
      <w:r w:rsidR="00694920">
        <w:t>s authority to approve these charges without a creditors</w:t>
      </w:r>
      <w:r w:rsidR="008D2A18">
        <w:t>’</w:t>
      </w:r>
      <w:r w:rsidR="00694920">
        <w:t xml:space="preserve"> vote, which </w:t>
      </w:r>
      <w:r w:rsidR="00A46BE5">
        <w:t>is expressly provided for in s. </w:t>
      </w:r>
      <w:r w:rsidR="00694920">
        <w:t>11.2 of the</w:t>
      </w:r>
      <w:r w:rsidR="00694920" w:rsidRPr="00694920">
        <w:rPr>
          <w:i/>
        </w:rPr>
        <w:t xml:space="preserve"> </w:t>
      </w:r>
      <w:proofErr w:type="spellStart"/>
      <w:r w:rsidR="00694920" w:rsidRPr="00694920">
        <w:rPr>
          <w:i/>
        </w:rPr>
        <w:t>CCAA</w:t>
      </w:r>
      <w:proofErr w:type="spellEnd"/>
      <w:r w:rsidR="00694920">
        <w:t>.</w:t>
      </w:r>
    </w:p>
    <w:p w:rsidR="007E1C47" w:rsidRDefault="002E6705" w:rsidP="00A46BE5">
      <w:pPr>
        <w:pStyle w:val="SCCNormalDoubleSpacing"/>
        <w:spacing w:after="720" w:line="240" w:lineRule="auto"/>
        <w:rPr>
          <w:b/>
        </w:rPr>
      </w:pPr>
      <w:r w:rsidRPr="00314E01">
        <w:rPr>
          <w:b/>
        </w:rPr>
        <w:lastRenderedPageBreak/>
        <w:t>Cases Cited</w:t>
      </w:r>
    </w:p>
    <w:p w:rsidR="00A149DF" w:rsidRPr="00613969" w:rsidRDefault="00A46BE5" w:rsidP="00A46BE5">
      <w:pPr>
        <w:pStyle w:val="SCCNormalDoubleSpacing"/>
        <w:spacing w:after="720" w:line="240" w:lineRule="auto"/>
      </w:pPr>
      <w:r>
        <w:t>By Wagner </w:t>
      </w:r>
      <w:proofErr w:type="spellStart"/>
      <w:r>
        <w:t>C.J</w:t>
      </w:r>
      <w:proofErr w:type="spellEnd"/>
      <w:r>
        <w:t xml:space="preserve">. and </w:t>
      </w:r>
      <w:proofErr w:type="spellStart"/>
      <w:r>
        <w:t>Moldaver</w:t>
      </w:r>
      <w:proofErr w:type="spellEnd"/>
      <w:r>
        <w:t> </w:t>
      </w:r>
      <w:r w:rsidR="003F35A6">
        <w:t>J.</w:t>
      </w:r>
    </w:p>
    <w:p w:rsidR="004E2C26" w:rsidRPr="005E143A" w:rsidRDefault="002E6705" w:rsidP="00A46BE5">
      <w:pPr>
        <w:pStyle w:val="SCCNormalDoubleSpacing"/>
        <w:spacing w:after="480"/>
      </w:pPr>
      <w:r>
        <w:tab/>
      </w:r>
      <w:r w:rsidR="00C5617E" w:rsidRPr="00C5617E">
        <w:rPr>
          <w:b/>
        </w:rPr>
        <w:t>Applied:</w:t>
      </w:r>
      <w:r w:rsidR="00C5617E" w:rsidRPr="00C5617E">
        <w:t xml:space="preserve"> </w:t>
      </w:r>
      <w:r w:rsidR="00C5617E" w:rsidRPr="00C5617E">
        <w:rPr>
          <w:i/>
        </w:rPr>
        <w:t>Century Services</w:t>
      </w:r>
      <w:r w:rsidR="00C5617E">
        <w:rPr>
          <w:i/>
        </w:rPr>
        <w:t xml:space="preserve"> Inc. v. Canada (Attorney General)</w:t>
      </w:r>
      <w:r w:rsidR="00C5617E">
        <w:t xml:space="preserve">, 2010 SCC 60, [2010] 3 </w:t>
      </w:r>
      <w:proofErr w:type="spellStart"/>
      <w:r w:rsidR="00C5617E">
        <w:t>S.C.R</w:t>
      </w:r>
      <w:proofErr w:type="spellEnd"/>
      <w:r w:rsidR="00C5617E">
        <w:t xml:space="preserve">. 379; </w:t>
      </w:r>
      <w:r w:rsidR="00035999">
        <w:rPr>
          <w:b/>
        </w:rPr>
        <w:t>c</w:t>
      </w:r>
      <w:r w:rsidR="00C5617E" w:rsidRPr="00C5617E">
        <w:rPr>
          <w:b/>
        </w:rPr>
        <w:t>onsidered:</w:t>
      </w:r>
      <w:r w:rsidR="00C5617E">
        <w:t xml:space="preserve"> </w:t>
      </w:r>
      <w:r w:rsidR="00EA50E3">
        <w:rPr>
          <w:i/>
        </w:rPr>
        <w:t>Re Crystallex</w:t>
      </w:r>
      <w:r w:rsidR="00EA50E3">
        <w:t xml:space="preserve">, 2012 </w:t>
      </w:r>
      <w:proofErr w:type="spellStart"/>
      <w:r w:rsidR="00EA50E3">
        <w:t>ONCA</w:t>
      </w:r>
      <w:proofErr w:type="spellEnd"/>
      <w:r w:rsidR="00EA50E3">
        <w:t xml:space="preserve"> 404, 293 </w:t>
      </w:r>
      <w:proofErr w:type="spellStart"/>
      <w:r w:rsidR="00EA50E3">
        <w:t>O.A.</w:t>
      </w:r>
      <w:r w:rsidR="00EA50E3" w:rsidRPr="00C5617E">
        <w:t>C</w:t>
      </w:r>
      <w:proofErr w:type="spellEnd"/>
      <w:r w:rsidR="00EA50E3" w:rsidRPr="00C5617E">
        <w:t>. 102;</w:t>
      </w:r>
      <w:r w:rsidR="00EA50E3">
        <w:t xml:space="preserve"> </w:t>
      </w:r>
      <w:proofErr w:type="spellStart"/>
      <w:r w:rsidR="00C5617E">
        <w:rPr>
          <w:i/>
          <w:lang w:val="en-US"/>
        </w:rPr>
        <w:t>Laserworks</w:t>
      </w:r>
      <w:proofErr w:type="spellEnd"/>
      <w:r w:rsidR="00C5617E">
        <w:rPr>
          <w:i/>
          <w:lang w:val="en-US"/>
        </w:rPr>
        <w:t xml:space="preserve"> Computer Services Inc. (Bankruptcy), Re</w:t>
      </w:r>
      <w:r w:rsidR="00C5617E">
        <w:rPr>
          <w:lang w:val="en-US"/>
        </w:rPr>
        <w:t xml:space="preserve">, 1998 </w:t>
      </w:r>
      <w:proofErr w:type="spellStart"/>
      <w:r w:rsidR="00C5617E">
        <w:rPr>
          <w:lang w:val="en-US"/>
        </w:rPr>
        <w:t>NSCA</w:t>
      </w:r>
      <w:proofErr w:type="spellEnd"/>
      <w:r w:rsidR="00C5617E">
        <w:rPr>
          <w:lang w:val="en-US"/>
        </w:rPr>
        <w:t xml:space="preserve"> 42, 165 </w:t>
      </w:r>
      <w:proofErr w:type="spellStart"/>
      <w:r w:rsidR="00C5617E">
        <w:rPr>
          <w:lang w:val="en-US"/>
        </w:rPr>
        <w:t>N.S.R</w:t>
      </w:r>
      <w:proofErr w:type="spellEnd"/>
      <w:r w:rsidR="00C5617E">
        <w:rPr>
          <w:lang w:val="en-US"/>
        </w:rPr>
        <w:t>. (</w:t>
      </w:r>
      <w:proofErr w:type="spellStart"/>
      <w:r w:rsidR="00C5617E">
        <w:rPr>
          <w:lang w:val="en-US"/>
        </w:rPr>
        <w:t>2d</w:t>
      </w:r>
      <w:proofErr w:type="spellEnd"/>
      <w:r w:rsidR="00C5617E">
        <w:rPr>
          <w:lang w:val="en-US"/>
        </w:rPr>
        <w:t xml:space="preserve">) 296; </w:t>
      </w:r>
      <w:r w:rsidR="00035999">
        <w:rPr>
          <w:b/>
        </w:rPr>
        <w:t>r</w:t>
      </w:r>
      <w:r w:rsidRPr="00C5617E">
        <w:rPr>
          <w:b/>
        </w:rPr>
        <w:t>eferred to:</w:t>
      </w:r>
      <w:r w:rsidR="00BD0E9E" w:rsidRPr="00C5617E">
        <w:t xml:space="preserve"> </w:t>
      </w:r>
      <w:proofErr w:type="spellStart"/>
      <w:r w:rsidR="00F3316D" w:rsidRPr="00C5617E">
        <w:rPr>
          <w:i/>
        </w:rPr>
        <w:t>Bayens</w:t>
      </w:r>
      <w:proofErr w:type="spellEnd"/>
      <w:r w:rsidR="00F3316D">
        <w:rPr>
          <w:i/>
        </w:rPr>
        <w:t xml:space="preserve"> v. Kinross Gold Corporation</w:t>
      </w:r>
      <w:r w:rsidR="00F3316D">
        <w:t xml:space="preserve">, 2013 </w:t>
      </w:r>
      <w:proofErr w:type="spellStart"/>
      <w:r w:rsidR="00F3316D">
        <w:t>ONSC</w:t>
      </w:r>
      <w:proofErr w:type="spellEnd"/>
      <w:r w:rsidR="00F3316D">
        <w:t xml:space="preserve"> 4974, 117 </w:t>
      </w:r>
      <w:proofErr w:type="spellStart"/>
      <w:r w:rsidR="00F3316D">
        <w:t>O.R</w:t>
      </w:r>
      <w:proofErr w:type="spellEnd"/>
      <w:r w:rsidR="00F3316D">
        <w:t>. (</w:t>
      </w:r>
      <w:proofErr w:type="spellStart"/>
      <w:r w:rsidR="00F3316D">
        <w:t>3d</w:t>
      </w:r>
      <w:proofErr w:type="spellEnd"/>
      <w:r w:rsidR="00F3316D">
        <w:t>) 150;</w:t>
      </w:r>
      <w:r w:rsidR="00BF60B3" w:rsidRPr="00BF60B3">
        <w:t xml:space="preserve"> </w:t>
      </w:r>
      <w:r w:rsidR="00BF60B3" w:rsidRPr="00BF60B3">
        <w:rPr>
          <w:i/>
        </w:rPr>
        <w:t>Hayes v. The City of Saint John</w:t>
      </w:r>
      <w:r w:rsidR="00BF60B3">
        <w:t xml:space="preserve">, </w:t>
      </w:r>
      <w:r w:rsidR="00BF60B3" w:rsidRPr="00BF60B3">
        <w:t xml:space="preserve">2016 </w:t>
      </w:r>
      <w:proofErr w:type="spellStart"/>
      <w:r w:rsidR="00BF60B3" w:rsidRPr="00BF60B3">
        <w:t>NBQB</w:t>
      </w:r>
      <w:proofErr w:type="spellEnd"/>
      <w:r w:rsidR="00BF60B3" w:rsidRPr="00BF60B3">
        <w:t xml:space="preserve"> 125</w:t>
      </w:r>
      <w:r w:rsidR="00BF60B3">
        <w:t>;</w:t>
      </w:r>
      <w:r w:rsidR="00916737">
        <w:t xml:space="preserve"> </w:t>
      </w:r>
      <w:r w:rsidR="00916737">
        <w:rPr>
          <w:i/>
        </w:rPr>
        <w:t>Schenk v. Valeant Pharmaceuticals International Inc.</w:t>
      </w:r>
      <w:r w:rsidR="00916737">
        <w:t xml:space="preserve">, 2015 </w:t>
      </w:r>
      <w:proofErr w:type="spellStart"/>
      <w:r w:rsidR="00916737">
        <w:t>ONSC</w:t>
      </w:r>
      <w:proofErr w:type="spellEnd"/>
      <w:r w:rsidR="00916737">
        <w:t xml:space="preserve"> 3215, 74 </w:t>
      </w:r>
      <w:proofErr w:type="spellStart"/>
      <w:r w:rsidR="00916737">
        <w:t>C.P.C</w:t>
      </w:r>
      <w:proofErr w:type="spellEnd"/>
      <w:r w:rsidR="00916737">
        <w:t>. (7th) 332;</w:t>
      </w:r>
      <w:r w:rsidR="005E143A">
        <w:t xml:space="preserve"> </w:t>
      </w:r>
      <w:r w:rsidR="005E143A">
        <w:rPr>
          <w:i/>
        </w:rPr>
        <w:t>Re Blackburn</w:t>
      </w:r>
      <w:r w:rsidR="005E143A">
        <w:t xml:space="preserve">, 2011 </w:t>
      </w:r>
      <w:proofErr w:type="spellStart"/>
      <w:r w:rsidR="005E143A">
        <w:t>BCSC</w:t>
      </w:r>
      <w:proofErr w:type="spellEnd"/>
      <w:r w:rsidR="005E143A">
        <w:t xml:space="preserve"> 1671, 27 </w:t>
      </w:r>
      <w:proofErr w:type="spellStart"/>
      <w:r w:rsidR="005E143A">
        <w:t>B.C.L.R</w:t>
      </w:r>
      <w:proofErr w:type="spellEnd"/>
      <w:r w:rsidR="005E143A">
        <w:t xml:space="preserve">. (5th) 199; </w:t>
      </w:r>
      <w:r w:rsidR="00447950">
        <w:rPr>
          <w:i/>
        </w:rPr>
        <w:t xml:space="preserve">Sun </w:t>
      </w:r>
      <w:proofErr w:type="spellStart"/>
      <w:r w:rsidR="00447950">
        <w:rPr>
          <w:i/>
        </w:rPr>
        <w:t>Indalex</w:t>
      </w:r>
      <w:proofErr w:type="spellEnd"/>
      <w:r w:rsidR="00447950">
        <w:rPr>
          <w:i/>
        </w:rPr>
        <w:t xml:space="preserve"> Finance, LLC v. United Steelworkers</w:t>
      </w:r>
      <w:r w:rsidR="00447950">
        <w:t xml:space="preserve">, 2013 SCC 6, [2013] 1 </w:t>
      </w:r>
      <w:proofErr w:type="spellStart"/>
      <w:r w:rsidR="00447950">
        <w:t>S.C.R</w:t>
      </w:r>
      <w:proofErr w:type="spellEnd"/>
      <w:r w:rsidR="00447950">
        <w:t>. 271;</w:t>
      </w:r>
      <w:r w:rsidR="00F67B3A">
        <w:t xml:space="preserve"> </w:t>
      </w:r>
      <w:r w:rsidR="00F67B3A">
        <w:rPr>
          <w:i/>
        </w:rPr>
        <w:t>Ernst &amp; Youn</w:t>
      </w:r>
      <w:r w:rsidR="00D47674">
        <w:rPr>
          <w:i/>
        </w:rPr>
        <w:t>g I</w:t>
      </w:r>
      <w:r w:rsidR="00936F5B">
        <w:rPr>
          <w:i/>
        </w:rPr>
        <w:t>nc. v. Essar Global Fund Ltd.</w:t>
      </w:r>
      <w:r w:rsidR="00F67B3A">
        <w:t xml:space="preserve">, 2017 </w:t>
      </w:r>
      <w:proofErr w:type="spellStart"/>
      <w:r w:rsidR="00F67B3A">
        <w:t>ONCA</w:t>
      </w:r>
      <w:proofErr w:type="spellEnd"/>
      <w:r w:rsidR="00F67B3A">
        <w:t xml:space="preserve"> 1014, 139 </w:t>
      </w:r>
      <w:proofErr w:type="spellStart"/>
      <w:r w:rsidR="00F67B3A">
        <w:t>O.R</w:t>
      </w:r>
      <w:proofErr w:type="spellEnd"/>
      <w:r w:rsidR="00F67B3A">
        <w:t>. (</w:t>
      </w:r>
      <w:proofErr w:type="spellStart"/>
      <w:r w:rsidR="00F67B3A">
        <w:t>3d</w:t>
      </w:r>
      <w:proofErr w:type="spellEnd"/>
      <w:r w:rsidR="00F67B3A">
        <w:t>) 1;</w:t>
      </w:r>
      <w:r w:rsidR="00653E3F">
        <w:t xml:space="preserve"> </w:t>
      </w:r>
      <w:r w:rsidR="00653E3F">
        <w:rPr>
          <w:i/>
        </w:rPr>
        <w:t xml:space="preserve">Third Eye Capital Corporation v. </w:t>
      </w:r>
      <w:proofErr w:type="spellStart"/>
      <w:r w:rsidR="00653E3F">
        <w:rPr>
          <w:i/>
        </w:rPr>
        <w:t>Ressources</w:t>
      </w:r>
      <w:proofErr w:type="spellEnd"/>
      <w:r w:rsidR="00653E3F">
        <w:rPr>
          <w:i/>
        </w:rPr>
        <w:t xml:space="preserve"> </w:t>
      </w:r>
      <w:proofErr w:type="spellStart"/>
      <w:r w:rsidR="00653E3F">
        <w:rPr>
          <w:i/>
        </w:rPr>
        <w:t>Dianor</w:t>
      </w:r>
      <w:proofErr w:type="spellEnd"/>
      <w:r w:rsidR="00653E3F">
        <w:rPr>
          <w:i/>
        </w:rPr>
        <w:t xml:space="preserve"> Inc./</w:t>
      </w:r>
      <w:proofErr w:type="spellStart"/>
      <w:r w:rsidR="00653E3F">
        <w:rPr>
          <w:i/>
        </w:rPr>
        <w:t>Dianor</w:t>
      </w:r>
      <w:proofErr w:type="spellEnd"/>
      <w:r w:rsidR="00653E3F">
        <w:rPr>
          <w:i/>
        </w:rPr>
        <w:t xml:space="preserve"> Resources Inc.</w:t>
      </w:r>
      <w:r w:rsidR="00653E3F">
        <w:t xml:space="preserve">, 2019 </w:t>
      </w:r>
      <w:proofErr w:type="spellStart"/>
      <w:r w:rsidR="00653E3F">
        <w:t>ONCA</w:t>
      </w:r>
      <w:proofErr w:type="spellEnd"/>
      <w:r w:rsidR="00653E3F">
        <w:t xml:space="preserve"> 508, 435 </w:t>
      </w:r>
      <w:proofErr w:type="spellStart"/>
      <w:r w:rsidR="00653E3F">
        <w:t>D.L.R</w:t>
      </w:r>
      <w:proofErr w:type="spellEnd"/>
      <w:r w:rsidR="00653E3F">
        <w:t>. (4th) 416;</w:t>
      </w:r>
      <w:r w:rsidR="00ED2D5A">
        <w:t xml:space="preserve"> </w:t>
      </w:r>
      <w:r w:rsidR="004F2501" w:rsidRPr="00CD70EC">
        <w:rPr>
          <w:i/>
        </w:rPr>
        <w:t>Re Canadian Red Cross Society</w:t>
      </w:r>
      <w:r w:rsidR="004F2501">
        <w:t xml:space="preserve"> </w:t>
      </w:r>
      <w:r w:rsidR="00ED2D5A">
        <w:t xml:space="preserve">(1998), 5 </w:t>
      </w:r>
      <w:proofErr w:type="spellStart"/>
      <w:r w:rsidR="00ED2D5A">
        <w:t>C.B.R</w:t>
      </w:r>
      <w:proofErr w:type="spellEnd"/>
      <w:r w:rsidR="00ED2D5A">
        <w:t>. (4th) 299;</w:t>
      </w:r>
      <w:r w:rsidR="000A5AC9" w:rsidRPr="000A5AC9">
        <w:rPr>
          <w:i/>
        </w:rPr>
        <w:t xml:space="preserve"> </w:t>
      </w:r>
      <w:r w:rsidR="000A5AC9" w:rsidRPr="00CD70EC">
        <w:rPr>
          <w:i/>
        </w:rPr>
        <w:t>Re Target Canada Co.</w:t>
      </w:r>
      <w:r w:rsidR="00145A56">
        <w:t xml:space="preserve">, 2015 </w:t>
      </w:r>
      <w:proofErr w:type="spellStart"/>
      <w:r w:rsidR="00145A56">
        <w:t>ONSC</w:t>
      </w:r>
      <w:proofErr w:type="spellEnd"/>
      <w:r w:rsidR="00145A56">
        <w:t xml:space="preserve"> 303, 22 </w:t>
      </w:r>
      <w:proofErr w:type="spellStart"/>
      <w:r w:rsidR="00145A56">
        <w:t>C.B.R</w:t>
      </w:r>
      <w:proofErr w:type="spellEnd"/>
      <w:r w:rsidR="00145A56">
        <w:t>. (6th) 323;</w:t>
      </w:r>
      <w:r w:rsidR="00E011AA">
        <w:t xml:space="preserve"> </w:t>
      </w:r>
      <w:proofErr w:type="spellStart"/>
      <w:r w:rsidR="00E011AA">
        <w:rPr>
          <w:i/>
        </w:rPr>
        <w:t>Uti</w:t>
      </w:r>
      <w:proofErr w:type="spellEnd"/>
      <w:r w:rsidR="00E011AA">
        <w:rPr>
          <w:i/>
        </w:rPr>
        <w:t xml:space="preserve"> Energy Corp. v. </w:t>
      </w:r>
      <w:proofErr w:type="spellStart"/>
      <w:r w:rsidR="00E011AA">
        <w:rPr>
          <w:i/>
        </w:rPr>
        <w:t>Fracmaster</w:t>
      </w:r>
      <w:proofErr w:type="spellEnd"/>
      <w:r w:rsidR="00E011AA">
        <w:rPr>
          <w:i/>
        </w:rPr>
        <w:t xml:space="preserve"> Ltd.</w:t>
      </w:r>
      <w:r w:rsidR="00E011AA">
        <w:t xml:space="preserve">, 1999 </w:t>
      </w:r>
      <w:proofErr w:type="spellStart"/>
      <w:r w:rsidR="00E011AA">
        <w:t>ABCA</w:t>
      </w:r>
      <w:proofErr w:type="spellEnd"/>
      <w:r w:rsidR="00E011AA">
        <w:t xml:space="preserve"> 178, 244 </w:t>
      </w:r>
      <w:proofErr w:type="spellStart"/>
      <w:r w:rsidR="00E011AA">
        <w:t>A.R</w:t>
      </w:r>
      <w:proofErr w:type="spellEnd"/>
      <w:r w:rsidR="00E011AA">
        <w:t xml:space="preserve">. 93, </w:t>
      </w:r>
      <w:proofErr w:type="spellStart"/>
      <w:r w:rsidR="00E011AA">
        <w:t>aff</w:t>
      </w:r>
      <w:r w:rsidR="008D2A18">
        <w:t>’</w:t>
      </w:r>
      <w:r w:rsidR="00E011AA">
        <w:t>g</w:t>
      </w:r>
      <w:proofErr w:type="spellEnd"/>
      <w:r w:rsidR="00E011AA">
        <w:t xml:space="preserve"> 1999 </w:t>
      </w:r>
      <w:proofErr w:type="spellStart"/>
      <w:r w:rsidR="00E011AA">
        <w:t>ABQB</w:t>
      </w:r>
      <w:proofErr w:type="spellEnd"/>
      <w:r w:rsidR="00E011AA">
        <w:t xml:space="preserve"> 379</w:t>
      </w:r>
      <w:r w:rsidR="000F5A19">
        <w:t xml:space="preserve">, 11 </w:t>
      </w:r>
      <w:proofErr w:type="spellStart"/>
      <w:r w:rsidR="000F5A19">
        <w:t>C.B.R</w:t>
      </w:r>
      <w:proofErr w:type="spellEnd"/>
      <w:r w:rsidR="000F5A19">
        <w:t>. (4th) 204</w:t>
      </w:r>
      <w:r w:rsidR="00E011AA">
        <w:t>;</w:t>
      </w:r>
      <w:r w:rsidR="007603DF">
        <w:t xml:space="preserve"> </w:t>
      </w:r>
      <w:r w:rsidR="007603DF">
        <w:rPr>
          <w:i/>
        </w:rPr>
        <w:t>Orphan Well Association v. Grant Thornton Ltd.</w:t>
      </w:r>
      <w:r w:rsidR="007603DF">
        <w:t xml:space="preserve">, 2019 SCC 5, [2019] 1 </w:t>
      </w:r>
      <w:proofErr w:type="spellStart"/>
      <w:r w:rsidR="007603DF">
        <w:t>S.C.R</w:t>
      </w:r>
      <w:proofErr w:type="spellEnd"/>
      <w:r w:rsidR="007603DF">
        <w:t>. 150;</w:t>
      </w:r>
      <w:r w:rsidR="0006448A">
        <w:t xml:space="preserve"> </w:t>
      </w:r>
      <w:proofErr w:type="spellStart"/>
      <w:r w:rsidR="0006448A">
        <w:rPr>
          <w:i/>
        </w:rPr>
        <w:t>Stelco</w:t>
      </w:r>
      <w:proofErr w:type="spellEnd"/>
      <w:r w:rsidR="0006448A">
        <w:rPr>
          <w:i/>
        </w:rPr>
        <w:t xml:space="preserve"> Inc. (Re)</w:t>
      </w:r>
      <w:r w:rsidR="0006448A">
        <w:t xml:space="preserve"> (2005), 253 </w:t>
      </w:r>
      <w:proofErr w:type="spellStart"/>
      <w:r w:rsidR="0006448A">
        <w:t>D.L.R</w:t>
      </w:r>
      <w:proofErr w:type="spellEnd"/>
      <w:r w:rsidR="0006448A">
        <w:t>. (4th) 109;</w:t>
      </w:r>
      <w:r w:rsidR="00821EFD">
        <w:t xml:space="preserve"> </w:t>
      </w:r>
      <w:proofErr w:type="spellStart"/>
      <w:r w:rsidR="00821EFD">
        <w:rPr>
          <w:i/>
        </w:rPr>
        <w:t>Lehndorff</w:t>
      </w:r>
      <w:proofErr w:type="spellEnd"/>
      <w:r w:rsidR="00821EFD">
        <w:rPr>
          <w:i/>
        </w:rPr>
        <w:t xml:space="preserve"> General Partner Ltd.</w:t>
      </w:r>
      <w:r w:rsidR="00B07C48">
        <w:rPr>
          <w:i/>
        </w:rPr>
        <w:t>, Re</w:t>
      </w:r>
      <w:r w:rsidR="00821EFD">
        <w:t xml:space="preserve"> (1993), 17 </w:t>
      </w:r>
      <w:proofErr w:type="spellStart"/>
      <w:r w:rsidR="00821EFD">
        <w:t>C.B.R</w:t>
      </w:r>
      <w:proofErr w:type="spellEnd"/>
      <w:r w:rsidR="00821EFD">
        <w:t>. (</w:t>
      </w:r>
      <w:proofErr w:type="spellStart"/>
      <w:r w:rsidR="00821EFD">
        <w:t>3d</w:t>
      </w:r>
      <w:proofErr w:type="spellEnd"/>
      <w:r w:rsidR="00821EFD">
        <w:t>) 24;</w:t>
      </w:r>
      <w:r w:rsidR="00D825CF">
        <w:t xml:space="preserve"> </w:t>
      </w:r>
      <w:r w:rsidR="00D825CF">
        <w:rPr>
          <w:i/>
        </w:rPr>
        <w:t>North A</w:t>
      </w:r>
      <w:r w:rsidR="003B1CB9">
        <w:rPr>
          <w:i/>
        </w:rPr>
        <w:t>merican Tungsten Corp</w:t>
      </w:r>
      <w:r w:rsidR="00D825CF">
        <w:rPr>
          <w:i/>
        </w:rPr>
        <w:t>. v. Global Tungsten and Powders Corp.</w:t>
      </w:r>
      <w:r w:rsidR="00D825CF">
        <w:t xml:space="preserve">, 2015 </w:t>
      </w:r>
      <w:proofErr w:type="spellStart"/>
      <w:r w:rsidR="00D825CF">
        <w:t>BCCA</w:t>
      </w:r>
      <w:proofErr w:type="spellEnd"/>
      <w:r w:rsidR="00D825CF">
        <w:t xml:space="preserve"> 390, 377 </w:t>
      </w:r>
      <w:proofErr w:type="spellStart"/>
      <w:r w:rsidR="00D825CF">
        <w:t>B.C.A.C</w:t>
      </w:r>
      <w:proofErr w:type="spellEnd"/>
      <w:r w:rsidR="00D825CF">
        <w:t>. 6;</w:t>
      </w:r>
      <w:r w:rsidR="009F3BD5">
        <w:t xml:space="preserve"> </w:t>
      </w:r>
      <w:r w:rsidR="002A59C0">
        <w:rPr>
          <w:i/>
        </w:rPr>
        <w:t>Re BA Energy Inc.</w:t>
      </w:r>
      <w:r w:rsidR="009F3BD5">
        <w:t xml:space="preserve">, 2010 </w:t>
      </w:r>
      <w:proofErr w:type="spellStart"/>
      <w:r w:rsidR="009F3BD5">
        <w:t>ABQB</w:t>
      </w:r>
      <w:proofErr w:type="spellEnd"/>
      <w:r w:rsidR="009F3BD5">
        <w:t xml:space="preserve"> 507, 70 </w:t>
      </w:r>
      <w:proofErr w:type="spellStart"/>
      <w:r w:rsidR="009F3BD5">
        <w:t>C.B.R</w:t>
      </w:r>
      <w:proofErr w:type="spellEnd"/>
      <w:r w:rsidR="009F3BD5">
        <w:t>. (5th) 24;</w:t>
      </w:r>
      <w:r w:rsidR="00C15A67">
        <w:t xml:space="preserve"> </w:t>
      </w:r>
      <w:r w:rsidR="00C15A67">
        <w:rPr>
          <w:i/>
        </w:rPr>
        <w:t>HSBC Bank Canada v. Bear Mountain Master Partnership</w:t>
      </w:r>
      <w:r w:rsidR="00C15A67">
        <w:t xml:space="preserve">, 2010 </w:t>
      </w:r>
      <w:proofErr w:type="spellStart"/>
      <w:r w:rsidR="00C15A67">
        <w:t>BCSC</w:t>
      </w:r>
      <w:proofErr w:type="spellEnd"/>
      <w:r w:rsidR="00C15A67">
        <w:t xml:space="preserve"> 1563, 72 </w:t>
      </w:r>
      <w:proofErr w:type="spellStart"/>
      <w:r w:rsidR="00C15A67">
        <w:t>C.B.R</w:t>
      </w:r>
      <w:proofErr w:type="spellEnd"/>
      <w:r w:rsidR="00C15A67">
        <w:t>. (5th) 276;</w:t>
      </w:r>
      <w:r w:rsidR="001834D3">
        <w:t xml:space="preserve"> </w:t>
      </w:r>
      <w:r w:rsidR="001834D3">
        <w:rPr>
          <w:i/>
        </w:rPr>
        <w:t xml:space="preserve">Caterpillar Financial Services Ltd. v. </w:t>
      </w:r>
      <w:proofErr w:type="spellStart"/>
      <w:r w:rsidR="001834D3">
        <w:rPr>
          <w:i/>
        </w:rPr>
        <w:t>360networks</w:t>
      </w:r>
      <w:proofErr w:type="spellEnd"/>
      <w:r w:rsidR="001834D3">
        <w:rPr>
          <w:i/>
        </w:rPr>
        <w:t xml:space="preserve"> Corp.</w:t>
      </w:r>
      <w:r w:rsidR="001834D3">
        <w:t xml:space="preserve">, 2007 </w:t>
      </w:r>
      <w:proofErr w:type="spellStart"/>
      <w:r w:rsidR="001834D3">
        <w:t>BCCA</w:t>
      </w:r>
      <w:proofErr w:type="spellEnd"/>
      <w:r w:rsidR="001834D3">
        <w:t xml:space="preserve"> 14, 279 </w:t>
      </w:r>
      <w:proofErr w:type="spellStart"/>
      <w:r w:rsidR="001834D3">
        <w:t>D.L.R</w:t>
      </w:r>
      <w:proofErr w:type="spellEnd"/>
      <w:r w:rsidR="001834D3">
        <w:t>. (4th) 701;</w:t>
      </w:r>
      <w:r w:rsidR="00DA47D4">
        <w:t xml:space="preserve"> </w:t>
      </w:r>
      <w:r w:rsidR="00DA47D4">
        <w:rPr>
          <w:i/>
        </w:rPr>
        <w:t xml:space="preserve">Grant Forest Products Inc. v. Toronto-Dominion </w:t>
      </w:r>
      <w:r w:rsidR="00DA47D4">
        <w:rPr>
          <w:i/>
        </w:rPr>
        <w:lastRenderedPageBreak/>
        <w:t>Bank</w:t>
      </w:r>
      <w:r w:rsidR="00DA47D4">
        <w:t xml:space="preserve">, 2015 </w:t>
      </w:r>
      <w:proofErr w:type="spellStart"/>
      <w:r w:rsidR="00DA47D4">
        <w:t>ONCA</w:t>
      </w:r>
      <w:proofErr w:type="spellEnd"/>
      <w:r w:rsidR="00DA47D4">
        <w:t xml:space="preserve"> 570, 387 </w:t>
      </w:r>
      <w:proofErr w:type="spellStart"/>
      <w:r w:rsidR="00DA47D4">
        <w:t>D.L.R</w:t>
      </w:r>
      <w:proofErr w:type="spellEnd"/>
      <w:r w:rsidR="00DA47D4">
        <w:t>. (4th) 426;</w:t>
      </w:r>
      <w:r w:rsidR="00243947">
        <w:t xml:space="preserve"> </w:t>
      </w:r>
      <w:r w:rsidR="00243947">
        <w:rPr>
          <w:i/>
        </w:rPr>
        <w:t xml:space="preserve">Bridging Finance Inc. v. </w:t>
      </w:r>
      <w:proofErr w:type="spellStart"/>
      <w:r w:rsidR="00243947" w:rsidRPr="00243947">
        <w:rPr>
          <w:i/>
          <w:lang w:val="en-US"/>
        </w:rPr>
        <w:t>B</w:t>
      </w:r>
      <w:r w:rsidR="00243947">
        <w:rPr>
          <w:i/>
          <w:lang w:val="en-US"/>
        </w:rPr>
        <w:t>éton</w:t>
      </w:r>
      <w:proofErr w:type="spellEnd"/>
      <w:r w:rsidR="00243947">
        <w:rPr>
          <w:i/>
          <w:lang w:val="en-US"/>
        </w:rPr>
        <w:t xml:space="preserve"> Brunet 2001 </w:t>
      </w:r>
      <w:proofErr w:type="spellStart"/>
      <w:r w:rsidR="00243947">
        <w:rPr>
          <w:i/>
          <w:lang w:val="en-US"/>
        </w:rPr>
        <w:t>inc.</w:t>
      </w:r>
      <w:proofErr w:type="spellEnd"/>
      <w:r w:rsidR="00243947">
        <w:rPr>
          <w:lang w:val="en-US"/>
        </w:rPr>
        <w:t xml:space="preserve">, 2017 </w:t>
      </w:r>
      <w:proofErr w:type="spellStart"/>
      <w:r w:rsidR="00243947">
        <w:rPr>
          <w:lang w:val="en-US"/>
        </w:rPr>
        <w:t>QCCA</w:t>
      </w:r>
      <w:proofErr w:type="spellEnd"/>
      <w:r w:rsidR="00243947">
        <w:rPr>
          <w:lang w:val="en-US"/>
        </w:rPr>
        <w:t xml:space="preserve"> 138, 44 </w:t>
      </w:r>
      <w:proofErr w:type="spellStart"/>
      <w:r w:rsidR="00243947">
        <w:rPr>
          <w:lang w:val="en-US"/>
        </w:rPr>
        <w:t>C.B.R</w:t>
      </w:r>
      <w:proofErr w:type="spellEnd"/>
      <w:r w:rsidR="00243947">
        <w:rPr>
          <w:lang w:val="en-US"/>
        </w:rPr>
        <w:t>. (6th) 175;</w:t>
      </w:r>
      <w:r w:rsidR="001D1849">
        <w:rPr>
          <w:lang w:val="en-US"/>
        </w:rPr>
        <w:t xml:space="preserve"> </w:t>
      </w:r>
      <w:r w:rsidR="001D1849">
        <w:rPr>
          <w:i/>
          <w:lang w:val="en-US"/>
        </w:rPr>
        <w:t>New Skeena Forest Products Inc., Re</w:t>
      </w:r>
      <w:r w:rsidR="001D1849">
        <w:rPr>
          <w:lang w:val="en-US"/>
        </w:rPr>
        <w:t xml:space="preserve">, 2005 </w:t>
      </w:r>
      <w:proofErr w:type="spellStart"/>
      <w:r w:rsidR="001D1849">
        <w:rPr>
          <w:lang w:val="en-US"/>
        </w:rPr>
        <w:t>BCCA</w:t>
      </w:r>
      <w:proofErr w:type="spellEnd"/>
      <w:r w:rsidR="001D1849">
        <w:rPr>
          <w:lang w:val="en-US"/>
        </w:rPr>
        <w:t xml:space="preserve"> 192, 39 </w:t>
      </w:r>
      <w:proofErr w:type="spellStart"/>
      <w:r w:rsidR="001D1849">
        <w:rPr>
          <w:lang w:val="en-US"/>
        </w:rPr>
        <w:t>B.C.L.R</w:t>
      </w:r>
      <w:proofErr w:type="spellEnd"/>
      <w:r w:rsidR="001D1849">
        <w:rPr>
          <w:lang w:val="en-US"/>
        </w:rPr>
        <w:t>. (4th) 338;</w:t>
      </w:r>
      <w:r w:rsidR="00215404">
        <w:rPr>
          <w:lang w:val="en-US"/>
        </w:rPr>
        <w:t xml:space="preserve"> </w:t>
      </w:r>
      <w:r w:rsidR="00215404">
        <w:rPr>
          <w:i/>
          <w:lang w:val="en-US"/>
        </w:rPr>
        <w:t xml:space="preserve">Canadian Metropolitan Properties Corp. v. </w:t>
      </w:r>
      <w:proofErr w:type="spellStart"/>
      <w:r w:rsidR="00215404">
        <w:rPr>
          <w:i/>
          <w:lang w:val="en-US"/>
        </w:rPr>
        <w:t>Libin</w:t>
      </w:r>
      <w:proofErr w:type="spellEnd"/>
      <w:r w:rsidR="00215404">
        <w:rPr>
          <w:i/>
          <w:lang w:val="en-US"/>
        </w:rPr>
        <w:t xml:space="preserve"> Holdings Ltd.</w:t>
      </w:r>
      <w:r w:rsidR="00215404">
        <w:rPr>
          <w:lang w:val="en-US"/>
        </w:rPr>
        <w:t xml:space="preserve">, 2009 </w:t>
      </w:r>
      <w:proofErr w:type="spellStart"/>
      <w:r w:rsidR="00215404">
        <w:rPr>
          <w:lang w:val="en-US"/>
        </w:rPr>
        <w:t>BCCA</w:t>
      </w:r>
      <w:proofErr w:type="spellEnd"/>
      <w:r w:rsidR="00215404">
        <w:rPr>
          <w:lang w:val="en-US"/>
        </w:rPr>
        <w:t xml:space="preserve"> 40, 308 </w:t>
      </w:r>
      <w:proofErr w:type="spellStart"/>
      <w:r w:rsidR="00215404">
        <w:rPr>
          <w:lang w:val="en-US"/>
        </w:rPr>
        <w:t>D.L.R</w:t>
      </w:r>
      <w:proofErr w:type="spellEnd"/>
      <w:r w:rsidR="00215404">
        <w:rPr>
          <w:lang w:val="en-US"/>
        </w:rPr>
        <w:t>. (4th) 339;</w:t>
      </w:r>
      <w:r w:rsidR="00737AD4">
        <w:rPr>
          <w:lang w:val="en-US"/>
        </w:rPr>
        <w:t xml:space="preserve"> </w:t>
      </w:r>
      <w:r w:rsidR="00737AD4" w:rsidRPr="00737AD4">
        <w:rPr>
          <w:i/>
          <w:lang w:val="en-US"/>
        </w:rPr>
        <w:t>Metcalfe &amp; Mansfield Alternative Investments II Corp. (Re)</w:t>
      </w:r>
      <w:r w:rsidR="00737AD4">
        <w:rPr>
          <w:lang w:val="en-US"/>
        </w:rPr>
        <w:t xml:space="preserve">, 2008 </w:t>
      </w:r>
      <w:proofErr w:type="spellStart"/>
      <w:r w:rsidR="00737AD4">
        <w:rPr>
          <w:lang w:val="en-US"/>
        </w:rPr>
        <w:t>ONCA</w:t>
      </w:r>
      <w:proofErr w:type="spellEnd"/>
      <w:r w:rsidR="00737AD4">
        <w:rPr>
          <w:lang w:val="en-US"/>
        </w:rPr>
        <w:t xml:space="preserve"> 587, 296 </w:t>
      </w:r>
      <w:proofErr w:type="spellStart"/>
      <w:r w:rsidR="00737AD4">
        <w:rPr>
          <w:lang w:val="en-US"/>
        </w:rPr>
        <w:t>D.L.R</w:t>
      </w:r>
      <w:proofErr w:type="spellEnd"/>
      <w:r w:rsidR="00737AD4">
        <w:rPr>
          <w:lang w:val="en-US"/>
        </w:rPr>
        <w:t>. (4th) 135;</w:t>
      </w:r>
      <w:r w:rsidR="00DF309C" w:rsidRPr="00DF309C">
        <w:t xml:space="preserve"> </w:t>
      </w:r>
      <w:r w:rsidR="00DF309C" w:rsidRPr="00DF309C">
        <w:rPr>
          <w:i/>
          <w:lang w:val="en-US"/>
        </w:rPr>
        <w:t xml:space="preserve">Canada </w:t>
      </w:r>
      <w:proofErr w:type="spellStart"/>
      <w:r w:rsidR="00DF309C" w:rsidRPr="00DF309C">
        <w:rPr>
          <w:i/>
          <w:lang w:val="en-US"/>
        </w:rPr>
        <w:t>Trustco</w:t>
      </w:r>
      <w:proofErr w:type="spellEnd"/>
      <w:r w:rsidR="00DF309C" w:rsidRPr="00DF309C">
        <w:rPr>
          <w:i/>
          <w:lang w:val="en-US"/>
        </w:rPr>
        <w:t xml:space="preserve"> Mortgage Co. v. Canada</w:t>
      </w:r>
      <w:r w:rsidR="00DF309C">
        <w:rPr>
          <w:lang w:val="en-US"/>
        </w:rPr>
        <w:t xml:space="preserve">, 2005 SCC 54, [2005] 2 </w:t>
      </w:r>
      <w:proofErr w:type="spellStart"/>
      <w:r w:rsidR="00DF309C">
        <w:rPr>
          <w:lang w:val="en-US"/>
        </w:rPr>
        <w:t>S.C.R</w:t>
      </w:r>
      <w:proofErr w:type="spellEnd"/>
      <w:r w:rsidR="00DF309C">
        <w:rPr>
          <w:lang w:val="en-US"/>
        </w:rPr>
        <w:t>. 601;</w:t>
      </w:r>
      <w:r w:rsidR="00E827E6">
        <w:rPr>
          <w:lang w:val="en-US"/>
        </w:rPr>
        <w:t xml:space="preserve"> </w:t>
      </w:r>
      <w:r w:rsidR="006E1C87">
        <w:rPr>
          <w:i/>
          <w:lang w:val="en-US"/>
        </w:rPr>
        <w:t>Re 1078385 Ontario Ltd</w:t>
      </w:r>
      <w:r w:rsidR="00F7397A">
        <w:rPr>
          <w:i/>
          <w:lang w:val="en-US"/>
        </w:rPr>
        <w:t>.</w:t>
      </w:r>
      <w:r w:rsidR="00E827E6">
        <w:rPr>
          <w:lang w:val="en-US"/>
        </w:rPr>
        <w:t xml:space="preserve"> (2004), 206 </w:t>
      </w:r>
      <w:proofErr w:type="spellStart"/>
      <w:r w:rsidR="00E827E6">
        <w:rPr>
          <w:lang w:val="en-US"/>
        </w:rPr>
        <w:t>O.A.C</w:t>
      </w:r>
      <w:proofErr w:type="spellEnd"/>
      <w:r w:rsidR="00E827E6">
        <w:rPr>
          <w:lang w:val="en-US"/>
        </w:rPr>
        <w:t>. 17;</w:t>
      </w:r>
      <w:r w:rsidR="00D74B57">
        <w:rPr>
          <w:lang w:val="en-US"/>
        </w:rPr>
        <w:t xml:space="preserve"> </w:t>
      </w:r>
      <w:r w:rsidR="00D74B57">
        <w:rPr>
          <w:i/>
          <w:lang w:val="en-US"/>
        </w:rPr>
        <w:t>ATCO Gas and Pipelines Ltd. v. Alberta (Energy and Utilities Board)</w:t>
      </w:r>
      <w:r w:rsidR="00D74B57">
        <w:rPr>
          <w:lang w:val="en-US"/>
        </w:rPr>
        <w:t xml:space="preserve">, 2006 SCC 4, [2006] 1 </w:t>
      </w:r>
      <w:proofErr w:type="spellStart"/>
      <w:r w:rsidR="00D74B57">
        <w:rPr>
          <w:lang w:val="en-US"/>
        </w:rPr>
        <w:t>S.C.R</w:t>
      </w:r>
      <w:proofErr w:type="spellEnd"/>
      <w:r w:rsidR="00D74B57">
        <w:rPr>
          <w:lang w:val="en-US"/>
        </w:rPr>
        <w:t>. 140;</w:t>
      </w:r>
      <w:r w:rsidR="0076476A">
        <w:rPr>
          <w:lang w:val="en-US"/>
        </w:rPr>
        <w:t xml:space="preserve"> </w:t>
      </w:r>
      <w:r w:rsidR="001E6C51">
        <w:rPr>
          <w:i/>
          <w:lang w:val="en-US"/>
        </w:rPr>
        <w:t>Nortel Networks Corp., Re</w:t>
      </w:r>
      <w:r w:rsidR="001E6C51">
        <w:rPr>
          <w:lang w:val="en-US"/>
        </w:rPr>
        <w:t xml:space="preserve">, 2015 </w:t>
      </w:r>
      <w:proofErr w:type="spellStart"/>
      <w:r w:rsidR="001E6C51">
        <w:rPr>
          <w:lang w:val="en-US"/>
        </w:rPr>
        <w:t>ONCA</w:t>
      </w:r>
      <w:proofErr w:type="spellEnd"/>
      <w:r w:rsidR="001E6C51">
        <w:rPr>
          <w:lang w:val="en-US"/>
        </w:rPr>
        <w:t xml:space="preserve"> 681, 391 </w:t>
      </w:r>
      <w:proofErr w:type="spellStart"/>
      <w:r w:rsidR="001E6C51">
        <w:rPr>
          <w:lang w:val="en-US"/>
        </w:rPr>
        <w:t>D.L.R</w:t>
      </w:r>
      <w:proofErr w:type="spellEnd"/>
      <w:r w:rsidR="001E6C51">
        <w:rPr>
          <w:lang w:val="en-US"/>
        </w:rPr>
        <w:t>. (4th) 283;</w:t>
      </w:r>
      <w:r w:rsidR="0058180B" w:rsidRPr="0058180B">
        <w:t xml:space="preserve"> </w:t>
      </w:r>
      <w:r w:rsidR="009B2128">
        <w:rPr>
          <w:i/>
          <w:lang w:val="en-US"/>
        </w:rPr>
        <w:t>Kitchener Frame Ltd.</w:t>
      </w:r>
      <w:r w:rsidR="0058180B" w:rsidRPr="0058180B">
        <w:rPr>
          <w:lang w:val="en-US"/>
        </w:rPr>
        <w:t xml:space="preserve">, 2012 </w:t>
      </w:r>
      <w:proofErr w:type="spellStart"/>
      <w:r w:rsidR="0058180B" w:rsidRPr="0058180B">
        <w:rPr>
          <w:lang w:val="en-US"/>
        </w:rPr>
        <w:t>ONSC</w:t>
      </w:r>
      <w:proofErr w:type="spellEnd"/>
      <w:r w:rsidR="0058180B" w:rsidRPr="0058180B">
        <w:rPr>
          <w:lang w:val="en-US"/>
        </w:rPr>
        <w:t xml:space="preserve"> 234</w:t>
      </w:r>
      <w:r w:rsidR="0058180B">
        <w:rPr>
          <w:lang w:val="en-US"/>
        </w:rPr>
        <w:t xml:space="preserve">, 86 </w:t>
      </w:r>
      <w:proofErr w:type="spellStart"/>
      <w:r w:rsidR="0058180B">
        <w:rPr>
          <w:lang w:val="en-US"/>
        </w:rPr>
        <w:t>C.B.R</w:t>
      </w:r>
      <w:proofErr w:type="spellEnd"/>
      <w:r w:rsidR="0058180B">
        <w:rPr>
          <w:lang w:val="en-US"/>
        </w:rPr>
        <w:t>. (5th) 274;</w:t>
      </w:r>
      <w:r w:rsidR="009A7BDA">
        <w:rPr>
          <w:lang w:val="en-US"/>
        </w:rPr>
        <w:t xml:space="preserve"> </w:t>
      </w:r>
      <w:r w:rsidR="009A7BDA">
        <w:rPr>
          <w:i/>
          <w:lang w:val="en-US"/>
        </w:rPr>
        <w:t>Royal Oak Mines Inc., Re</w:t>
      </w:r>
      <w:r w:rsidR="009A7BDA">
        <w:rPr>
          <w:lang w:val="en-US"/>
        </w:rPr>
        <w:t xml:space="preserve"> (1999), 6 </w:t>
      </w:r>
      <w:proofErr w:type="spellStart"/>
      <w:r w:rsidR="009A7BDA">
        <w:rPr>
          <w:lang w:val="en-US"/>
        </w:rPr>
        <w:t>C.B.R</w:t>
      </w:r>
      <w:proofErr w:type="spellEnd"/>
      <w:r w:rsidR="009A7BDA">
        <w:rPr>
          <w:lang w:val="en-US"/>
        </w:rPr>
        <w:t>. (4th) 314;</w:t>
      </w:r>
      <w:r w:rsidR="00934D21" w:rsidRPr="00934D21">
        <w:t xml:space="preserve"> </w:t>
      </w:r>
      <w:r w:rsidR="00934D21" w:rsidRPr="00934D21">
        <w:rPr>
          <w:i/>
          <w:lang w:val="en-US"/>
        </w:rPr>
        <w:t xml:space="preserve">Boutiques San Francisco Inc. v. Richter &amp; </w:t>
      </w:r>
      <w:proofErr w:type="spellStart"/>
      <w:r w:rsidR="00934D21" w:rsidRPr="00934D21">
        <w:rPr>
          <w:i/>
          <w:lang w:val="en-US"/>
        </w:rPr>
        <w:t>Associés</w:t>
      </w:r>
      <w:proofErr w:type="spellEnd"/>
      <w:r w:rsidR="00934D21" w:rsidRPr="00934D21">
        <w:rPr>
          <w:i/>
          <w:lang w:val="en-US"/>
        </w:rPr>
        <w:t xml:space="preserve"> Inc.</w:t>
      </w:r>
      <w:r w:rsidR="00934D21" w:rsidRPr="00934D21">
        <w:rPr>
          <w:lang w:val="en-US"/>
        </w:rPr>
        <w:t xml:space="preserve">, 2003 </w:t>
      </w:r>
      <w:proofErr w:type="spellStart"/>
      <w:r w:rsidR="00934D21" w:rsidRPr="00934D21">
        <w:rPr>
          <w:lang w:val="en-US"/>
        </w:rPr>
        <w:t>CanLII</w:t>
      </w:r>
      <w:proofErr w:type="spellEnd"/>
      <w:r w:rsidR="00934D21" w:rsidRPr="00934D21">
        <w:rPr>
          <w:lang w:val="en-US"/>
        </w:rPr>
        <w:t xml:space="preserve"> 36955</w:t>
      </w:r>
      <w:r w:rsidR="00934D21">
        <w:rPr>
          <w:lang w:val="en-US"/>
        </w:rPr>
        <w:t>;</w:t>
      </w:r>
      <w:r w:rsidR="008C637B">
        <w:rPr>
          <w:lang w:val="en-US"/>
        </w:rPr>
        <w:t xml:space="preserve"> </w:t>
      </w:r>
      <w:proofErr w:type="spellStart"/>
      <w:r w:rsidR="008C637B">
        <w:rPr>
          <w:i/>
          <w:lang w:val="en-US"/>
        </w:rPr>
        <w:t>Dugal</w:t>
      </w:r>
      <w:proofErr w:type="spellEnd"/>
      <w:r w:rsidR="008C637B">
        <w:rPr>
          <w:i/>
          <w:lang w:val="en-US"/>
        </w:rPr>
        <w:t xml:space="preserve"> v. Manulife Financial Corp.</w:t>
      </w:r>
      <w:r w:rsidR="008C637B">
        <w:rPr>
          <w:lang w:val="en-US"/>
        </w:rPr>
        <w:t xml:space="preserve">, </w:t>
      </w:r>
      <w:r w:rsidR="009E49F4">
        <w:rPr>
          <w:lang w:val="en-US"/>
        </w:rPr>
        <w:t xml:space="preserve">2011 </w:t>
      </w:r>
      <w:proofErr w:type="spellStart"/>
      <w:r w:rsidR="009E49F4">
        <w:rPr>
          <w:lang w:val="en-US"/>
        </w:rPr>
        <w:t>ONSC</w:t>
      </w:r>
      <w:proofErr w:type="spellEnd"/>
      <w:r w:rsidR="009E49F4">
        <w:rPr>
          <w:lang w:val="en-US"/>
        </w:rPr>
        <w:t xml:space="preserve"> 1785, 105 </w:t>
      </w:r>
      <w:proofErr w:type="spellStart"/>
      <w:r w:rsidR="009E49F4">
        <w:rPr>
          <w:lang w:val="en-US"/>
        </w:rPr>
        <w:t>O.R</w:t>
      </w:r>
      <w:proofErr w:type="spellEnd"/>
      <w:r w:rsidR="009E49F4">
        <w:rPr>
          <w:lang w:val="en-US"/>
        </w:rPr>
        <w:t>. (</w:t>
      </w:r>
      <w:proofErr w:type="spellStart"/>
      <w:r w:rsidR="009E49F4">
        <w:rPr>
          <w:lang w:val="en-US"/>
        </w:rPr>
        <w:t>3d</w:t>
      </w:r>
      <w:proofErr w:type="spellEnd"/>
      <w:r w:rsidR="009E49F4">
        <w:rPr>
          <w:lang w:val="en-US"/>
        </w:rPr>
        <w:t>) 364;</w:t>
      </w:r>
      <w:r w:rsidR="0044727E">
        <w:rPr>
          <w:lang w:val="en-US"/>
        </w:rPr>
        <w:t xml:space="preserve"> </w:t>
      </w:r>
      <w:proofErr w:type="spellStart"/>
      <w:r w:rsidR="0044727E">
        <w:rPr>
          <w:i/>
          <w:lang w:val="en-US"/>
        </w:rPr>
        <w:t>Montgrain</w:t>
      </w:r>
      <w:proofErr w:type="spellEnd"/>
      <w:r w:rsidR="0044727E">
        <w:rPr>
          <w:i/>
          <w:lang w:val="en-US"/>
        </w:rPr>
        <w:t xml:space="preserve"> v.</w:t>
      </w:r>
      <w:r w:rsidR="004963E3" w:rsidRPr="004963E3">
        <w:rPr>
          <w:i/>
          <w:szCs w:val="24"/>
        </w:rPr>
        <w:t xml:space="preserve"> </w:t>
      </w:r>
      <w:proofErr w:type="spellStart"/>
      <w:r w:rsidR="006E1C87">
        <w:rPr>
          <w:i/>
        </w:rPr>
        <w:t>Banque</w:t>
      </w:r>
      <w:proofErr w:type="spellEnd"/>
      <w:r w:rsidR="006E1C87">
        <w:rPr>
          <w:i/>
        </w:rPr>
        <w:t xml:space="preserve"> </w:t>
      </w:r>
      <w:proofErr w:type="spellStart"/>
      <w:r w:rsidR="006E1C87">
        <w:rPr>
          <w:i/>
        </w:rPr>
        <w:t>nationale</w:t>
      </w:r>
      <w:proofErr w:type="spellEnd"/>
      <w:r w:rsidR="006E1C87">
        <w:rPr>
          <w:i/>
        </w:rPr>
        <w:t xml:space="preserve"> du</w:t>
      </w:r>
      <w:r w:rsidR="004963E3" w:rsidRPr="004963E3">
        <w:rPr>
          <w:i/>
        </w:rPr>
        <w:t xml:space="preserve"> Canada</w:t>
      </w:r>
      <w:r w:rsidR="0044727E">
        <w:rPr>
          <w:lang w:val="en-US"/>
        </w:rPr>
        <w:t xml:space="preserve">, 2006 </w:t>
      </w:r>
      <w:proofErr w:type="spellStart"/>
      <w:r w:rsidR="0044727E">
        <w:rPr>
          <w:lang w:val="en-US"/>
        </w:rPr>
        <w:t>QCCA</w:t>
      </w:r>
      <w:proofErr w:type="spellEnd"/>
      <w:r w:rsidR="0044727E">
        <w:rPr>
          <w:lang w:val="en-US"/>
        </w:rPr>
        <w:t xml:space="preserve"> 557, [2006] </w:t>
      </w:r>
      <w:proofErr w:type="spellStart"/>
      <w:r w:rsidR="0044727E">
        <w:rPr>
          <w:lang w:val="en-US"/>
        </w:rPr>
        <w:t>R.J.Q</w:t>
      </w:r>
      <w:proofErr w:type="spellEnd"/>
      <w:r w:rsidR="0044727E">
        <w:rPr>
          <w:lang w:val="en-US"/>
        </w:rPr>
        <w:t>. 1009;</w:t>
      </w:r>
      <w:r w:rsidR="00BF2CD6">
        <w:rPr>
          <w:lang w:val="en-US"/>
        </w:rPr>
        <w:t xml:space="preserve"> </w:t>
      </w:r>
      <w:r w:rsidR="00BF2CD6">
        <w:rPr>
          <w:i/>
          <w:lang w:val="en-US"/>
        </w:rPr>
        <w:t xml:space="preserve">Langtry v. </w:t>
      </w:r>
      <w:proofErr w:type="spellStart"/>
      <w:r w:rsidR="00BF2CD6" w:rsidRPr="00B955D5">
        <w:rPr>
          <w:i/>
          <w:lang w:val="en-US"/>
        </w:rPr>
        <w:t>Dumoulin</w:t>
      </w:r>
      <w:proofErr w:type="spellEnd"/>
      <w:r w:rsidR="00BF2CD6" w:rsidRPr="00B955D5">
        <w:rPr>
          <w:lang w:val="en-US"/>
        </w:rPr>
        <w:t xml:space="preserve"> (1884), 7 </w:t>
      </w:r>
      <w:proofErr w:type="spellStart"/>
      <w:r w:rsidR="00BF2CD6" w:rsidRPr="00B955D5">
        <w:rPr>
          <w:lang w:val="en-US"/>
        </w:rPr>
        <w:t>O</w:t>
      </w:r>
      <w:r w:rsidR="00BF2CD6">
        <w:rPr>
          <w:lang w:val="en-US"/>
        </w:rPr>
        <w:t>.R</w:t>
      </w:r>
      <w:proofErr w:type="spellEnd"/>
      <w:r w:rsidR="00BF2CD6">
        <w:rPr>
          <w:lang w:val="en-US"/>
        </w:rPr>
        <w:t>. 644;</w:t>
      </w:r>
      <w:r w:rsidR="0020203D">
        <w:rPr>
          <w:lang w:val="en-US"/>
        </w:rPr>
        <w:t xml:space="preserve"> </w:t>
      </w:r>
      <w:r w:rsidR="0020203D">
        <w:rPr>
          <w:i/>
          <w:lang w:val="en-US"/>
        </w:rPr>
        <w:t>McIntyre Estate v. Ontario (Attorney General)</w:t>
      </w:r>
      <w:r w:rsidR="0020203D">
        <w:rPr>
          <w:lang w:val="en-US"/>
        </w:rPr>
        <w:t xml:space="preserve"> (2002), 218 </w:t>
      </w:r>
      <w:proofErr w:type="spellStart"/>
      <w:r w:rsidR="0020203D">
        <w:rPr>
          <w:lang w:val="en-US"/>
        </w:rPr>
        <w:t>D.L.R</w:t>
      </w:r>
      <w:proofErr w:type="spellEnd"/>
      <w:r w:rsidR="0020203D">
        <w:rPr>
          <w:lang w:val="en-US"/>
        </w:rPr>
        <w:t>. (4th) 193;</w:t>
      </w:r>
      <w:r w:rsidR="009B08D4" w:rsidRPr="009B08D4">
        <w:rPr>
          <w:lang w:val="en-US"/>
        </w:rPr>
        <w:t xml:space="preserve"> </w:t>
      </w:r>
      <w:proofErr w:type="spellStart"/>
      <w:r w:rsidR="009B08D4">
        <w:rPr>
          <w:i/>
          <w:lang w:val="en-US"/>
        </w:rPr>
        <w:t>Marcotte</w:t>
      </w:r>
      <w:proofErr w:type="spellEnd"/>
      <w:r w:rsidR="009B08D4">
        <w:rPr>
          <w:i/>
          <w:lang w:val="en-US"/>
        </w:rPr>
        <w:t xml:space="preserve"> v. </w:t>
      </w:r>
      <w:proofErr w:type="spellStart"/>
      <w:r w:rsidR="009B08D4">
        <w:rPr>
          <w:i/>
          <w:lang w:val="en-US"/>
        </w:rPr>
        <w:t>Banque</w:t>
      </w:r>
      <w:proofErr w:type="spellEnd"/>
      <w:r w:rsidR="009B08D4">
        <w:rPr>
          <w:i/>
          <w:lang w:val="en-US"/>
        </w:rPr>
        <w:t xml:space="preserve"> de Montréal</w:t>
      </w:r>
      <w:r w:rsidR="009B08D4">
        <w:rPr>
          <w:lang w:val="en-US"/>
        </w:rPr>
        <w:t xml:space="preserve">, 2015 </w:t>
      </w:r>
      <w:proofErr w:type="spellStart"/>
      <w:r w:rsidR="009B08D4">
        <w:rPr>
          <w:lang w:val="en-US"/>
        </w:rPr>
        <w:t>QCCS</w:t>
      </w:r>
      <w:proofErr w:type="spellEnd"/>
      <w:r w:rsidR="009B08D4">
        <w:rPr>
          <w:lang w:val="en-US"/>
        </w:rPr>
        <w:t xml:space="preserve"> 1915;</w:t>
      </w:r>
      <w:r w:rsidR="00BF6F87">
        <w:rPr>
          <w:lang w:val="en-US"/>
        </w:rPr>
        <w:t xml:space="preserve"> </w:t>
      </w:r>
      <w:r w:rsidR="00BF6F87">
        <w:rPr>
          <w:i/>
          <w:lang w:val="en-US"/>
        </w:rPr>
        <w:t>Houle v. St. Jude Medical Inc.</w:t>
      </w:r>
      <w:r w:rsidR="00BF6F87">
        <w:rPr>
          <w:lang w:val="en-US"/>
        </w:rPr>
        <w:t xml:space="preserve">, 2017 </w:t>
      </w:r>
      <w:proofErr w:type="spellStart"/>
      <w:r w:rsidR="00BF6F87">
        <w:rPr>
          <w:lang w:val="en-US"/>
        </w:rPr>
        <w:t>ONSC</w:t>
      </w:r>
      <w:proofErr w:type="spellEnd"/>
      <w:r w:rsidR="00BF6F87">
        <w:rPr>
          <w:lang w:val="en-US"/>
        </w:rPr>
        <w:t xml:space="preserve"> 5129, 9 </w:t>
      </w:r>
      <w:proofErr w:type="spellStart"/>
      <w:r w:rsidR="00BF6F87">
        <w:rPr>
          <w:lang w:val="en-US"/>
        </w:rPr>
        <w:t>C.P.C</w:t>
      </w:r>
      <w:proofErr w:type="spellEnd"/>
      <w:r w:rsidR="00BF6F87">
        <w:rPr>
          <w:lang w:val="en-US"/>
        </w:rPr>
        <w:t>. (8th) 321, aff</w:t>
      </w:r>
      <w:r w:rsidR="008D2A18">
        <w:rPr>
          <w:lang w:val="en-US"/>
        </w:rPr>
        <w:t>’</w:t>
      </w:r>
      <w:r w:rsidR="00BF6F87">
        <w:rPr>
          <w:lang w:val="en-US"/>
        </w:rPr>
        <w:t xml:space="preserve">d 2018 </w:t>
      </w:r>
      <w:proofErr w:type="spellStart"/>
      <w:r w:rsidR="00BF6F87">
        <w:rPr>
          <w:lang w:val="en-US"/>
        </w:rPr>
        <w:t>ONSC</w:t>
      </w:r>
      <w:proofErr w:type="spellEnd"/>
      <w:r w:rsidR="00BF6F87">
        <w:rPr>
          <w:lang w:val="en-US"/>
        </w:rPr>
        <w:t xml:space="preserve"> 6352, 429 </w:t>
      </w:r>
      <w:proofErr w:type="spellStart"/>
      <w:r w:rsidR="00BF6F87">
        <w:rPr>
          <w:lang w:val="en-US"/>
        </w:rPr>
        <w:t>D.L.R</w:t>
      </w:r>
      <w:proofErr w:type="spellEnd"/>
      <w:r w:rsidR="00BF6F87">
        <w:rPr>
          <w:lang w:val="en-US"/>
        </w:rPr>
        <w:t>. (4th) 739;</w:t>
      </w:r>
      <w:r w:rsidR="00AF5AD9">
        <w:rPr>
          <w:lang w:val="en-US"/>
        </w:rPr>
        <w:t xml:space="preserve"> </w:t>
      </w:r>
      <w:proofErr w:type="spellStart"/>
      <w:r w:rsidR="0017702E">
        <w:rPr>
          <w:i/>
          <w:lang w:val="en-US"/>
        </w:rPr>
        <w:t>Stanway</w:t>
      </w:r>
      <w:proofErr w:type="spellEnd"/>
      <w:r w:rsidR="0017702E">
        <w:rPr>
          <w:i/>
          <w:lang w:val="en-US"/>
        </w:rPr>
        <w:t xml:space="preserve"> v. Wyeth</w:t>
      </w:r>
      <w:r w:rsidR="00AF5AD9">
        <w:rPr>
          <w:lang w:val="en-US"/>
        </w:rPr>
        <w:t xml:space="preserve">, 2013 </w:t>
      </w:r>
      <w:proofErr w:type="spellStart"/>
      <w:r w:rsidR="00AF5AD9">
        <w:rPr>
          <w:lang w:val="en-US"/>
        </w:rPr>
        <w:t>BCSC</w:t>
      </w:r>
      <w:proofErr w:type="spellEnd"/>
      <w:r w:rsidR="00AF5AD9">
        <w:rPr>
          <w:lang w:val="en-US"/>
        </w:rPr>
        <w:t xml:space="preserve"> 1585, 56 </w:t>
      </w:r>
      <w:proofErr w:type="spellStart"/>
      <w:r w:rsidR="00AF5AD9">
        <w:rPr>
          <w:lang w:val="en-US"/>
        </w:rPr>
        <w:t>B.C.L.R</w:t>
      </w:r>
      <w:proofErr w:type="spellEnd"/>
      <w:r w:rsidR="00AF5AD9">
        <w:rPr>
          <w:lang w:val="en-US"/>
        </w:rPr>
        <w:t>. (5th) 192;</w:t>
      </w:r>
      <w:r w:rsidR="00F507CE">
        <w:rPr>
          <w:lang w:val="en-US"/>
        </w:rPr>
        <w:t xml:space="preserve"> </w:t>
      </w:r>
      <w:r w:rsidR="00F507CE" w:rsidRPr="00F507CE">
        <w:rPr>
          <w:i/>
          <w:lang w:val="en-US"/>
        </w:rPr>
        <w:t>Re Crystallex International Corporation</w:t>
      </w:r>
      <w:r w:rsidR="00F507CE" w:rsidRPr="00F507CE">
        <w:rPr>
          <w:lang w:val="en-US"/>
        </w:rPr>
        <w:t xml:space="preserve">, 2012 </w:t>
      </w:r>
      <w:proofErr w:type="spellStart"/>
      <w:r w:rsidR="00F507CE" w:rsidRPr="00F507CE">
        <w:rPr>
          <w:lang w:val="en-US"/>
        </w:rPr>
        <w:t>ONSC</w:t>
      </w:r>
      <w:proofErr w:type="spellEnd"/>
      <w:r w:rsidR="00F507CE" w:rsidRPr="00F507CE">
        <w:rPr>
          <w:lang w:val="en-US"/>
        </w:rPr>
        <w:t xml:space="preserve"> 2125</w:t>
      </w:r>
      <w:r w:rsidR="00F507CE">
        <w:rPr>
          <w:lang w:val="en-US"/>
        </w:rPr>
        <w:t xml:space="preserve">, 91 </w:t>
      </w:r>
      <w:proofErr w:type="spellStart"/>
      <w:r w:rsidR="00F507CE">
        <w:rPr>
          <w:lang w:val="en-US"/>
        </w:rPr>
        <w:t>C.B.R</w:t>
      </w:r>
      <w:proofErr w:type="spellEnd"/>
      <w:r w:rsidR="00F507CE">
        <w:rPr>
          <w:lang w:val="en-US"/>
        </w:rPr>
        <w:t>. (5th) 169;</w:t>
      </w:r>
      <w:r w:rsidR="000E1E7D">
        <w:rPr>
          <w:lang w:val="en-US"/>
        </w:rPr>
        <w:t xml:space="preserve"> </w:t>
      </w:r>
      <w:r w:rsidR="000E1E7D">
        <w:rPr>
          <w:i/>
          <w:lang w:val="en-US"/>
        </w:rPr>
        <w:t xml:space="preserve">Cliffs Over Maple Bay Investments Ltd. v. </w:t>
      </w:r>
      <w:proofErr w:type="spellStart"/>
      <w:r w:rsidR="000E1E7D">
        <w:rPr>
          <w:i/>
          <w:lang w:val="en-US"/>
        </w:rPr>
        <w:t>Fisgard</w:t>
      </w:r>
      <w:proofErr w:type="spellEnd"/>
      <w:r w:rsidR="000E1E7D">
        <w:rPr>
          <w:i/>
          <w:lang w:val="en-US"/>
        </w:rPr>
        <w:t xml:space="preserve"> Capital Corp.</w:t>
      </w:r>
      <w:r w:rsidR="000E1E7D">
        <w:rPr>
          <w:lang w:val="en-US"/>
        </w:rPr>
        <w:t>, 2008</w:t>
      </w:r>
      <w:r w:rsidR="0045568F">
        <w:rPr>
          <w:lang w:val="en-US"/>
        </w:rPr>
        <w:t xml:space="preserve"> </w:t>
      </w:r>
      <w:proofErr w:type="spellStart"/>
      <w:r w:rsidR="0045568F">
        <w:rPr>
          <w:lang w:val="en-US"/>
        </w:rPr>
        <w:t>BCCA</w:t>
      </w:r>
      <w:proofErr w:type="spellEnd"/>
      <w:r w:rsidR="0045568F">
        <w:rPr>
          <w:lang w:val="en-US"/>
        </w:rPr>
        <w:t xml:space="preserve"> 327, 296 </w:t>
      </w:r>
      <w:proofErr w:type="spellStart"/>
      <w:r w:rsidR="0045568F">
        <w:rPr>
          <w:lang w:val="en-US"/>
        </w:rPr>
        <w:t>D.L.R</w:t>
      </w:r>
      <w:proofErr w:type="spellEnd"/>
      <w:r w:rsidR="0045568F">
        <w:rPr>
          <w:lang w:val="en-US"/>
        </w:rPr>
        <w:t>. (4th) 577.</w:t>
      </w:r>
    </w:p>
    <w:p w:rsidR="003B215F" w:rsidRDefault="002E6705" w:rsidP="00A46BE5">
      <w:pPr>
        <w:pStyle w:val="SCCNormalDoubleSpacing"/>
        <w:spacing w:after="720" w:line="240" w:lineRule="auto"/>
      </w:pPr>
      <w:r w:rsidRPr="00314E01">
        <w:rPr>
          <w:b/>
        </w:rPr>
        <w:t>Statutes and Regulations Cite</w:t>
      </w:r>
      <w:r w:rsidR="00A41805">
        <w:rPr>
          <w:b/>
        </w:rPr>
        <w:t>d</w:t>
      </w:r>
    </w:p>
    <w:p w:rsidR="001D5E92" w:rsidRPr="001D5E92" w:rsidRDefault="001D5E92" w:rsidP="00A46BE5">
      <w:pPr>
        <w:pStyle w:val="SCCNormalDoubleSpacing"/>
        <w:spacing w:after="240" w:line="240" w:lineRule="auto"/>
        <w:ind w:left="540" w:hanging="540"/>
      </w:pPr>
      <w:r>
        <w:rPr>
          <w:i/>
        </w:rPr>
        <w:t xml:space="preserve">An Act respecting </w:t>
      </w:r>
      <w:proofErr w:type="spellStart"/>
      <w:r>
        <w:rPr>
          <w:i/>
        </w:rPr>
        <w:t>Champerty</w:t>
      </w:r>
      <w:proofErr w:type="spellEnd"/>
      <w:r w:rsidR="00306A2D">
        <w:t>, R.S.O. 1897, c. </w:t>
      </w:r>
      <w:r>
        <w:t>327.</w:t>
      </w:r>
    </w:p>
    <w:p w:rsidR="002A1D15" w:rsidRPr="002A1D15" w:rsidRDefault="002A1D15" w:rsidP="00A46BE5">
      <w:pPr>
        <w:pStyle w:val="SCCNormalDoubleSpacing"/>
        <w:spacing w:after="240" w:line="240" w:lineRule="auto"/>
        <w:ind w:left="540" w:hanging="540"/>
      </w:pPr>
      <w:r>
        <w:rPr>
          <w:i/>
        </w:rPr>
        <w:lastRenderedPageBreak/>
        <w:t>Bankruptcy and Insolvency Act</w:t>
      </w:r>
      <w:r>
        <w:t xml:space="preserve">, </w:t>
      </w:r>
      <w:proofErr w:type="spellStart"/>
      <w:r>
        <w:t>R.S.C</w:t>
      </w:r>
      <w:proofErr w:type="spellEnd"/>
      <w:r>
        <w:t xml:space="preserve">. </w:t>
      </w:r>
      <w:r w:rsidR="00306A2D">
        <w:t>1985, c. B</w:t>
      </w:r>
      <w:r w:rsidR="00306A2D">
        <w:noBreakHyphen/>
        <w:t>3, s</w:t>
      </w:r>
      <w:r w:rsidR="00E1337F">
        <w:t>s</w:t>
      </w:r>
      <w:r w:rsidR="00306A2D">
        <w:t>. </w:t>
      </w:r>
      <w:r w:rsidR="00074864">
        <w:t>4.2</w:t>
      </w:r>
      <w:r w:rsidR="00855009">
        <w:t xml:space="preserve">, </w:t>
      </w:r>
      <w:r w:rsidR="00BB0D17">
        <w:t xml:space="preserve">43(7), </w:t>
      </w:r>
      <w:r w:rsidR="008C5D0C">
        <w:t xml:space="preserve">50(1), </w:t>
      </w:r>
      <w:r w:rsidR="00855009">
        <w:t>54(3)</w:t>
      </w:r>
      <w:r w:rsidR="006F5B73">
        <w:t>, 108(3), 187(9)</w:t>
      </w:r>
      <w:r w:rsidR="00E1337F">
        <w:t>.</w:t>
      </w:r>
    </w:p>
    <w:p w:rsidR="003D2344" w:rsidRPr="00E1337F" w:rsidRDefault="003D2344" w:rsidP="00A46BE5">
      <w:pPr>
        <w:pStyle w:val="SCCNormalDoubleSpacing"/>
        <w:spacing w:after="240" w:line="240" w:lineRule="auto"/>
        <w:ind w:left="540" w:hanging="540"/>
      </w:pPr>
      <w:r>
        <w:rPr>
          <w:i/>
        </w:rPr>
        <w:t>Budge</w:t>
      </w:r>
      <w:r w:rsidR="00306A2D">
        <w:rPr>
          <w:i/>
        </w:rPr>
        <w:t xml:space="preserve">t </w:t>
      </w:r>
      <w:r w:rsidR="00306A2D" w:rsidRPr="00E1337F">
        <w:rPr>
          <w:i/>
        </w:rPr>
        <w:t>Implementation Act, 2019, No. </w:t>
      </w:r>
      <w:r w:rsidRPr="00E1337F">
        <w:rPr>
          <w:i/>
        </w:rPr>
        <w:t>1</w:t>
      </w:r>
      <w:r w:rsidRPr="00E1337F">
        <w:t>, S.C. 2019, c</w:t>
      </w:r>
      <w:r w:rsidR="00306A2D" w:rsidRPr="00E1337F">
        <w:t>. </w:t>
      </w:r>
      <w:r w:rsidRPr="00E1337F">
        <w:t>29</w:t>
      </w:r>
      <w:r w:rsidR="006309DD" w:rsidRPr="00E1337F">
        <w:t xml:space="preserve">, </w:t>
      </w:r>
      <w:r w:rsidR="000D31BB" w:rsidRPr="00E1337F">
        <w:t>s</w:t>
      </w:r>
      <w:r w:rsidR="00306A2D" w:rsidRPr="00E1337F">
        <w:t>s. </w:t>
      </w:r>
      <w:r w:rsidR="006309DD" w:rsidRPr="00E1337F">
        <w:t>133,</w:t>
      </w:r>
      <w:r w:rsidR="000D31BB" w:rsidRPr="00E1337F">
        <w:t xml:space="preserve"> 138,</w:t>
      </w:r>
      <w:r w:rsidR="006309DD" w:rsidRPr="00E1337F">
        <w:t xml:space="preserve"> 140.</w:t>
      </w:r>
    </w:p>
    <w:p w:rsidR="00A149DF" w:rsidRPr="002048C2" w:rsidRDefault="006729F2" w:rsidP="00A46BE5">
      <w:pPr>
        <w:pStyle w:val="SCCNormalDoubleSpacing"/>
        <w:spacing w:after="240" w:line="240" w:lineRule="auto"/>
        <w:ind w:left="540" w:hanging="540"/>
        <w:rPr>
          <w:lang w:val="en-US"/>
        </w:rPr>
      </w:pPr>
      <w:r w:rsidRPr="00E1337F">
        <w:rPr>
          <w:i/>
        </w:rPr>
        <w:t>Companies</w:t>
      </w:r>
      <w:r w:rsidR="008D2A18">
        <w:rPr>
          <w:i/>
        </w:rPr>
        <w:t>’</w:t>
      </w:r>
      <w:r w:rsidRPr="00E1337F">
        <w:rPr>
          <w:i/>
        </w:rPr>
        <w:t xml:space="preserve"> Creditors Arrangement Act</w:t>
      </w:r>
      <w:r w:rsidR="00306A2D" w:rsidRPr="00E1337F">
        <w:t xml:space="preserve">, </w:t>
      </w:r>
      <w:proofErr w:type="spellStart"/>
      <w:r w:rsidR="00306A2D" w:rsidRPr="00E1337F">
        <w:t>R.S.C</w:t>
      </w:r>
      <w:proofErr w:type="spellEnd"/>
      <w:r w:rsidR="00306A2D" w:rsidRPr="00E1337F">
        <w:t>. 1985, c. C</w:t>
      </w:r>
      <w:r w:rsidR="00306A2D" w:rsidRPr="00E1337F">
        <w:noBreakHyphen/>
      </w:r>
      <w:r w:rsidRPr="00E1337F">
        <w:t>36, ss.</w:t>
      </w:r>
      <w:r w:rsidR="00306A2D" w:rsidRPr="00E1337F">
        <w:t> </w:t>
      </w:r>
      <w:r w:rsidR="002048C2" w:rsidRPr="00E1337F">
        <w:t>2(1),</w:t>
      </w:r>
      <w:r w:rsidR="00A94FCC" w:rsidRPr="00E1337F">
        <w:t xml:space="preserve"> 3(1),</w:t>
      </w:r>
      <w:r w:rsidR="000A2DA9" w:rsidRPr="00E1337F">
        <w:t xml:space="preserve"> 4, 5,</w:t>
      </w:r>
      <w:r w:rsidR="00415E0C" w:rsidRPr="00E1337F">
        <w:t xml:space="preserve"> 6(1),</w:t>
      </w:r>
      <w:r w:rsidR="00447D54" w:rsidRPr="00E1337F">
        <w:t xml:space="preserve"> 7,</w:t>
      </w:r>
      <w:r w:rsidR="002048C2" w:rsidRPr="00E1337F">
        <w:t xml:space="preserve"> </w:t>
      </w:r>
      <w:r w:rsidR="00A25AC7" w:rsidRPr="00E1337F">
        <w:t xml:space="preserve">11, </w:t>
      </w:r>
      <w:r w:rsidR="00BC33B6">
        <w:t>11.2</w:t>
      </w:r>
      <w:r w:rsidR="00A65785" w:rsidRPr="00E1337F">
        <w:t>(1),</w:t>
      </w:r>
      <w:r w:rsidR="004D2E81" w:rsidRPr="00E1337F">
        <w:t xml:space="preserve"> (2),</w:t>
      </w:r>
      <w:r w:rsidR="00740E0F" w:rsidRPr="00E1337F">
        <w:t xml:space="preserve"> (4),</w:t>
      </w:r>
      <w:r w:rsidR="00257B43" w:rsidRPr="00E1337F">
        <w:rPr>
          <w:lang w:val="en-US"/>
        </w:rPr>
        <w:t xml:space="preserve"> (a), (b), (c), (d), (e), (f), (g),</w:t>
      </w:r>
      <w:r w:rsidR="000D31BB" w:rsidRPr="00E1337F">
        <w:t xml:space="preserve"> (5),</w:t>
      </w:r>
      <w:r w:rsidR="00A65785" w:rsidRPr="00E1337F">
        <w:t xml:space="preserve"> </w:t>
      </w:r>
      <w:r w:rsidR="00116433" w:rsidRPr="00E1337F">
        <w:t xml:space="preserve">11.7, 11.8, </w:t>
      </w:r>
      <w:r w:rsidR="00074864" w:rsidRPr="00E1337F">
        <w:t>18.6,</w:t>
      </w:r>
      <w:r w:rsidR="00E04EA4" w:rsidRPr="00E1337F">
        <w:t xml:space="preserve"> 22</w:t>
      </w:r>
      <w:r w:rsidR="001B01A8" w:rsidRPr="00E1337F">
        <w:t xml:space="preserve">(1), (2), </w:t>
      </w:r>
      <w:r w:rsidR="00E04EA4" w:rsidRPr="00E1337F">
        <w:t>(3),</w:t>
      </w:r>
      <w:r w:rsidR="00116433" w:rsidRPr="00E1337F">
        <w:t xml:space="preserve"> </w:t>
      </w:r>
      <w:r w:rsidR="00CE5644" w:rsidRPr="00E1337F">
        <w:t>23(1)(d), (</w:t>
      </w:r>
      <w:proofErr w:type="spellStart"/>
      <w:r w:rsidR="00CE5644" w:rsidRPr="00E1337F">
        <w:t>i</w:t>
      </w:r>
      <w:proofErr w:type="spellEnd"/>
      <w:r w:rsidR="00CE5644" w:rsidRPr="00E1337F">
        <w:t xml:space="preserve">), </w:t>
      </w:r>
      <w:r w:rsidR="00116433" w:rsidRPr="00E1337F">
        <w:t>23 to 25,</w:t>
      </w:r>
      <w:r w:rsidR="00074864" w:rsidRPr="00E1337F">
        <w:t xml:space="preserve"> </w:t>
      </w:r>
      <w:r w:rsidR="004F0BC1" w:rsidRPr="00E1337F">
        <w:t>36</w:t>
      </w:r>
      <w:r w:rsidR="00E1337F">
        <w:t>.</w:t>
      </w:r>
    </w:p>
    <w:p w:rsidR="002A1D15" w:rsidRPr="002A1D15" w:rsidRDefault="002A1D15" w:rsidP="00A46BE5">
      <w:pPr>
        <w:pStyle w:val="SCCNormalDoubleSpacing"/>
        <w:spacing w:after="720" w:line="240" w:lineRule="auto"/>
        <w:ind w:left="540" w:hanging="540"/>
      </w:pPr>
      <w:r>
        <w:rPr>
          <w:i/>
        </w:rPr>
        <w:t>Winding-up and Restructuring Act</w:t>
      </w:r>
      <w:r>
        <w:t xml:space="preserve">, </w:t>
      </w:r>
      <w:proofErr w:type="spellStart"/>
      <w:r>
        <w:t>R.S.C</w:t>
      </w:r>
      <w:proofErr w:type="spellEnd"/>
      <w:r>
        <w:t xml:space="preserve">. 1985, </w:t>
      </w:r>
      <w:r w:rsidR="00392C77">
        <w:t>c. W-</w:t>
      </w:r>
      <w:r w:rsidR="00FA5013">
        <w:t xml:space="preserve">11, </w:t>
      </w:r>
      <w:proofErr w:type="gramStart"/>
      <w:r w:rsidR="00306A2D">
        <w:t>s</w:t>
      </w:r>
      <w:proofErr w:type="gramEnd"/>
      <w:r w:rsidR="00306A2D">
        <w:t>. </w:t>
      </w:r>
      <w:r>
        <w:t>6(1)</w:t>
      </w:r>
      <w:r w:rsidR="00FA5013">
        <w:t>.</w:t>
      </w:r>
    </w:p>
    <w:p w:rsidR="002E6705" w:rsidRDefault="002E6705" w:rsidP="00A46BE5">
      <w:pPr>
        <w:pStyle w:val="SCCNormalDoubleSpacing"/>
        <w:spacing w:after="720" w:line="240" w:lineRule="auto"/>
        <w:rPr>
          <w:b/>
        </w:rPr>
      </w:pPr>
      <w:r w:rsidRPr="00314E01">
        <w:rPr>
          <w:b/>
        </w:rPr>
        <w:t>Authors Cited</w:t>
      </w:r>
    </w:p>
    <w:p w:rsidR="000C40A2" w:rsidRPr="000C40A2" w:rsidRDefault="00306A2D" w:rsidP="00A46BE5">
      <w:pPr>
        <w:pStyle w:val="SCCNormalDoubleSpacing"/>
        <w:spacing w:after="240" w:line="240" w:lineRule="auto"/>
        <w:ind w:left="540" w:hanging="540"/>
      </w:pPr>
      <w:r>
        <w:t xml:space="preserve">Agarwal, </w:t>
      </w:r>
      <w:proofErr w:type="spellStart"/>
      <w:r>
        <w:t>Ranjan</w:t>
      </w:r>
      <w:proofErr w:type="spellEnd"/>
      <w:r>
        <w:t> </w:t>
      </w:r>
      <w:r w:rsidR="000C40A2" w:rsidRPr="00BE74DE">
        <w:t>K., and Doug Fenton. “Beyond Access to Justice: Litigation Funding Agreements Outside the Class Actions Context” (2017), 59</w:t>
      </w:r>
      <w:r w:rsidR="000C40A2" w:rsidRPr="00BE74DE">
        <w:rPr>
          <w:i/>
        </w:rPr>
        <w:t xml:space="preserve"> Can. Bus. </w:t>
      </w:r>
      <w:proofErr w:type="spellStart"/>
      <w:r w:rsidR="000C40A2" w:rsidRPr="00BE74DE">
        <w:rPr>
          <w:i/>
        </w:rPr>
        <w:t>L.J</w:t>
      </w:r>
      <w:proofErr w:type="spellEnd"/>
      <w:r w:rsidR="000C40A2" w:rsidRPr="00BE74DE">
        <w:rPr>
          <w:i/>
        </w:rPr>
        <w:t>.</w:t>
      </w:r>
      <w:r w:rsidR="000C40A2" w:rsidRPr="00BE74DE">
        <w:t xml:space="preserve"> 65.</w:t>
      </w:r>
    </w:p>
    <w:p w:rsidR="00B91F19" w:rsidRDefault="00B91F19" w:rsidP="00A46BE5">
      <w:pPr>
        <w:pStyle w:val="SCCNormalDoubleSpacing"/>
        <w:spacing w:after="240" w:line="240" w:lineRule="auto"/>
        <w:ind w:left="540" w:hanging="540"/>
      </w:pPr>
      <w:r>
        <w:t xml:space="preserve">Canada. </w:t>
      </w:r>
      <w:r w:rsidRPr="00B91F19">
        <w:t>Innovation, Science and Economic Development Canada</w:t>
      </w:r>
      <w:r>
        <w:t xml:space="preserve">. </w:t>
      </w:r>
      <w:r w:rsidR="003B64DA">
        <w:rPr>
          <w:i/>
        </w:rPr>
        <w:t>Archived — Bill C</w:t>
      </w:r>
      <w:r w:rsidR="003B64DA">
        <w:rPr>
          <w:i/>
        </w:rPr>
        <w:noBreakHyphen/>
      </w:r>
      <w:r w:rsidRPr="00B91F19">
        <w:rPr>
          <w:i/>
        </w:rPr>
        <w:t>55: clause by clause analysis</w:t>
      </w:r>
      <w:r>
        <w:t xml:space="preserve">, </w:t>
      </w:r>
      <w:r w:rsidRPr="005830DC">
        <w:t>last updated December 29, 2016 (</w:t>
      </w:r>
      <w:r w:rsidRPr="001B1819">
        <w:t>online:</w:t>
      </w:r>
      <w:r w:rsidR="00DD2666" w:rsidRPr="00DD2666">
        <w:t xml:space="preserve"> https://www.ic.gc.ca/eic/site/cilp-pdci.nsf/eng/cl00908.html#bill128e</w:t>
      </w:r>
      <w:r>
        <w:rPr>
          <w:color w:val="000000"/>
        </w:rPr>
        <w:t>; archived version: </w:t>
      </w:r>
      <w:r w:rsidR="00555EC7" w:rsidRPr="00BD3F33">
        <w:rPr>
          <w:rStyle w:val="Hyperlink"/>
          <w:rFonts w:eastAsiaTheme="majorEastAsia"/>
          <w:color w:val="auto"/>
          <w:u w:val="none"/>
        </w:rPr>
        <w:t>https://www.scc-csc.ca/cso-dce/2020SCC-CSC10_1_eng.pdf</w:t>
      </w:r>
      <w:r>
        <w:rPr>
          <w:color w:val="000000"/>
        </w:rPr>
        <w:t>).</w:t>
      </w:r>
    </w:p>
    <w:p w:rsidR="001B1819" w:rsidRDefault="001B1819" w:rsidP="00A46BE5">
      <w:pPr>
        <w:pStyle w:val="SCCNormalDoubleSpacing"/>
        <w:spacing w:after="240" w:line="240" w:lineRule="auto"/>
        <w:ind w:left="540" w:hanging="540"/>
      </w:pPr>
      <w:r>
        <w:t>Canada.</w:t>
      </w:r>
      <w:r w:rsidRPr="001B1819">
        <w:t xml:space="preserve"> Office of the Superintendent of Bankruptcy Canada</w:t>
      </w:r>
      <w:r>
        <w:t>.</w:t>
      </w:r>
      <w:r w:rsidRPr="001B1819">
        <w:t xml:space="preserve"> </w:t>
      </w:r>
      <w:r w:rsidRPr="001B1819">
        <w:rPr>
          <w:i/>
        </w:rPr>
        <w:t xml:space="preserve">Bill C-12: Clause by </w:t>
      </w:r>
      <w:r w:rsidRPr="00485A3C">
        <w:rPr>
          <w:i/>
        </w:rPr>
        <w:t>Clause Analysis</w:t>
      </w:r>
      <w:r w:rsidRPr="00485A3C">
        <w:t>,</w:t>
      </w:r>
      <w:r w:rsidR="00AD1ADB" w:rsidRPr="00485A3C">
        <w:t xml:space="preserve"> developed by</w:t>
      </w:r>
      <w:r w:rsidR="00955CF0" w:rsidRPr="00485A3C">
        <w:t xml:space="preserve"> </w:t>
      </w:r>
      <w:r w:rsidR="00485A3C" w:rsidRPr="00485A3C">
        <w:t xml:space="preserve">Industry </w:t>
      </w:r>
      <w:r w:rsidR="00955CF0" w:rsidRPr="00485A3C">
        <w:t>Canada</w:t>
      </w:r>
      <w:r w:rsidR="001570D4" w:rsidRPr="00485A3C">
        <w:t>,</w:t>
      </w:r>
      <w:r w:rsidRPr="00485A3C">
        <w:t xml:space="preserve"> last</w:t>
      </w:r>
      <w:r w:rsidRPr="001B1819">
        <w:t xml:space="preserve"> updated</w:t>
      </w:r>
      <w:r>
        <w:t xml:space="preserve"> March 24, 2015</w:t>
      </w:r>
      <w:r w:rsidRPr="001B1819">
        <w:t xml:space="preserve"> (online:</w:t>
      </w:r>
      <w:r>
        <w:t xml:space="preserve"> </w:t>
      </w:r>
      <w:r w:rsidRPr="001B1819">
        <w:t>https://www.ic.gc.ca/eic/site/bsf-osb.nsf/eng/br01986.html#a79</w:t>
      </w:r>
      <w:r>
        <w:rPr>
          <w:color w:val="000000"/>
        </w:rPr>
        <w:t>; archived version: </w:t>
      </w:r>
      <w:r w:rsidR="00C22E00" w:rsidRPr="00BD3F33">
        <w:rPr>
          <w:rStyle w:val="Hyperlink"/>
          <w:rFonts w:eastAsiaTheme="majorEastAsia"/>
          <w:color w:val="auto"/>
          <w:u w:val="none"/>
        </w:rPr>
        <w:t>https://www.scc-csc.ca/cso-dce/2020SCC-CSC10_2_eng.pdf</w:t>
      </w:r>
      <w:r>
        <w:rPr>
          <w:color w:val="000000"/>
        </w:rPr>
        <w:t>).</w:t>
      </w:r>
    </w:p>
    <w:p w:rsidR="00FD5F31" w:rsidRPr="00AF7964" w:rsidRDefault="00FD5F31" w:rsidP="00A46BE5">
      <w:pPr>
        <w:pStyle w:val="SCCNormalDoubleSpacing"/>
        <w:spacing w:after="240" w:line="240" w:lineRule="auto"/>
        <w:ind w:left="540" w:hanging="540"/>
      </w:pPr>
      <w:r>
        <w:t xml:space="preserve">Canada. Senate. </w:t>
      </w:r>
      <w:r w:rsidR="00AF7964">
        <w:t xml:space="preserve">Standing Senate Committee on Banking, Trade and Commerce. </w:t>
      </w:r>
      <w:r w:rsidR="00AF7964">
        <w:rPr>
          <w:i/>
        </w:rPr>
        <w:t>Debtors and Creditors Sharing the Burden: A Review of the Bankruptcy and Insolvency Act and the Companies</w:t>
      </w:r>
      <w:r w:rsidR="008D2A18">
        <w:rPr>
          <w:i/>
        </w:rPr>
        <w:t>’</w:t>
      </w:r>
      <w:r w:rsidR="00AF7964">
        <w:rPr>
          <w:i/>
        </w:rPr>
        <w:t xml:space="preserve"> Creditors Arrangement Act</w:t>
      </w:r>
      <w:r w:rsidR="00AF7964">
        <w:t>.</w:t>
      </w:r>
      <w:r w:rsidR="004053D7">
        <w:t xml:space="preserve"> Ottawa</w:t>
      </w:r>
      <w:r w:rsidR="00AF7964">
        <w:t>, 2003.</w:t>
      </w:r>
    </w:p>
    <w:p w:rsidR="006D422A" w:rsidRPr="006D422A" w:rsidRDefault="006D422A" w:rsidP="00A46BE5">
      <w:pPr>
        <w:pStyle w:val="SCCNormalDoubleSpacing"/>
        <w:spacing w:after="240" w:line="240" w:lineRule="auto"/>
        <w:ind w:left="540" w:hanging="540"/>
      </w:pPr>
      <w:proofErr w:type="spellStart"/>
      <w:r w:rsidRPr="00AA63B0">
        <w:t>Houlden</w:t>
      </w:r>
      <w:proofErr w:type="spellEnd"/>
      <w:r w:rsidRPr="00AA63B0">
        <w:t>, Lloyd</w:t>
      </w:r>
      <w:r w:rsidR="00306A2D">
        <w:t xml:space="preserve"> W., Geoffrey B. </w:t>
      </w:r>
      <w:proofErr w:type="spellStart"/>
      <w:r w:rsidR="00306A2D">
        <w:t>Morawetz</w:t>
      </w:r>
      <w:proofErr w:type="spellEnd"/>
      <w:r w:rsidR="00306A2D">
        <w:t xml:space="preserve"> and Janis </w:t>
      </w:r>
      <w:r w:rsidRPr="00AA63B0">
        <w:t xml:space="preserve">P. </w:t>
      </w:r>
      <w:proofErr w:type="spellStart"/>
      <w:r w:rsidRPr="00AA63B0">
        <w:t>Sarra</w:t>
      </w:r>
      <w:proofErr w:type="spellEnd"/>
      <w:r w:rsidRPr="00AA63B0">
        <w:t xml:space="preserve">. </w:t>
      </w:r>
      <w:r w:rsidRPr="00AA63B0">
        <w:rPr>
          <w:i/>
        </w:rPr>
        <w:t>Bankruptcy and Insolvency Law of Canada</w:t>
      </w:r>
      <w:r w:rsidR="00C627A2" w:rsidRPr="00AA63B0">
        <w:t>, vol. 4, 4th ed. Toronto: Thomson Reuters</w:t>
      </w:r>
      <w:r w:rsidRPr="00AA63B0">
        <w:t>, 2009</w:t>
      </w:r>
      <w:r w:rsidRPr="00AA63B0">
        <w:rPr>
          <w:color w:val="000000"/>
        </w:rPr>
        <w:t xml:space="preserve"> (</w:t>
      </w:r>
      <w:r w:rsidRPr="00AA63B0">
        <w:rPr>
          <w:rStyle w:val="solexhl"/>
          <w:rFonts w:eastAsiaTheme="majorEastAsia"/>
          <w:color w:val="000000"/>
        </w:rPr>
        <w:t>loose</w:t>
      </w:r>
      <w:r w:rsidRPr="00AA63B0">
        <w:rPr>
          <w:rStyle w:val="solexhl"/>
          <w:rFonts w:eastAsiaTheme="majorEastAsia"/>
          <w:color w:val="000000"/>
        </w:rPr>
        <w:noBreakHyphen/>
        <w:t>leaf</w:t>
      </w:r>
      <w:r w:rsidRPr="00AA63B0">
        <w:rPr>
          <w:color w:val="000000"/>
        </w:rPr>
        <w:t xml:space="preserve"> updated</w:t>
      </w:r>
      <w:r w:rsidR="008A62BC" w:rsidRPr="00AA63B0">
        <w:rPr>
          <w:color w:val="000000"/>
        </w:rPr>
        <w:t xml:space="preserve"> 2020</w:t>
      </w:r>
      <w:r w:rsidRPr="00AA63B0">
        <w:rPr>
          <w:color w:val="000000"/>
        </w:rPr>
        <w:t xml:space="preserve">, release </w:t>
      </w:r>
      <w:r w:rsidR="008A62BC" w:rsidRPr="00AA63B0">
        <w:rPr>
          <w:color w:val="000000"/>
        </w:rPr>
        <w:t>3</w:t>
      </w:r>
      <w:r w:rsidRPr="00AA63B0">
        <w:rPr>
          <w:color w:val="000000"/>
        </w:rPr>
        <w:t>).</w:t>
      </w:r>
    </w:p>
    <w:p w:rsidR="008F3EC6" w:rsidRDefault="008F3EC6" w:rsidP="00A46BE5">
      <w:pPr>
        <w:pStyle w:val="SCCNormalDoubleSpacing"/>
        <w:spacing w:after="240" w:line="240" w:lineRule="auto"/>
        <w:ind w:left="540" w:hanging="540"/>
      </w:pPr>
      <w:r>
        <w:t>Kaplan, Bill. “</w:t>
      </w:r>
      <w:r w:rsidRPr="008F3EC6">
        <w:t xml:space="preserve">Liquidating </w:t>
      </w:r>
      <w:proofErr w:type="spellStart"/>
      <w:r w:rsidRPr="008F3EC6">
        <w:t>CCAAs</w:t>
      </w:r>
      <w:proofErr w:type="spellEnd"/>
      <w:r w:rsidRPr="008F3EC6">
        <w:t>: Discretion Go</w:t>
      </w:r>
      <w:r w:rsidRPr="00DE4522">
        <w:t>ne Awry?</w:t>
      </w:r>
      <w:proofErr w:type="gramStart"/>
      <w:r w:rsidRPr="00DE4522">
        <w:t>”,</w:t>
      </w:r>
      <w:proofErr w:type="gramEnd"/>
      <w:r w:rsidRPr="00DE4522">
        <w:t xml:space="preserve"> in Janis</w:t>
      </w:r>
      <w:r w:rsidR="006112BE">
        <w:t> </w:t>
      </w:r>
      <w:r w:rsidRPr="00DE4522">
        <w:t xml:space="preserve">P. </w:t>
      </w:r>
      <w:proofErr w:type="spellStart"/>
      <w:r w:rsidRPr="00DE4522">
        <w:t>Sarra</w:t>
      </w:r>
      <w:proofErr w:type="spellEnd"/>
      <w:r w:rsidRPr="00DE4522">
        <w:t>, ed.,</w:t>
      </w:r>
      <w:r>
        <w:t xml:space="preserve"> </w:t>
      </w:r>
      <w:r w:rsidRPr="00DE4522">
        <w:rPr>
          <w:i/>
        </w:rPr>
        <w:t>Annual Review of Insolvency Law</w:t>
      </w:r>
      <w:r w:rsidRPr="00DE4522">
        <w:t xml:space="preserve">. Toronto: Carswell, 2008, </w:t>
      </w:r>
      <w:r w:rsidR="00AA63B0" w:rsidRPr="00DE4522">
        <w:t>79</w:t>
      </w:r>
      <w:r w:rsidRPr="00DE4522">
        <w:t>.</w:t>
      </w:r>
    </w:p>
    <w:p w:rsidR="00FE543B" w:rsidRPr="00AA63B0" w:rsidRDefault="00306A2D" w:rsidP="00A46BE5">
      <w:pPr>
        <w:pStyle w:val="SCCNormalDoubleSpacing"/>
        <w:spacing w:after="240" w:line="240" w:lineRule="auto"/>
        <w:ind w:left="540" w:hanging="540"/>
      </w:pPr>
      <w:proofErr w:type="spellStart"/>
      <w:r w:rsidRPr="00FD319E">
        <w:rPr>
          <w:lang w:val="en-US"/>
        </w:rPr>
        <w:t>Klar</w:t>
      </w:r>
      <w:proofErr w:type="spellEnd"/>
      <w:r w:rsidRPr="00FD319E">
        <w:rPr>
          <w:lang w:val="en-US"/>
        </w:rPr>
        <w:t>, Lewis </w:t>
      </w:r>
      <w:r w:rsidR="00164CAB" w:rsidRPr="00FD319E">
        <w:rPr>
          <w:lang w:val="en-US"/>
        </w:rPr>
        <w:t>N., et al</w:t>
      </w:r>
      <w:r w:rsidR="00FE543B" w:rsidRPr="00FD319E">
        <w:rPr>
          <w:lang w:val="en-US"/>
        </w:rPr>
        <w:t xml:space="preserve">. </w:t>
      </w:r>
      <w:r w:rsidR="00FE543B" w:rsidRPr="00AA63B0">
        <w:rPr>
          <w:i/>
        </w:rPr>
        <w:t>Remedies in Tort</w:t>
      </w:r>
      <w:r w:rsidR="00FE543B" w:rsidRPr="00AA63B0">
        <w:t xml:space="preserve">, </w:t>
      </w:r>
      <w:r>
        <w:t>vol. </w:t>
      </w:r>
      <w:r w:rsidR="00E30AB4" w:rsidRPr="00AA63B0">
        <w:t>1</w:t>
      </w:r>
      <w:r w:rsidR="00FA08BD" w:rsidRPr="00AA63B0">
        <w:t>,</w:t>
      </w:r>
      <w:r w:rsidR="00164CAB" w:rsidRPr="00AA63B0">
        <w:t xml:space="preserve"> by Leanne Berry, ed.</w:t>
      </w:r>
      <w:r w:rsidR="00885292" w:rsidRPr="00AA63B0">
        <w:t xml:space="preserve"> Toronto: Thomson Reuters</w:t>
      </w:r>
      <w:r w:rsidR="00FE543B" w:rsidRPr="00AA63B0">
        <w:t xml:space="preserve">, 1987 (loose-leaf </w:t>
      </w:r>
      <w:r w:rsidR="00E514B6" w:rsidRPr="00AA63B0">
        <w:t>updated 2019</w:t>
      </w:r>
      <w:r w:rsidR="00FE543B" w:rsidRPr="00AA63B0">
        <w:t xml:space="preserve">, release </w:t>
      </w:r>
      <w:r w:rsidR="00E514B6" w:rsidRPr="00AA63B0">
        <w:t>12</w:t>
      </w:r>
      <w:r w:rsidR="00FE543B" w:rsidRPr="00AA63B0">
        <w:t>).</w:t>
      </w:r>
    </w:p>
    <w:p w:rsidR="00C94BCE" w:rsidRPr="00AA63B0" w:rsidRDefault="00306A2D" w:rsidP="00A46BE5">
      <w:pPr>
        <w:pStyle w:val="SCCNormalDoubleSpacing"/>
        <w:spacing w:after="240" w:line="240" w:lineRule="auto"/>
        <w:ind w:left="540" w:hanging="540"/>
      </w:pPr>
      <w:proofErr w:type="spellStart"/>
      <w:r>
        <w:t>McElcheran</w:t>
      </w:r>
      <w:proofErr w:type="spellEnd"/>
      <w:r>
        <w:t>, Kevin </w:t>
      </w:r>
      <w:r w:rsidR="00C94BCE" w:rsidRPr="00AA63B0">
        <w:t xml:space="preserve">P. </w:t>
      </w:r>
      <w:r w:rsidR="00C94BCE" w:rsidRPr="00AA63B0">
        <w:rPr>
          <w:i/>
        </w:rPr>
        <w:t>Commercial Insolvency in Canada</w:t>
      </w:r>
      <w:r w:rsidR="00C94BCE" w:rsidRPr="00AA63B0">
        <w:t>, 4th ed. Toronto: LexisNexis, 2019.</w:t>
      </w:r>
    </w:p>
    <w:p w:rsidR="00C94BCE" w:rsidRPr="00491618" w:rsidRDefault="00956176" w:rsidP="00A46BE5">
      <w:pPr>
        <w:pStyle w:val="SCCNormalDoubleSpacing"/>
        <w:spacing w:after="240" w:line="240" w:lineRule="auto"/>
        <w:ind w:left="540" w:hanging="540"/>
      </w:pPr>
      <w:r w:rsidRPr="00AA63B0">
        <w:lastRenderedPageBreak/>
        <w:t>Michaud, Guillaume. “New Frontier: The Emergence of Litigation Funding in the Canadian Insolvency Landscape</w:t>
      </w:r>
      <w:r w:rsidR="00491618" w:rsidRPr="00AA63B0">
        <w:t xml:space="preserve">”, </w:t>
      </w:r>
      <w:r w:rsidR="009056C2" w:rsidRPr="00AA63B0">
        <w:t xml:space="preserve">in Janis P. </w:t>
      </w:r>
      <w:proofErr w:type="spellStart"/>
      <w:r w:rsidR="009056C2" w:rsidRPr="00AA63B0">
        <w:t>Sarra</w:t>
      </w:r>
      <w:proofErr w:type="spellEnd"/>
      <w:r w:rsidR="00491618" w:rsidRPr="00AA63B0">
        <w:t xml:space="preserve"> </w:t>
      </w:r>
      <w:r w:rsidR="00174EAD" w:rsidRPr="00AA63B0">
        <w:t>et al., eds.</w:t>
      </w:r>
      <w:r w:rsidR="00491618" w:rsidRPr="00AA63B0">
        <w:t xml:space="preserve">, </w:t>
      </w:r>
      <w:r w:rsidR="00491618" w:rsidRPr="00AA63B0">
        <w:rPr>
          <w:i/>
        </w:rPr>
        <w:t>Annual Review of Insolvency Law 2018</w:t>
      </w:r>
      <w:r w:rsidR="00491618" w:rsidRPr="00AA63B0">
        <w:t xml:space="preserve">. Toronto: Thomson Reuters, 2019, </w:t>
      </w:r>
      <w:r w:rsidR="00174EAD" w:rsidRPr="00AA63B0">
        <w:t>221</w:t>
      </w:r>
      <w:r w:rsidR="00491618" w:rsidRPr="00AA63B0">
        <w:t>.</w:t>
      </w:r>
    </w:p>
    <w:p w:rsidR="00AC300A" w:rsidRPr="00AC300A" w:rsidRDefault="00AC300A" w:rsidP="00A46BE5">
      <w:pPr>
        <w:pStyle w:val="SCCNormalDoubleSpacing"/>
        <w:spacing w:after="240" w:line="240" w:lineRule="auto"/>
        <w:ind w:left="540" w:hanging="540"/>
      </w:pPr>
      <w:proofErr w:type="spellStart"/>
      <w:r>
        <w:t>Nocilla</w:t>
      </w:r>
      <w:proofErr w:type="spellEnd"/>
      <w:r>
        <w:t xml:space="preserve">, Alfonso. “Asset Sales </w:t>
      </w:r>
      <w:proofErr w:type="gramStart"/>
      <w:r>
        <w:t>Under</w:t>
      </w:r>
      <w:proofErr w:type="gramEnd"/>
      <w:r>
        <w:t xml:space="preserve"> the Companies</w:t>
      </w:r>
      <w:r w:rsidR="008D2A18">
        <w:t>’</w:t>
      </w:r>
      <w:r>
        <w:t xml:space="preserve"> Creditors Arrangement Act and the Failure of Section 36” (2012), 52 </w:t>
      </w:r>
      <w:r>
        <w:rPr>
          <w:i/>
        </w:rPr>
        <w:t xml:space="preserve">Can. Bus. </w:t>
      </w:r>
      <w:proofErr w:type="spellStart"/>
      <w:r>
        <w:rPr>
          <w:i/>
        </w:rPr>
        <w:t>L.J</w:t>
      </w:r>
      <w:proofErr w:type="spellEnd"/>
      <w:r>
        <w:rPr>
          <w:i/>
        </w:rPr>
        <w:t>.</w:t>
      </w:r>
      <w:r>
        <w:t xml:space="preserve"> 226.</w:t>
      </w:r>
    </w:p>
    <w:p w:rsidR="00F32EAB" w:rsidRPr="00F32EAB" w:rsidRDefault="00F32EAB" w:rsidP="00A46BE5">
      <w:pPr>
        <w:pStyle w:val="SCCNormalDoubleSpacing"/>
        <w:spacing w:after="240" w:line="240" w:lineRule="auto"/>
        <w:ind w:left="540" w:hanging="540"/>
      </w:pPr>
      <w:proofErr w:type="spellStart"/>
      <w:r>
        <w:t>Nocilla</w:t>
      </w:r>
      <w:proofErr w:type="spellEnd"/>
      <w:r>
        <w:t>, Alfonso. “The History of the Companies</w:t>
      </w:r>
      <w:r w:rsidR="008D2A18">
        <w:t>’</w:t>
      </w:r>
      <w:r>
        <w:t xml:space="preserve"> Creditors Arrangement Act and the Future of Re-Structuring Law in Canada” (2014), 56 </w:t>
      </w:r>
      <w:r>
        <w:rPr>
          <w:i/>
        </w:rPr>
        <w:t xml:space="preserve">Can. Bus. </w:t>
      </w:r>
      <w:proofErr w:type="spellStart"/>
      <w:r>
        <w:rPr>
          <w:i/>
        </w:rPr>
        <w:t>L.J</w:t>
      </w:r>
      <w:proofErr w:type="spellEnd"/>
      <w:r>
        <w:rPr>
          <w:i/>
        </w:rPr>
        <w:t>.</w:t>
      </w:r>
      <w:r>
        <w:t xml:space="preserve"> 73.</w:t>
      </w:r>
    </w:p>
    <w:p w:rsidR="00352077" w:rsidRDefault="00306A2D" w:rsidP="00A46BE5">
      <w:pPr>
        <w:pStyle w:val="SCCNormalDoubleSpacing"/>
        <w:spacing w:after="240" w:line="240" w:lineRule="auto"/>
        <w:ind w:left="540" w:hanging="540"/>
      </w:pPr>
      <w:proofErr w:type="spellStart"/>
      <w:r>
        <w:t>Rotsztain</w:t>
      </w:r>
      <w:proofErr w:type="spellEnd"/>
      <w:r>
        <w:t>, Michael </w:t>
      </w:r>
      <w:r w:rsidR="00352077">
        <w:t xml:space="preserve">B., and Alexandra </w:t>
      </w:r>
      <w:proofErr w:type="spellStart"/>
      <w:r w:rsidR="00352077">
        <w:t>Dostal</w:t>
      </w:r>
      <w:proofErr w:type="spellEnd"/>
      <w:r w:rsidR="00352077">
        <w:t>. “Debtor</w:t>
      </w:r>
      <w:r>
        <w:noBreakHyphen/>
      </w:r>
      <w:r w:rsidR="00352077">
        <w:t>In-Possession Financing”, in Stephanie Ben-</w:t>
      </w:r>
      <w:proofErr w:type="spellStart"/>
      <w:r w:rsidR="00352077">
        <w:t>Ishai</w:t>
      </w:r>
      <w:proofErr w:type="spellEnd"/>
      <w:r w:rsidR="00352077">
        <w:t xml:space="preserve"> </w:t>
      </w:r>
      <w:r w:rsidR="00352077" w:rsidRPr="00AA63B0">
        <w:t>and Anthony Duggan, eds.</w:t>
      </w:r>
      <w:r w:rsidR="00352077">
        <w:t>,</w:t>
      </w:r>
      <w:r w:rsidR="00352077" w:rsidRPr="00AA63B0">
        <w:t xml:space="preserve"> </w:t>
      </w:r>
      <w:r w:rsidR="00352077" w:rsidRPr="00AA63B0">
        <w:rPr>
          <w:rStyle w:val="solexhl"/>
          <w:rFonts w:eastAsiaTheme="majorEastAsia"/>
          <w:i/>
          <w:iCs/>
          <w:color w:val="000000"/>
        </w:rPr>
        <w:t>Canadian Bankruptcy and Insolvency Law: Bill C</w:t>
      </w:r>
      <w:r w:rsidR="00352077" w:rsidRPr="00AA63B0">
        <w:rPr>
          <w:rStyle w:val="solexhl"/>
          <w:rFonts w:eastAsiaTheme="majorEastAsia"/>
          <w:i/>
          <w:iCs/>
          <w:color w:val="000000"/>
        </w:rPr>
        <w:noBreakHyphen/>
        <w:t>55</w:t>
      </w:r>
      <w:r w:rsidR="00352077" w:rsidRPr="00AA63B0">
        <w:rPr>
          <w:i/>
          <w:iCs/>
          <w:color w:val="000000"/>
        </w:rPr>
        <w:t xml:space="preserve">, </w:t>
      </w:r>
      <w:r w:rsidR="00352077" w:rsidRPr="00AA63B0">
        <w:rPr>
          <w:rStyle w:val="solexhl"/>
          <w:rFonts w:eastAsiaTheme="majorEastAsia"/>
          <w:i/>
          <w:iCs/>
          <w:color w:val="000000"/>
        </w:rPr>
        <w:t>Statute</w:t>
      </w:r>
      <w:r w:rsidR="00352077" w:rsidRPr="00AA63B0">
        <w:rPr>
          <w:i/>
          <w:iCs/>
          <w:color w:val="000000"/>
        </w:rPr>
        <w:t xml:space="preserve"> </w:t>
      </w:r>
      <w:r w:rsidR="00352077" w:rsidRPr="00AA63B0">
        <w:rPr>
          <w:rStyle w:val="solexhl"/>
          <w:rFonts w:eastAsiaTheme="majorEastAsia"/>
          <w:i/>
          <w:iCs/>
          <w:color w:val="000000"/>
        </w:rPr>
        <w:t>c</w:t>
      </w:r>
      <w:r w:rsidR="00352077" w:rsidRPr="00AA63B0">
        <w:rPr>
          <w:i/>
          <w:iCs/>
          <w:color w:val="000000"/>
        </w:rPr>
        <w:t xml:space="preserve">. </w:t>
      </w:r>
      <w:r w:rsidR="00352077" w:rsidRPr="00AA63B0">
        <w:rPr>
          <w:rStyle w:val="solexhl"/>
          <w:rFonts w:eastAsiaTheme="majorEastAsia"/>
          <w:i/>
          <w:iCs/>
          <w:color w:val="000000"/>
        </w:rPr>
        <w:t>47</w:t>
      </w:r>
      <w:r w:rsidR="00352077" w:rsidRPr="00AA63B0">
        <w:rPr>
          <w:i/>
          <w:iCs/>
          <w:color w:val="000000"/>
        </w:rPr>
        <w:t xml:space="preserve"> and </w:t>
      </w:r>
      <w:r w:rsidR="00352077" w:rsidRPr="00AA63B0">
        <w:rPr>
          <w:rStyle w:val="solexhl"/>
          <w:rFonts w:eastAsiaTheme="majorEastAsia"/>
          <w:i/>
          <w:iCs/>
          <w:color w:val="000000"/>
        </w:rPr>
        <w:t>Beyond</w:t>
      </w:r>
      <w:r w:rsidR="00352077" w:rsidRPr="00AA63B0">
        <w:rPr>
          <w:color w:val="000000"/>
        </w:rPr>
        <w:t>. Markham, Ont.: LexisNexis, 2007</w:t>
      </w:r>
      <w:r w:rsidR="006A6D86">
        <w:rPr>
          <w:color w:val="000000"/>
        </w:rPr>
        <w:t>, 227</w:t>
      </w:r>
      <w:r w:rsidR="00352077" w:rsidRPr="00AA63B0">
        <w:rPr>
          <w:color w:val="000000"/>
        </w:rPr>
        <w:t>.</w:t>
      </w:r>
    </w:p>
    <w:p w:rsidR="00C22E00" w:rsidRDefault="00C22E00" w:rsidP="00C22E00">
      <w:pPr>
        <w:pStyle w:val="SCCNormalDoubleSpacing"/>
        <w:spacing w:after="240" w:line="240" w:lineRule="auto"/>
        <w:ind w:left="540" w:hanging="540"/>
      </w:pPr>
      <w:proofErr w:type="spellStart"/>
      <w:r>
        <w:t>Sarra</w:t>
      </w:r>
      <w:proofErr w:type="spellEnd"/>
      <w:r>
        <w:t>, Janis </w:t>
      </w:r>
      <w:r w:rsidRPr="00AA63B0">
        <w:t xml:space="preserve">P. </w:t>
      </w:r>
      <w:r w:rsidRPr="00AA63B0">
        <w:rPr>
          <w:i/>
        </w:rPr>
        <w:t>Rescue! The Companies</w:t>
      </w:r>
      <w:r w:rsidR="008D2A18">
        <w:rPr>
          <w:i/>
        </w:rPr>
        <w:t>’</w:t>
      </w:r>
      <w:r w:rsidRPr="00AA63B0">
        <w:rPr>
          <w:i/>
        </w:rPr>
        <w:t xml:space="preserve"> Creditors Arrangement Act</w:t>
      </w:r>
      <w:r w:rsidRPr="00AA63B0">
        <w:t>, 2nd ed. Toronto: Carswell, 2013.</w:t>
      </w:r>
    </w:p>
    <w:p w:rsidR="00192285" w:rsidRPr="00AA63B0" w:rsidRDefault="00192285" w:rsidP="00A46BE5">
      <w:pPr>
        <w:pStyle w:val="SCCNormalDoubleSpacing"/>
        <w:spacing w:after="240" w:line="240" w:lineRule="auto"/>
        <w:ind w:left="540" w:hanging="540"/>
      </w:pPr>
      <w:proofErr w:type="spellStart"/>
      <w:r w:rsidRPr="00AA63B0">
        <w:t>Sarra</w:t>
      </w:r>
      <w:proofErr w:type="spellEnd"/>
      <w:r w:rsidRPr="00AA63B0">
        <w:t>, Janis</w:t>
      </w:r>
      <w:r w:rsidR="00306A2D">
        <w:t> </w:t>
      </w:r>
      <w:r w:rsidR="003E4895" w:rsidRPr="00AA63B0">
        <w:t>P</w:t>
      </w:r>
      <w:r w:rsidR="0077008B" w:rsidRPr="00AA63B0">
        <w:t xml:space="preserve">. </w:t>
      </w:r>
      <w:r w:rsidRPr="00AA63B0">
        <w:t>“The Oscillating Pendulum: Canada</w:t>
      </w:r>
      <w:r w:rsidR="008D2A18">
        <w:t>’</w:t>
      </w:r>
      <w:r w:rsidRPr="00AA63B0">
        <w:t>s Sesquicentennial and Finding the Equilibriu</w:t>
      </w:r>
      <w:r w:rsidR="00306A2D">
        <w:t>m for Insolvency Law”, in Janis </w:t>
      </w:r>
      <w:r w:rsidRPr="00AA63B0">
        <w:t xml:space="preserve">P. </w:t>
      </w:r>
      <w:proofErr w:type="spellStart"/>
      <w:r w:rsidRPr="00AA63B0">
        <w:t>Sarra</w:t>
      </w:r>
      <w:proofErr w:type="spellEnd"/>
      <w:r w:rsidR="0077008B" w:rsidRPr="00AA63B0">
        <w:t xml:space="preserve"> and Barbara Romaine</w:t>
      </w:r>
      <w:r w:rsidRPr="00AA63B0">
        <w:t>, ed</w:t>
      </w:r>
      <w:r w:rsidR="0077008B" w:rsidRPr="00AA63B0">
        <w:t>s</w:t>
      </w:r>
      <w:r w:rsidRPr="00AA63B0">
        <w:t xml:space="preserve">., </w:t>
      </w:r>
      <w:r w:rsidRPr="00AA63B0">
        <w:rPr>
          <w:i/>
        </w:rPr>
        <w:t>Annual Review of Insolvency Law 2016</w:t>
      </w:r>
      <w:r w:rsidRPr="00AA63B0">
        <w:t xml:space="preserve">. </w:t>
      </w:r>
      <w:r w:rsidR="0077008B" w:rsidRPr="00AA63B0">
        <w:t>Toronto</w:t>
      </w:r>
      <w:r w:rsidRPr="00AA63B0">
        <w:t>: Thomson Reuters, 2017</w:t>
      </w:r>
      <w:r w:rsidR="00B82277" w:rsidRPr="00AA63B0">
        <w:t xml:space="preserve">, </w:t>
      </w:r>
      <w:r w:rsidR="0077008B" w:rsidRPr="00AA63B0">
        <w:t>9</w:t>
      </w:r>
      <w:r w:rsidRPr="00AA63B0">
        <w:t>.</w:t>
      </w:r>
    </w:p>
    <w:p w:rsidR="006B064A" w:rsidRPr="00AA63B0" w:rsidRDefault="009C5C72" w:rsidP="00A46BE5">
      <w:pPr>
        <w:pStyle w:val="SCCNormalDoubleSpacing"/>
        <w:spacing w:after="720" w:line="240" w:lineRule="auto"/>
        <w:ind w:left="540" w:hanging="540"/>
      </w:pPr>
      <w:r w:rsidRPr="00AA63B0">
        <w:t>Wood, Roderick</w:t>
      </w:r>
      <w:r w:rsidR="00306A2D">
        <w:t> </w:t>
      </w:r>
      <w:r w:rsidRPr="00AA63B0">
        <w:t xml:space="preserve">J. </w:t>
      </w:r>
      <w:r w:rsidRPr="00AA63B0">
        <w:rPr>
          <w:i/>
        </w:rPr>
        <w:t>Bankruptcy and Insolvency Law</w:t>
      </w:r>
      <w:r w:rsidRPr="00AA63B0">
        <w:t>, 2nd ed. Toronto: Irwin Law, 2015.</w:t>
      </w:r>
    </w:p>
    <w:p w:rsidR="00465CE8" w:rsidRDefault="00465CE8" w:rsidP="00A46BE5">
      <w:pPr>
        <w:pStyle w:val="SCCNormalDoubleSpacing"/>
        <w:spacing w:after="480"/>
      </w:pPr>
      <w:r w:rsidRPr="00AA63B0">
        <w:tab/>
      </w:r>
      <w:r w:rsidR="009B57B3" w:rsidRPr="00AA63B0">
        <w:t>APPEAL</w:t>
      </w:r>
      <w:r w:rsidR="00D14BB5">
        <w:t>S</w:t>
      </w:r>
      <w:r w:rsidR="009B57B3" w:rsidRPr="00AA63B0">
        <w:t xml:space="preserve"> from a </w:t>
      </w:r>
      <w:r w:rsidR="009B57B3" w:rsidRPr="00D21708">
        <w:t xml:space="preserve">judgment of the </w:t>
      </w:r>
      <w:r w:rsidR="00D21708">
        <w:t xml:space="preserve">Quebec </w:t>
      </w:r>
      <w:r w:rsidR="009B57B3" w:rsidRPr="00D21708">
        <w:t>Cour</w:t>
      </w:r>
      <w:r w:rsidR="00D21708">
        <w:t>t of Appeal</w:t>
      </w:r>
      <w:r w:rsidRPr="00D21708">
        <w:t xml:space="preserve"> (</w:t>
      </w:r>
      <w:proofErr w:type="spellStart"/>
      <w:r w:rsidRPr="00D21708">
        <w:t>Dutil</w:t>
      </w:r>
      <w:proofErr w:type="spellEnd"/>
      <w:r w:rsidRPr="00D21708">
        <w:t>,</w:t>
      </w:r>
      <w:r>
        <w:t xml:space="preserve"> Schrager and Dumas </w:t>
      </w:r>
      <w:proofErr w:type="spellStart"/>
      <w:r>
        <w:t>JJ.A</w:t>
      </w:r>
      <w:proofErr w:type="spellEnd"/>
      <w:r>
        <w:t>.), 2019 QCCA 171, [2</w:t>
      </w:r>
      <w:r w:rsidR="0013094C">
        <w:t>019] AZ-51566416</w:t>
      </w:r>
      <w:r>
        <w:t xml:space="preserve">, [2019] </w:t>
      </w:r>
      <w:proofErr w:type="spellStart"/>
      <w:r>
        <w:t>Q.J</w:t>
      </w:r>
      <w:proofErr w:type="spellEnd"/>
      <w:r>
        <w:t>. No. 670 (</w:t>
      </w:r>
      <w:proofErr w:type="spellStart"/>
      <w:r>
        <w:t>QL</w:t>
      </w:r>
      <w:proofErr w:type="spellEnd"/>
      <w:r>
        <w:t xml:space="preserve">), 2019 </w:t>
      </w:r>
      <w:proofErr w:type="spellStart"/>
      <w:r>
        <w:t>CarswellQue</w:t>
      </w:r>
      <w:proofErr w:type="spellEnd"/>
      <w:r>
        <w:t xml:space="preserve"> 94 (WL Can.)</w:t>
      </w:r>
      <w:r w:rsidR="00065661">
        <w:t>,</w:t>
      </w:r>
      <w:r>
        <w:t xml:space="preserve"> sett</w:t>
      </w:r>
      <w:r w:rsidR="006112BE">
        <w:t>ing aside a decision of Michaud </w:t>
      </w:r>
      <w:r>
        <w:t xml:space="preserve">J., 2018 </w:t>
      </w:r>
      <w:proofErr w:type="spellStart"/>
      <w:r>
        <w:t>QCCS</w:t>
      </w:r>
      <w:proofErr w:type="spellEnd"/>
      <w:r>
        <w:t xml:space="preserve"> 1040, [2018]</w:t>
      </w:r>
      <w:r w:rsidR="0013094C">
        <w:t xml:space="preserve"> AZ-51477967</w:t>
      </w:r>
      <w:r>
        <w:t xml:space="preserve">, [2018] </w:t>
      </w:r>
      <w:proofErr w:type="spellStart"/>
      <w:r>
        <w:t>Q.J</w:t>
      </w:r>
      <w:proofErr w:type="spellEnd"/>
      <w:r>
        <w:t>. No. 1986 (</w:t>
      </w:r>
      <w:proofErr w:type="spellStart"/>
      <w:r>
        <w:t>QL</w:t>
      </w:r>
      <w:proofErr w:type="spellEnd"/>
      <w:r>
        <w:t xml:space="preserve">), 2018 </w:t>
      </w:r>
      <w:proofErr w:type="spellStart"/>
      <w:r>
        <w:t>CarswellQue</w:t>
      </w:r>
      <w:proofErr w:type="spellEnd"/>
      <w:r>
        <w:t xml:space="preserve"> 1923 (WL Can</w:t>
      </w:r>
      <w:r w:rsidRPr="00D14BB5">
        <w:t>.)</w:t>
      </w:r>
      <w:r w:rsidR="0013094C" w:rsidRPr="00D14BB5">
        <w:t>. Appeal</w:t>
      </w:r>
      <w:r w:rsidR="00D14BB5">
        <w:t>s allowed.</w:t>
      </w:r>
    </w:p>
    <w:p w:rsidR="00261E19" w:rsidRDefault="00065661" w:rsidP="00A46BE5">
      <w:pPr>
        <w:pStyle w:val="SCCNormalDoubleSpacing"/>
        <w:spacing w:after="480"/>
      </w:pPr>
      <w:r>
        <w:rPr>
          <w:rStyle w:val="SCCCounselNameChar"/>
        </w:rPr>
        <w:tab/>
        <w:t xml:space="preserve">Jean-Philippe </w:t>
      </w:r>
      <w:proofErr w:type="spellStart"/>
      <w:r>
        <w:rPr>
          <w:rStyle w:val="SCCCounselNameChar"/>
        </w:rPr>
        <w:t>Groleau</w:t>
      </w:r>
      <w:proofErr w:type="spellEnd"/>
      <w:r>
        <w:rPr>
          <w:rStyle w:val="SCCCounselSeparatorChar"/>
        </w:rPr>
        <w:t xml:space="preserve">, </w:t>
      </w:r>
      <w:r>
        <w:rPr>
          <w:rStyle w:val="SCCCounselNameChar"/>
        </w:rPr>
        <w:t xml:space="preserve">Christian </w:t>
      </w:r>
      <w:proofErr w:type="spellStart"/>
      <w:r>
        <w:rPr>
          <w:rStyle w:val="SCCCounselNameChar"/>
        </w:rPr>
        <w:t>Lachance</w:t>
      </w:r>
      <w:proofErr w:type="spellEnd"/>
      <w:r w:rsidRPr="001178E7">
        <w:rPr>
          <w:rStyle w:val="SCCCounselNameChar"/>
          <w:i w:val="0"/>
        </w:rPr>
        <w:t>,</w:t>
      </w:r>
      <w:r>
        <w:rPr>
          <w:rStyle w:val="SCCCounselNameChar"/>
        </w:rPr>
        <w:t xml:space="preserve"> Gabriel </w:t>
      </w:r>
      <w:proofErr w:type="spellStart"/>
      <w:r>
        <w:rPr>
          <w:rStyle w:val="SCCCounselNameChar"/>
        </w:rPr>
        <w:t>Lavery</w:t>
      </w:r>
      <w:proofErr w:type="spellEnd"/>
      <w:r>
        <w:rPr>
          <w:rStyle w:val="SCCCounselNameChar"/>
        </w:rPr>
        <w:t xml:space="preserve"> </w:t>
      </w:r>
      <w:proofErr w:type="spellStart"/>
      <w:r>
        <w:rPr>
          <w:rStyle w:val="SCCCounselNameChar"/>
        </w:rPr>
        <w:t>Lepage</w:t>
      </w:r>
      <w:proofErr w:type="spellEnd"/>
      <w:r>
        <w:rPr>
          <w:rStyle w:val="SCCCounselSeparatorChar"/>
        </w:rPr>
        <w:t xml:space="preserve"> and </w:t>
      </w:r>
      <w:r>
        <w:rPr>
          <w:rStyle w:val="SCCCounselNameChar"/>
        </w:rPr>
        <w:t xml:space="preserve">Hannah </w:t>
      </w:r>
      <w:proofErr w:type="spellStart"/>
      <w:r>
        <w:rPr>
          <w:rStyle w:val="SCCCounselNameChar"/>
        </w:rPr>
        <w:t>Toledano</w:t>
      </w:r>
      <w:proofErr w:type="spellEnd"/>
      <w:r>
        <w:rPr>
          <w:rStyle w:val="SCCCounselPartyRoleChar"/>
        </w:rPr>
        <w:t>, for the appellant</w:t>
      </w:r>
      <w:r w:rsidR="000B337B">
        <w:rPr>
          <w:rStyle w:val="SCCCounselPartyRoleChar"/>
        </w:rPr>
        <w:t>s</w:t>
      </w:r>
      <w:r w:rsidR="001178E7">
        <w:rPr>
          <w:rStyle w:val="SCCCounselPartyRoleChar"/>
        </w:rPr>
        <w:t>/interveners</w:t>
      </w:r>
      <w:r w:rsidR="000B337B">
        <w:rPr>
          <w:rStyle w:val="SCCCounselPartyRoleChar"/>
        </w:rPr>
        <w:t xml:space="preserve"> </w:t>
      </w:r>
      <w:r w:rsidR="00C15673">
        <w:t>9354</w:t>
      </w:r>
      <w:r w:rsidR="00C15673">
        <w:noBreakHyphen/>
        <w:t xml:space="preserve">9186 Québec </w:t>
      </w:r>
      <w:proofErr w:type="spellStart"/>
      <w:r w:rsidR="00C15673">
        <w:t>inc.</w:t>
      </w:r>
      <w:proofErr w:type="spellEnd"/>
      <w:r w:rsidR="00C15673">
        <w:t xml:space="preserve"> and 9354</w:t>
      </w:r>
      <w:r w:rsidR="00C15673">
        <w:noBreakHyphen/>
      </w:r>
      <w:r w:rsidR="000B337B" w:rsidRPr="000B337B">
        <w:t xml:space="preserve">9178 Québec </w:t>
      </w:r>
      <w:proofErr w:type="spellStart"/>
      <w:r w:rsidR="000B337B" w:rsidRPr="000B337B">
        <w:t>inc.</w:t>
      </w:r>
      <w:proofErr w:type="spellEnd"/>
    </w:p>
    <w:p w:rsidR="000B337B" w:rsidRDefault="00065661" w:rsidP="00A46BE5">
      <w:pPr>
        <w:pStyle w:val="SCCNormalDoubleSpacing"/>
        <w:spacing w:after="480"/>
      </w:pPr>
      <w:r>
        <w:rPr>
          <w:rStyle w:val="SCCCounselNameChar"/>
        </w:rPr>
        <w:lastRenderedPageBreak/>
        <w:tab/>
      </w:r>
      <w:r w:rsidR="008D2A18">
        <w:rPr>
          <w:rStyle w:val="SCCCounselNameChar"/>
        </w:rPr>
        <w:t>Neil </w:t>
      </w:r>
      <w:r w:rsidRPr="00E04BEF">
        <w:rPr>
          <w:rStyle w:val="SCCCounselNameChar"/>
        </w:rPr>
        <w:t xml:space="preserve">A. </w:t>
      </w:r>
      <w:proofErr w:type="spellStart"/>
      <w:r w:rsidRPr="00E04BEF">
        <w:rPr>
          <w:rStyle w:val="SCCCounselNameChar"/>
        </w:rPr>
        <w:t>Peden</w:t>
      </w:r>
      <w:proofErr w:type="spellEnd"/>
      <w:r w:rsidR="001E35B9" w:rsidRPr="00E04BEF">
        <w:rPr>
          <w:rStyle w:val="SCCCounselPartyRoleChar"/>
        </w:rPr>
        <w:t>,</w:t>
      </w:r>
      <w:r w:rsidR="000B337B" w:rsidRPr="00E04BEF">
        <w:rPr>
          <w:rStyle w:val="SCCCounselPartyRoleChar"/>
        </w:rPr>
        <w:t xml:space="preserve"> </w:t>
      </w:r>
      <w:r w:rsidRPr="00E04BEF">
        <w:rPr>
          <w:rStyle w:val="SCCCounselPartyRoleChar"/>
        </w:rPr>
        <w:t>for the appellant</w:t>
      </w:r>
      <w:r w:rsidR="000B337B" w:rsidRPr="00E04BEF">
        <w:rPr>
          <w:rStyle w:val="SCCCounselPartyRoleChar"/>
        </w:rPr>
        <w:t>s</w:t>
      </w:r>
      <w:r w:rsidR="005E2E90" w:rsidRPr="00E04BEF">
        <w:rPr>
          <w:rStyle w:val="SCCCounselPartyRoleChar"/>
        </w:rPr>
        <w:t>/interveners</w:t>
      </w:r>
      <w:r w:rsidR="000B337B" w:rsidRPr="00E04BEF">
        <w:rPr>
          <w:rStyle w:val="SCCCounselPartyRoleChar"/>
        </w:rPr>
        <w:t xml:space="preserve"> </w:t>
      </w:r>
      <w:r w:rsidR="000B337B" w:rsidRPr="00E04BEF">
        <w:t xml:space="preserve">IMF Bentham Limited </w:t>
      </w:r>
      <w:r w:rsidR="00B53866" w:rsidRPr="00E04BEF">
        <w:t xml:space="preserve">(now known as Omni Bridgeway Limited) </w:t>
      </w:r>
      <w:r w:rsidR="000B337B" w:rsidRPr="00E04BEF">
        <w:t>and Bentham IMF Capital Limited</w:t>
      </w:r>
      <w:r w:rsidR="00B53866" w:rsidRPr="00E04BEF">
        <w:t xml:space="preserve"> (now known as Omni Bridgeway Capital (Canada) Limited)</w:t>
      </w:r>
      <w:r w:rsidR="000B337B" w:rsidRPr="00E04BEF">
        <w:t>.</w:t>
      </w:r>
    </w:p>
    <w:p w:rsidR="00261E19" w:rsidRDefault="00065661" w:rsidP="00A46BE5">
      <w:pPr>
        <w:pStyle w:val="SCCNormalDoubleSpacing"/>
        <w:spacing w:after="480"/>
      </w:pPr>
      <w:r>
        <w:rPr>
          <w:rStyle w:val="SCCCounselNameChar"/>
        </w:rPr>
        <w:tab/>
        <w:t xml:space="preserve">Geneviève </w:t>
      </w:r>
      <w:proofErr w:type="spellStart"/>
      <w:r>
        <w:rPr>
          <w:rStyle w:val="SCCCounselNameChar"/>
        </w:rPr>
        <w:t>Cloutier</w:t>
      </w:r>
      <w:proofErr w:type="spellEnd"/>
      <w:r>
        <w:rPr>
          <w:rStyle w:val="SCCCounselSeparatorChar"/>
        </w:rPr>
        <w:t xml:space="preserve"> and </w:t>
      </w:r>
      <w:r w:rsidR="008D2A18">
        <w:rPr>
          <w:rStyle w:val="SCCCounselNameChar"/>
        </w:rPr>
        <w:t>Clifton </w:t>
      </w:r>
      <w:r>
        <w:rPr>
          <w:rStyle w:val="SCCCounselNameChar"/>
        </w:rPr>
        <w:t>P. Prophet</w:t>
      </w:r>
      <w:r>
        <w:rPr>
          <w:rStyle w:val="SCCCounselPartyRoleChar"/>
        </w:rPr>
        <w:t>, for the respondent</w:t>
      </w:r>
      <w:r w:rsidR="000B337B">
        <w:rPr>
          <w:rStyle w:val="SCCCounselPartyRoleChar"/>
        </w:rPr>
        <w:t xml:space="preserve"> </w:t>
      </w:r>
      <w:proofErr w:type="spellStart"/>
      <w:r w:rsidR="000B337B">
        <w:rPr>
          <w:rStyle w:val="SCCCounselPartyRoleChar"/>
        </w:rPr>
        <w:t>Callidus</w:t>
      </w:r>
      <w:proofErr w:type="spellEnd"/>
      <w:r w:rsidR="000B337B">
        <w:rPr>
          <w:rStyle w:val="SCCCounselPartyRoleChar"/>
        </w:rPr>
        <w:t xml:space="preserve"> Capital Corporation</w:t>
      </w:r>
      <w:r>
        <w:rPr>
          <w:rStyle w:val="SCCCounselPartyRoleChar"/>
        </w:rPr>
        <w:t>.</w:t>
      </w:r>
    </w:p>
    <w:p w:rsidR="000B337B" w:rsidRDefault="00065661" w:rsidP="00A46BE5">
      <w:pPr>
        <w:pStyle w:val="SCCNormalDoubleSpacing"/>
        <w:spacing w:after="480"/>
      </w:pPr>
      <w:r>
        <w:rPr>
          <w:rStyle w:val="SCCCounselNameChar"/>
        </w:rPr>
        <w:tab/>
      </w:r>
      <w:r w:rsidRPr="00834C93">
        <w:rPr>
          <w:rStyle w:val="SCCCounselNameChar"/>
        </w:rPr>
        <w:t>Jocelyn Perreault</w:t>
      </w:r>
      <w:r w:rsidRPr="00834C93">
        <w:rPr>
          <w:rStyle w:val="SCCCounselSeparatorChar"/>
        </w:rPr>
        <w:t xml:space="preserve">, </w:t>
      </w:r>
      <w:r w:rsidRPr="00834C93">
        <w:rPr>
          <w:rStyle w:val="SCCCounselNameChar"/>
        </w:rPr>
        <w:t xml:space="preserve">Noah </w:t>
      </w:r>
      <w:proofErr w:type="spellStart"/>
      <w:r w:rsidRPr="00834C93">
        <w:rPr>
          <w:rStyle w:val="SCCCounselNameChar"/>
        </w:rPr>
        <w:t>Zucker</w:t>
      </w:r>
      <w:proofErr w:type="spellEnd"/>
      <w:r w:rsidRPr="00834C93">
        <w:rPr>
          <w:rStyle w:val="SCCCounselSeparatorChar"/>
        </w:rPr>
        <w:t xml:space="preserve"> and </w:t>
      </w:r>
      <w:r w:rsidRPr="00834C93">
        <w:rPr>
          <w:rStyle w:val="SCCCounselNameChar"/>
        </w:rPr>
        <w:t xml:space="preserve">François Alexandre </w:t>
      </w:r>
      <w:proofErr w:type="spellStart"/>
      <w:r w:rsidRPr="00834C93">
        <w:rPr>
          <w:rStyle w:val="SCCCounselNameChar"/>
        </w:rPr>
        <w:t>Toupin</w:t>
      </w:r>
      <w:proofErr w:type="spellEnd"/>
      <w:r w:rsidRPr="00834C93">
        <w:rPr>
          <w:rStyle w:val="SCCCounselPartyRoleChar"/>
        </w:rPr>
        <w:t>, for the respondent</w:t>
      </w:r>
      <w:r w:rsidR="000B337B" w:rsidRPr="00834C93">
        <w:rPr>
          <w:rStyle w:val="SCCCounselPartyRoleChar"/>
        </w:rPr>
        <w:t>s</w:t>
      </w:r>
      <w:r w:rsidR="00834C93" w:rsidRPr="00834C93">
        <w:t xml:space="preserve"> </w:t>
      </w:r>
      <w:r w:rsidR="000B337B" w:rsidRPr="00834C93">
        <w:t>International Game T</w:t>
      </w:r>
      <w:r w:rsidR="00FE4462">
        <w:t>echnology, Deloitte LLP</w:t>
      </w:r>
      <w:r w:rsidR="000B337B" w:rsidRPr="00834C93">
        <w:t xml:space="preserve">, Luc Carignan, François </w:t>
      </w:r>
      <w:proofErr w:type="spellStart"/>
      <w:r w:rsidR="000B337B" w:rsidRPr="00834C93">
        <w:t>Vigneault</w:t>
      </w:r>
      <w:proofErr w:type="spellEnd"/>
      <w:r w:rsidR="000B337B" w:rsidRPr="00834C93">
        <w:t>, Ph</w:t>
      </w:r>
      <w:r>
        <w:t xml:space="preserve">ilippe </w:t>
      </w:r>
      <w:proofErr w:type="spellStart"/>
      <w:r>
        <w:t>Millette</w:t>
      </w:r>
      <w:proofErr w:type="spellEnd"/>
      <w:r>
        <w:t xml:space="preserve">, Francis </w:t>
      </w:r>
      <w:proofErr w:type="spellStart"/>
      <w:r>
        <w:t>Proulx</w:t>
      </w:r>
      <w:proofErr w:type="spellEnd"/>
      <w:r>
        <w:t xml:space="preserve"> </w:t>
      </w:r>
      <w:r w:rsidR="00834C93" w:rsidRPr="00834C93">
        <w:t>and</w:t>
      </w:r>
      <w:r w:rsidR="000B337B" w:rsidRPr="00834C93">
        <w:t xml:space="preserve"> François Pelletier</w:t>
      </w:r>
      <w:r w:rsidR="00834C93">
        <w:t>.</w:t>
      </w:r>
    </w:p>
    <w:p w:rsidR="00261E19" w:rsidRPr="00834C93" w:rsidRDefault="00065661" w:rsidP="00A46BE5">
      <w:pPr>
        <w:pStyle w:val="SCCNormalDoubleSpacing"/>
        <w:spacing w:after="480"/>
      </w:pPr>
      <w:r w:rsidRPr="00834C93">
        <w:rPr>
          <w:rStyle w:val="SCCCounselNameChar"/>
        </w:rPr>
        <w:tab/>
        <w:t>Joseph Reynaud</w:t>
      </w:r>
      <w:r w:rsidR="00834C93" w:rsidRPr="00834C93">
        <w:rPr>
          <w:rStyle w:val="SCCCounselSeparatorChar"/>
        </w:rPr>
        <w:t xml:space="preserve"> </w:t>
      </w:r>
      <w:r w:rsidRPr="00834C93">
        <w:rPr>
          <w:rStyle w:val="SCCCounselSeparatorChar"/>
        </w:rPr>
        <w:t xml:space="preserve">and </w:t>
      </w:r>
      <w:r w:rsidRPr="00834C93">
        <w:rPr>
          <w:rStyle w:val="SCCCounselNameChar"/>
        </w:rPr>
        <w:t xml:space="preserve">Nathalie </w:t>
      </w:r>
      <w:proofErr w:type="spellStart"/>
      <w:r w:rsidRPr="00834C93">
        <w:rPr>
          <w:rStyle w:val="SCCCounselNameChar"/>
        </w:rPr>
        <w:t>Nouvet</w:t>
      </w:r>
      <w:proofErr w:type="spellEnd"/>
      <w:r w:rsidRPr="00834C93">
        <w:rPr>
          <w:rStyle w:val="SCCCounselPartyRoleChar"/>
        </w:rPr>
        <w:t>, for th</w:t>
      </w:r>
      <w:r w:rsidR="00834C93" w:rsidRPr="00834C93">
        <w:rPr>
          <w:rStyle w:val="SCCCounselPartyRoleChar"/>
        </w:rPr>
        <w:t>e intervener Ernst &amp; Young Inc.</w:t>
      </w:r>
    </w:p>
    <w:p w:rsidR="00261E19" w:rsidRDefault="00065661" w:rsidP="006B1829">
      <w:pPr>
        <w:pStyle w:val="SCCNormalDoubleSpacing"/>
        <w:spacing w:after="480"/>
        <w:rPr>
          <w:rStyle w:val="SCCCounselPartyRoleChar"/>
        </w:rPr>
      </w:pPr>
      <w:r w:rsidRPr="00834C93">
        <w:rPr>
          <w:rStyle w:val="SCCCounselNameChar"/>
        </w:rPr>
        <w:tab/>
        <w:t xml:space="preserve">Sylvain </w:t>
      </w:r>
      <w:proofErr w:type="spellStart"/>
      <w:r w:rsidRPr="00834C93">
        <w:rPr>
          <w:rStyle w:val="SCCCounselNameChar"/>
        </w:rPr>
        <w:t>Rigaud</w:t>
      </w:r>
      <w:proofErr w:type="spellEnd"/>
      <w:r w:rsidRPr="00834C93">
        <w:rPr>
          <w:rStyle w:val="SCCCounselSeparatorChar"/>
        </w:rPr>
        <w:t xml:space="preserve">, </w:t>
      </w:r>
      <w:r w:rsidRPr="00834C93">
        <w:rPr>
          <w:rStyle w:val="SCCCounselNameChar"/>
        </w:rPr>
        <w:t xml:space="preserve">Arad </w:t>
      </w:r>
      <w:proofErr w:type="spellStart"/>
      <w:r w:rsidRPr="00834C93">
        <w:rPr>
          <w:rStyle w:val="SCCCounselNameChar"/>
        </w:rPr>
        <w:t>Mojtahedi</w:t>
      </w:r>
      <w:proofErr w:type="spellEnd"/>
      <w:r w:rsidRPr="00834C93">
        <w:rPr>
          <w:rStyle w:val="SCCCounselSeparatorChar"/>
        </w:rPr>
        <w:t xml:space="preserve"> and </w:t>
      </w:r>
      <w:proofErr w:type="spellStart"/>
      <w:r w:rsidRPr="00834C93">
        <w:rPr>
          <w:rStyle w:val="SCCCounselNameChar"/>
        </w:rPr>
        <w:t>Saam</w:t>
      </w:r>
      <w:proofErr w:type="spellEnd"/>
      <w:r w:rsidRPr="00834C93">
        <w:rPr>
          <w:rStyle w:val="SCCCounselNameChar"/>
        </w:rPr>
        <w:t xml:space="preserve"> </w:t>
      </w:r>
      <w:proofErr w:type="spellStart"/>
      <w:r w:rsidRPr="00834C93">
        <w:rPr>
          <w:rStyle w:val="SCCCounselNameChar"/>
        </w:rPr>
        <w:t>Pousht</w:t>
      </w:r>
      <w:proofErr w:type="spellEnd"/>
      <w:r w:rsidRPr="00834C93">
        <w:rPr>
          <w:rStyle w:val="SCCCounselNameChar"/>
        </w:rPr>
        <w:t>-Mashhad</w:t>
      </w:r>
      <w:r w:rsidRPr="00834C93">
        <w:rPr>
          <w:rStyle w:val="SCCCounselPartyRoleChar"/>
        </w:rPr>
        <w:t>, for the intervener</w:t>
      </w:r>
      <w:r w:rsidR="00834C93" w:rsidRPr="00834C93">
        <w:rPr>
          <w:rStyle w:val="SCCCounselPartyRoleChar"/>
        </w:rPr>
        <w:t>s</w:t>
      </w:r>
      <w:r w:rsidRPr="00834C93">
        <w:rPr>
          <w:rStyle w:val="SCCCounselPartyRoleChar"/>
        </w:rPr>
        <w:t xml:space="preserve"> </w:t>
      </w:r>
      <w:r w:rsidR="00FE4462">
        <w:rPr>
          <w:rStyle w:val="SCCCounselPartyRoleChar"/>
        </w:rPr>
        <w:t xml:space="preserve">the </w:t>
      </w:r>
      <w:r w:rsidRPr="00834C93">
        <w:rPr>
          <w:rStyle w:val="SCCCounselPartyRoleChar"/>
        </w:rPr>
        <w:t xml:space="preserve">Insolvency Institute of Canada and </w:t>
      </w:r>
      <w:r w:rsidR="00FE4462">
        <w:rPr>
          <w:rStyle w:val="SCCCounselPartyRoleChar"/>
        </w:rPr>
        <w:t xml:space="preserve">the </w:t>
      </w:r>
      <w:r w:rsidRPr="00834C93">
        <w:rPr>
          <w:rStyle w:val="SCCCounselPartyRoleChar"/>
        </w:rPr>
        <w:t>Canadian Association of Insolvency and Restructuring Professionals.</w:t>
      </w:r>
    </w:p>
    <w:p w:rsidR="006B1829" w:rsidRDefault="00BD3F33" w:rsidP="00BD3F33">
      <w:pPr>
        <w:pStyle w:val="SCCNormalDoubleSpacing"/>
        <w:spacing w:after="480"/>
      </w:pPr>
      <w:r>
        <w:tab/>
      </w:r>
      <w:r w:rsidR="00847CD5">
        <w:t>The reasons for</w:t>
      </w:r>
      <w:r w:rsidR="006B1829" w:rsidRPr="00FC7991">
        <w:t xml:space="preserve"> judgment of the Court were delivered by</w:t>
      </w:r>
    </w:p>
    <w:p w:rsidR="006B1829" w:rsidRPr="00EF30BB" w:rsidRDefault="006B1829" w:rsidP="006B1829">
      <w:pPr>
        <w:pStyle w:val="JudgeJuge"/>
      </w:pPr>
      <w:r w:rsidRPr="00EF30BB">
        <w:tab/>
        <w:t xml:space="preserve">The Chief Justice and </w:t>
      </w:r>
      <w:proofErr w:type="spellStart"/>
      <w:r w:rsidRPr="00EF30BB">
        <w:t>Moldaver</w:t>
      </w:r>
      <w:proofErr w:type="spellEnd"/>
      <w:r w:rsidRPr="00EF30BB">
        <w:t xml:space="preserve"> J.— </w:t>
      </w:r>
      <w:bookmarkStart w:id="0" w:name="_Toc33564156"/>
    </w:p>
    <w:p w:rsidR="006B1829" w:rsidRPr="00EF30BB" w:rsidRDefault="006B1829" w:rsidP="006B1829">
      <w:pPr>
        <w:pStyle w:val="Title1LevelTitre1Niveau-AltL"/>
        <w:rPr>
          <w:rFonts w:cs="Times New Roman"/>
        </w:rPr>
      </w:pPr>
      <w:bookmarkStart w:id="1" w:name="_Toc33653899"/>
      <w:r w:rsidRPr="00EF30BB">
        <w:rPr>
          <w:rFonts w:cs="Times New Roman"/>
        </w:rPr>
        <w:t>O</w:t>
      </w:r>
      <w:bookmarkEnd w:id="0"/>
      <w:bookmarkEnd w:id="1"/>
      <w:r w:rsidRPr="00EF30BB">
        <w:rPr>
          <w:rFonts w:cs="Times New Roman"/>
        </w:rPr>
        <w:t>verview</w:t>
      </w:r>
    </w:p>
    <w:p w:rsidR="006B1829" w:rsidRPr="00EF30BB" w:rsidRDefault="006B1829" w:rsidP="006B1829">
      <w:pPr>
        <w:pStyle w:val="ParaNoNdepar-AltN"/>
        <w:rPr>
          <w:rFonts w:cs="Times New Roman"/>
        </w:rPr>
      </w:pPr>
      <w:r w:rsidRPr="00EF30BB">
        <w:rPr>
          <w:rFonts w:cs="Times New Roman"/>
        </w:rPr>
        <w:lastRenderedPageBreak/>
        <w:t xml:space="preserve">These appeals arise in the context of an ongoing proceeding instituted under the </w:t>
      </w:r>
      <w:r w:rsidRPr="00EF30BB">
        <w:rPr>
          <w:rFonts w:cs="Times New Roman"/>
          <w:i/>
        </w:rPr>
        <w:t>Companies’ Creditors Arrangement Act</w:t>
      </w:r>
      <w:r w:rsidRPr="00EF30BB">
        <w:rPr>
          <w:rFonts w:cs="Times New Roman"/>
        </w:rPr>
        <w:t xml:space="preserve">, </w:t>
      </w:r>
      <w:proofErr w:type="spellStart"/>
      <w:r w:rsidRPr="00EF30BB">
        <w:rPr>
          <w:rFonts w:cs="Times New Roman"/>
        </w:rPr>
        <w:t>R.S.C</w:t>
      </w:r>
      <w:proofErr w:type="spellEnd"/>
      <w:r w:rsidRPr="00EF30BB">
        <w:rPr>
          <w:rFonts w:cs="Times New Roman"/>
        </w:rPr>
        <w:t xml:space="preserve">. 1985, </w:t>
      </w:r>
      <w:proofErr w:type="gramStart"/>
      <w:r w:rsidRPr="00EF30BB">
        <w:rPr>
          <w:rFonts w:cs="Times New Roman"/>
        </w:rPr>
        <w:t>c</w:t>
      </w:r>
      <w:proofErr w:type="gramEnd"/>
      <w:r w:rsidRPr="00EF30BB">
        <w:rPr>
          <w:rFonts w:cs="Times New Roman"/>
        </w:rPr>
        <w:t>. C-36 (“</w:t>
      </w:r>
      <w:proofErr w:type="spellStart"/>
      <w:r w:rsidRPr="00EF30BB">
        <w:rPr>
          <w:rFonts w:cs="Times New Roman"/>
          <w:i/>
        </w:rPr>
        <w:t>CCAA</w:t>
      </w:r>
      <w:proofErr w:type="spellEnd"/>
      <w:r w:rsidRPr="00EF30BB">
        <w:rPr>
          <w:rFonts w:cs="Times New Roman"/>
        </w:rPr>
        <w:t>”), in which substantially all of the assets of the debtor companies have been liquidated. The proceeding was commenced well over four years ago. Since then, a single supervising judge has been responsible for its oversight. In this capacity, he has made nu</w:t>
      </w:r>
      <w:r w:rsidR="0083513A">
        <w:rPr>
          <w:rFonts w:cs="Times New Roman"/>
        </w:rPr>
        <w:t>merous discretionary decisions.</w:t>
      </w:r>
    </w:p>
    <w:p w:rsidR="006B1829" w:rsidRPr="00EF30BB" w:rsidRDefault="006B1829" w:rsidP="006B1829">
      <w:pPr>
        <w:pStyle w:val="ParaNoNdepar-AltN"/>
        <w:rPr>
          <w:rFonts w:cs="Times New Roman"/>
        </w:rPr>
      </w:pPr>
      <w:r w:rsidRPr="00EF30BB">
        <w:rPr>
          <w:rFonts w:cs="Times New Roman"/>
        </w:rPr>
        <w:t xml:space="preserve">Two of the supervising judge’s decisions are in issue before us. Each raises a question requiring this Court to clarify the nature and scope of judicial discretion in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The first is whether a supervising judge has the discretion to bar a creditor from voting on a plan of arrangement where they determine that the creditor is acting for an improper purpose. The second is whether a supervising judge can approve third party litigation funding as interim financing, pursuant to s. 11.2 of the </w:t>
      </w:r>
      <w:proofErr w:type="spellStart"/>
      <w:r w:rsidRPr="00EF30BB">
        <w:rPr>
          <w:rFonts w:cs="Times New Roman"/>
          <w:i/>
        </w:rPr>
        <w:t>CCAA</w:t>
      </w:r>
      <w:proofErr w:type="spellEnd"/>
      <w:r w:rsidR="0083513A">
        <w:rPr>
          <w:rFonts w:cs="Times New Roman"/>
        </w:rPr>
        <w:t>.</w:t>
      </w:r>
    </w:p>
    <w:p w:rsidR="006B1829" w:rsidRPr="00EF30BB" w:rsidRDefault="006B1829" w:rsidP="006B1829">
      <w:pPr>
        <w:pStyle w:val="ParaNoNdepar-AltN"/>
        <w:rPr>
          <w:rFonts w:cs="Times New Roman"/>
        </w:rPr>
      </w:pPr>
      <w:r w:rsidRPr="00EF30BB">
        <w:rPr>
          <w:rFonts w:cs="Times New Roman"/>
        </w:rPr>
        <w:t>For the reasons that follow, we would answer both questions in the affirmative, as did the supervising judge. To the extent the Court of Appeal disagreed and went on to interfere with the supervising judge’s discretionary decisions, we conclude that it was not justified in doing so. In our respectful view, the Court of Appeal failed to treat the supervising judge’s decisions with the appropriate degree of deference. In the result, as we ordered at the conclusion of the hearing, these appeals are allowed and the superv</w:t>
      </w:r>
      <w:r w:rsidR="0083513A">
        <w:rPr>
          <w:rFonts w:cs="Times New Roman"/>
        </w:rPr>
        <w:t>ising judge’s order reinstated.</w:t>
      </w:r>
    </w:p>
    <w:p w:rsidR="006B1829" w:rsidRPr="00EF30BB" w:rsidRDefault="006B1829" w:rsidP="006B1829">
      <w:pPr>
        <w:pStyle w:val="Title1LevelTitre1Niveau-AltL"/>
        <w:rPr>
          <w:rFonts w:cs="Times New Roman"/>
        </w:rPr>
      </w:pPr>
      <w:bookmarkStart w:id="2" w:name="_Toc33564157"/>
      <w:bookmarkStart w:id="3" w:name="_Toc33653900"/>
      <w:r w:rsidRPr="00EF30BB">
        <w:rPr>
          <w:rFonts w:cs="Times New Roman"/>
        </w:rPr>
        <w:t>F</w:t>
      </w:r>
      <w:bookmarkEnd w:id="2"/>
      <w:bookmarkEnd w:id="3"/>
      <w:r w:rsidRPr="00EF30BB">
        <w:rPr>
          <w:rFonts w:cs="Times New Roman"/>
        </w:rPr>
        <w:t>acts</w:t>
      </w:r>
    </w:p>
    <w:p w:rsidR="006B1829" w:rsidRPr="00EF30BB" w:rsidRDefault="006B1829" w:rsidP="006B1829">
      <w:pPr>
        <w:pStyle w:val="ParaNoNdepar-AltN"/>
        <w:rPr>
          <w:rFonts w:cs="Times New Roman"/>
        </w:rPr>
      </w:pPr>
      <w:r w:rsidRPr="00EF30BB">
        <w:rPr>
          <w:rFonts w:cs="Times New Roman"/>
        </w:rPr>
        <w:lastRenderedPageBreak/>
        <w:t xml:space="preserve">In 1994, Mr. </w:t>
      </w:r>
      <w:proofErr w:type="spellStart"/>
      <w:r w:rsidRPr="00EF30BB">
        <w:rPr>
          <w:rFonts w:cs="Times New Roman"/>
        </w:rPr>
        <w:t>Gérald</w:t>
      </w:r>
      <w:proofErr w:type="spellEnd"/>
      <w:r w:rsidRPr="00EF30BB">
        <w:rPr>
          <w:rFonts w:cs="Times New Roman"/>
        </w:rPr>
        <w:t xml:space="preserve"> Duhamel founded </w:t>
      </w:r>
      <w:proofErr w:type="spellStart"/>
      <w:r w:rsidRPr="00EF30BB">
        <w:rPr>
          <w:rFonts w:cs="Times New Roman"/>
        </w:rPr>
        <w:t>Bluberi</w:t>
      </w:r>
      <w:proofErr w:type="spellEnd"/>
      <w:r w:rsidRPr="00EF30BB">
        <w:rPr>
          <w:rFonts w:cs="Times New Roman"/>
        </w:rPr>
        <w:t xml:space="preserve"> Gaming Technologies Inc., which is now one of the appellants, 9354-9186 Québec </w:t>
      </w:r>
      <w:proofErr w:type="spellStart"/>
      <w:proofErr w:type="gramStart"/>
      <w:r w:rsidRPr="00EF30BB">
        <w:rPr>
          <w:rFonts w:cs="Times New Roman"/>
        </w:rPr>
        <w:t>inc</w:t>
      </w:r>
      <w:proofErr w:type="gramEnd"/>
      <w:r w:rsidRPr="00EF30BB">
        <w:rPr>
          <w:rFonts w:cs="Times New Roman"/>
        </w:rPr>
        <w:t>.</w:t>
      </w:r>
      <w:proofErr w:type="spellEnd"/>
      <w:r w:rsidRPr="00EF30BB">
        <w:rPr>
          <w:rFonts w:cs="Times New Roman"/>
        </w:rPr>
        <w:t xml:space="preserve"> The corporation manufactured, distributed, installed, and serviced electronic casino gaming machines. It also provided management systems for gambling operations. Its sole shareholder has at all material times been </w:t>
      </w:r>
      <w:proofErr w:type="spellStart"/>
      <w:r w:rsidRPr="00EF30BB">
        <w:rPr>
          <w:rFonts w:cs="Times New Roman"/>
        </w:rPr>
        <w:t>Bluberi</w:t>
      </w:r>
      <w:proofErr w:type="spellEnd"/>
      <w:r w:rsidRPr="00EF30BB">
        <w:rPr>
          <w:rFonts w:cs="Times New Roman"/>
        </w:rPr>
        <w:t xml:space="preserve"> Group Inc., which is now another</w:t>
      </w:r>
      <w:r>
        <w:rPr>
          <w:rFonts w:cs="Times New Roman"/>
        </w:rPr>
        <w:t xml:space="preserve"> of the </w:t>
      </w:r>
      <w:r w:rsidRPr="00EF30BB">
        <w:rPr>
          <w:rFonts w:cs="Times New Roman"/>
        </w:rPr>
        <w:t>appellant</w:t>
      </w:r>
      <w:r>
        <w:rPr>
          <w:rFonts w:cs="Times New Roman"/>
        </w:rPr>
        <w:t>s</w:t>
      </w:r>
      <w:r w:rsidRPr="00EF30BB">
        <w:rPr>
          <w:rFonts w:cs="Times New Roman"/>
        </w:rPr>
        <w:t xml:space="preserve">, </w:t>
      </w:r>
      <w:r>
        <w:rPr>
          <w:rFonts w:cs="Times New Roman"/>
        </w:rPr>
        <w:t>9354-</w:t>
      </w:r>
      <w:r w:rsidRPr="00EF30BB">
        <w:rPr>
          <w:rFonts w:cs="Times New Roman"/>
        </w:rPr>
        <w:t xml:space="preserve">9178 Québec </w:t>
      </w:r>
      <w:proofErr w:type="spellStart"/>
      <w:proofErr w:type="gramStart"/>
      <w:r w:rsidRPr="00EF30BB">
        <w:rPr>
          <w:rFonts w:cs="Times New Roman"/>
        </w:rPr>
        <w:t>inc</w:t>
      </w:r>
      <w:proofErr w:type="gramEnd"/>
      <w:r w:rsidRPr="00EF30BB">
        <w:rPr>
          <w:rFonts w:cs="Times New Roman"/>
        </w:rPr>
        <w:t>.</w:t>
      </w:r>
      <w:proofErr w:type="spellEnd"/>
      <w:r w:rsidRPr="00EF30BB">
        <w:rPr>
          <w:rFonts w:cs="Times New Roman"/>
        </w:rPr>
        <w:t xml:space="preserve"> Through a family trust, Mr.</w:t>
      </w:r>
      <w:r>
        <w:rPr>
          <w:rFonts w:cs="Times New Roman"/>
        </w:rPr>
        <w:t xml:space="preserve"> Duhamel controls </w:t>
      </w:r>
      <w:proofErr w:type="spellStart"/>
      <w:r>
        <w:rPr>
          <w:rFonts w:cs="Times New Roman"/>
        </w:rPr>
        <w:t>Bluberi</w:t>
      </w:r>
      <w:proofErr w:type="spellEnd"/>
      <w:r>
        <w:rPr>
          <w:rFonts w:cs="Times New Roman"/>
        </w:rPr>
        <w:t> Group </w:t>
      </w:r>
      <w:r w:rsidRPr="00EF30BB">
        <w:rPr>
          <w:rFonts w:cs="Times New Roman"/>
        </w:rPr>
        <w:t xml:space="preserve">Inc. and, as a result, </w:t>
      </w:r>
      <w:proofErr w:type="spellStart"/>
      <w:r w:rsidRPr="00EF30BB">
        <w:rPr>
          <w:rFonts w:cs="Times New Roman"/>
        </w:rPr>
        <w:t>Bluberi</w:t>
      </w:r>
      <w:proofErr w:type="spellEnd"/>
      <w:r w:rsidRPr="00EF30BB">
        <w:rPr>
          <w:rFonts w:cs="Times New Roman"/>
        </w:rPr>
        <w:t xml:space="preserve"> Ga</w:t>
      </w:r>
      <w:r w:rsidR="0083513A">
        <w:rPr>
          <w:rFonts w:cs="Times New Roman"/>
        </w:rPr>
        <w:t>ming (collectively, “</w:t>
      </w:r>
      <w:proofErr w:type="spellStart"/>
      <w:r w:rsidR="0083513A">
        <w:rPr>
          <w:rFonts w:cs="Times New Roman"/>
        </w:rPr>
        <w:t>Bluberi</w:t>
      </w:r>
      <w:proofErr w:type="spellEnd"/>
      <w:r w:rsidR="0083513A">
        <w:rPr>
          <w:rFonts w:cs="Times New Roman"/>
        </w:rPr>
        <w:t>”).</w:t>
      </w:r>
    </w:p>
    <w:p w:rsidR="006B1829" w:rsidRPr="00EF30BB" w:rsidRDefault="006B1829" w:rsidP="006B1829">
      <w:pPr>
        <w:pStyle w:val="ParaNoNdepar-AltN"/>
        <w:rPr>
          <w:rFonts w:cs="Times New Roman"/>
        </w:rPr>
      </w:pPr>
      <w:r w:rsidRPr="00EF30BB">
        <w:rPr>
          <w:rFonts w:cs="Times New Roman"/>
        </w:rPr>
        <w:t xml:space="preserve">In 2012, </w:t>
      </w:r>
      <w:proofErr w:type="spellStart"/>
      <w:r w:rsidRPr="00EF30BB">
        <w:rPr>
          <w:rFonts w:cs="Times New Roman"/>
        </w:rPr>
        <w:t>Bluberi</w:t>
      </w:r>
      <w:proofErr w:type="spellEnd"/>
      <w:r w:rsidRPr="00EF30BB">
        <w:rPr>
          <w:rFonts w:cs="Times New Roman"/>
        </w:rPr>
        <w:t xml:space="preserve"> sought financing from the respondent, </w:t>
      </w:r>
      <w:proofErr w:type="spellStart"/>
      <w:r w:rsidRPr="00EF30BB">
        <w:rPr>
          <w:rFonts w:cs="Times New Roman"/>
        </w:rPr>
        <w:t>Callidus</w:t>
      </w:r>
      <w:proofErr w:type="spellEnd"/>
      <w:r w:rsidRPr="00EF30BB">
        <w:rPr>
          <w:rFonts w:cs="Times New Roman"/>
        </w:rPr>
        <w:t xml:space="preserve"> Capital Corporation (“</w:t>
      </w:r>
      <w:proofErr w:type="spellStart"/>
      <w:r w:rsidRPr="00EF30BB">
        <w:rPr>
          <w:rFonts w:cs="Times New Roman"/>
        </w:rPr>
        <w:t>Callidus</w:t>
      </w:r>
      <w:proofErr w:type="spellEnd"/>
      <w:r w:rsidRPr="00EF30BB">
        <w:rPr>
          <w:rFonts w:cs="Times New Roman"/>
        </w:rPr>
        <w:t>”), which describes itself as an “ass</w:t>
      </w:r>
      <w:r>
        <w:rPr>
          <w:rFonts w:cs="Times New Roman"/>
        </w:rPr>
        <w:t>et-based or distressed lender” (</w:t>
      </w:r>
      <w:proofErr w:type="spellStart"/>
      <w:r w:rsidRPr="00EF30BB">
        <w:rPr>
          <w:rFonts w:cs="Times New Roman"/>
        </w:rPr>
        <w:t>R.F</w:t>
      </w:r>
      <w:proofErr w:type="spellEnd"/>
      <w:r w:rsidRPr="00EF30BB">
        <w:rPr>
          <w:rFonts w:cs="Times New Roman"/>
        </w:rPr>
        <w:t>., at para. 26</w:t>
      </w:r>
      <w:r>
        <w:rPr>
          <w:rFonts w:cs="Times New Roman"/>
        </w:rPr>
        <w:t>)</w:t>
      </w:r>
      <w:r w:rsidRPr="00EF30BB">
        <w:rPr>
          <w:rFonts w:cs="Times New Roman"/>
        </w:rPr>
        <w:t xml:space="preserve">. </w:t>
      </w:r>
      <w:proofErr w:type="spellStart"/>
      <w:r w:rsidRPr="00EF30BB">
        <w:rPr>
          <w:rFonts w:cs="Times New Roman"/>
        </w:rPr>
        <w:t>Callidus</w:t>
      </w:r>
      <w:proofErr w:type="spellEnd"/>
      <w:r w:rsidRPr="00EF30BB">
        <w:rPr>
          <w:rFonts w:cs="Times New Roman"/>
        </w:rPr>
        <w:t xml:space="preserve"> extended a credit facility of approximately $24 million to </w:t>
      </w:r>
      <w:proofErr w:type="spellStart"/>
      <w:r w:rsidRPr="00EF30BB">
        <w:rPr>
          <w:rFonts w:cs="Times New Roman"/>
        </w:rPr>
        <w:t>Bluberi</w:t>
      </w:r>
      <w:proofErr w:type="spellEnd"/>
      <w:r w:rsidRPr="00EF30BB">
        <w:rPr>
          <w:rFonts w:cs="Times New Roman"/>
        </w:rPr>
        <w:t>. This debt was secured in part by a share pledge agreement.</w:t>
      </w:r>
    </w:p>
    <w:p w:rsidR="006B1829" w:rsidRPr="00EF30BB" w:rsidRDefault="006B1829" w:rsidP="006B1829">
      <w:pPr>
        <w:pStyle w:val="ParaNoNdepar-AltN"/>
        <w:rPr>
          <w:rFonts w:cs="Times New Roman"/>
        </w:rPr>
      </w:pPr>
      <w:r w:rsidRPr="00EF30BB">
        <w:rPr>
          <w:rFonts w:cs="Times New Roman"/>
        </w:rPr>
        <w:t xml:space="preserve">Over the next three years, </w:t>
      </w:r>
      <w:proofErr w:type="spellStart"/>
      <w:r w:rsidRPr="00EF30BB">
        <w:rPr>
          <w:rFonts w:cs="Times New Roman"/>
        </w:rPr>
        <w:t>Bluberi</w:t>
      </w:r>
      <w:proofErr w:type="spellEnd"/>
      <w:r w:rsidRPr="00EF30BB">
        <w:rPr>
          <w:rFonts w:cs="Times New Roman"/>
        </w:rPr>
        <w:t xml:space="preserve"> lost significant amounts of money, and </w:t>
      </w:r>
      <w:proofErr w:type="spellStart"/>
      <w:r w:rsidRPr="00EF30BB">
        <w:rPr>
          <w:rFonts w:cs="Times New Roman"/>
        </w:rPr>
        <w:t>Callidus</w:t>
      </w:r>
      <w:proofErr w:type="spellEnd"/>
      <w:r w:rsidRPr="00EF30BB">
        <w:rPr>
          <w:rFonts w:cs="Times New Roman"/>
        </w:rPr>
        <w:t xml:space="preserve"> continued to extend credit. By 2015, </w:t>
      </w:r>
      <w:proofErr w:type="spellStart"/>
      <w:r w:rsidRPr="00EF30BB">
        <w:rPr>
          <w:rFonts w:cs="Times New Roman"/>
        </w:rPr>
        <w:t>Bluberi</w:t>
      </w:r>
      <w:proofErr w:type="spellEnd"/>
      <w:r w:rsidRPr="00EF30BB">
        <w:rPr>
          <w:rFonts w:cs="Times New Roman"/>
        </w:rPr>
        <w:t xml:space="preserve"> owed approximately $86 million to </w:t>
      </w:r>
      <w:proofErr w:type="spellStart"/>
      <w:r w:rsidRPr="00EF30BB">
        <w:rPr>
          <w:rFonts w:cs="Times New Roman"/>
        </w:rPr>
        <w:t>Callidus</w:t>
      </w:r>
      <w:proofErr w:type="spellEnd"/>
      <w:r w:rsidRPr="00EF30BB">
        <w:rPr>
          <w:rFonts w:cs="Times New Roman"/>
        </w:rPr>
        <w:t xml:space="preserve"> — close to half of which </w:t>
      </w:r>
      <w:proofErr w:type="spellStart"/>
      <w:r w:rsidRPr="00EF30BB">
        <w:rPr>
          <w:rFonts w:cs="Times New Roman"/>
        </w:rPr>
        <w:t>Bluberi</w:t>
      </w:r>
      <w:proofErr w:type="spellEnd"/>
      <w:r w:rsidRPr="00EF30BB">
        <w:rPr>
          <w:rFonts w:cs="Times New Roman"/>
        </w:rPr>
        <w:t xml:space="preserve"> asserts is comprised of interest and fees.</w:t>
      </w:r>
    </w:p>
    <w:p w:rsidR="006B1829" w:rsidRPr="00EF30BB" w:rsidRDefault="006B1829" w:rsidP="006B1829">
      <w:pPr>
        <w:pStyle w:val="Title2LevelTitre2Niveau"/>
        <w:rPr>
          <w:rFonts w:cs="Times New Roman"/>
        </w:rPr>
      </w:pPr>
      <w:bookmarkStart w:id="4" w:name="_Toc30143216"/>
      <w:bookmarkStart w:id="5" w:name="_Toc33564158"/>
      <w:bookmarkStart w:id="6" w:name="_Toc33653901"/>
      <w:proofErr w:type="spellStart"/>
      <w:r w:rsidRPr="00EF30BB">
        <w:rPr>
          <w:rFonts w:cs="Times New Roman"/>
        </w:rPr>
        <w:t>Bluberi’s</w:t>
      </w:r>
      <w:proofErr w:type="spellEnd"/>
      <w:r w:rsidRPr="00EF30BB">
        <w:rPr>
          <w:rFonts w:cs="Times New Roman"/>
        </w:rPr>
        <w:t xml:space="preserve"> Institution of </w:t>
      </w:r>
      <w:proofErr w:type="spellStart"/>
      <w:r w:rsidRPr="00EF30BB">
        <w:rPr>
          <w:rFonts w:cs="Times New Roman"/>
        </w:rPr>
        <w:t>CCAA</w:t>
      </w:r>
      <w:proofErr w:type="spellEnd"/>
      <w:r w:rsidRPr="00EF30BB">
        <w:rPr>
          <w:rFonts w:cs="Times New Roman"/>
        </w:rPr>
        <w:t xml:space="preserve"> Proceedings and </w:t>
      </w:r>
      <w:bookmarkEnd w:id="4"/>
      <w:bookmarkEnd w:id="5"/>
      <w:bookmarkEnd w:id="6"/>
      <w:r w:rsidRPr="00EF30BB">
        <w:rPr>
          <w:rFonts w:cs="Times New Roman"/>
        </w:rPr>
        <w:t>Initial Sale of Assets</w:t>
      </w:r>
    </w:p>
    <w:p w:rsidR="006B1829" w:rsidRPr="00EF30BB" w:rsidRDefault="006B1829" w:rsidP="006B1829">
      <w:pPr>
        <w:pStyle w:val="ParaNoNdepar-AltN"/>
        <w:rPr>
          <w:rFonts w:cs="Times New Roman"/>
        </w:rPr>
      </w:pPr>
      <w:r w:rsidRPr="00EF30BB">
        <w:rPr>
          <w:rFonts w:cs="Times New Roman"/>
        </w:rPr>
        <w:t xml:space="preserve">On November 11, 2015, </w:t>
      </w:r>
      <w:proofErr w:type="spellStart"/>
      <w:r w:rsidRPr="00EF30BB">
        <w:rPr>
          <w:rFonts w:cs="Times New Roman"/>
        </w:rPr>
        <w:t>Bluberi</w:t>
      </w:r>
      <w:proofErr w:type="spellEnd"/>
      <w:r w:rsidRPr="00EF30BB">
        <w:rPr>
          <w:rFonts w:cs="Times New Roman"/>
        </w:rPr>
        <w:t xml:space="preserve"> filed a petition for the issuance of an initial order under the </w:t>
      </w:r>
      <w:proofErr w:type="spellStart"/>
      <w:r w:rsidRPr="00EF30BB">
        <w:rPr>
          <w:rFonts w:cs="Times New Roman"/>
          <w:i/>
        </w:rPr>
        <w:t>CCAA</w:t>
      </w:r>
      <w:proofErr w:type="spellEnd"/>
      <w:r w:rsidRPr="00EF30BB">
        <w:rPr>
          <w:rFonts w:cs="Times New Roman"/>
        </w:rPr>
        <w:t xml:space="preserve">. In its petition, </w:t>
      </w:r>
      <w:proofErr w:type="spellStart"/>
      <w:r w:rsidRPr="00EF30BB">
        <w:rPr>
          <w:rFonts w:cs="Times New Roman"/>
        </w:rPr>
        <w:t>Bluberi</w:t>
      </w:r>
      <w:proofErr w:type="spellEnd"/>
      <w:r w:rsidRPr="00EF30BB">
        <w:rPr>
          <w:rFonts w:cs="Times New Roman"/>
        </w:rPr>
        <w:t xml:space="preserve"> alleged that its liquidity issues were the result of </w:t>
      </w:r>
      <w:proofErr w:type="spellStart"/>
      <w:r w:rsidRPr="00EF30BB">
        <w:rPr>
          <w:rFonts w:cs="Times New Roman"/>
        </w:rPr>
        <w:t>Callidus</w:t>
      </w:r>
      <w:proofErr w:type="spellEnd"/>
      <w:r w:rsidRPr="00EF30BB">
        <w:rPr>
          <w:rFonts w:cs="Times New Roman"/>
        </w:rPr>
        <w:t xml:space="preserve"> taking </w:t>
      </w:r>
      <w:r w:rsidRPr="00EF30BB">
        <w:rPr>
          <w:rFonts w:cs="Times New Roman"/>
          <w:i/>
        </w:rPr>
        <w:t xml:space="preserve">de facto </w:t>
      </w:r>
      <w:r w:rsidRPr="00EF30BB">
        <w:rPr>
          <w:rFonts w:cs="Times New Roman"/>
        </w:rPr>
        <w:t xml:space="preserve">control of the corporation and dictating a number of purposefully detrimental business decisions. </w:t>
      </w:r>
      <w:proofErr w:type="spellStart"/>
      <w:r w:rsidRPr="00EF30BB">
        <w:rPr>
          <w:rFonts w:cs="Times New Roman"/>
        </w:rPr>
        <w:t>Bluberi</w:t>
      </w:r>
      <w:proofErr w:type="spellEnd"/>
      <w:r w:rsidRPr="00EF30BB">
        <w:rPr>
          <w:rFonts w:cs="Times New Roman"/>
        </w:rPr>
        <w:t xml:space="preserve"> alleged that </w:t>
      </w:r>
      <w:proofErr w:type="spellStart"/>
      <w:r w:rsidRPr="00EF30BB">
        <w:rPr>
          <w:rFonts w:cs="Times New Roman"/>
        </w:rPr>
        <w:t>Callidus</w:t>
      </w:r>
      <w:proofErr w:type="spellEnd"/>
      <w:r w:rsidRPr="00EF30BB">
        <w:rPr>
          <w:rFonts w:cs="Times New Roman"/>
        </w:rPr>
        <w:t xml:space="preserve"> engaged in </w:t>
      </w:r>
      <w:r w:rsidRPr="00EF30BB">
        <w:rPr>
          <w:rFonts w:cs="Times New Roman"/>
        </w:rPr>
        <w:lastRenderedPageBreak/>
        <w:t xml:space="preserve">this conduct in order to deplete the corporation’s equity value with a view to owning </w:t>
      </w:r>
      <w:proofErr w:type="spellStart"/>
      <w:r w:rsidRPr="00EF30BB">
        <w:rPr>
          <w:rFonts w:cs="Times New Roman"/>
        </w:rPr>
        <w:t>Bluberi</w:t>
      </w:r>
      <w:proofErr w:type="spellEnd"/>
      <w:r w:rsidRPr="00EF30BB">
        <w:rPr>
          <w:rFonts w:cs="Times New Roman"/>
        </w:rPr>
        <w:t xml:space="preserve"> and, ultimately, selling it.</w:t>
      </w:r>
    </w:p>
    <w:p w:rsidR="006B1829" w:rsidRPr="00EF30BB" w:rsidRDefault="006B1829" w:rsidP="006B1829">
      <w:pPr>
        <w:pStyle w:val="ParaNoNdepar-AltN"/>
        <w:rPr>
          <w:rFonts w:cs="Times New Roman"/>
        </w:rPr>
      </w:pPr>
      <w:r w:rsidRPr="00EF30BB">
        <w:rPr>
          <w:rFonts w:cs="Times New Roman"/>
        </w:rPr>
        <w:t xml:space="preserve">Over </w:t>
      </w:r>
      <w:proofErr w:type="spellStart"/>
      <w:r w:rsidRPr="00EF30BB">
        <w:rPr>
          <w:rFonts w:cs="Times New Roman"/>
        </w:rPr>
        <w:t>Callidus’s</w:t>
      </w:r>
      <w:proofErr w:type="spellEnd"/>
      <w:r w:rsidRPr="00EF30BB">
        <w:rPr>
          <w:rFonts w:cs="Times New Roman"/>
        </w:rPr>
        <w:t xml:space="preserve"> objection, </w:t>
      </w:r>
      <w:proofErr w:type="spellStart"/>
      <w:r w:rsidRPr="00EF30BB">
        <w:rPr>
          <w:rFonts w:cs="Times New Roman"/>
        </w:rPr>
        <w:t>Bluberi’s</w:t>
      </w:r>
      <w:proofErr w:type="spellEnd"/>
      <w:r w:rsidRPr="00EF30BB">
        <w:rPr>
          <w:rFonts w:cs="Times New Roman"/>
        </w:rPr>
        <w:t xml:space="preserve"> petition succeeded. The supervising judge, Michaud J., issued an initial order under the </w:t>
      </w:r>
      <w:proofErr w:type="spellStart"/>
      <w:r w:rsidRPr="00EF30BB">
        <w:rPr>
          <w:rFonts w:cs="Times New Roman"/>
          <w:i/>
        </w:rPr>
        <w:t>CCAA</w:t>
      </w:r>
      <w:proofErr w:type="spellEnd"/>
      <w:r>
        <w:rPr>
          <w:rFonts w:cs="Times New Roman"/>
        </w:rPr>
        <w:t>. Among other things, the i</w:t>
      </w:r>
      <w:r w:rsidRPr="00EF30BB">
        <w:rPr>
          <w:rFonts w:cs="Times New Roman"/>
        </w:rPr>
        <w:t xml:space="preserve">nitial </w:t>
      </w:r>
      <w:r>
        <w:rPr>
          <w:rFonts w:cs="Times New Roman"/>
        </w:rPr>
        <w:t>o</w:t>
      </w:r>
      <w:r w:rsidRPr="00EF30BB">
        <w:rPr>
          <w:rFonts w:cs="Times New Roman"/>
        </w:rPr>
        <w:t xml:space="preserve">rder confirmed that </w:t>
      </w:r>
      <w:proofErr w:type="spellStart"/>
      <w:r w:rsidRPr="00EF30BB">
        <w:rPr>
          <w:rFonts w:cs="Times New Roman"/>
        </w:rPr>
        <w:t>Bluberi</w:t>
      </w:r>
      <w:proofErr w:type="spellEnd"/>
      <w:r w:rsidRPr="00EF30BB">
        <w:rPr>
          <w:rFonts w:cs="Times New Roman"/>
        </w:rPr>
        <w:t xml:space="preserve"> was a “debtor company” within the meaning of s. 2(1) of the Act; stayed any proceedings against </w:t>
      </w:r>
      <w:proofErr w:type="spellStart"/>
      <w:r w:rsidRPr="00EF30BB">
        <w:rPr>
          <w:rFonts w:cs="Times New Roman"/>
        </w:rPr>
        <w:t>Bluberi</w:t>
      </w:r>
      <w:proofErr w:type="spellEnd"/>
      <w:r w:rsidRPr="00EF30BB">
        <w:rPr>
          <w:rFonts w:cs="Times New Roman"/>
        </w:rPr>
        <w:t xml:space="preserve"> or any director or officer of </w:t>
      </w:r>
      <w:proofErr w:type="spellStart"/>
      <w:r w:rsidRPr="00EF30BB">
        <w:rPr>
          <w:rFonts w:cs="Times New Roman"/>
        </w:rPr>
        <w:t>Bluberi</w:t>
      </w:r>
      <w:proofErr w:type="spellEnd"/>
      <w:r w:rsidRPr="00EF30BB">
        <w:rPr>
          <w:rFonts w:cs="Times New Roman"/>
        </w:rPr>
        <w:t>; and appointed Ernst &amp; Young Inc. as monitor (“Monitor”).</w:t>
      </w:r>
    </w:p>
    <w:p w:rsidR="006B1829" w:rsidRPr="00EF30BB" w:rsidRDefault="006B1829" w:rsidP="006B1829">
      <w:pPr>
        <w:pStyle w:val="ParaNoNdepar-AltN"/>
        <w:rPr>
          <w:rFonts w:cs="Times New Roman"/>
        </w:rPr>
      </w:pPr>
      <w:r w:rsidRPr="00EF30BB">
        <w:rPr>
          <w:rFonts w:cs="Times New Roman"/>
        </w:rPr>
        <w:t xml:space="preserve">Working with the Monitor, </w:t>
      </w:r>
      <w:proofErr w:type="spellStart"/>
      <w:r w:rsidRPr="00EF30BB">
        <w:rPr>
          <w:rFonts w:cs="Times New Roman"/>
        </w:rPr>
        <w:t>Bluberi</w:t>
      </w:r>
      <w:proofErr w:type="spellEnd"/>
      <w:r w:rsidRPr="00EF30BB">
        <w:rPr>
          <w:rFonts w:cs="Times New Roman"/>
        </w:rPr>
        <w:t xml:space="preserve"> determined that a sale of its assets was necessary. On January 28, 2016, it proposed a sale solicitation process, which the supervising judge approved. That process led to </w:t>
      </w:r>
      <w:proofErr w:type="spellStart"/>
      <w:r w:rsidRPr="00EF30BB">
        <w:rPr>
          <w:rFonts w:cs="Times New Roman"/>
        </w:rPr>
        <w:t>Bluberi</w:t>
      </w:r>
      <w:proofErr w:type="spellEnd"/>
      <w:r w:rsidRPr="00EF30BB">
        <w:rPr>
          <w:rFonts w:cs="Times New Roman"/>
        </w:rPr>
        <w:t xml:space="preserve"> entering into an asset purchase agreement with </w:t>
      </w:r>
      <w:proofErr w:type="spellStart"/>
      <w:r w:rsidRPr="00EF30BB">
        <w:rPr>
          <w:rFonts w:cs="Times New Roman"/>
        </w:rPr>
        <w:t>Callidus</w:t>
      </w:r>
      <w:proofErr w:type="spellEnd"/>
      <w:r w:rsidRPr="00EF30BB">
        <w:rPr>
          <w:rFonts w:cs="Times New Roman"/>
        </w:rPr>
        <w:t xml:space="preserve">. The agreement contemplated that </w:t>
      </w:r>
      <w:proofErr w:type="spellStart"/>
      <w:r w:rsidRPr="00EF30BB">
        <w:rPr>
          <w:rFonts w:cs="Times New Roman"/>
        </w:rPr>
        <w:t>Callidus</w:t>
      </w:r>
      <w:proofErr w:type="spellEnd"/>
      <w:r w:rsidRPr="00EF30BB">
        <w:rPr>
          <w:rFonts w:cs="Times New Roman"/>
        </w:rPr>
        <w:t xml:space="preserve"> would obtain all of </w:t>
      </w:r>
      <w:proofErr w:type="spellStart"/>
      <w:r w:rsidRPr="00EF30BB">
        <w:rPr>
          <w:rFonts w:cs="Times New Roman"/>
        </w:rPr>
        <w:t>Bluberi’s</w:t>
      </w:r>
      <w:proofErr w:type="spellEnd"/>
      <w:r w:rsidRPr="00EF30BB">
        <w:rPr>
          <w:rFonts w:cs="Times New Roman"/>
        </w:rPr>
        <w:t xml:space="preserve"> assets in exchange for extinguishing almost the entirety of its secured claim against </w:t>
      </w:r>
      <w:proofErr w:type="spellStart"/>
      <w:r w:rsidRPr="00EF30BB">
        <w:rPr>
          <w:rFonts w:cs="Times New Roman"/>
        </w:rPr>
        <w:t>Bluberi</w:t>
      </w:r>
      <w:proofErr w:type="spellEnd"/>
      <w:r w:rsidRPr="00EF30BB">
        <w:rPr>
          <w:rFonts w:cs="Times New Roman"/>
        </w:rPr>
        <w:t xml:space="preserve">, which had ballooned to approximately $135.7 million. </w:t>
      </w:r>
      <w:proofErr w:type="spellStart"/>
      <w:r w:rsidRPr="00EF30BB">
        <w:rPr>
          <w:rFonts w:cs="Times New Roman"/>
        </w:rPr>
        <w:t>Callidus</w:t>
      </w:r>
      <w:proofErr w:type="spellEnd"/>
      <w:r w:rsidRPr="00EF30BB">
        <w:rPr>
          <w:rFonts w:cs="Times New Roman"/>
        </w:rPr>
        <w:t xml:space="preserve"> would maintain an undischarged secured claim of $3 million against </w:t>
      </w:r>
      <w:proofErr w:type="spellStart"/>
      <w:r w:rsidRPr="00EF30BB">
        <w:rPr>
          <w:rFonts w:cs="Times New Roman"/>
        </w:rPr>
        <w:t>Bluberi</w:t>
      </w:r>
      <w:proofErr w:type="spellEnd"/>
      <w:r w:rsidRPr="00EF30BB">
        <w:rPr>
          <w:rFonts w:cs="Times New Roman"/>
        </w:rPr>
        <w:t xml:space="preserve">. The agreement would also permit </w:t>
      </w:r>
      <w:proofErr w:type="spellStart"/>
      <w:r w:rsidRPr="00EF30BB">
        <w:rPr>
          <w:rFonts w:cs="Times New Roman"/>
        </w:rPr>
        <w:t>Bluberi</w:t>
      </w:r>
      <w:proofErr w:type="spellEnd"/>
      <w:r w:rsidRPr="00EF30BB">
        <w:rPr>
          <w:rFonts w:cs="Times New Roman"/>
        </w:rPr>
        <w:t xml:space="preserve"> to retain claims for damages against </w:t>
      </w:r>
      <w:proofErr w:type="spellStart"/>
      <w:r w:rsidRPr="00EF30BB">
        <w:rPr>
          <w:rFonts w:cs="Times New Roman"/>
        </w:rPr>
        <w:t>Callidus</w:t>
      </w:r>
      <w:proofErr w:type="spellEnd"/>
      <w:r w:rsidRPr="00EF30BB">
        <w:rPr>
          <w:rFonts w:cs="Times New Roman"/>
        </w:rPr>
        <w:t xml:space="preserve"> arising from its alleged involvement in </w:t>
      </w:r>
      <w:proofErr w:type="spellStart"/>
      <w:r w:rsidRPr="00EF30BB">
        <w:rPr>
          <w:rFonts w:cs="Times New Roman"/>
        </w:rPr>
        <w:t>Bluberi’s</w:t>
      </w:r>
      <w:proofErr w:type="spellEnd"/>
      <w:r w:rsidRPr="00EF30BB">
        <w:rPr>
          <w:rFonts w:cs="Times New Roman"/>
        </w:rPr>
        <w:t xml:space="preserve"> financial difficulties (“Retained Claims”).</w:t>
      </w:r>
      <w:r w:rsidRPr="0083513A">
        <w:rPr>
          <w:rStyle w:val="Hyperlink"/>
          <w:color w:val="000000" w:themeColor="text1"/>
          <w:u w:val="none"/>
          <w:vertAlign w:val="superscript"/>
        </w:rPr>
        <w:footnoteReference w:id="1"/>
      </w:r>
      <w:r w:rsidRPr="0083513A">
        <w:rPr>
          <w:rFonts w:cs="Times New Roman"/>
          <w:color w:val="000000" w:themeColor="text1"/>
        </w:rPr>
        <w:t xml:space="preserve"> </w:t>
      </w:r>
      <w:r w:rsidRPr="00EF30BB">
        <w:rPr>
          <w:rFonts w:cs="Times New Roman"/>
        </w:rPr>
        <w:t xml:space="preserve">Throughout these proceedings, </w:t>
      </w:r>
      <w:proofErr w:type="spellStart"/>
      <w:r w:rsidRPr="00EF30BB">
        <w:rPr>
          <w:rFonts w:cs="Times New Roman"/>
        </w:rPr>
        <w:t>Bluberi</w:t>
      </w:r>
      <w:proofErr w:type="spellEnd"/>
      <w:r w:rsidRPr="00EF30BB">
        <w:rPr>
          <w:rFonts w:cs="Times New Roman"/>
        </w:rPr>
        <w:t xml:space="preserve"> has asserted that the Retained Claims should amount to over $200 million in damages.</w:t>
      </w:r>
    </w:p>
    <w:p w:rsidR="006B1829" w:rsidRPr="00EF30BB" w:rsidRDefault="006B1829" w:rsidP="006B1829">
      <w:pPr>
        <w:pStyle w:val="ParaNoNdepar-AltN"/>
        <w:rPr>
          <w:rFonts w:cs="Times New Roman"/>
        </w:rPr>
      </w:pPr>
      <w:r w:rsidRPr="00EF30BB">
        <w:rPr>
          <w:rFonts w:cs="Times New Roman"/>
        </w:rPr>
        <w:lastRenderedPageBreak/>
        <w:t xml:space="preserve">The supervising judge approved the asset purchase agreement, and the sale of </w:t>
      </w:r>
      <w:proofErr w:type="spellStart"/>
      <w:r w:rsidRPr="00EF30BB">
        <w:rPr>
          <w:rFonts w:cs="Times New Roman"/>
        </w:rPr>
        <w:t>Bluberi’s</w:t>
      </w:r>
      <w:proofErr w:type="spellEnd"/>
      <w:r w:rsidRPr="00EF30BB">
        <w:rPr>
          <w:rFonts w:cs="Times New Roman"/>
        </w:rPr>
        <w:t xml:space="preserve"> assets to </w:t>
      </w:r>
      <w:proofErr w:type="spellStart"/>
      <w:r w:rsidRPr="00EF30BB">
        <w:rPr>
          <w:rFonts w:cs="Times New Roman"/>
        </w:rPr>
        <w:t>Callidus</w:t>
      </w:r>
      <w:proofErr w:type="spellEnd"/>
      <w:r w:rsidRPr="00EF30BB">
        <w:rPr>
          <w:rFonts w:cs="Times New Roman"/>
        </w:rPr>
        <w:t xml:space="preserve"> closed in February 2017. As a result, </w:t>
      </w:r>
      <w:proofErr w:type="spellStart"/>
      <w:r w:rsidRPr="00EF30BB">
        <w:rPr>
          <w:rFonts w:cs="Times New Roman"/>
        </w:rPr>
        <w:t>Callidus</w:t>
      </w:r>
      <w:proofErr w:type="spellEnd"/>
      <w:r w:rsidRPr="00EF30BB">
        <w:rPr>
          <w:rFonts w:cs="Times New Roman"/>
        </w:rPr>
        <w:t xml:space="preserve"> effectively acquired </w:t>
      </w:r>
      <w:proofErr w:type="spellStart"/>
      <w:r w:rsidRPr="00EF30BB">
        <w:rPr>
          <w:rFonts w:cs="Times New Roman"/>
        </w:rPr>
        <w:t>Bluberi’s</w:t>
      </w:r>
      <w:proofErr w:type="spellEnd"/>
      <w:r w:rsidRPr="00EF30BB">
        <w:rPr>
          <w:rFonts w:cs="Times New Roman"/>
        </w:rPr>
        <w:t xml:space="preserve"> business, and has continued to operate it as a going concern.</w:t>
      </w:r>
    </w:p>
    <w:p w:rsidR="006B1829" w:rsidRPr="00EF30BB" w:rsidRDefault="006B1829" w:rsidP="006B1829">
      <w:pPr>
        <w:pStyle w:val="ParaNoNdepar-AltN"/>
        <w:rPr>
          <w:rFonts w:cs="Times New Roman"/>
        </w:rPr>
      </w:pPr>
      <w:r w:rsidRPr="00EF30BB">
        <w:rPr>
          <w:rFonts w:cs="Times New Roman"/>
        </w:rPr>
        <w:t xml:space="preserve">Since the sale, the Retained Claims have been </w:t>
      </w:r>
      <w:proofErr w:type="spellStart"/>
      <w:r w:rsidRPr="00EF30BB">
        <w:rPr>
          <w:rFonts w:cs="Times New Roman"/>
        </w:rPr>
        <w:t>Bluberi’s</w:t>
      </w:r>
      <w:proofErr w:type="spellEnd"/>
      <w:r w:rsidRPr="00EF30BB">
        <w:rPr>
          <w:rFonts w:cs="Times New Roman"/>
        </w:rPr>
        <w:t xml:space="preserve"> sole remaining asset and thus the sole security f</w:t>
      </w:r>
      <w:r w:rsidR="0083513A">
        <w:rPr>
          <w:rFonts w:cs="Times New Roman"/>
        </w:rPr>
        <w:t xml:space="preserve">or </w:t>
      </w:r>
      <w:proofErr w:type="spellStart"/>
      <w:r w:rsidR="0083513A">
        <w:rPr>
          <w:rFonts w:cs="Times New Roman"/>
        </w:rPr>
        <w:t>Callidus’s</w:t>
      </w:r>
      <w:proofErr w:type="spellEnd"/>
      <w:r w:rsidR="0083513A">
        <w:rPr>
          <w:rFonts w:cs="Times New Roman"/>
        </w:rPr>
        <w:t xml:space="preserve"> $3 million claim.</w:t>
      </w:r>
    </w:p>
    <w:p w:rsidR="006B1829" w:rsidRPr="00EF30BB" w:rsidRDefault="006B1829" w:rsidP="006B1829">
      <w:pPr>
        <w:pStyle w:val="Title2LevelTitre2Niveau"/>
        <w:rPr>
          <w:rFonts w:cs="Times New Roman"/>
        </w:rPr>
      </w:pPr>
      <w:bookmarkStart w:id="7" w:name="_Toc30143217"/>
      <w:bookmarkStart w:id="8" w:name="_Toc33564159"/>
      <w:bookmarkStart w:id="9" w:name="_Toc33653902"/>
      <w:r w:rsidRPr="00EF30BB">
        <w:rPr>
          <w:rFonts w:cs="Times New Roman"/>
        </w:rPr>
        <w:t xml:space="preserve">The Initial Competing </w:t>
      </w:r>
      <w:bookmarkEnd w:id="7"/>
      <w:r w:rsidRPr="00EF30BB">
        <w:rPr>
          <w:rFonts w:cs="Times New Roman"/>
        </w:rPr>
        <w:t>Plans</w:t>
      </w:r>
      <w:bookmarkEnd w:id="8"/>
      <w:bookmarkEnd w:id="9"/>
      <w:r w:rsidRPr="00EF30BB">
        <w:rPr>
          <w:rFonts w:cs="Times New Roman"/>
        </w:rPr>
        <w:t xml:space="preserve"> of Arrangement</w:t>
      </w:r>
    </w:p>
    <w:p w:rsidR="006B1829" w:rsidRPr="00EF30BB" w:rsidRDefault="006B1829" w:rsidP="006B1829">
      <w:pPr>
        <w:pStyle w:val="ParaNoNdepar-AltN"/>
        <w:rPr>
          <w:rFonts w:cs="Times New Roman"/>
        </w:rPr>
      </w:pPr>
      <w:r w:rsidRPr="00EF30BB">
        <w:rPr>
          <w:rFonts w:cs="Times New Roman"/>
        </w:rPr>
        <w:t xml:space="preserve">On September 11, 2017, </w:t>
      </w:r>
      <w:proofErr w:type="spellStart"/>
      <w:r w:rsidRPr="00EF30BB">
        <w:rPr>
          <w:rFonts w:cs="Times New Roman"/>
        </w:rPr>
        <w:t>Bluberi</w:t>
      </w:r>
      <w:proofErr w:type="spellEnd"/>
      <w:r w:rsidRPr="00EF30BB">
        <w:rPr>
          <w:rFonts w:cs="Times New Roman"/>
        </w:rPr>
        <w:t xml:space="preserve"> filed an application seeking the approval of a $2 million interim financing credit facility to fund the litigation of the Retained Claims and other related relief</w:t>
      </w:r>
      <w:r w:rsidRPr="00EF30BB">
        <w:rPr>
          <w:rStyle w:val="CommentReference"/>
          <w:rFonts w:eastAsiaTheme="minorHAnsi" w:cs="Times New Roman"/>
          <w:szCs w:val="24"/>
          <w:lang w:val="en-US"/>
        </w:rPr>
        <w:t xml:space="preserve">. </w:t>
      </w:r>
      <w:r w:rsidRPr="00EF30BB">
        <w:rPr>
          <w:rFonts w:cs="Times New Roman"/>
        </w:rPr>
        <w:t xml:space="preserve">The lender was a joint venture numbered company incorporated as 9364-9739 Québec </w:t>
      </w:r>
      <w:proofErr w:type="spellStart"/>
      <w:proofErr w:type="gramStart"/>
      <w:r w:rsidRPr="00EF30BB">
        <w:rPr>
          <w:rFonts w:cs="Times New Roman"/>
        </w:rPr>
        <w:t>inc</w:t>
      </w:r>
      <w:proofErr w:type="gramEnd"/>
      <w:r w:rsidRPr="00EF30BB">
        <w:rPr>
          <w:rFonts w:cs="Times New Roman"/>
        </w:rPr>
        <w:t>.</w:t>
      </w:r>
      <w:proofErr w:type="spellEnd"/>
      <w:r w:rsidRPr="00EF30BB">
        <w:rPr>
          <w:rFonts w:cs="Times New Roman"/>
        </w:rPr>
        <w:t xml:space="preserve"> This interim financing application was set to be heard on September 19, 2017.</w:t>
      </w:r>
    </w:p>
    <w:p w:rsidR="006B1829" w:rsidRPr="00EF30BB" w:rsidRDefault="006B1829" w:rsidP="006B1829">
      <w:pPr>
        <w:pStyle w:val="ParaNoNdepar-AltN"/>
        <w:rPr>
          <w:rFonts w:cs="Times New Roman"/>
        </w:rPr>
      </w:pPr>
      <w:r w:rsidRPr="00EF30BB">
        <w:rPr>
          <w:rFonts w:cs="Times New Roman"/>
        </w:rPr>
        <w:t xml:space="preserve">However, one day before the hearing, </w:t>
      </w:r>
      <w:proofErr w:type="spellStart"/>
      <w:r w:rsidRPr="00EF30BB">
        <w:rPr>
          <w:rFonts w:cs="Times New Roman"/>
        </w:rPr>
        <w:t>Callidus</w:t>
      </w:r>
      <w:proofErr w:type="spellEnd"/>
      <w:r w:rsidRPr="00EF30BB">
        <w:rPr>
          <w:rFonts w:cs="Times New Roman"/>
        </w:rPr>
        <w:t xml:space="preserve"> proposed a plan of arrangement (“First Plan”) and applied for an order convening a creditors’ meeting to vote on that plan. The First Plan proposed that </w:t>
      </w:r>
      <w:proofErr w:type="spellStart"/>
      <w:r w:rsidRPr="00EF30BB">
        <w:rPr>
          <w:rFonts w:cs="Times New Roman"/>
        </w:rPr>
        <w:t>Callidus</w:t>
      </w:r>
      <w:proofErr w:type="spellEnd"/>
      <w:r w:rsidRPr="00EF30BB">
        <w:rPr>
          <w:rFonts w:cs="Times New Roman"/>
        </w:rPr>
        <w:t xml:space="preserve"> would fund a $2.5 million (later increased to $2.63 million) distribution to </w:t>
      </w:r>
      <w:proofErr w:type="spellStart"/>
      <w:r w:rsidRPr="00EF30BB">
        <w:rPr>
          <w:rFonts w:cs="Times New Roman"/>
        </w:rPr>
        <w:t>Bluberi’s</w:t>
      </w:r>
      <w:proofErr w:type="spellEnd"/>
      <w:r w:rsidRPr="00EF30BB">
        <w:rPr>
          <w:rFonts w:cs="Times New Roman"/>
        </w:rPr>
        <w:t xml:space="preserve"> creditors, except itself, in exchange for a release from the Retained Claims. This would have fully satisfied the claims of </w:t>
      </w:r>
      <w:proofErr w:type="spellStart"/>
      <w:r w:rsidRPr="00EF30BB">
        <w:rPr>
          <w:rFonts w:cs="Times New Roman"/>
        </w:rPr>
        <w:t>Bluberi’s</w:t>
      </w:r>
      <w:proofErr w:type="spellEnd"/>
      <w:r w:rsidRPr="00EF30BB">
        <w:rPr>
          <w:rFonts w:cs="Times New Roman"/>
        </w:rPr>
        <w:t xml:space="preserve"> former employees and those creditors with claims worth less than $3000; creditors with larger claims were to receive, on average, 31 percent of their respective claims.</w:t>
      </w:r>
    </w:p>
    <w:p w:rsidR="006B1829" w:rsidRPr="00EF30BB" w:rsidRDefault="006B1829" w:rsidP="006B1829">
      <w:pPr>
        <w:pStyle w:val="ParaNoNdepar-AltN"/>
        <w:rPr>
          <w:rFonts w:cs="Times New Roman"/>
        </w:rPr>
      </w:pPr>
      <w:r w:rsidRPr="00EF30BB">
        <w:rPr>
          <w:rFonts w:cs="Times New Roman"/>
        </w:rPr>
        <w:lastRenderedPageBreak/>
        <w:t xml:space="preserve">The supervising judge adjourned the hearing of both applications to October 5, 2017. In the meantime, </w:t>
      </w:r>
      <w:proofErr w:type="spellStart"/>
      <w:r w:rsidRPr="00EF30BB">
        <w:rPr>
          <w:rFonts w:cs="Times New Roman"/>
        </w:rPr>
        <w:t>Bluberi</w:t>
      </w:r>
      <w:proofErr w:type="spellEnd"/>
      <w:r w:rsidRPr="00EF30BB">
        <w:rPr>
          <w:rFonts w:cs="Times New Roman"/>
        </w:rPr>
        <w:t xml:space="preserve"> filed its own plan of arrangement. Among other things, the plan proposed that half of any proceeds resulting from the Retained Claims, after payment of expenses and </w:t>
      </w:r>
      <w:proofErr w:type="spellStart"/>
      <w:r w:rsidRPr="00EF30BB">
        <w:rPr>
          <w:rFonts w:cs="Times New Roman"/>
        </w:rPr>
        <w:t>Bluberi’s</w:t>
      </w:r>
      <w:proofErr w:type="spellEnd"/>
      <w:r w:rsidRPr="00EF30BB">
        <w:rPr>
          <w:rFonts w:cs="Times New Roman"/>
        </w:rPr>
        <w:t xml:space="preserve"> creditors’ claims, would be distributed to the unsecured creditors, as long as the net proceeds exceeded $20 million.</w:t>
      </w:r>
    </w:p>
    <w:p w:rsidR="006B1829" w:rsidRPr="00EF30BB" w:rsidRDefault="006B1829" w:rsidP="006B1829">
      <w:pPr>
        <w:pStyle w:val="ParaNoNdepar-AltN"/>
        <w:rPr>
          <w:rFonts w:cs="Times New Roman"/>
        </w:rPr>
      </w:pPr>
      <w:r w:rsidRPr="00EF30BB">
        <w:rPr>
          <w:rFonts w:cs="Times New Roman"/>
        </w:rPr>
        <w:t xml:space="preserve">On October 5, 2017, the supervising judge ordered that the parties’ plans of arrangement could be put to a creditors’ vote. He ordered that both parties share the fees and expenses related to the presentation of the plans of arrangement at a creditors’ meeting, and that a party’s failure to deposit those funds with the Monitor would bar the presentation of that party’s plan of arrangement. </w:t>
      </w:r>
      <w:proofErr w:type="spellStart"/>
      <w:r w:rsidRPr="00EF30BB">
        <w:rPr>
          <w:rFonts w:cs="Times New Roman"/>
        </w:rPr>
        <w:t>Bluberi</w:t>
      </w:r>
      <w:proofErr w:type="spellEnd"/>
      <w:r w:rsidRPr="00EF30BB">
        <w:rPr>
          <w:rFonts w:cs="Times New Roman"/>
        </w:rPr>
        <w:t xml:space="preserve"> elected not to deposit the necessary funds, and, as a result, only </w:t>
      </w:r>
      <w:proofErr w:type="spellStart"/>
      <w:r w:rsidRPr="00EF30BB">
        <w:rPr>
          <w:rFonts w:cs="Times New Roman"/>
        </w:rPr>
        <w:t>Callidus’s</w:t>
      </w:r>
      <w:proofErr w:type="spellEnd"/>
      <w:r w:rsidRPr="00EF30BB">
        <w:rPr>
          <w:rFonts w:cs="Times New Roman"/>
        </w:rPr>
        <w:t xml:space="preserve"> First Plan was put to the creditors.</w:t>
      </w:r>
    </w:p>
    <w:p w:rsidR="006B1829" w:rsidRPr="00EF30BB" w:rsidRDefault="006B1829" w:rsidP="006B1829">
      <w:pPr>
        <w:pStyle w:val="Title2LevelTitre2Niveau"/>
        <w:rPr>
          <w:rFonts w:cs="Times New Roman"/>
        </w:rPr>
      </w:pPr>
      <w:bookmarkStart w:id="10" w:name="_Toc33564160"/>
      <w:bookmarkStart w:id="11" w:name="_Toc33653903"/>
      <w:r w:rsidRPr="00EF30BB">
        <w:rPr>
          <w:rFonts w:cs="Times New Roman"/>
        </w:rPr>
        <w:t xml:space="preserve">Creditors’ Vote on </w:t>
      </w:r>
      <w:proofErr w:type="spellStart"/>
      <w:r w:rsidRPr="00EF30BB">
        <w:rPr>
          <w:rFonts w:cs="Times New Roman"/>
        </w:rPr>
        <w:t>Callidus’s</w:t>
      </w:r>
      <w:proofErr w:type="spellEnd"/>
      <w:r w:rsidRPr="00EF30BB">
        <w:rPr>
          <w:rFonts w:cs="Times New Roman"/>
        </w:rPr>
        <w:t xml:space="preserve"> First Plan</w:t>
      </w:r>
      <w:bookmarkEnd w:id="10"/>
      <w:bookmarkEnd w:id="11"/>
    </w:p>
    <w:p w:rsidR="006B1829" w:rsidRPr="00EF30BB" w:rsidRDefault="006B1829" w:rsidP="006B1829">
      <w:pPr>
        <w:pStyle w:val="ParaNoNdepar-AltN"/>
        <w:rPr>
          <w:rFonts w:cs="Times New Roman"/>
        </w:rPr>
      </w:pPr>
      <w:r w:rsidRPr="00EF30BB">
        <w:rPr>
          <w:rFonts w:cs="Times New Roman"/>
        </w:rPr>
        <w:t xml:space="preserve">On December 15, 2017, </w:t>
      </w:r>
      <w:proofErr w:type="spellStart"/>
      <w:r w:rsidRPr="00EF30BB">
        <w:rPr>
          <w:rFonts w:cs="Times New Roman"/>
        </w:rPr>
        <w:t>Callidus</w:t>
      </w:r>
      <w:proofErr w:type="spellEnd"/>
      <w:r w:rsidRPr="00EF30BB">
        <w:rPr>
          <w:rFonts w:cs="Times New Roman"/>
        </w:rPr>
        <w:t xml:space="preserve"> submitted its First Plan to a creditors’ vote. The plan failed to receive sufficient support. Section 6(1)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provides that, to be approved, a plan must receive a “double majority” vote in each class of creditors — that is, a majority in </w:t>
      </w:r>
      <w:r w:rsidRPr="00EF30BB">
        <w:rPr>
          <w:rFonts w:cs="Times New Roman"/>
          <w:i/>
        </w:rPr>
        <w:t>number</w:t>
      </w:r>
      <w:r w:rsidRPr="00EF30BB">
        <w:rPr>
          <w:rFonts w:cs="Times New Roman"/>
        </w:rPr>
        <w:t xml:space="preserve"> of class members, which also represents two-thirds in </w:t>
      </w:r>
      <w:r w:rsidRPr="00EF30BB">
        <w:rPr>
          <w:rFonts w:cs="Times New Roman"/>
          <w:i/>
        </w:rPr>
        <w:t>value</w:t>
      </w:r>
      <w:r w:rsidRPr="00EF30BB">
        <w:rPr>
          <w:rFonts w:cs="Times New Roman"/>
        </w:rPr>
        <w:t xml:space="preserve"> of the class members’ claims. All of </w:t>
      </w:r>
      <w:proofErr w:type="spellStart"/>
      <w:r w:rsidRPr="00EF30BB">
        <w:rPr>
          <w:rFonts w:cs="Times New Roman"/>
        </w:rPr>
        <w:t>Bluberi’s</w:t>
      </w:r>
      <w:proofErr w:type="spellEnd"/>
      <w:r w:rsidRPr="00EF30BB">
        <w:rPr>
          <w:rFonts w:cs="Times New Roman"/>
        </w:rPr>
        <w:t xml:space="preserve"> creditors, besides </w:t>
      </w:r>
      <w:proofErr w:type="spellStart"/>
      <w:r w:rsidRPr="00EF30BB">
        <w:rPr>
          <w:rFonts w:cs="Times New Roman"/>
        </w:rPr>
        <w:t>Callidus</w:t>
      </w:r>
      <w:proofErr w:type="spellEnd"/>
      <w:r w:rsidRPr="00EF30BB">
        <w:rPr>
          <w:rFonts w:cs="Times New Roman"/>
        </w:rPr>
        <w:t xml:space="preserve">, formed a single voting class of unsecured creditors. Of the 100 voting unsecured creditors, 92 creditors (representing $3,450,882 of debt) voted in favour, and 8 voted against (representing $2,375,913 of debt). The First Plan failed because the creditors voting in favour only held 59.22 percent of the total value being voted, which </w:t>
      </w:r>
      <w:r w:rsidRPr="00EF30BB">
        <w:rPr>
          <w:rFonts w:cs="Times New Roman"/>
        </w:rPr>
        <w:lastRenderedPageBreak/>
        <w:t xml:space="preserve">did not meet the s. 6(1) threshold. Most notably, </w:t>
      </w:r>
      <w:proofErr w:type="spellStart"/>
      <w:r w:rsidRPr="00EF30BB">
        <w:rPr>
          <w:rFonts w:cs="Times New Roman"/>
        </w:rPr>
        <w:t>SMT</w:t>
      </w:r>
      <w:proofErr w:type="spellEnd"/>
      <w:r w:rsidRPr="00EF30BB">
        <w:rPr>
          <w:rFonts w:cs="Times New Roman"/>
        </w:rPr>
        <w:t xml:space="preserve"> </w:t>
      </w:r>
      <w:proofErr w:type="spellStart"/>
      <w:r w:rsidRPr="00EF30BB">
        <w:rPr>
          <w:rFonts w:cs="Times New Roman"/>
        </w:rPr>
        <w:t>Hautes</w:t>
      </w:r>
      <w:proofErr w:type="spellEnd"/>
      <w:r w:rsidRPr="00EF30BB">
        <w:rPr>
          <w:rFonts w:cs="Times New Roman"/>
        </w:rPr>
        <w:t xml:space="preserve"> Technologies (“</w:t>
      </w:r>
      <w:proofErr w:type="spellStart"/>
      <w:r w:rsidRPr="00EF30BB">
        <w:rPr>
          <w:rFonts w:cs="Times New Roman"/>
        </w:rPr>
        <w:t>SMT</w:t>
      </w:r>
      <w:proofErr w:type="spellEnd"/>
      <w:r w:rsidRPr="00EF30BB">
        <w:rPr>
          <w:rFonts w:cs="Times New Roman"/>
        </w:rPr>
        <w:t xml:space="preserve">”), which held 36.7 percent of </w:t>
      </w:r>
      <w:proofErr w:type="spellStart"/>
      <w:r w:rsidRPr="00EF30BB">
        <w:rPr>
          <w:rFonts w:cs="Times New Roman"/>
        </w:rPr>
        <w:t>Bluberi’s</w:t>
      </w:r>
      <w:proofErr w:type="spellEnd"/>
      <w:r w:rsidRPr="00EF30BB">
        <w:rPr>
          <w:rFonts w:cs="Times New Roman"/>
        </w:rPr>
        <w:t xml:space="preserve"> debt, voted against the plan.</w:t>
      </w:r>
    </w:p>
    <w:p w:rsidR="006B1829" w:rsidRPr="00EF30BB" w:rsidRDefault="006B1829" w:rsidP="006B1829">
      <w:pPr>
        <w:pStyle w:val="ParaNoNdepar-AltN"/>
        <w:rPr>
          <w:rFonts w:cs="Times New Roman"/>
        </w:rPr>
      </w:pPr>
      <w:proofErr w:type="spellStart"/>
      <w:r w:rsidRPr="00EF30BB">
        <w:rPr>
          <w:rFonts w:cs="Times New Roman"/>
        </w:rPr>
        <w:t>Callidus</w:t>
      </w:r>
      <w:proofErr w:type="spellEnd"/>
      <w:r w:rsidRPr="00EF30BB">
        <w:rPr>
          <w:rFonts w:cs="Times New Roman"/>
        </w:rPr>
        <w:t xml:space="preserve"> did not vote on the First Plan — despite the Monitor explicitly stating that </w:t>
      </w:r>
      <w:proofErr w:type="spellStart"/>
      <w:r w:rsidRPr="00EF30BB">
        <w:rPr>
          <w:rFonts w:cs="Times New Roman"/>
        </w:rPr>
        <w:t>Callidus</w:t>
      </w:r>
      <w:proofErr w:type="spellEnd"/>
      <w:r w:rsidRPr="00EF30BB">
        <w:rPr>
          <w:rFonts w:cs="Times New Roman"/>
        </w:rPr>
        <w:t xml:space="preserve"> could have “vote[d] . . . the portion of its claim, assessed by </w:t>
      </w:r>
      <w:proofErr w:type="spellStart"/>
      <w:r w:rsidRPr="00EF30BB">
        <w:rPr>
          <w:rFonts w:cs="Times New Roman"/>
        </w:rPr>
        <w:t>Callidus</w:t>
      </w:r>
      <w:proofErr w:type="spellEnd"/>
      <w:r w:rsidRPr="00EF30BB">
        <w:rPr>
          <w:rFonts w:cs="Times New Roman"/>
        </w:rPr>
        <w:t xml:space="preserve">, to be an unsecured claim” (Joint R.R., vol. III, at </w:t>
      </w:r>
      <w:proofErr w:type="spellStart"/>
      <w:r w:rsidRPr="00EF30BB">
        <w:rPr>
          <w:rFonts w:cs="Times New Roman"/>
        </w:rPr>
        <w:t>p.188</w:t>
      </w:r>
      <w:proofErr w:type="spellEnd"/>
      <w:r w:rsidRPr="00EF30BB">
        <w:rPr>
          <w:rFonts w:cs="Times New Roman"/>
        </w:rPr>
        <w:t>).</w:t>
      </w:r>
    </w:p>
    <w:p w:rsidR="006B1829" w:rsidRPr="00EF30BB" w:rsidRDefault="006B1829" w:rsidP="006B1829">
      <w:pPr>
        <w:pStyle w:val="Title2LevelTitre2Niveau"/>
        <w:rPr>
          <w:rFonts w:cs="Times New Roman"/>
        </w:rPr>
      </w:pPr>
      <w:bookmarkStart w:id="12" w:name="_Toc33564161"/>
      <w:bookmarkStart w:id="13" w:name="_Toc33653904"/>
      <w:proofErr w:type="spellStart"/>
      <w:r w:rsidRPr="00EF30BB">
        <w:rPr>
          <w:rFonts w:cs="Times New Roman"/>
        </w:rPr>
        <w:t>Bluberi’s</w:t>
      </w:r>
      <w:proofErr w:type="spellEnd"/>
      <w:r w:rsidRPr="00EF30BB">
        <w:rPr>
          <w:rFonts w:cs="Times New Roman"/>
        </w:rPr>
        <w:t xml:space="preserve"> Interim Financing Application and </w:t>
      </w:r>
      <w:proofErr w:type="spellStart"/>
      <w:r w:rsidRPr="00EF30BB">
        <w:rPr>
          <w:rFonts w:cs="Times New Roman"/>
        </w:rPr>
        <w:t>Callidus’s</w:t>
      </w:r>
      <w:proofErr w:type="spellEnd"/>
      <w:r w:rsidRPr="00EF30BB">
        <w:rPr>
          <w:rFonts w:cs="Times New Roman"/>
        </w:rPr>
        <w:t xml:space="preserve"> New Plan</w:t>
      </w:r>
      <w:bookmarkEnd w:id="12"/>
      <w:bookmarkEnd w:id="13"/>
    </w:p>
    <w:p w:rsidR="006B1829" w:rsidRPr="00EF30BB" w:rsidRDefault="006B1829" w:rsidP="006B1829">
      <w:pPr>
        <w:pStyle w:val="ParaNoNdepar-AltN"/>
        <w:rPr>
          <w:rFonts w:cs="Times New Roman"/>
        </w:rPr>
      </w:pPr>
      <w:r w:rsidRPr="00EF30BB">
        <w:rPr>
          <w:rFonts w:cs="Times New Roman"/>
        </w:rPr>
        <w:t xml:space="preserve">On February 6, 2018, </w:t>
      </w:r>
      <w:proofErr w:type="spellStart"/>
      <w:r w:rsidRPr="00EF30BB">
        <w:rPr>
          <w:rFonts w:cs="Times New Roman"/>
        </w:rPr>
        <w:t>Bluberi</w:t>
      </w:r>
      <w:proofErr w:type="spellEnd"/>
      <w:r w:rsidRPr="00EF30BB">
        <w:rPr>
          <w:rFonts w:cs="Times New Roman"/>
        </w:rPr>
        <w:t xml:space="preserve"> filed one of the applications underlying these appeals, seeking authorization of a proposed third party litigation funding agreement (“</w:t>
      </w:r>
      <w:proofErr w:type="spellStart"/>
      <w:r w:rsidRPr="00EF30BB">
        <w:rPr>
          <w:rFonts w:cs="Times New Roman"/>
        </w:rPr>
        <w:t>LFA</w:t>
      </w:r>
      <w:proofErr w:type="spellEnd"/>
      <w:r w:rsidRPr="00EF30BB">
        <w:rPr>
          <w:rFonts w:cs="Times New Roman"/>
        </w:rPr>
        <w:t xml:space="preserve">”) with a publicly traded litigation funder, IMF Bentham Limited or its Canadian subsidiary, Bentham IMF Capital Limited (collectively, “Bentham”). </w:t>
      </w:r>
      <w:proofErr w:type="spellStart"/>
      <w:r w:rsidRPr="00EF30BB">
        <w:rPr>
          <w:rFonts w:cs="Times New Roman"/>
        </w:rPr>
        <w:t>Bluberi’s</w:t>
      </w:r>
      <w:proofErr w:type="spellEnd"/>
      <w:r w:rsidRPr="00EF30BB">
        <w:rPr>
          <w:rFonts w:cs="Times New Roman"/>
        </w:rPr>
        <w:t xml:space="preserve"> application also sought the placement of a $20 million super-priority charge in favour of Bentham on </w:t>
      </w:r>
      <w:proofErr w:type="spellStart"/>
      <w:r w:rsidRPr="00EF30BB">
        <w:rPr>
          <w:rFonts w:cs="Times New Roman"/>
        </w:rPr>
        <w:t>Bluberi’s</w:t>
      </w:r>
      <w:proofErr w:type="spellEnd"/>
      <w:r w:rsidRPr="00EF30BB">
        <w:rPr>
          <w:rFonts w:cs="Times New Roman"/>
        </w:rPr>
        <w:t xml:space="preserve"> assets (</w:t>
      </w:r>
      <w:r w:rsidR="0083513A">
        <w:rPr>
          <w:rFonts w:cs="Times New Roman"/>
        </w:rPr>
        <w:t>“Litigation Financing Charge”).</w:t>
      </w:r>
    </w:p>
    <w:p w:rsidR="006B1829" w:rsidRPr="00EF30BB" w:rsidRDefault="006B1829" w:rsidP="006B1829">
      <w:pPr>
        <w:pStyle w:val="ParaNoNdepar-AltN"/>
        <w:rPr>
          <w:rFonts w:cs="Times New Roman"/>
        </w:rPr>
      </w:pPr>
      <w:r w:rsidRPr="00EF30BB">
        <w:rPr>
          <w:rFonts w:cs="Times New Roman"/>
        </w:rPr>
        <w:t xml:space="preserve">The </w:t>
      </w:r>
      <w:proofErr w:type="spellStart"/>
      <w:r w:rsidRPr="00EF30BB">
        <w:rPr>
          <w:rFonts w:cs="Times New Roman"/>
        </w:rPr>
        <w:t>LFA</w:t>
      </w:r>
      <w:proofErr w:type="spellEnd"/>
      <w:r w:rsidRPr="00EF30BB">
        <w:rPr>
          <w:rFonts w:cs="Times New Roman"/>
        </w:rPr>
        <w:t xml:space="preserve"> contemplated that Bentham would fund </w:t>
      </w:r>
      <w:proofErr w:type="spellStart"/>
      <w:r w:rsidRPr="00EF30BB">
        <w:rPr>
          <w:rFonts w:cs="Times New Roman"/>
        </w:rPr>
        <w:t>Bluberi’s</w:t>
      </w:r>
      <w:proofErr w:type="spellEnd"/>
      <w:r w:rsidRPr="00EF30BB">
        <w:rPr>
          <w:rFonts w:cs="Times New Roman"/>
        </w:rPr>
        <w:t xml:space="preserve"> litigation of the Retained Claims in exchange for receiving a portion of any settlement or award after trial. However, were </w:t>
      </w:r>
      <w:proofErr w:type="spellStart"/>
      <w:r w:rsidRPr="00EF30BB">
        <w:rPr>
          <w:rFonts w:cs="Times New Roman"/>
        </w:rPr>
        <w:t>Bluberi’s</w:t>
      </w:r>
      <w:proofErr w:type="spellEnd"/>
      <w:r w:rsidRPr="00EF30BB">
        <w:rPr>
          <w:rFonts w:cs="Times New Roman"/>
        </w:rPr>
        <w:t xml:space="preserve"> litigation to fail, Bentham would lose all of its invested funds. The </w:t>
      </w:r>
      <w:proofErr w:type="spellStart"/>
      <w:r w:rsidRPr="00EF30BB">
        <w:rPr>
          <w:rFonts w:cs="Times New Roman"/>
        </w:rPr>
        <w:t>LFA</w:t>
      </w:r>
      <w:proofErr w:type="spellEnd"/>
      <w:r w:rsidRPr="00EF30BB">
        <w:rPr>
          <w:rFonts w:cs="Times New Roman"/>
        </w:rPr>
        <w:t xml:space="preserve"> also provided that Bentham could terminate the litigation of the Retained Claims if, acting reasonably, it were no longer satisfied of the merits or commercial viability of the litigation.</w:t>
      </w:r>
    </w:p>
    <w:p w:rsidR="006B1829" w:rsidRPr="00EF30BB" w:rsidRDefault="006B1829" w:rsidP="006B1829">
      <w:pPr>
        <w:pStyle w:val="ParaNoNdepar-AltN"/>
        <w:rPr>
          <w:rFonts w:cs="Times New Roman"/>
        </w:rPr>
      </w:pPr>
      <w:proofErr w:type="spellStart"/>
      <w:r w:rsidRPr="00EF30BB">
        <w:rPr>
          <w:rFonts w:cs="Times New Roman"/>
        </w:rPr>
        <w:lastRenderedPageBreak/>
        <w:t>Callidus</w:t>
      </w:r>
      <w:proofErr w:type="spellEnd"/>
      <w:r w:rsidRPr="00EF30BB">
        <w:rPr>
          <w:rFonts w:cs="Times New Roman"/>
        </w:rPr>
        <w:t xml:space="preserve"> and certain unsecured creditors who voted in favour of its plan (who are now respondents and style themselves the “Creditors’ Group”) contested </w:t>
      </w:r>
      <w:proofErr w:type="spellStart"/>
      <w:r w:rsidRPr="00EF30BB">
        <w:rPr>
          <w:rFonts w:cs="Times New Roman"/>
        </w:rPr>
        <w:t>Bluberi’s</w:t>
      </w:r>
      <w:proofErr w:type="spellEnd"/>
      <w:r w:rsidRPr="00EF30BB">
        <w:rPr>
          <w:rFonts w:cs="Times New Roman"/>
        </w:rPr>
        <w:t xml:space="preserve"> application on the ground that the </w:t>
      </w:r>
      <w:proofErr w:type="spellStart"/>
      <w:r w:rsidRPr="00EF30BB">
        <w:rPr>
          <w:rFonts w:cs="Times New Roman"/>
        </w:rPr>
        <w:t>LFA</w:t>
      </w:r>
      <w:proofErr w:type="spellEnd"/>
      <w:r w:rsidRPr="00EF30BB">
        <w:rPr>
          <w:rFonts w:cs="Times New Roman"/>
        </w:rPr>
        <w:t xml:space="preserve"> was a plan of arrangement and, as such, had to be submitted to a creditors’ vote.</w:t>
      </w:r>
      <w:r w:rsidRPr="0083513A">
        <w:rPr>
          <w:rStyle w:val="Hyperlink"/>
          <w:color w:val="000000" w:themeColor="text1"/>
          <w:u w:val="none"/>
          <w:vertAlign w:val="superscript"/>
        </w:rPr>
        <w:footnoteReference w:id="2"/>
      </w:r>
    </w:p>
    <w:p w:rsidR="006B1829" w:rsidRPr="00EF30BB" w:rsidRDefault="006B1829" w:rsidP="006B1829">
      <w:pPr>
        <w:pStyle w:val="ParaNoNdepar-AltN"/>
        <w:rPr>
          <w:rFonts w:cs="Times New Roman"/>
        </w:rPr>
      </w:pPr>
      <w:r w:rsidRPr="00EF30BB">
        <w:rPr>
          <w:rFonts w:cs="Times New Roman"/>
        </w:rPr>
        <w:t xml:space="preserve">On February 12, 2018, </w:t>
      </w:r>
      <w:proofErr w:type="spellStart"/>
      <w:r w:rsidRPr="00EF30BB">
        <w:rPr>
          <w:rFonts w:cs="Times New Roman"/>
        </w:rPr>
        <w:t>Callidus</w:t>
      </w:r>
      <w:proofErr w:type="spellEnd"/>
      <w:r w:rsidRPr="00EF30BB">
        <w:rPr>
          <w:rFonts w:cs="Times New Roman"/>
        </w:rPr>
        <w:t xml:space="preserve"> filed the other application underlying these appeals, seeking to put another plan of arrangement to a creditors’ vote (“New Plan”). The New Plan was essentially identical to the First Plan, except that </w:t>
      </w:r>
      <w:proofErr w:type="spellStart"/>
      <w:r w:rsidRPr="00EF30BB">
        <w:rPr>
          <w:rFonts w:cs="Times New Roman"/>
        </w:rPr>
        <w:t>Callidus</w:t>
      </w:r>
      <w:proofErr w:type="spellEnd"/>
      <w:r w:rsidRPr="00EF30BB">
        <w:rPr>
          <w:rFonts w:cs="Times New Roman"/>
        </w:rPr>
        <w:t xml:space="preserve"> increased the proposed distribution by $250,000 (from $2.63 million to $2.88 million). Further, </w:t>
      </w:r>
      <w:proofErr w:type="spellStart"/>
      <w:r w:rsidRPr="00EF30BB">
        <w:rPr>
          <w:rFonts w:cs="Times New Roman"/>
        </w:rPr>
        <w:t>Callidus</w:t>
      </w:r>
      <w:proofErr w:type="spellEnd"/>
      <w:r w:rsidRPr="00EF30BB">
        <w:rPr>
          <w:rFonts w:cs="Times New Roman"/>
        </w:rPr>
        <w:t xml:space="preserve"> filed an amended proof of claim, which purported to value the security attached to its $3 million claim at</w:t>
      </w:r>
      <w:r w:rsidRPr="00EF30BB">
        <w:rPr>
          <w:rFonts w:cs="Times New Roman"/>
          <w:i/>
        </w:rPr>
        <w:t xml:space="preserve"> nil</w:t>
      </w:r>
      <w:r w:rsidRPr="00EF30BB">
        <w:rPr>
          <w:rFonts w:cs="Times New Roman"/>
        </w:rPr>
        <w:t xml:space="preserve">. </w:t>
      </w:r>
      <w:proofErr w:type="spellStart"/>
      <w:r w:rsidRPr="00EF30BB">
        <w:rPr>
          <w:rFonts w:cs="Times New Roman"/>
        </w:rPr>
        <w:t>Callidus</w:t>
      </w:r>
      <w:proofErr w:type="spellEnd"/>
      <w:r w:rsidRPr="00EF30BB">
        <w:rPr>
          <w:rFonts w:cs="Times New Roman"/>
        </w:rPr>
        <w:t xml:space="preserve"> was of the view that this valuation was proper because </w:t>
      </w:r>
      <w:proofErr w:type="spellStart"/>
      <w:r w:rsidRPr="00EF30BB">
        <w:rPr>
          <w:rFonts w:cs="Times New Roman"/>
        </w:rPr>
        <w:t>Bluberi</w:t>
      </w:r>
      <w:proofErr w:type="spellEnd"/>
      <w:r w:rsidRPr="00EF30BB">
        <w:rPr>
          <w:rFonts w:cs="Times New Roman"/>
        </w:rPr>
        <w:t xml:space="preserve"> had no assets other than the Retained Claims. On this basis, </w:t>
      </w:r>
      <w:proofErr w:type="spellStart"/>
      <w:r w:rsidRPr="00EF30BB">
        <w:rPr>
          <w:rFonts w:cs="Times New Roman"/>
        </w:rPr>
        <w:t>Callidus</w:t>
      </w:r>
      <w:proofErr w:type="spellEnd"/>
      <w:r w:rsidRPr="00EF30BB">
        <w:rPr>
          <w:rFonts w:cs="Times New Roman"/>
        </w:rPr>
        <w:t xml:space="preserve"> asserted that it stood in the position of an unsecured creditor, and sought the supervising judge’s permission to vote on the New Plan with the other unsecured creditors. Given the size of its claim, if </w:t>
      </w:r>
      <w:proofErr w:type="spellStart"/>
      <w:r w:rsidRPr="00EF30BB">
        <w:rPr>
          <w:rFonts w:cs="Times New Roman"/>
        </w:rPr>
        <w:t>Callidus</w:t>
      </w:r>
      <w:proofErr w:type="spellEnd"/>
      <w:r w:rsidRPr="00EF30BB">
        <w:rPr>
          <w:rFonts w:cs="Times New Roman"/>
        </w:rPr>
        <w:t xml:space="preserve"> were permitted to vote on the New Plan, the plan would necessarily pass a creditors’ vote. </w:t>
      </w:r>
      <w:proofErr w:type="spellStart"/>
      <w:r w:rsidRPr="00EF30BB">
        <w:rPr>
          <w:rFonts w:cs="Times New Roman"/>
        </w:rPr>
        <w:t>Bluberi</w:t>
      </w:r>
      <w:proofErr w:type="spellEnd"/>
      <w:r w:rsidRPr="00EF30BB">
        <w:rPr>
          <w:rFonts w:cs="Times New Roman"/>
        </w:rPr>
        <w:t xml:space="preserve"> </w:t>
      </w:r>
      <w:r w:rsidR="0083513A">
        <w:rPr>
          <w:rFonts w:cs="Times New Roman"/>
        </w:rPr>
        <w:t xml:space="preserve">opposed </w:t>
      </w:r>
      <w:proofErr w:type="spellStart"/>
      <w:r w:rsidR="0083513A">
        <w:rPr>
          <w:rFonts w:cs="Times New Roman"/>
        </w:rPr>
        <w:t>Callidus’s</w:t>
      </w:r>
      <w:proofErr w:type="spellEnd"/>
      <w:r w:rsidR="0083513A">
        <w:rPr>
          <w:rFonts w:cs="Times New Roman"/>
        </w:rPr>
        <w:t xml:space="preserve"> application.</w:t>
      </w:r>
    </w:p>
    <w:p w:rsidR="006B1829" w:rsidRPr="00EF30BB" w:rsidRDefault="006B1829" w:rsidP="006B1829">
      <w:pPr>
        <w:pStyle w:val="ParaNoNdepar-AltN"/>
        <w:rPr>
          <w:rFonts w:cs="Times New Roman"/>
        </w:rPr>
      </w:pPr>
      <w:r w:rsidRPr="00EF30BB">
        <w:rPr>
          <w:rFonts w:cs="Times New Roman"/>
        </w:rPr>
        <w:lastRenderedPageBreak/>
        <w:t xml:space="preserve">The supervising judge heard </w:t>
      </w:r>
      <w:proofErr w:type="spellStart"/>
      <w:r w:rsidRPr="00EF30BB">
        <w:rPr>
          <w:rFonts w:cs="Times New Roman"/>
        </w:rPr>
        <w:t>Bluberi’s</w:t>
      </w:r>
      <w:proofErr w:type="spellEnd"/>
      <w:r w:rsidRPr="00EF30BB">
        <w:rPr>
          <w:rFonts w:cs="Times New Roman"/>
        </w:rPr>
        <w:t xml:space="preserve"> interim financing application and </w:t>
      </w:r>
      <w:proofErr w:type="spellStart"/>
      <w:r w:rsidRPr="00EF30BB">
        <w:rPr>
          <w:rFonts w:cs="Times New Roman"/>
        </w:rPr>
        <w:t>Callidus’s</w:t>
      </w:r>
      <w:proofErr w:type="spellEnd"/>
      <w:r w:rsidRPr="00EF30BB">
        <w:rPr>
          <w:rFonts w:cs="Times New Roman"/>
        </w:rPr>
        <w:t xml:space="preserve"> application regarding its New Plan together. Notably, the Monitor</w:t>
      </w:r>
      <w:r w:rsidR="0083513A">
        <w:rPr>
          <w:rFonts w:cs="Times New Roman"/>
        </w:rPr>
        <w:t xml:space="preserve"> supported </w:t>
      </w:r>
      <w:proofErr w:type="spellStart"/>
      <w:r w:rsidR="0083513A">
        <w:rPr>
          <w:rFonts w:cs="Times New Roman"/>
        </w:rPr>
        <w:t>Bluberi’s</w:t>
      </w:r>
      <w:proofErr w:type="spellEnd"/>
      <w:r w:rsidR="0083513A">
        <w:rPr>
          <w:rFonts w:cs="Times New Roman"/>
        </w:rPr>
        <w:t xml:space="preserve"> position.</w:t>
      </w:r>
    </w:p>
    <w:p w:rsidR="006B1829" w:rsidRPr="00EF30BB" w:rsidRDefault="006B1829" w:rsidP="006B1829">
      <w:pPr>
        <w:pStyle w:val="Title1LevelTitre1Niveau-AltL"/>
        <w:rPr>
          <w:rFonts w:cs="Times New Roman"/>
        </w:rPr>
      </w:pPr>
      <w:bookmarkStart w:id="14" w:name="_Toc33564162"/>
      <w:bookmarkStart w:id="15" w:name="_Toc33653905"/>
      <w:r w:rsidRPr="00EF30BB">
        <w:rPr>
          <w:rFonts w:cs="Times New Roman"/>
        </w:rPr>
        <w:t>D</w:t>
      </w:r>
      <w:bookmarkEnd w:id="14"/>
      <w:bookmarkEnd w:id="15"/>
      <w:r w:rsidRPr="00EF30BB">
        <w:rPr>
          <w:rFonts w:cs="Times New Roman"/>
        </w:rPr>
        <w:t>ecisions Below</w:t>
      </w:r>
    </w:p>
    <w:p w:rsidR="006B1829" w:rsidRPr="00EF30BB" w:rsidRDefault="006B1829" w:rsidP="006B1829">
      <w:pPr>
        <w:pStyle w:val="Title2LevelTitre2Niveau"/>
        <w:rPr>
          <w:rFonts w:cs="Times New Roman"/>
        </w:rPr>
      </w:pPr>
      <w:bookmarkStart w:id="16" w:name="_Toc30143221"/>
      <w:bookmarkStart w:id="17" w:name="_Toc33564163"/>
      <w:bookmarkStart w:id="18" w:name="_Toc33653906"/>
      <w:r w:rsidRPr="00EF30BB">
        <w:rPr>
          <w:rFonts w:cs="Times New Roman"/>
        </w:rPr>
        <w:t>Quebec Superior C</w:t>
      </w:r>
      <w:r w:rsidR="00204A56">
        <w:rPr>
          <w:rFonts w:cs="Times New Roman"/>
        </w:rPr>
        <w:t xml:space="preserve">ourt, </w:t>
      </w:r>
      <w:r w:rsidRPr="00EF30BB">
        <w:rPr>
          <w:rFonts w:cs="Times New Roman"/>
        </w:rPr>
        <w:t xml:space="preserve">2018 </w:t>
      </w:r>
      <w:proofErr w:type="spellStart"/>
      <w:r w:rsidRPr="00EF30BB">
        <w:rPr>
          <w:rFonts w:cs="Times New Roman"/>
        </w:rPr>
        <w:t>QCCS</w:t>
      </w:r>
      <w:proofErr w:type="spellEnd"/>
      <w:r w:rsidRPr="00EF30BB">
        <w:rPr>
          <w:rFonts w:cs="Times New Roman"/>
        </w:rPr>
        <w:t xml:space="preserve"> 1040 (Michaud J.)</w:t>
      </w:r>
      <w:bookmarkEnd w:id="16"/>
      <w:bookmarkEnd w:id="17"/>
      <w:bookmarkEnd w:id="18"/>
    </w:p>
    <w:p w:rsidR="006B1829" w:rsidRPr="00EF30BB" w:rsidRDefault="006B1829" w:rsidP="006B1829">
      <w:pPr>
        <w:pStyle w:val="ParaNoNdepar-AltN"/>
        <w:rPr>
          <w:rFonts w:cs="Times New Roman"/>
        </w:rPr>
      </w:pPr>
      <w:r w:rsidRPr="00EF30BB">
        <w:rPr>
          <w:rFonts w:cs="Times New Roman"/>
        </w:rPr>
        <w:t xml:space="preserve">The supervising judge dismissed </w:t>
      </w:r>
      <w:proofErr w:type="spellStart"/>
      <w:r w:rsidRPr="00EF30BB">
        <w:rPr>
          <w:rFonts w:cs="Times New Roman"/>
        </w:rPr>
        <w:t>Callidus’s</w:t>
      </w:r>
      <w:proofErr w:type="spellEnd"/>
      <w:r w:rsidRPr="00EF30BB">
        <w:rPr>
          <w:rFonts w:cs="Times New Roman"/>
        </w:rPr>
        <w:t xml:space="preserve"> application, declining to submit the New Plan to a creditors’ vote. He granted </w:t>
      </w:r>
      <w:proofErr w:type="spellStart"/>
      <w:r w:rsidRPr="00EF30BB">
        <w:rPr>
          <w:rFonts w:cs="Times New Roman"/>
        </w:rPr>
        <w:t>Bluberi’s</w:t>
      </w:r>
      <w:proofErr w:type="spellEnd"/>
      <w:r w:rsidRPr="00EF30BB">
        <w:rPr>
          <w:rFonts w:cs="Times New Roman"/>
        </w:rPr>
        <w:t xml:space="preserve"> application, authorizing </w:t>
      </w:r>
      <w:proofErr w:type="spellStart"/>
      <w:r w:rsidRPr="00EF30BB">
        <w:rPr>
          <w:rFonts w:cs="Times New Roman"/>
        </w:rPr>
        <w:t>Bluberi</w:t>
      </w:r>
      <w:proofErr w:type="spellEnd"/>
      <w:r w:rsidRPr="00EF30BB">
        <w:rPr>
          <w:rFonts w:cs="Times New Roman"/>
        </w:rPr>
        <w:t xml:space="preserve"> to enter into a litigation funding agreement with Bentham on the terms set forth in the </w:t>
      </w:r>
      <w:proofErr w:type="spellStart"/>
      <w:r w:rsidRPr="00EF30BB">
        <w:rPr>
          <w:rFonts w:cs="Times New Roman"/>
        </w:rPr>
        <w:t>LFA</w:t>
      </w:r>
      <w:proofErr w:type="spellEnd"/>
      <w:r w:rsidRPr="00EF30BB">
        <w:rPr>
          <w:rFonts w:cs="Times New Roman"/>
        </w:rPr>
        <w:t xml:space="preserve"> and imposing the Litigation Financi</w:t>
      </w:r>
      <w:r w:rsidR="0083513A">
        <w:rPr>
          <w:rFonts w:cs="Times New Roman"/>
        </w:rPr>
        <w:t xml:space="preserve">ng Charge on </w:t>
      </w:r>
      <w:proofErr w:type="spellStart"/>
      <w:r w:rsidR="0083513A">
        <w:rPr>
          <w:rFonts w:cs="Times New Roman"/>
        </w:rPr>
        <w:t>Bluberi’s</w:t>
      </w:r>
      <w:proofErr w:type="spellEnd"/>
      <w:r w:rsidR="0083513A">
        <w:rPr>
          <w:rFonts w:cs="Times New Roman"/>
        </w:rPr>
        <w:t xml:space="preserve"> assets.</w:t>
      </w:r>
    </w:p>
    <w:p w:rsidR="006B1829" w:rsidRPr="00EF30BB" w:rsidRDefault="006B1829" w:rsidP="006B1829">
      <w:pPr>
        <w:pStyle w:val="ParaNoNdepar-AltN"/>
        <w:rPr>
          <w:rFonts w:cs="Times New Roman"/>
        </w:rPr>
      </w:pPr>
      <w:r w:rsidRPr="00EF30BB">
        <w:rPr>
          <w:rFonts w:cs="Times New Roman"/>
        </w:rPr>
        <w:t xml:space="preserve">With respect to </w:t>
      </w:r>
      <w:proofErr w:type="spellStart"/>
      <w:r w:rsidRPr="00EF30BB">
        <w:rPr>
          <w:rFonts w:cs="Times New Roman"/>
        </w:rPr>
        <w:t>Callidus’s</w:t>
      </w:r>
      <w:proofErr w:type="spellEnd"/>
      <w:r w:rsidRPr="00EF30BB">
        <w:rPr>
          <w:rFonts w:cs="Times New Roman"/>
        </w:rPr>
        <w:t xml:space="preserve"> application, the supervising judge determined </w:t>
      </w:r>
      <w:proofErr w:type="spellStart"/>
      <w:r w:rsidRPr="00EF30BB">
        <w:rPr>
          <w:rFonts w:cs="Times New Roman"/>
        </w:rPr>
        <w:t>Callidus</w:t>
      </w:r>
      <w:proofErr w:type="spellEnd"/>
      <w:r w:rsidRPr="00EF30BB">
        <w:rPr>
          <w:rFonts w:cs="Times New Roman"/>
        </w:rPr>
        <w:t xml:space="preserve"> should not be permitted to vote on the New Plan because it was acting with an “improper purpose” (para. 48</w:t>
      </w:r>
      <w:r w:rsidR="00BC33B6">
        <w:rPr>
          <w:rFonts w:cs="Times New Roman"/>
        </w:rPr>
        <w:t xml:space="preserve"> (</w:t>
      </w:r>
      <w:proofErr w:type="spellStart"/>
      <w:r w:rsidR="00BC33B6">
        <w:rPr>
          <w:rFonts w:cs="Times New Roman"/>
        </w:rPr>
        <w:t>CanLII</w:t>
      </w:r>
      <w:proofErr w:type="spellEnd"/>
      <w:r w:rsidR="00BC33B6">
        <w:rPr>
          <w:rFonts w:cs="Times New Roman"/>
        </w:rPr>
        <w:t>)</w:t>
      </w:r>
      <w:r w:rsidRPr="00EF30BB">
        <w:rPr>
          <w:rFonts w:cs="Times New Roman"/>
        </w:rPr>
        <w:t xml:space="preserve">). He acknowledged that creditors are generally entitled to vote in their own self-interest. However, given that the First Plan — which was almost identical to the New Plan — had been defeated by a creditors’ vote, the supervising judge concluded that </w:t>
      </w:r>
      <w:proofErr w:type="spellStart"/>
      <w:r w:rsidRPr="00EF30BB">
        <w:rPr>
          <w:rFonts w:cs="Times New Roman"/>
        </w:rPr>
        <w:t>Callidus’s</w:t>
      </w:r>
      <w:proofErr w:type="spellEnd"/>
      <w:r w:rsidRPr="00EF30BB">
        <w:rPr>
          <w:rFonts w:cs="Times New Roman"/>
        </w:rPr>
        <w:t xml:space="preserve"> attempt to vote on the New Plan was an attempt to override the result of the first vote. In particular, he wrote:</w:t>
      </w:r>
    </w:p>
    <w:p w:rsidR="006B1829" w:rsidRPr="00EF30BB" w:rsidRDefault="006B1829" w:rsidP="00CA5B99">
      <w:pPr>
        <w:pStyle w:val="Citation-AltC"/>
        <w:spacing w:after="240"/>
        <w:ind w:firstLine="274"/>
        <w:contextualSpacing w:val="0"/>
      </w:pPr>
      <w:r w:rsidRPr="00EF30BB">
        <w:t xml:space="preserve">Taking into consideration the creditors’ interest, the Court accepted, in the fall of 2017, that </w:t>
      </w:r>
      <w:proofErr w:type="spellStart"/>
      <w:r w:rsidRPr="00EF30BB">
        <w:t>Callidus</w:t>
      </w:r>
      <w:proofErr w:type="spellEnd"/>
      <w:r w:rsidRPr="00EF30BB">
        <w:t xml:space="preserve">’ Plan be submitted to their vote with the understanding that, as a secured creditor, </w:t>
      </w:r>
      <w:proofErr w:type="spellStart"/>
      <w:r w:rsidRPr="00EF30BB">
        <w:t>Callidus</w:t>
      </w:r>
      <w:proofErr w:type="spellEnd"/>
      <w:r w:rsidRPr="00EF30BB">
        <w:t xml:space="preserve"> would not cast a vote. However, under the present circumstances, it would serve an improper purpose if </w:t>
      </w:r>
      <w:proofErr w:type="spellStart"/>
      <w:r w:rsidRPr="00EF30BB">
        <w:t>Callidus</w:t>
      </w:r>
      <w:proofErr w:type="spellEnd"/>
      <w:r w:rsidRPr="00EF30BB">
        <w:t xml:space="preserve"> was allowed to vote on its own plan, especially when </w:t>
      </w:r>
      <w:r w:rsidRPr="00EF30BB">
        <w:lastRenderedPageBreak/>
        <w:t xml:space="preserve">its vote would very likely result in the New Plan meeting the two thirds threshold for approval under the </w:t>
      </w:r>
      <w:proofErr w:type="spellStart"/>
      <w:r w:rsidRPr="00EF30BB">
        <w:t>CCAA</w:t>
      </w:r>
      <w:proofErr w:type="spellEnd"/>
      <w:r w:rsidRPr="00EF30BB">
        <w:t>.</w:t>
      </w:r>
    </w:p>
    <w:p w:rsidR="006B1829" w:rsidRPr="00EF30BB" w:rsidRDefault="006B1829" w:rsidP="00CA5B99">
      <w:pPr>
        <w:pStyle w:val="Citation-AltC"/>
        <w:spacing w:after="240"/>
        <w:ind w:firstLine="274"/>
        <w:contextualSpacing w:val="0"/>
      </w:pPr>
      <w:r w:rsidRPr="00EF30BB">
        <w:t xml:space="preserve">As pointed out by </w:t>
      </w:r>
      <w:proofErr w:type="spellStart"/>
      <w:r w:rsidRPr="00EF30BB">
        <w:t>SMT</w:t>
      </w:r>
      <w:proofErr w:type="spellEnd"/>
      <w:r w:rsidRPr="00EF30BB">
        <w:t xml:space="preserve">, the main unsecured creditor, </w:t>
      </w:r>
      <w:proofErr w:type="spellStart"/>
      <w:r w:rsidRPr="00EF30BB">
        <w:t>Callidus</w:t>
      </w:r>
      <w:proofErr w:type="spellEnd"/>
      <w:r w:rsidRPr="00EF30BB">
        <w:t xml:space="preserve">’ attempt to vote aims only at cancelling </w:t>
      </w:r>
      <w:proofErr w:type="spellStart"/>
      <w:r w:rsidRPr="00EF30BB">
        <w:t>SMT’s</w:t>
      </w:r>
      <w:proofErr w:type="spellEnd"/>
      <w:r w:rsidRPr="00EF30BB">
        <w:t xml:space="preserve"> vote which prevented </w:t>
      </w:r>
      <w:proofErr w:type="spellStart"/>
      <w:r w:rsidRPr="00EF30BB">
        <w:t>Callidus</w:t>
      </w:r>
      <w:proofErr w:type="spellEnd"/>
      <w:r w:rsidRPr="00EF30BB">
        <w:t>’ Plan from being approved at the creditors’ meeting.</w:t>
      </w:r>
    </w:p>
    <w:p w:rsidR="006B1829" w:rsidRPr="00EF30BB" w:rsidRDefault="006B1829" w:rsidP="006B1829">
      <w:pPr>
        <w:pStyle w:val="Citation-AltC"/>
        <w:ind w:firstLine="274"/>
      </w:pPr>
      <w:r w:rsidRPr="00EF30BB">
        <w:t>It is one thing to let the creditors vote on a plan submitted by a secured creditor, it is another to allow this secured creditor to vote on its own plan in order to exert control over the vote for the sole purpose of obtaining releases. [</w:t>
      </w:r>
      <w:proofErr w:type="gramStart"/>
      <w:r w:rsidRPr="00EF30BB">
        <w:t>paras</w:t>
      </w:r>
      <w:proofErr w:type="gramEnd"/>
      <w:r w:rsidRPr="00EF30BB">
        <w:t>. 45-47]</w:t>
      </w:r>
    </w:p>
    <w:p w:rsidR="006B1829" w:rsidRPr="00EF30BB" w:rsidRDefault="006B1829" w:rsidP="006B1829">
      <w:pPr>
        <w:pStyle w:val="ParaNoNdepar-AltN"/>
        <w:rPr>
          <w:rFonts w:cs="Times New Roman"/>
        </w:rPr>
      </w:pPr>
      <w:r w:rsidRPr="00EF30BB">
        <w:rPr>
          <w:rFonts w:cs="Times New Roman"/>
        </w:rPr>
        <w:t xml:space="preserve">The supervising judge concluded that, in these circumstances, allowing </w:t>
      </w:r>
      <w:proofErr w:type="spellStart"/>
      <w:r w:rsidRPr="00EF30BB">
        <w:rPr>
          <w:rFonts w:cs="Times New Roman"/>
        </w:rPr>
        <w:t>Callidus</w:t>
      </w:r>
      <w:proofErr w:type="spellEnd"/>
      <w:r w:rsidRPr="00EF30BB">
        <w:rPr>
          <w:rFonts w:cs="Times New Roman"/>
        </w:rPr>
        <w:t xml:space="preserve"> to vote would be both “unfair and unreasonable” (para. 47). He also observed that </w:t>
      </w:r>
      <w:proofErr w:type="spellStart"/>
      <w:r w:rsidRPr="00EF30BB">
        <w:rPr>
          <w:rFonts w:cs="Times New Roman"/>
        </w:rPr>
        <w:t>Callidus’s</w:t>
      </w:r>
      <w:proofErr w:type="spellEnd"/>
      <w:r w:rsidRPr="00EF30BB">
        <w:rPr>
          <w:rFonts w:cs="Times New Roman"/>
        </w:rPr>
        <w:t xml:space="preserve"> conduct throughout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“lacked transparency” (at para. 41) and that </w:t>
      </w:r>
      <w:proofErr w:type="spellStart"/>
      <w:r w:rsidRPr="00EF30BB">
        <w:rPr>
          <w:rFonts w:cs="Times New Roman"/>
        </w:rPr>
        <w:t>Callidus</w:t>
      </w:r>
      <w:proofErr w:type="spellEnd"/>
      <w:r w:rsidRPr="00EF30BB">
        <w:rPr>
          <w:rFonts w:cs="Times New Roman"/>
        </w:rPr>
        <w:t xml:space="preserve"> was “solely motivated by the [pending] litigation” (para. 44). In sum, he found that </w:t>
      </w:r>
      <w:proofErr w:type="spellStart"/>
      <w:r w:rsidRPr="00EF30BB">
        <w:rPr>
          <w:rFonts w:cs="Times New Roman"/>
        </w:rPr>
        <w:t>Callidus’s</w:t>
      </w:r>
      <w:proofErr w:type="spellEnd"/>
      <w:r w:rsidRPr="00EF30BB">
        <w:rPr>
          <w:rFonts w:cs="Times New Roman"/>
        </w:rPr>
        <w:t xml:space="preserve"> conduct was contrary to the “requirements of appropriateness, good faith, and due diligence”, and ordered that </w:t>
      </w:r>
      <w:proofErr w:type="spellStart"/>
      <w:r w:rsidRPr="00EF30BB">
        <w:rPr>
          <w:rFonts w:cs="Times New Roman"/>
        </w:rPr>
        <w:t>Callidus</w:t>
      </w:r>
      <w:proofErr w:type="spellEnd"/>
      <w:r w:rsidRPr="00EF30BB">
        <w:rPr>
          <w:rFonts w:cs="Times New Roman"/>
        </w:rPr>
        <w:t xml:space="preserve"> would not be permitted to vote o</w:t>
      </w:r>
      <w:r>
        <w:rPr>
          <w:rFonts w:cs="Times New Roman"/>
        </w:rPr>
        <w:t>n the New Plan (</w:t>
      </w:r>
      <w:r w:rsidRPr="00EF30BB">
        <w:rPr>
          <w:rFonts w:cs="Times New Roman"/>
        </w:rPr>
        <w:t xml:space="preserve">para. 48, citing </w:t>
      </w:r>
      <w:r w:rsidRPr="00EF30BB">
        <w:rPr>
          <w:rFonts w:cs="Times New Roman"/>
          <w:i/>
        </w:rPr>
        <w:t>Century Services Inc. v. Canada (Attorney General)</w:t>
      </w:r>
      <w:r w:rsidRPr="00EF30BB">
        <w:rPr>
          <w:rFonts w:cs="Times New Roman"/>
        </w:rPr>
        <w:t xml:space="preserve">, 2010 SCC 60, [2010] 3 </w:t>
      </w:r>
      <w:proofErr w:type="spellStart"/>
      <w:r w:rsidRPr="00EF30BB">
        <w:rPr>
          <w:rFonts w:cs="Times New Roman"/>
        </w:rPr>
        <w:t>S.C.R</w:t>
      </w:r>
      <w:proofErr w:type="spellEnd"/>
      <w:r w:rsidRPr="00EF30BB">
        <w:rPr>
          <w:rFonts w:cs="Times New Roman"/>
        </w:rPr>
        <w:t>. 379, at para. 70).</w:t>
      </w:r>
    </w:p>
    <w:p w:rsidR="006B1829" w:rsidRPr="00EF30BB" w:rsidRDefault="006B1829" w:rsidP="006B1829">
      <w:pPr>
        <w:pStyle w:val="ParaNoNdepar-AltN"/>
        <w:rPr>
          <w:rFonts w:cs="Times New Roman"/>
        </w:rPr>
      </w:pPr>
      <w:r w:rsidRPr="00EF30BB">
        <w:rPr>
          <w:rFonts w:cs="Times New Roman"/>
        </w:rPr>
        <w:t xml:space="preserve">Because </w:t>
      </w:r>
      <w:proofErr w:type="spellStart"/>
      <w:r w:rsidRPr="00EF30BB">
        <w:rPr>
          <w:rFonts w:cs="Times New Roman"/>
        </w:rPr>
        <w:t>Callidus</w:t>
      </w:r>
      <w:proofErr w:type="spellEnd"/>
      <w:r w:rsidRPr="00EF30BB">
        <w:rPr>
          <w:rFonts w:cs="Times New Roman"/>
        </w:rPr>
        <w:t xml:space="preserve"> was not permitted to vote on the New Plan and </w:t>
      </w:r>
      <w:proofErr w:type="spellStart"/>
      <w:r w:rsidRPr="00EF30BB">
        <w:rPr>
          <w:rFonts w:cs="Times New Roman"/>
        </w:rPr>
        <w:t>SMT</w:t>
      </w:r>
      <w:proofErr w:type="spellEnd"/>
      <w:r w:rsidRPr="00EF30BB">
        <w:rPr>
          <w:rFonts w:cs="Times New Roman"/>
        </w:rPr>
        <w:t xml:space="preserve"> </w:t>
      </w:r>
      <w:r>
        <w:rPr>
          <w:rFonts w:cs="Times New Roman"/>
        </w:rPr>
        <w:t xml:space="preserve">had </w:t>
      </w:r>
      <w:r w:rsidRPr="00EF30BB">
        <w:rPr>
          <w:rFonts w:cs="Times New Roman"/>
        </w:rPr>
        <w:t>unequivocally stated its intention to vote against it, the supervising judge concluded that the plan had no r</w:t>
      </w:r>
      <w:r>
        <w:rPr>
          <w:rFonts w:cs="Times New Roman"/>
        </w:rPr>
        <w:t xml:space="preserve">easonable prospect of success. </w:t>
      </w:r>
      <w:r w:rsidRPr="00EF30BB">
        <w:rPr>
          <w:rFonts w:cs="Times New Roman"/>
        </w:rPr>
        <w:t>He therefore declined to submit it to a creditors’ vote.</w:t>
      </w:r>
    </w:p>
    <w:p w:rsidR="006B1829" w:rsidRPr="00EF30BB" w:rsidRDefault="006B1829" w:rsidP="006B1829">
      <w:pPr>
        <w:pStyle w:val="ParaNoNdepar-AltN"/>
        <w:rPr>
          <w:rFonts w:cs="Times New Roman"/>
        </w:rPr>
      </w:pPr>
      <w:r w:rsidRPr="00EF30BB">
        <w:rPr>
          <w:rFonts w:cs="Times New Roman"/>
        </w:rPr>
        <w:t xml:space="preserve">With respect to </w:t>
      </w:r>
      <w:proofErr w:type="spellStart"/>
      <w:r w:rsidRPr="00EF30BB">
        <w:rPr>
          <w:rFonts w:cs="Times New Roman"/>
        </w:rPr>
        <w:t>Bluberi’s</w:t>
      </w:r>
      <w:proofErr w:type="spellEnd"/>
      <w:r w:rsidRPr="00EF30BB">
        <w:rPr>
          <w:rFonts w:cs="Times New Roman"/>
        </w:rPr>
        <w:t xml:space="preserve"> application, the supervising judge considered three issues relevant to these appeals: (1) whether the </w:t>
      </w:r>
      <w:proofErr w:type="spellStart"/>
      <w:r w:rsidRPr="00EF30BB">
        <w:rPr>
          <w:rFonts w:cs="Times New Roman"/>
        </w:rPr>
        <w:t>LFA</w:t>
      </w:r>
      <w:proofErr w:type="spellEnd"/>
      <w:r w:rsidRPr="00EF30BB">
        <w:rPr>
          <w:rFonts w:cs="Times New Roman"/>
        </w:rPr>
        <w:t xml:space="preserve"> should be submitted to a creditors’ vote; (2) if not, whether the </w:t>
      </w:r>
      <w:proofErr w:type="spellStart"/>
      <w:r w:rsidRPr="00EF30BB">
        <w:rPr>
          <w:rFonts w:cs="Times New Roman"/>
        </w:rPr>
        <w:t>LFA</w:t>
      </w:r>
      <w:proofErr w:type="spellEnd"/>
      <w:r w:rsidRPr="00EF30BB">
        <w:rPr>
          <w:rFonts w:cs="Times New Roman"/>
        </w:rPr>
        <w:t xml:space="preserve"> ought to be approved by the court; and (3) </w:t>
      </w:r>
      <w:r w:rsidRPr="00EF30BB">
        <w:rPr>
          <w:rFonts w:cs="Times New Roman"/>
        </w:rPr>
        <w:lastRenderedPageBreak/>
        <w:t xml:space="preserve">if so, whether the $20 million Litigation Financing Charge should </w:t>
      </w:r>
      <w:r w:rsidR="0083513A">
        <w:rPr>
          <w:rFonts w:cs="Times New Roman"/>
        </w:rPr>
        <w:t xml:space="preserve">be imposed on </w:t>
      </w:r>
      <w:proofErr w:type="spellStart"/>
      <w:r w:rsidR="0083513A">
        <w:rPr>
          <w:rFonts w:cs="Times New Roman"/>
        </w:rPr>
        <w:t>Bluberi’s</w:t>
      </w:r>
      <w:proofErr w:type="spellEnd"/>
      <w:r w:rsidR="0083513A">
        <w:rPr>
          <w:rFonts w:cs="Times New Roman"/>
        </w:rPr>
        <w:t xml:space="preserve"> assets.</w:t>
      </w:r>
    </w:p>
    <w:p w:rsidR="006B1829" w:rsidRPr="00EF30BB" w:rsidRDefault="006B1829" w:rsidP="006B1829">
      <w:pPr>
        <w:pStyle w:val="ParaNoNdepar-AltN"/>
        <w:rPr>
          <w:rFonts w:cs="Times New Roman"/>
        </w:rPr>
      </w:pPr>
      <w:r w:rsidRPr="00EF30BB">
        <w:rPr>
          <w:rFonts w:cs="Times New Roman"/>
        </w:rPr>
        <w:t xml:space="preserve">The supervising judge determined that the </w:t>
      </w:r>
      <w:proofErr w:type="spellStart"/>
      <w:r w:rsidRPr="00EF30BB">
        <w:rPr>
          <w:rFonts w:cs="Times New Roman"/>
        </w:rPr>
        <w:t>LFA</w:t>
      </w:r>
      <w:proofErr w:type="spellEnd"/>
      <w:r w:rsidRPr="00EF30BB">
        <w:rPr>
          <w:rFonts w:cs="Times New Roman"/>
        </w:rPr>
        <w:t xml:space="preserve"> did not need to be submitted to a creditors’ vote because it was not a plan of arrangement. He considered a plan of arrangement to involve “an arrangement or compromise between a debtor and its creditors” (para. 71, citing </w:t>
      </w:r>
      <w:r w:rsidRPr="00EF30BB">
        <w:rPr>
          <w:rFonts w:cs="Times New Roman"/>
          <w:i/>
        </w:rPr>
        <w:t>Re Crystallex</w:t>
      </w:r>
      <w:r w:rsidRPr="00EF30BB">
        <w:rPr>
          <w:rFonts w:cs="Times New Roman"/>
        </w:rPr>
        <w:t xml:space="preserve">, 2012 </w:t>
      </w:r>
      <w:proofErr w:type="spellStart"/>
      <w:r w:rsidRPr="00EF30BB">
        <w:rPr>
          <w:rFonts w:cs="Times New Roman"/>
        </w:rPr>
        <w:t>ONCA</w:t>
      </w:r>
      <w:proofErr w:type="spellEnd"/>
      <w:r w:rsidRPr="00EF30BB">
        <w:rPr>
          <w:rFonts w:cs="Times New Roman"/>
        </w:rPr>
        <w:t xml:space="preserve"> 404, 293 </w:t>
      </w:r>
      <w:proofErr w:type="spellStart"/>
      <w:r w:rsidRPr="00EF30BB">
        <w:rPr>
          <w:rFonts w:cs="Times New Roman"/>
        </w:rPr>
        <w:t>O.A.C</w:t>
      </w:r>
      <w:proofErr w:type="spellEnd"/>
      <w:r w:rsidRPr="00EF30BB">
        <w:rPr>
          <w:rFonts w:cs="Times New Roman"/>
        </w:rPr>
        <w:t>. 102, at para. 92 (“</w:t>
      </w:r>
      <w:r w:rsidRPr="00EF30BB">
        <w:rPr>
          <w:rFonts w:cs="Times New Roman"/>
          <w:i/>
        </w:rPr>
        <w:t>Crystallex</w:t>
      </w:r>
      <w:r w:rsidRPr="00EF30BB">
        <w:rPr>
          <w:rFonts w:cs="Times New Roman"/>
        </w:rPr>
        <w:t xml:space="preserve">”)). In his view, the </w:t>
      </w:r>
      <w:proofErr w:type="spellStart"/>
      <w:r w:rsidRPr="00EF30BB">
        <w:rPr>
          <w:rFonts w:cs="Times New Roman"/>
        </w:rPr>
        <w:t>LFA</w:t>
      </w:r>
      <w:proofErr w:type="spellEnd"/>
      <w:r w:rsidRPr="00EF30BB">
        <w:rPr>
          <w:rFonts w:cs="Times New Roman"/>
        </w:rPr>
        <w:t xml:space="preserve"> lacked this essential feature. He also concluded that the </w:t>
      </w:r>
      <w:proofErr w:type="spellStart"/>
      <w:r w:rsidRPr="00EF30BB">
        <w:rPr>
          <w:rFonts w:cs="Times New Roman"/>
        </w:rPr>
        <w:t>LFA</w:t>
      </w:r>
      <w:proofErr w:type="spellEnd"/>
      <w:r w:rsidRPr="00EF30BB">
        <w:rPr>
          <w:rFonts w:cs="Times New Roman"/>
        </w:rPr>
        <w:t xml:space="preserve"> did not need to be accompanied by a plan, as </w:t>
      </w:r>
      <w:proofErr w:type="spellStart"/>
      <w:r w:rsidRPr="00EF30BB">
        <w:rPr>
          <w:rFonts w:cs="Times New Roman"/>
        </w:rPr>
        <w:t>Bluberi</w:t>
      </w:r>
      <w:proofErr w:type="spellEnd"/>
      <w:r w:rsidRPr="00EF30BB">
        <w:rPr>
          <w:rFonts w:cs="Times New Roman"/>
        </w:rPr>
        <w:t xml:space="preserve"> had stated its intentio</w:t>
      </w:r>
      <w:r w:rsidR="0083513A">
        <w:rPr>
          <w:rFonts w:cs="Times New Roman"/>
        </w:rPr>
        <w:t>n to file a plan in the future.</w:t>
      </w:r>
    </w:p>
    <w:p w:rsidR="006B1829" w:rsidRPr="00EF30BB" w:rsidRDefault="006B1829" w:rsidP="006B1829">
      <w:pPr>
        <w:pStyle w:val="ParaNoNdepar-AltN"/>
        <w:rPr>
          <w:rFonts w:cs="Times New Roman"/>
        </w:rPr>
      </w:pPr>
      <w:r w:rsidRPr="00EF30BB">
        <w:rPr>
          <w:rFonts w:cs="Times New Roman"/>
        </w:rPr>
        <w:t xml:space="preserve">After reviewing the terms of the </w:t>
      </w:r>
      <w:proofErr w:type="spellStart"/>
      <w:r w:rsidRPr="00EF30BB">
        <w:rPr>
          <w:rFonts w:cs="Times New Roman"/>
        </w:rPr>
        <w:t>LFA</w:t>
      </w:r>
      <w:proofErr w:type="spellEnd"/>
      <w:r w:rsidRPr="00EF30BB">
        <w:rPr>
          <w:rFonts w:cs="Times New Roman"/>
        </w:rPr>
        <w:t xml:space="preserve">, the supervising judge found it met the criteria for approval of third party litigation funding set out in </w:t>
      </w:r>
      <w:proofErr w:type="spellStart"/>
      <w:r w:rsidRPr="00EF30BB">
        <w:rPr>
          <w:rFonts w:cs="Times New Roman"/>
          <w:i/>
        </w:rPr>
        <w:t>Bayens</w:t>
      </w:r>
      <w:proofErr w:type="spellEnd"/>
      <w:r w:rsidRPr="00EF30BB">
        <w:rPr>
          <w:rFonts w:cs="Times New Roman"/>
          <w:i/>
        </w:rPr>
        <w:t xml:space="preserve"> v. Kinross Gold Corporation</w:t>
      </w:r>
      <w:r w:rsidRPr="00EF30BB">
        <w:rPr>
          <w:rFonts w:cs="Times New Roman"/>
        </w:rPr>
        <w:t xml:space="preserve">, 2013 </w:t>
      </w:r>
      <w:proofErr w:type="spellStart"/>
      <w:r w:rsidRPr="00EF30BB">
        <w:rPr>
          <w:rFonts w:cs="Times New Roman"/>
        </w:rPr>
        <w:t>ONSC</w:t>
      </w:r>
      <w:proofErr w:type="spellEnd"/>
      <w:r w:rsidRPr="00EF30BB">
        <w:rPr>
          <w:rFonts w:cs="Times New Roman"/>
        </w:rPr>
        <w:t xml:space="preserve"> 4974, 117 </w:t>
      </w:r>
      <w:proofErr w:type="spellStart"/>
      <w:r w:rsidRPr="00EF30BB">
        <w:rPr>
          <w:rFonts w:cs="Times New Roman"/>
        </w:rPr>
        <w:t>O.R</w:t>
      </w:r>
      <w:proofErr w:type="spellEnd"/>
      <w:r w:rsidRPr="00EF30BB">
        <w:rPr>
          <w:rFonts w:cs="Times New Roman"/>
        </w:rPr>
        <w:t>. (</w:t>
      </w:r>
      <w:proofErr w:type="spellStart"/>
      <w:r w:rsidRPr="00EF30BB">
        <w:rPr>
          <w:rFonts w:cs="Times New Roman"/>
        </w:rPr>
        <w:t>3d</w:t>
      </w:r>
      <w:proofErr w:type="spellEnd"/>
      <w:r w:rsidRPr="00EF30BB">
        <w:rPr>
          <w:rFonts w:cs="Times New Roman"/>
        </w:rPr>
        <w:t xml:space="preserve">) 150, at para. 41, and </w:t>
      </w:r>
      <w:r w:rsidRPr="00EF30BB">
        <w:rPr>
          <w:rFonts w:cs="Times New Roman"/>
          <w:i/>
        </w:rPr>
        <w:t>Hayes v. The City of Saint John</w:t>
      </w:r>
      <w:r w:rsidRPr="00EF30BB">
        <w:rPr>
          <w:rFonts w:cs="Times New Roman"/>
        </w:rPr>
        <w:t xml:space="preserve">, 2016 </w:t>
      </w:r>
      <w:proofErr w:type="spellStart"/>
      <w:r w:rsidRPr="00EF30BB">
        <w:rPr>
          <w:rFonts w:cs="Times New Roman"/>
        </w:rPr>
        <w:t>NBQB</w:t>
      </w:r>
      <w:proofErr w:type="spellEnd"/>
      <w:r w:rsidRPr="00EF30BB">
        <w:rPr>
          <w:rFonts w:cs="Times New Roman"/>
        </w:rPr>
        <w:t xml:space="preserve"> 125, at para. 4 (</w:t>
      </w:r>
      <w:proofErr w:type="spellStart"/>
      <w:r w:rsidRPr="00EF30BB">
        <w:rPr>
          <w:rFonts w:cs="Times New Roman"/>
        </w:rPr>
        <w:t>CanLII</w:t>
      </w:r>
      <w:proofErr w:type="spellEnd"/>
      <w:r w:rsidRPr="00EF30BB">
        <w:rPr>
          <w:rFonts w:cs="Times New Roman"/>
        </w:rPr>
        <w:t xml:space="preserve">). In particular, he considered Bentham’s percentage of return to be reasonable in light of its level of investment and risk. Further, the supervising judge rejected </w:t>
      </w:r>
      <w:proofErr w:type="spellStart"/>
      <w:r w:rsidRPr="00EF30BB">
        <w:rPr>
          <w:rFonts w:cs="Times New Roman"/>
        </w:rPr>
        <w:t>Callidus</w:t>
      </w:r>
      <w:proofErr w:type="spellEnd"/>
      <w:r w:rsidRPr="00EF30BB">
        <w:rPr>
          <w:rFonts w:cs="Times New Roman"/>
        </w:rPr>
        <w:t xml:space="preserve"> and the Creditors’ Group’s argument that the </w:t>
      </w:r>
      <w:proofErr w:type="spellStart"/>
      <w:r w:rsidRPr="00EF30BB">
        <w:rPr>
          <w:rFonts w:cs="Times New Roman"/>
        </w:rPr>
        <w:t>LFA</w:t>
      </w:r>
      <w:proofErr w:type="spellEnd"/>
      <w:r w:rsidRPr="00EF30BB">
        <w:rPr>
          <w:rFonts w:cs="Times New Roman"/>
        </w:rPr>
        <w:t xml:space="preserve"> gave too much discretion to Bentham. He found that the </w:t>
      </w:r>
      <w:proofErr w:type="spellStart"/>
      <w:r w:rsidRPr="00EF30BB">
        <w:rPr>
          <w:rFonts w:cs="Times New Roman"/>
        </w:rPr>
        <w:t>LFA</w:t>
      </w:r>
      <w:proofErr w:type="spellEnd"/>
      <w:r w:rsidRPr="00EF30BB">
        <w:rPr>
          <w:rFonts w:cs="Times New Roman"/>
        </w:rPr>
        <w:t xml:space="preserve"> did not allow Bentham to exert undue influence on the litigation of the Retained Claims, noting similarly broad clauses had been approved in the </w:t>
      </w:r>
      <w:proofErr w:type="spellStart"/>
      <w:r w:rsidRPr="00EF30BB">
        <w:rPr>
          <w:rFonts w:cs="Times New Roman"/>
          <w:i/>
        </w:rPr>
        <w:t>CCAA</w:t>
      </w:r>
      <w:proofErr w:type="spellEnd"/>
      <w:r w:rsidRPr="00EF30BB">
        <w:rPr>
          <w:rFonts w:cs="Times New Roman"/>
        </w:rPr>
        <w:t xml:space="preserve"> context (para. 82, citing </w:t>
      </w:r>
      <w:r w:rsidRPr="00EF30BB">
        <w:rPr>
          <w:rFonts w:cs="Times New Roman"/>
          <w:i/>
        </w:rPr>
        <w:t>Schenk v. Valeant Pharmaceuticals International Inc.</w:t>
      </w:r>
      <w:r w:rsidRPr="00EF30BB">
        <w:rPr>
          <w:rFonts w:cs="Times New Roman"/>
        </w:rPr>
        <w:t xml:space="preserve">, 2015 </w:t>
      </w:r>
      <w:proofErr w:type="spellStart"/>
      <w:r w:rsidRPr="00EF30BB">
        <w:rPr>
          <w:rFonts w:cs="Times New Roman"/>
        </w:rPr>
        <w:t>ONSC</w:t>
      </w:r>
      <w:proofErr w:type="spellEnd"/>
      <w:r w:rsidRPr="00EF30BB">
        <w:rPr>
          <w:rFonts w:cs="Times New Roman"/>
        </w:rPr>
        <w:t xml:space="preserve"> 3215, 74 </w:t>
      </w:r>
      <w:proofErr w:type="spellStart"/>
      <w:r w:rsidRPr="00EF30BB">
        <w:rPr>
          <w:rFonts w:cs="Times New Roman"/>
        </w:rPr>
        <w:t>C.P.C</w:t>
      </w:r>
      <w:proofErr w:type="spellEnd"/>
      <w:r w:rsidRPr="00EF30BB">
        <w:rPr>
          <w:rFonts w:cs="Times New Roman"/>
        </w:rPr>
        <w:t>. (7th) 332, at para. 23).</w:t>
      </w:r>
    </w:p>
    <w:p w:rsidR="006B1829" w:rsidRPr="00EF30BB" w:rsidRDefault="006B1829" w:rsidP="006B1829">
      <w:pPr>
        <w:pStyle w:val="ParaNoNdepar-AltN"/>
        <w:rPr>
          <w:rFonts w:cs="Times New Roman"/>
        </w:rPr>
      </w:pPr>
      <w:r w:rsidRPr="00EF30BB">
        <w:rPr>
          <w:rFonts w:cs="Times New Roman"/>
        </w:rPr>
        <w:lastRenderedPageBreak/>
        <w:t xml:space="preserve">Finally, the supervising judge imposed the Litigation Financing Charge on </w:t>
      </w:r>
      <w:proofErr w:type="spellStart"/>
      <w:r w:rsidRPr="00EF30BB">
        <w:rPr>
          <w:rFonts w:cs="Times New Roman"/>
        </w:rPr>
        <w:t>Bluberi’s</w:t>
      </w:r>
      <w:proofErr w:type="spellEnd"/>
      <w:r w:rsidRPr="00EF30BB">
        <w:rPr>
          <w:rFonts w:cs="Times New Roman"/>
        </w:rPr>
        <w:t xml:space="preserve"> assets. While significant, the supervising judge considered the amount to be reasonable given: the amount of damages that would be claimed from </w:t>
      </w:r>
      <w:proofErr w:type="spellStart"/>
      <w:r w:rsidRPr="00EF30BB">
        <w:rPr>
          <w:rFonts w:cs="Times New Roman"/>
        </w:rPr>
        <w:t>Callidus</w:t>
      </w:r>
      <w:proofErr w:type="spellEnd"/>
      <w:r w:rsidRPr="00EF30BB">
        <w:rPr>
          <w:rFonts w:cs="Times New Roman"/>
        </w:rPr>
        <w:t>; Bentham’s financial commitment to the litigation; and the fact that Bentham was not charging any interim fees or interest (i.e., it would only profit in the event of successful litigation or settlement). Put simply, Bentham was taking substantial risks, and it was reasonable that it obtain certain guarantees in exchange.</w:t>
      </w:r>
    </w:p>
    <w:p w:rsidR="006B1829" w:rsidRPr="00EF30BB" w:rsidRDefault="006B1829" w:rsidP="006B1829">
      <w:pPr>
        <w:pStyle w:val="ParaNoNdepar-AltN"/>
        <w:rPr>
          <w:rFonts w:cs="Times New Roman"/>
        </w:rPr>
      </w:pPr>
      <w:proofErr w:type="spellStart"/>
      <w:r w:rsidRPr="00EF30BB">
        <w:rPr>
          <w:rFonts w:cs="Times New Roman"/>
        </w:rPr>
        <w:t>Callidus</w:t>
      </w:r>
      <w:proofErr w:type="spellEnd"/>
      <w:r w:rsidRPr="00EF30BB">
        <w:rPr>
          <w:rFonts w:cs="Times New Roman"/>
        </w:rPr>
        <w:t>, again supported by the Creditors’ Group, appealed the supervising judge’s order, impleading Bentham in the process.</w:t>
      </w:r>
    </w:p>
    <w:p w:rsidR="006B1829" w:rsidRPr="00EF30BB" w:rsidRDefault="006B1829" w:rsidP="006B1829">
      <w:pPr>
        <w:pStyle w:val="Title2LevelTitre2Niveau"/>
        <w:keepNext/>
        <w:rPr>
          <w:rFonts w:cs="Times New Roman"/>
        </w:rPr>
      </w:pPr>
      <w:bookmarkStart w:id="19" w:name="_Toc30177914"/>
      <w:bookmarkStart w:id="20" w:name="_Toc33564164"/>
      <w:bookmarkStart w:id="21" w:name="_Toc33653907"/>
      <w:r w:rsidRPr="00EF30BB">
        <w:rPr>
          <w:rFonts w:cs="Times New Roman"/>
        </w:rPr>
        <w:t>Quebec Court of Appeal</w:t>
      </w:r>
      <w:r w:rsidR="00AF6F3D">
        <w:rPr>
          <w:rFonts w:cs="Times New Roman"/>
        </w:rPr>
        <w:t xml:space="preserve">, </w:t>
      </w:r>
      <w:r>
        <w:rPr>
          <w:rFonts w:cs="Times New Roman"/>
        </w:rPr>
        <w:t>2019 QCCA 171 (</w:t>
      </w:r>
      <w:proofErr w:type="spellStart"/>
      <w:r>
        <w:rPr>
          <w:rFonts w:cs="Times New Roman"/>
        </w:rPr>
        <w:t>Dutil</w:t>
      </w:r>
      <w:proofErr w:type="spellEnd"/>
      <w:r>
        <w:rPr>
          <w:rFonts w:cs="Times New Roman"/>
        </w:rPr>
        <w:t xml:space="preserve"> and Schra</w:t>
      </w:r>
      <w:r w:rsidRPr="00EF30BB">
        <w:rPr>
          <w:rFonts w:cs="Times New Roman"/>
        </w:rPr>
        <w:t xml:space="preserve">ger </w:t>
      </w:r>
      <w:proofErr w:type="spellStart"/>
      <w:r w:rsidRPr="00EF30BB">
        <w:rPr>
          <w:rFonts w:cs="Times New Roman"/>
        </w:rPr>
        <w:t>JJ.A</w:t>
      </w:r>
      <w:proofErr w:type="spellEnd"/>
      <w:r w:rsidRPr="00EF30BB">
        <w:rPr>
          <w:rFonts w:cs="Times New Roman"/>
        </w:rPr>
        <w:t>. and Dumas</w:t>
      </w:r>
      <w:r>
        <w:rPr>
          <w:rFonts w:cs="Times New Roman"/>
        </w:rPr>
        <w:t> J.</w:t>
      </w:r>
      <w:r w:rsidRPr="00EF30BB">
        <w:rPr>
          <w:rFonts w:cs="Times New Roman"/>
        </w:rPr>
        <w:t xml:space="preserve"> (ad hoc</w:t>
      </w:r>
      <w:bookmarkEnd w:id="19"/>
      <w:r w:rsidRPr="00EF30BB">
        <w:rPr>
          <w:rFonts w:cs="Times New Roman"/>
        </w:rPr>
        <w:t>))</w:t>
      </w:r>
      <w:bookmarkEnd w:id="20"/>
      <w:bookmarkEnd w:id="21"/>
    </w:p>
    <w:p w:rsidR="006B1829" w:rsidRPr="00EF30BB" w:rsidRDefault="006B1829" w:rsidP="006B1829">
      <w:pPr>
        <w:pStyle w:val="ParaNoNdepar-AltN"/>
        <w:rPr>
          <w:rFonts w:cs="Times New Roman"/>
        </w:rPr>
      </w:pPr>
      <w:r w:rsidRPr="00EF30BB">
        <w:rPr>
          <w:rFonts w:cs="Times New Roman"/>
        </w:rPr>
        <w:t>The Court of Appeal allowed the appeal, finding that “[t]he exercise of the judge’s discretion [was] not founded in law nor on a proper treatment of the facts so that irrespective of the standard of review applied, appellate interventi</w:t>
      </w:r>
      <w:r>
        <w:rPr>
          <w:rFonts w:cs="Times New Roman"/>
        </w:rPr>
        <w:t xml:space="preserve">on [was] justified” (para. 48 </w:t>
      </w:r>
      <w:r w:rsidR="00D93336">
        <w:rPr>
          <w:rFonts w:cs="Times New Roman"/>
        </w:rPr>
        <w:t>(</w:t>
      </w:r>
      <w:proofErr w:type="spellStart"/>
      <w:r w:rsidRPr="00EF30BB">
        <w:rPr>
          <w:rFonts w:cs="Times New Roman"/>
        </w:rPr>
        <w:t>CanLII</w:t>
      </w:r>
      <w:proofErr w:type="spellEnd"/>
      <w:r w:rsidRPr="00EF30BB">
        <w:rPr>
          <w:rFonts w:cs="Times New Roman"/>
        </w:rPr>
        <w:t>)). In particular, the court identified two errors of relevance to these appeals.</w:t>
      </w:r>
    </w:p>
    <w:p w:rsidR="006B1829" w:rsidRPr="00EF30BB" w:rsidRDefault="006B1829" w:rsidP="006B1829">
      <w:pPr>
        <w:pStyle w:val="ParaNoNdepar-AltN"/>
        <w:rPr>
          <w:rFonts w:cs="Times New Roman"/>
        </w:rPr>
      </w:pPr>
      <w:r w:rsidRPr="00EF30BB">
        <w:rPr>
          <w:rFonts w:cs="Times New Roman"/>
        </w:rPr>
        <w:t xml:space="preserve">First, the court was of the view that the supervising judge erred in finding that </w:t>
      </w:r>
      <w:proofErr w:type="spellStart"/>
      <w:r w:rsidRPr="00EF30BB">
        <w:rPr>
          <w:rFonts w:cs="Times New Roman"/>
        </w:rPr>
        <w:t>Callidus</w:t>
      </w:r>
      <w:proofErr w:type="spellEnd"/>
      <w:r w:rsidRPr="00EF30BB">
        <w:rPr>
          <w:rFonts w:cs="Times New Roman"/>
        </w:rPr>
        <w:t xml:space="preserve"> had an improper purpose in seeking to vote on its New Plan. In its view, </w:t>
      </w:r>
      <w:proofErr w:type="spellStart"/>
      <w:r w:rsidRPr="00EF30BB">
        <w:rPr>
          <w:rFonts w:cs="Times New Roman"/>
        </w:rPr>
        <w:t>Callidus</w:t>
      </w:r>
      <w:proofErr w:type="spellEnd"/>
      <w:r w:rsidRPr="00EF30BB">
        <w:rPr>
          <w:rFonts w:cs="Times New Roman"/>
        </w:rPr>
        <w:t xml:space="preserve"> should have been permitted to vote. The court relied heavily on the notion that creditors have a right to vote in their own self-interest. It held that any judicial </w:t>
      </w:r>
      <w:r w:rsidRPr="00EF30BB">
        <w:rPr>
          <w:rFonts w:cs="Times New Roman"/>
        </w:rPr>
        <w:lastRenderedPageBreak/>
        <w:t xml:space="preserve">discretion to preclude voting due to improper purpose should be reserved for the “clearest of cases” (para. 62, referring to </w:t>
      </w:r>
      <w:r w:rsidRPr="00EF30BB">
        <w:rPr>
          <w:rFonts w:cs="Times New Roman"/>
          <w:i/>
        </w:rPr>
        <w:t>Re Blackburn</w:t>
      </w:r>
      <w:r w:rsidRPr="00EF30BB">
        <w:rPr>
          <w:rFonts w:cs="Times New Roman"/>
        </w:rPr>
        <w:t xml:space="preserve">, 2011 </w:t>
      </w:r>
      <w:proofErr w:type="spellStart"/>
      <w:r w:rsidRPr="00EF30BB">
        <w:rPr>
          <w:rFonts w:cs="Times New Roman"/>
        </w:rPr>
        <w:t>BCSC</w:t>
      </w:r>
      <w:proofErr w:type="spellEnd"/>
      <w:r w:rsidRPr="00EF30BB">
        <w:rPr>
          <w:rFonts w:cs="Times New Roman"/>
        </w:rPr>
        <w:t xml:space="preserve"> 1671, 27 </w:t>
      </w:r>
      <w:proofErr w:type="spellStart"/>
      <w:r w:rsidRPr="00EF30BB">
        <w:rPr>
          <w:rFonts w:cs="Times New Roman"/>
        </w:rPr>
        <w:t>B.C.L.R</w:t>
      </w:r>
      <w:proofErr w:type="spellEnd"/>
      <w:r w:rsidRPr="00EF30BB">
        <w:rPr>
          <w:rFonts w:cs="Times New Roman"/>
        </w:rPr>
        <w:t xml:space="preserve">. (5th) 199, at para. 45). The court was of the view that </w:t>
      </w:r>
      <w:proofErr w:type="spellStart"/>
      <w:r w:rsidRPr="00EF30BB">
        <w:rPr>
          <w:rFonts w:cs="Times New Roman"/>
        </w:rPr>
        <w:t>Callidus’s</w:t>
      </w:r>
      <w:proofErr w:type="spellEnd"/>
      <w:r w:rsidRPr="00EF30BB">
        <w:rPr>
          <w:rFonts w:cs="Times New Roman"/>
        </w:rPr>
        <w:t xml:space="preserve"> transparent attempt to obtain a release from </w:t>
      </w:r>
      <w:proofErr w:type="spellStart"/>
      <w:r w:rsidRPr="00EF30BB">
        <w:rPr>
          <w:rFonts w:cs="Times New Roman"/>
        </w:rPr>
        <w:t>Bluberi’s</w:t>
      </w:r>
      <w:proofErr w:type="spellEnd"/>
      <w:r w:rsidRPr="00EF30BB">
        <w:rPr>
          <w:rFonts w:cs="Times New Roman"/>
        </w:rPr>
        <w:t xml:space="preserve"> claims against it did not amount to an improper purpose. The court also considered </w:t>
      </w:r>
      <w:proofErr w:type="spellStart"/>
      <w:r w:rsidRPr="00EF30BB">
        <w:rPr>
          <w:rFonts w:cs="Times New Roman"/>
        </w:rPr>
        <w:t>Callidus’s</w:t>
      </w:r>
      <w:proofErr w:type="spellEnd"/>
      <w:r w:rsidRPr="00EF30BB">
        <w:rPr>
          <w:rFonts w:cs="Times New Roman"/>
        </w:rPr>
        <w:t xml:space="preserve"> conduct prior to and during the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proceedings to be incapable of justifying a finding of improper purpose.</w:t>
      </w:r>
    </w:p>
    <w:p w:rsidR="006B1829" w:rsidRPr="00EF30BB" w:rsidRDefault="006B1829" w:rsidP="006B1829">
      <w:pPr>
        <w:pStyle w:val="ParaNoNdepar-AltN"/>
        <w:rPr>
          <w:rFonts w:cs="Times New Roman"/>
        </w:rPr>
      </w:pPr>
      <w:r w:rsidRPr="00EF30BB">
        <w:rPr>
          <w:rFonts w:cs="Times New Roman"/>
        </w:rPr>
        <w:t xml:space="preserve">Second, the court concluded that the supervising judge erred in approving the </w:t>
      </w:r>
      <w:proofErr w:type="spellStart"/>
      <w:r w:rsidRPr="00EF30BB">
        <w:rPr>
          <w:rFonts w:cs="Times New Roman"/>
        </w:rPr>
        <w:t>LFA</w:t>
      </w:r>
      <w:proofErr w:type="spellEnd"/>
      <w:r w:rsidRPr="00EF30BB">
        <w:rPr>
          <w:rFonts w:cs="Times New Roman"/>
        </w:rPr>
        <w:t xml:space="preserve"> as interim financing because, in its view, the </w:t>
      </w:r>
      <w:proofErr w:type="spellStart"/>
      <w:r w:rsidRPr="00EF30BB">
        <w:rPr>
          <w:rFonts w:cs="Times New Roman"/>
        </w:rPr>
        <w:t>LFA</w:t>
      </w:r>
      <w:proofErr w:type="spellEnd"/>
      <w:r w:rsidRPr="00EF30BB">
        <w:rPr>
          <w:rFonts w:cs="Times New Roman"/>
        </w:rPr>
        <w:t xml:space="preserve"> was not connected to </w:t>
      </w:r>
      <w:proofErr w:type="spellStart"/>
      <w:r w:rsidRPr="00EF30BB">
        <w:rPr>
          <w:rFonts w:cs="Times New Roman"/>
        </w:rPr>
        <w:t>Bluberi’s</w:t>
      </w:r>
      <w:proofErr w:type="spellEnd"/>
      <w:r w:rsidRPr="00EF30BB">
        <w:rPr>
          <w:rFonts w:cs="Times New Roman"/>
        </w:rPr>
        <w:t xml:space="preserve"> commercial operations. The court concluded that the supervising judge had both “misconstrued in law the notion of interim financing and misapplied that notion to the factual circumstances of the case” (para. 78).</w:t>
      </w:r>
    </w:p>
    <w:p w:rsidR="006B1829" w:rsidRPr="00EF30BB" w:rsidRDefault="006B1829" w:rsidP="006B1829">
      <w:pPr>
        <w:pStyle w:val="ParaNoNdepar-AltN"/>
        <w:rPr>
          <w:rFonts w:cs="Times New Roman"/>
        </w:rPr>
      </w:pPr>
      <w:r w:rsidRPr="00EF30BB">
        <w:rPr>
          <w:rFonts w:cs="Times New Roman"/>
        </w:rPr>
        <w:t xml:space="preserve">In light of this perceived error, the court substituted its view that the </w:t>
      </w:r>
      <w:proofErr w:type="spellStart"/>
      <w:r w:rsidRPr="00EF30BB">
        <w:rPr>
          <w:rFonts w:cs="Times New Roman"/>
        </w:rPr>
        <w:t>LFA</w:t>
      </w:r>
      <w:proofErr w:type="spellEnd"/>
      <w:r w:rsidRPr="00EF30BB">
        <w:rPr>
          <w:rFonts w:cs="Times New Roman"/>
        </w:rPr>
        <w:t xml:space="preserve"> was a plan of arrangement and, as a result, should have been submitted to a creditors’ vote. It held that “</w:t>
      </w:r>
      <w:r>
        <w:rPr>
          <w:rFonts w:cs="Times New Roman"/>
        </w:rPr>
        <w:t>[</w:t>
      </w:r>
      <w:r w:rsidRPr="00EF30BB">
        <w:rPr>
          <w:rFonts w:cs="Times New Roman"/>
        </w:rPr>
        <w:t>a</w:t>
      </w:r>
      <w:r>
        <w:rPr>
          <w:rFonts w:cs="Times New Roman"/>
        </w:rPr>
        <w:t>]</w:t>
      </w:r>
      <w:r w:rsidRPr="00EF30BB">
        <w:rPr>
          <w:rFonts w:cs="Times New Roman"/>
        </w:rPr>
        <w:t>n arrangement or proposal can encompass both a compromise of creditors’ claims as well as the process undertaken to satisfy them” (para. 85).</w:t>
      </w:r>
      <w:r w:rsidRPr="00EF30BB">
        <w:rPr>
          <w:rFonts w:cs="Times New Roman"/>
          <w:lang w:bidi="en-US"/>
        </w:rPr>
        <w:t xml:space="preserve"> The court considered the </w:t>
      </w:r>
      <w:proofErr w:type="spellStart"/>
      <w:r w:rsidRPr="00EF30BB">
        <w:rPr>
          <w:rFonts w:cs="Times New Roman"/>
          <w:lang w:bidi="en-US"/>
        </w:rPr>
        <w:t>LFA</w:t>
      </w:r>
      <w:proofErr w:type="spellEnd"/>
      <w:r w:rsidRPr="00EF30BB">
        <w:rPr>
          <w:rFonts w:cs="Times New Roman"/>
          <w:lang w:bidi="en-US"/>
        </w:rPr>
        <w:t xml:space="preserve"> to be a plan of arrangement because it affected the creditors’ share in any eventual litigation proceeds, would cause them to wait for the outcome of any litigation, and could potentially leave them with nothing at all. Moreover, the court held that </w:t>
      </w:r>
      <w:proofErr w:type="spellStart"/>
      <w:r w:rsidRPr="00EF30BB">
        <w:rPr>
          <w:rFonts w:cs="Times New Roman"/>
          <w:lang w:bidi="en-US"/>
        </w:rPr>
        <w:t>Bluberi’s</w:t>
      </w:r>
      <w:proofErr w:type="spellEnd"/>
      <w:r w:rsidRPr="00EF30BB">
        <w:rPr>
          <w:rFonts w:cs="Times New Roman"/>
          <w:lang w:bidi="en-US"/>
        </w:rPr>
        <w:t xml:space="preserve"> </w:t>
      </w:r>
      <w:r w:rsidRPr="00EF30BB">
        <w:rPr>
          <w:rFonts w:cs="Times New Roman"/>
        </w:rPr>
        <w:t xml:space="preserve">scheme “as a whole”, being the prosecution of the Retained Claims and the </w:t>
      </w:r>
      <w:proofErr w:type="spellStart"/>
      <w:r w:rsidRPr="00EF30BB">
        <w:rPr>
          <w:rFonts w:cs="Times New Roman"/>
        </w:rPr>
        <w:t>LFA</w:t>
      </w:r>
      <w:proofErr w:type="spellEnd"/>
      <w:r w:rsidRPr="00EF30BB">
        <w:rPr>
          <w:rFonts w:cs="Times New Roman"/>
        </w:rPr>
        <w:t>, should be submitted as a plan to the creditors</w:t>
      </w:r>
      <w:r w:rsidR="0083513A">
        <w:rPr>
          <w:rFonts w:cs="Times New Roman"/>
        </w:rPr>
        <w:t xml:space="preserve"> for their approval (para. 89).</w:t>
      </w:r>
    </w:p>
    <w:p w:rsidR="006B1829" w:rsidRPr="00EF30BB" w:rsidRDefault="006B1829" w:rsidP="006B1829">
      <w:pPr>
        <w:pStyle w:val="ParaNoNdepar-AltN"/>
        <w:rPr>
          <w:rFonts w:cs="Times New Roman"/>
        </w:rPr>
      </w:pPr>
      <w:proofErr w:type="spellStart"/>
      <w:r w:rsidRPr="00EF30BB">
        <w:rPr>
          <w:rFonts w:cs="Times New Roman"/>
        </w:rPr>
        <w:lastRenderedPageBreak/>
        <w:t>Bluberi</w:t>
      </w:r>
      <w:proofErr w:type="spellEnd"/>
      <w:r w:rsidRPr="00EF30BB">
        <w:rPr>
          <w:rFonts w:cs="Times New Roman"/>
        </w:rPr>
        <w:t xml:space="preserve"> and Bentham (collectively, “appellants”), again supported by the Monitor, now appeal to this Court.</w:t>
      </w:r>
    </w:p>
    <w:p w:rsidR="006B1829" w:rsidRPr="00EF30BB" w:rsidRDefault="006B1829" w:rsidP="006B1829">
      <w:pPr>
        <w:pStyle w:val="Title1LevelTitre1Niveau-AltL"/>
        <w:keepNext/>
        <w:rPr>
          <w:rFonts w:cs="Times New Roman"/>
        </w:rPr>
      </w:pPr>
      <w:bookmarkStart w:id="22" w:name="_Toc33564165"/>
      <w:bookmarkStart w:id="23" w:name="_Toc33653908"/>
      <w:r w:rsidRPr="00EF30BB">
        <w:rPr>
          <w:rFonts w:cs="Times New Roman"/>
        </w:rPr>
        <w:t>I</w:t>
      </w:r>
      <w:bookmarkEnd w:id="22"/>
      <w:bookmarkEnd w:id="23"/>
      <w:r w:rsidRPr="00EF30BB">
        <w:rPr>
          <w:rFonts w:cs="Times New Roman"/>
        </w:rPr>
        <w:t>ssues</w:t>
      </w:r>
    </w:p>
    <w:p w:rsidR="006B1829" w:rsidRPr="00EF30BB" w:rsidRDefault="006B1829" w:rsidP="006B1829">
      <w:pPr>
        <w:pStyle w:val="ParaNoNdepar-AltN"/>
        <w:keepNext/>
        <w:tabs>
          <w:tab w:val="clear" w:pos="1166"/>
          <w:tab w:val="num" w:pos="1152"/>
        </w:tabs>
        <w:spacing w:line="360" w:lineRule="auto"/>
        <w:rPr>
          <w:rFonts w:cs="Times New Roman"/>
        </w:rPr>
      </w:pPr>
      <w:r w:rsidRPr="00EF30BB">
        <w:rPr>
          <w:rFonts w:cs="Times New Roman"/>
        </w:rPr>
        <w:t>These appeals raise two issues:</w:t>
      </w:r>
    </w:p>
    <w:p w:rsidR="006B1829" w:rsidRPr="00EF30BB" w:rsidRDefault="006B1829" w:rsidP="00AF6F3D">
      <w:pPr>
        <w:pStyle w:val="ListParagraph"/>
        <w:numPr>
          <w:ilvl w:val="2"/>
          <w:numId w:val="11"/>
        </w:numPr>
        <w:tabs>
          <w:tab w:val="left" w:pos="720"/>
        </w:tabs>
        <w:spacing w:after="480" w:line="480" w:lineRule="auto"/>
        <w:ind w:left="720" w:hanging="720"/>
        <w:contextualSpacing w:val="0"/>
        <w:jc w:val="both"/>
      </w:pPr>
      <w:r w:rsidRPr="00EF30BB">
        <w:t xml:space="preserve">Did the supervising judge err in barring </w:t>
      </w:r>
      <w:proofErr w:type="spellStart"/>
      <w:r w:rsidRPr="00EF30BB">
        <w:t>Callidus</w:t>
      </w:r>
      <w:proofErr w:type="spellEnd"/>
      <w:r w:rsidRPr="00EF30BB">
        <w:t xml:space="preserve"> from voting on its New Plan on the basis that it was acting for an improper purpose?</w:t>
      </w:r>
    </w:p>
    <w:p w:rsidR="006B1829" w:rsidRPr="00EF30BB" w:rsidRDefault="006B1829" w:rsidP="00AF6F3D">
      <w:pPr>
        <w:pStyle w:val="ListParagraph"/>
        <w:numPr>
          <w:ilvl w:val="2"/>
          <w:numId w:val="11"/>
        </w:numPr>
        <w:spacing w:after="480" w:line="480" w:lineRule="auto"/>
        <w:ind w:left="720" w:hanging="720"/>
        <w:contextualSpacing w:val="0"/>
        <w:jc w:val="both"/>
      </w:pPr>
      <w:r w:rsidRPr="00EF30BB">
        <w:t xml:space="preserve">Did the supervising judge err in approving the </w:t>
      </w:r>
      <w:proofErr w:type="spellStart"/>
      <w:r w:rsidRPr="00EF30BB">
        <w:t>LFA</w:t>
      </w:r>
      <w:proofErr w:type="spellEnd"/>
      <w:r w:rsidRPr="00EF30BB">
        <w:t xml:space="preserve"> as interim financing, pursuant to s. 11.2 of the </w:t>
      </w:r>
      <w:proofErr w:type="spellStart"/>
      <w:r w:rsidRPr="00EF30BB">
        <w:rPr>
          <w:i/>
        </w:rPr>
        <w:t>CCAA</w:t>
      </w:r>
      <w:proofErr w:type="spellEnd"/>
      <w:r w:rsidRPr="00EF30BB">
        <w:t>?</w:t>
      </w:r>
    </w:p>
    <w:p w:rsidR="006B1829" w:rsidRPr="00EF30BB" w:rsidRDefault="006B1829" w:rsidP="006B1829">
      <w:pPr>
        <w:pStyle w:val="Title1LevelTitre1Niveau-AltL"/>
        <w:rPr>
          <w:rFonts w:cs="Times New Roman"/>
        </w:rPr>
      </w:pPr>
      <w:bookmarkStart w:id="24" w:name="_Toc33564166"/>
      <w:bookmarkStart w:id="25" w:name="_Toc33653909"/>
      <w:r w:rsidRPr="00EF30BB">
        <w:rPr>
          <w:rFonts w:cs="Times New Roman"/>
        </w:rPr>
        <w:t>A</w:t>
      </w:r>
      <w:bookmarkEnd w:id="24"/>
      <w:bookmarkEnd w:id="25"/>
      <w:r w:rsidRPr="00EF30BB">
        <w:rPr>
          <w:rFonts w:cs="Times New Roman"/>
        </w:rPr>
        <w:t>nalysis</w:t>
      </w:r>
    </w:p>
    <w:p w:rsidR="006B1829" w:rsidRPr="00EF30BB" w:rsidRDefault="006B1829" w:rsidP="006B1829">
      <w:pPr>
        <w:pStyle w:val="Title2LevelTitre2Niveau"/>
        <w:rPr>
          <w:rFonts w:cs="Times New Roman"/>
          <w:i w:val="0"/>
        </w:rPr>
      </w:pPr>
      <w:bookmarkStart w:id="26" w:name="_Toc33564167"/>
      <w:bookmarkStart w:id="27" w:name="_Toc33653910"/>
      <w:bookmarkStart w:id="28" w:name="_Toc33564169"/>
      <w:r w:rsidRPr="00EF30BB">
        <w:rPr>
          <w:rFonts w:cs="Times New Roman"/>
        </w:rPr>
        <w:t>Preliminary</w:t>
      </w:r>
      <w:bookmarkEnd w:id="26"/>
      <w:bookmarkEnd w:id="27"/>
      <w:r w:rsidRPr="00EF30BB">
        <w:rPr>
          <w:rFonts w:cs="Times New Roman"/>
        </w:rPr>
        <w:t xml:space="preserve"> Considerations</w:t>
      </w:r>
      <w:bookmarkStart w:id="29" w:name="_Toc33564168"/>
      <w:bookmarkStart w:id="30" w:name="_Toc33653911"/>
    </w:p>
    <w:p w:rsidR="006B1829" w:rsidRPr="00EF30BB" w:rsidRDefault="006B1829" w:rsidP="006B1829">
      <w:pPr>
        <w:pStyle w:val="ParaNoNdepar-AltN"/>
        <w:rPr>
          <w:rFonts w:cs="Times New Roman"/>
        </w:rPr>
      </w:pPr>
      <w:r w:rsidRPr="00EF30BB">
        <w:rPr>
          <w:rFonts w:cs="Times New Roman"/>
        </w:rPr>
        <w:t xml:space="preserve">Addressing the above issues requires situating them within the contemporary Canadian insolvency landscape and, more specifically,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regime. Accordingly, before turning to those issues, we review (1) the evolving nature of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proceedings; (2) the role of the supervising judge in those proceedings; and (3) the proper scope of appellate review of a supervising judge’s exercise of discretion.</w:t>
      </w:r>
    </w:p>
    <w:p w:rsidR="006B1829" w:rsidRPr="00EF30BB" w:rsidRDefault="006B1829" w:rsidP="006B1829">
      <w:pPr>
        <w:pStyle w:val="Title3LevelTitre3Niveau"/>
        <w:tabs>
          <w:tab w:val="clear" w:pos="1566"/>
          <w:tab w:val="num" w:pos="1170"/>
        </w:tabs>
        <w:ind w:left="1170"/>
        <w:rPr>
          <w:rFonts w:cs="Times New Roman"/>
        </w:rPr>
      </w:pPr>
      <w:r w:rsidRPr="00EF30BB">
        <w:rPr>
          <w:rFonts w:cs="Times New Roman"/>
        </w:rPr>
        <w:t xml:space="preserve">The Evolving Nature of </w:t>
      </w:r>
      <w:proofErr w:type="spellStart"/>
      <w:r w:rsidRPr="00EF30BB">
        <w:rPr>
          <w:rFonts w:cs="Times New Roman"/>
          <w:i/>
        </w:rPr>
        <w:t>CCAA</w:t>
      </w:r>
      <w:bookmarkEnd w:id="29"/>
      <w:bookmarkEnd w:id="30"/>
      <w:proofErr w:type="spellEnd"/>
      <w:r w:rsidRPr="00EF30BB">
        <w:rPr>
          <w:rFonts w:cs="Times New Roman"/>
        </w:rPr>
        <w:t xml:space="preserve"> Proceedings</w:t>
      </w:r>
    </w:p>
    <w:p w:rsidR="006B1829" w:rsidRPr="00EF30BB" w:rsidRDefault="006B1829" w:rsidP="006B1829">
      <w:pPr>
        <w:pStyle w:val="ParaNoNdepar-AltN"/>
        <w:rPr>
          <w:rFonts w:cs="Times New Roman"/>
        </w:rPr>
      </w:pPr>
      <w:r w:rsidRPr="00EF30BB">
        <w:rPr>
          <w:rFonts w:cs="Times New Roman"/>
        </w:rPr>
        <w:lastRenderedPageBreak/>
        <w:t xml:space="preserve">The </w:t>
      </w:r>
      <w:proofErr w:type="spellStart"/>
      <w:r w:rsidRPr="00EF30BB">
        <w:rPr>
          <w:rFonts w:cs="Times New Roman"/>
          <w:i/>
        </w:rPr>
        <w:t>CCAA</w:t>
      </w:r>
      <w:proofErr w:type="spellEnd"/>
      <w:r w:rsidRPr="00EF30BB">
        <w:rPr>
          <w:rFonts w:cs="Times New Roman"/>
        </w:rPr>
        <w:t xml:space="preserve"> is one of three principal insolvency statutes in Canada. The others are the </w:t>
      </w:r>
      <w:r w:rsidRPr="00EF30BB">
        <w:rPr>
          <w:rFonts w:cs="Times New Roman"/>
          <w:i/>
        </w:rPr>
        <w:t>Bankruptcy and Insolvency Act</w:t>
      </w:r>
      <w:r w:rsidRPr="00EF30BB">
        <w:rPr>
          <w:rFonts w:cs="Times New Roman"/>
        </w:rPr>
        <w:t xml:space="preserve">, </w:t>
      </w:r>
      <w:proofErr w:type="spellStart"/>
      <w:r w:rsidRPr="00EF30BB">
        <w:rPr>
          <w:rFonts w:cs="Times New Roman"/>
        </w:rPr>
        <w:t>R.S.C</w:t>
      </w:r>
      <w:proofErr w:type="spellEnd"/>
      <w:r w:rsidRPr="00EF30BB">
        <w:rPr>
          <w:rFonts w:cs="Times New Roman"/>
        </w:rPr>
        <w:t>. 1985, c. B-3 (“</w:t>
      </w:r>
      <w:r w:rsidRPr="00EF30BB">
        <w:rPr>
          <w:rFonts w:cs="Times New Roman"/>
          <w:i/>
        </w:rPr>
        <w:t>BIA</w:t>
      </w:r>
      <w:r w:rsidRPr="00EF30BB">
        <w:rPr>
          <w:rFonts w:cs="Times New Roman"/>
        </w:rPr>
        <w:t xml:space="preserve">”), which covers insolvencies of both individuals and companies, and the </w:t>
      </w:r>
      <w:r w:rsidRPr="00EF30BB">
        <w:rPr>
          <w:rFonts w:cs="Times New Roman"/>
          <w:i/>
        </w:rPr>
        <w:t>Winding-up and Restructuring Act</w:t>
      </w:r>
      <w:r w:rsidRPr="00EF30BB">
        <w:rPr>
          <w:rFonts w:cs="Times New Roman"/>
        </w:rPr>
        <w:t xml:space="preserve">, </w:t>
      </w:r>
      <w:proofErr w:type="spellStart"/>
      <w:r w:rsidRPr="00EF30BB">
        <w:rPr>
          <w:rFonts w:cs="Times New Roman"/>
        </w:rPr>
        <w:t>R.S.C</w:t>
      </w:r>
      <w:proofErr w:type="spellEnd"/>
      <w:r w:rsidRPr="00EF30BB">
        <w:rPr>
          <w:rFonts w:cs="Times New Roman"/>
        </w:rPr>
        <w:t>. 1985, c. W-11 (“</w:t>
      </w:r>
      <w:proofErr w:type="spellStart"/>
      <w:r w:rsidRPr="00EF30BB">
        <w:rPr>
          <w:rFonts w:cs="Times New Roman"/>
          <w:i/>
        </w:rPr>
        <w:t>WURA</w:t>
      </w:r>
      <w:proofErr w:type="spellEnd"/>
      <w:r w:rsidRPr="00EF30BB">
        <w:rPr>
          <w:rFonts w:cs="Times New Roman"/>
        </w:rPr>
        <w:t>”), which covers insolvencies of financial institutions and certain other corporations, such as insurance companies (</w:t>
      </w:r>
      <w:proofErr w:type="spellStart"/>
      <w:r w:rsidRPr="00EF30BB">
        <w:rPr>
          <w:rFonts w:cs="Times New Roman"/>
          <w:i/>
        </w:rPr>
        <w:t>WURA</w:t>
      </w:r>
      <w:proofErr w:type="spellEnd"/>
      <w:r w:rsidRPr="00EF30BB">
        <w:rPr>
          <w:rFonts w:cs="Times New Roman"/>
        </w:rPr>
        <w:t xml:space="preserve">, s. 6(1)). While both the </w:t>
      </w:r>
      <w:proofErr w:type="spellStart"/>
      <w:r w:rsidRPr="00EF30BB">
        <w:rPr>
          <w:rFonts w:cs="Times New Roman"/>
          <w:i/>
        </w:rPr>
        <w:t>CCAA</w:t>
      </w:r>
      <w:proofErr w:type="spellEnd"/>
      <w:r w:rsidRPr="00EF30BB">
        <w:rPr>
          <w:rFonts w:cs="Times New Roman"/>
        </w:rPr>
        <w:t xml:space="preserve"> and the </w:t>
      </w:r>
      <w:r w:rsidRPr="00EF30BB">
        <w:rPr>
          <w:rFonts w:cs="Times New Roman"/>
          <w:i/>
        </w:rPr>
        <w:t>BIA</w:t>
      </w:r>
      <w:r w:rsidRPr="00EF30BB">
        <w:rPr>
          <w:rFonts w:cs="Times New Roman"/>
        </w:rPr>
        <w:t xml:space="preserve"> enable reorganizations of insolvent companies, access to the </w:t>
      </w:r>
      <w:proofErr w:type="spellStart"/>
      <w:r w:rsidRPr="00EF30BB">
        <w:rPr>
          <w:rFonts w:cs="Times New Roman"/>
          <w:i/>
        </w:rPr>
        <w:t>CCAA</w:t>
      </w:r>
      <w:proofErr w:type="spellEnd"/>
      <w:r w:rsidRPr="00EF30BB">
        <w:rPr>
          <w:rFonts w:cs="Times New Roman"/>
        </w:rPr>
        <w:t xml:space="preserve"> is restricted to debtor companies facing total claims in excess of $5 million (</w:t>
      </w:r>
      <w:proofErr w:type="spellStart"/>
      <w:r w:rsidRPr="00EF30BB">
        <w:rPr>
          <w:rFonts w:cs="Times New Roman"/>
          <w:i/>
        </w:rPr>
        <w:t>CCAA</w:t>
      </w:r>
      <w:proofErr w:type="spellEnd"/>
      <w:r w:rsidRPr="00EF30BB">
        <w:rPr>
          <w:rFonts w:cs="Times New Roman"/>
        </w:rPr>
        <w:t>, s. 3(1)).</w:t>
      </w:r>
    </w:p>
    <w:p w:rsidR="006B1829" w:rsidRPr="00EF30BB" w:rsidRDefault="006B1829" w:rsidP="006B1829">
      <w:pPr>
        <w:pStyle w:val="ParaNoNdepar-AltN"/>
        <w:rPr>
          <w:rFonts w:cs="Times New Roman"/>
        </w:rPr>
      </w:pPr>
      <w:r w:rsidRPr="00EF30BB">
        <w:rPr>
          <w:rFonts w:cs="Times New Roman"/>
        </w:rPr>
        <w:t>Together, Canada’s insolvency statutes pursue an array of overarching remedial objectives that reflect the wide ranging and potentially “catastrophic” impacts insolvency can have (</w:t>
      </w:r>
      <w:r w:rsidRPr="00EF30BB">
        <w:rPr>
          <w:rFonts w:cs="Times New Roman"/>
          <w:i/>
        </w:rPr>
        <w:t xml:space="preserve">Sun </w:t>
      </w:r>
      <w:proofErr w:type="spellStart"/>
      <w:r w:rsidRPr="00EF30BB">
        <w:rPr>
          <w:rFonts w:cs="Times New Roman"/>
          <w:i/>
        </w:rPr>
        <w:t>Indalex</w:t>
      </w:r>
      <w:proofErr w:type="spellEnd"/>
      <w:r w:rsidRPr="00EF30BB">
        <w:rPr>
          <w:rFonts w:cs="Times New Roman"/>
          <w:i/>
        </w:rPr>
        <w:t xml:space="preserve"> Finance, LLC v. United Steelworkers</w:t>
      </w:r>
      <w:r w:rsidRPr="00EF30BB">
        <w:rPr>
          <w:rFonts w:cs="Times New Roman"/>
        </w:rPr>
        <w:t xml:space="preserve">, 2013 SCC 6, [2013] 1 </w:t>
      </w:r>
      <w:proofErr w:type="spellStart"/>
      <w:r w:rsidRPr="00EF30BB">
        <w:rPr>
          <w:rFonts w:cs="Times New Roman"/>
        </w:rPr>
        <w:t>S.C.R</w:t>
      </w:r>
      <w:proofErr w:type="spellEnd"/>
      <w:r w:rsidRPr="00EF30BB">
        <w:rPr>
          <w:rFonts w:cs="Times New Roman"/>
        </w:rPr>
        <w:t xml:space="preserve">. 271, at para. 1). These objectives include: providing for timely, efficient and impartial resolution of a debtor’s insolvency; preserving and maximizing the value of a debtor’s assets; ensuring fair and equitable treatment of the claims against a debtor; protecting the public interest; and, in the context of a commercial insolvency, balancing the costs and benefits of restructuring or liquidating the company (J. P. </w:t>
      </w:r>
      <w:proofErr w:type="spellStart"/>
      <w:r w:rsidRPr="00EF30BB">
        <w:rPr>
          <w:rFonts w:cs="Times New Roman"/>
        </w:rPr>
        <w:t>Sarra</w:t>
      </w:r>
      <w:proofErr w:type="spellEnd"/>
      <w:r w:rsidRPr="00EF30BB">
        <w:rPr>
          <w:rFonts w:cs="Times New Roman"/>
        </w:rPr>
        <w:t>, “The Oscillating Pendulum: Canada’s Sesquicentennial and Finding the Equilibrium for Insolvency Law”, in J.</w:t>
      </w:r>
      <w:r>
        <w:rPr>
          <w:rFonts w:cs="Times New Roman"/>
        </w:rPr>
        <w:t xml:space="preserve"> </w:t>
      </w:r>
      <w:r w:rsidRPr="00EF30BB">
        <w:rPr>
          <w:rFonts w:cs="Times New Roman"/>
        </w:rPr>
        <w:t xml:space="preserve">P. </w:t>
      </w:r>
      <w:proofErr w:type="spellStart"/>
      <w:r w:rsidRPr="00EF30BB">
        <w:rPr>
          <w:rFonts w:cs="Times New Roman"/>
        </w:rPr>
        <w:t>Sarra</w:t>
      </w:r>
      <w:proofErr w:type="spellEnd"/>
      <w:r w:rsidRPr="00EF30BB">
        <w:rPr>
          <w:rFonts w:cs="Times New Roman"/>
        </w:rPr>
        <w:t xml:space="preserve"> and B. Romaine, eds., </w:t>
      </w:r>
      <w:r w:rsidRPr="00EF30BB">
        <w:rPr>
          <w:rFonts w:cs="Times New Roman"/>
          <w:i/>
        </w:rPr>
        <w:t>Annual Review of Insolvency Law 2016</w:t>
      </w:r>
      <w:r>
        <w:rPr>
          <w:rFonts w:cs="Times New Roman"/>
        </w:rPr>
        <w:t xml:space="preserve"> (2017), </w:t>
      </w:r>
      <w:r w:rsidRPr="00EF30BB">
        <w:rPr>
          <w:rFonts w:cs="Times New Roman"/>
        </w:rPr>
        <w:t>9, at pp. 9-10; J.</w:t>
      </w:r>
      <w:r>
        <w:rPr>
          <w:rFonts w:cs="Times New Roman"/>
        </w:rPr>
        <w:t xml:space="preserve"> </w:t>
      </w:r>
      <w:r w:rsidRPr="00EF30BB">
        <w:rPr>
          <w:rFonts w:cs="Times New Roman"/>
        </w:rPr>
        <w:t xml:space="preserve">P. </w:t>
      </w:r>
      <w:proofErr w:type="spellStart"/>
      <w:r w:rsidRPr="00EF30BB">
        <w:rPr>
          <w:rFonts w:cs="Times New Roman"/>
        </w:rPr>
        <w:t>Sarra</w:t>
      </w:r>
      <w:proofErr w:type="spellEnd"/>
      <w:r w:rsidRPr="00EF30BB">
        <w:rPr>
          <w:rFonts w:cs="Times New Roman"/>
        </w:rPr>
        <w:t xml:space="preserve">, </w:t>
      </w:r>
      <w:r w:rsidRPr="00EF30BB">
        <w:rPr>
          <w:rFonts w:cs="Times New Roman"/>
          <w:i/>
        </w:rPr>
        <w:t>Rescue! The Companies’ Creditors Arrangement Act</w:t>
      </w:r>
      <w:r w:rsidRPr="00EF30BB">
        <w:rPr>
          <w:rFonts w:cs="Times New Roman"/>
        </w:rPr>
        <w:t xml:space="preserve"> </w:t>
      </w:r>
      <w:r w:rsidR="003125FA">
        <w:rPr>
          <w:rFonts w:cs="Times New Roman"/>
        </w:rPr>
        <w:t xml:space="preserve">(2nd ed. </w:t>
      </w:r>
      <w:r w:rsidRPr="00EF30BB">
        <w:rPr>
          <w:rFonts w:cs="Times New Roman"/>
        </w:rPr>
        <w:t xml:space="preserve">2013), at pp. 4-5 and 14; Standing Senate Committee on Banking, Trade and Commerce, </w:t>
      </w:r>
      <w:r w:rsidRPr="00EF30BB">
        <w:rPr>
          <w:rFonts w:cs="Times New Roman"/>
          <w:i/>
        </w:rPr>
        <w:t xml:space="preserve">Debtors and Creditors Sharing the Burden: A Review of the Bankruptcy and Insolvency Act and the Companies’ Creditors Arrangement Act </w:t>
      </w:r>
      <w:r w:rsidRPr="00EF30BB">
        <w:rPr>
          <w:rFonts w:cs="Times New Roman"/>
        </w:rPr>
        <w:lastRenderedPageBreak/>
        <w:t xml:space="preserve">(2003), at pp. 9-10; R. J. Wood, </w:t>
      </w:r>
      <w:r w:rsidRPr="00EF30BB">
        <w:rPr>
          <w:rFonts w:cs="Times New Roman"/>
          <w:i/>
        </w:rPr>
        <w:t>Bankruptcy and Insolvency Law</w:t>
      </w:r>
      <w:r w:rsidRPr="00EF30BB">
        <w:rPr>
          <w:rFonts w:cs="Times New Roman"/>
        </w:rPr>
        <w:t xml:space="preserve"> (2nd ed. 2015), at pp. 4-5</w:t>
      </w:r>
      <w:r>
        <w:rPr>
          <w:rFonts w:cs="Times New Roman"/>
        </w:rPr>
        <w:t>)</w:t>
      </w:r>
      <w:r w:rsidRPr="00EF30BB">
        <w:rPr>
          <w:rFonts w:cs="Times New Roman"/>
        </w:rPr>
        <w:t>.</w:t>
      </w:r>
    </w:p>
    <w:p w:rsidR="006B1829" w:rsidRPr="00EF30BB" w:rsidRDefault="006B1829" w:rsidP="006B1829">
      <w:pPr>
        <w:pStyle w:val="ParaNoNdepar-AltN"/>
        <w:rPr>
          <w:rFonts w:cs="Times New Roman"/>
        </w:rPr>
      </w:pPr>
      <w:r w:rsidRPr="00EF30BB">
        <w:rPr>
          <w:rFonts w:cs="Times New Roman"/>
        </w:rPr>
        <w:t xml:space="preserve">Among these objectives, the </w:t>
      </w:r>
      <w:proofErr w:type="spellStart"/>
      <w:r w:rsidRPr="00EF30BB">
        <w:rPr>
          <w:rFonts w:cs="Times New Roman"/>
          <w:i/>
        </w:rPr>
        <w:t>CCAA</w:t>
      </w:r>
      <w:proofErr w:type="spellEnd"/>
      <w:r w:rsidRPr="00EF30BB">
        <w:rPr>
          <w:rFonts w:cs="Times New Roman"/>
          <w:i/>
        </w:rPr>
        <w:t xml:space="preserve"> </w:t>
      </w:r>
      <w:r w:rsidRPr="00EF30BB">
        <w:rPr>
          <w:rFonts w:cs="Times New Roman"/>
        </w:rPr>
        <w:t>generally prioritizes “avoiding the social and economic losses resulting from liquidation of an insolvent company” (</w:t>
      </w:r>
      <w:r w:rsidRPr="00EF30BB">
        <w:rPr>
          <w:rFonts w:cs="Times New Roman"/>
          <w:i/>
        </w:rPr>
        <w:t>Century Services</w:t>
      </w:r>
      <w:r w:rsidRPr="00EF30BB">
        <w:rPr>
          <w:rFonts w:cs="Times New Roman"/>
        </w:rPr>
        <w:t xml:space="preserve">, at para. 70). As a result, the typical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case has historically involved an attempt to facilitate the reorganization and survival of the pre-filing debtor company in an operational state — that is, as a going concern. Where such a reorganization was not possible, the alternative course of action was seen as a liquidation through either a receivership or under the </w:t>
      </w:r>
      <w:r w:rsidRPr="00EF30BB">
        <w:rPr>
          <w:rFonts w:cs="Times New Roman"/>
          <w:i/>
        </w:rPr>
        <w:t>BIA</w:t>
      </w:r>
      <w:r w:rsidRPr="00EF30BB">
        <w:rPr>
          <w:rFonts w:cs="Times New Roman"/>
        </w:rPr>
        <w:t xml:space="preserve"> regime. This is precisely the outcome that was sought in </w:t>
      </w:r>
      <w:r w:rsidRPr="00EF30BB">
        <w:rPr>
          <w:rFonts w:cs="Times New Roman"/>
          <w:i/>
        </w:rPr>
        <w:t>Century Services</w:t>
      </w:r>
      <w:r w:rsidRPr="00EF30BB">
        <w:rPr>
          <w:rFonts w:cs="Times New Roman"/>
        </w:rPr>
        <w:t xml:space="preserve"> (see para. 14).</w:t>
      </w:r>
    </w:p>
    <w:p w:rsidR="006B1829" w:rsidRPr="00EF30BB" w:rsidRDefault="006B1829" w:rsidP="006B1829">
      <w:pPr>
        <w:pStyle w:val="ParaNoNdepar-AltN"/>
        <w:rPr>
          <w:rFonts w:cs="Times New Roman"/>
        </w:rPr>
      </w:pPr>
      <w:r w:rsidRPr="00EF30BB">
        <w:rPr>
          <w:rFonts w:cs="Times New Roman"/>
        </w:rPr>
        <w:t xml:space="preserve">That said, the </w:t>
      </w:r>
      <w:proofErr w:type="spellStart"/>
      <w:r w:rsidRPr="00EF30BB">
        <w:rPr>
          <w:rFonts w:cs="Times New Roman"/>
          <w:i/>
        </w:rPr>
        <w:t>CCAA</w:t>
      </w:r>
      <w:proofErr w:type="spellEnd"/>
      <w:r w:rsidRPr="00EF30BB">
        <w:rPr>
          <w:rFonts w:cs="Times New Roman"/>
          <w:i/>
        </w:rPr>
        <w:t xml:space="preserve"> </w:t>
      </w:r>
      <w:r w:rsidRPr="00EF30BB">
        <w:rPr>
          <w:rFonts w:cs="Times New Roman"/>
        </w:rPr>
        <w:t>is fundamentally insolvency legislation, and thus it also “has the simultaneous objectives of maximizing creditor recovery, preservation of going-concern value where possible, preservation of jobs and communities affected by the firm’s financial distress . . . and enhancement of the credit system generally” (</w:t>
      </w:r>
      <w:proofErr w:type="spellStart"/>
      <w:r w:rsidRPr="00EF30BB">
        <w:rPr>
          <w:rFonts w:cs="Times New Roman"/>
        </w:rPr>
        <w:t>Sarra</w:t>
      </w:r>
      <w:proofErr w:type="spellEnd"/>
      <w:r w:rsidRPr="00EF30BB">
        <w:rPr>
          <w:rFonts w:cs="Times New Roman"/>
        </w:rPr>
        <w:t xml:space="preserve">, </w:t>
      </w:r>
      <w:r w:rsidRPr="00EF30BB">
        <w:rPr>
          <w:rFonts w:cs="Times New Roman"/>
          <w:i/>
        </w:rPr>
        <w:t>Rescue!</w:t>
      </w:r>
      <w:r w:rsidRPr="00EF30BB">
        <w:rPr>
          <w:rFonts w:cs="Times New Roman"/>
        </w:rPr>
        <w:t xml:space="preserve"> </w:t>
      </w:r>
      <w:r w:rsidRPr="00EF30BB">
        <w:rPr>
          <w:rFonts w:cs="Times New Roman"/>
          <w:i/>
        </w:rPr>
        <w:t>The Companies’ Creditors Arrangement Act</w:t>
      </w:r>
      <w:r w:rsidRPr="00EF30BB">
        <w:rPr>
          <w:rFonts w:cs="Times New Roman"/>
        </w:rPr>
        <w:t xml:space="preserve">, at p. 14; see also </w:t>
      </w:r>
      <w:r w:rsidRPr="00EF30BB">
        <w:rPr>
          <w:rFonts w:cs="Times New Roman"/>
          <w:i/>
        </w:rPr>
        <w:t>Ernst &amp; Young Inc. v.</w:t>
      </w:r>
      <w:r w:rsidRPr="00EF30BB">
        <w:rPr>
          <w:rFonts w:cs="Times New Roman"/>
        </w:rPr>
        <w:t xml:space="preserve"> </w:t>
      </w:r>
      <w:r w:rsidRPr="00EF30BB">
        <w:rPr>
          <w:rFonts w:cs="Times New Roman"/>
          <w:i/>
        </w:rPr>
        <w:t>Essar Global Fund Ltd.</w:t>
      </w:r>
      <w:r w:rsidRPr="00EF30BB">
        <w:rPr>
          <w:rFonts w:cs="Times New Roman"/>
        </w:rPr>
        <w:t xml:space="preserve">, 2017 </w:t>
      </w:r>
      <w:proofErr w:type="spellStart"/>
      <w:r w:rsidRPr="00EF30BB">
        <w:rPr>
          <w:rFonts w:cs="Times New Roman"/>
        </w:rPr>
        <w:t>ONCA</w:t>
      </w:r>
      <w:proofErr w:type="spellEnd"/>
      <w:r w:rsidRPr="00EF30BB">
        <w:rPr>
          <w:rFonts w:cs="Times New Roman"/>
        </w:rPr>
        <w:t xml:space="preserve"> 1014, 139 </w:t>
      </w:r>
      <w:proofErr w:type="spellStart"/>
      <w:r w:rsidRPr="00EF30BB">
        <w:rPr>
          <w:rFonts w:cs="Times New Roman"/>
        </w:rPr>
        <w:t>O.R</w:t>
      </w:r>
      <w:proofErr w:type="spellEnd"/>
      <w:r w:rsidRPr="00EF30BB">
        <w:rPr>
          <w:rFonts w:cs="Times New Roman"/>
        </w:rPr>
        <w:t>. (</w:t>
      </w:r>
      <w:proofErr w:type="spellStart"/>
      <w:r w:rsidRPr="00EF30BB">
        <w:rPr>
          <w:rFonts w:cs="Times New Roman"/>
        </w:rPr>
        <w:t>3d</w:t>
      </w:r>
      <w:proofErr w:type="spellEnd"/>
      <w:r w:rsidRPr="00EF30BB">
        <w:rPr>
          <w:rFonts w:cs="Times New Roman"/>
        </w:rPr>
        <w:t>) 1</w:t>
      </w:r>
      <w:r w:rsidR="00C11716">
        <w:rPr>
          <w:rFonts w:cs="Times New Roman"/>
        </w:rPr>
        <w:t xml:space="preserve"> </w:t>
      </w:r>
      <w:r w:rsidR="00C21B1C">
        <w:rPr>
          <w:rFonts w:cs="Times New Roman"/>
        </w:rPr>
        <w:t>(</w:t>
      </w:r>
      <w:r w:rsidR="00117AA6">
        <w:rPr>
          <w:rFonts w:cs="Times New Roman"/>
        </w:rPr>
        <w:t>“</w:t>
      </w:r>
      <w:r w:rsidR="00BC4135" w:rsidRPr="00AF6F3D">
        <w:rPr>
          <w:rFonts w:cs="Times New Roman"/>
          <w:i/>
        </w:rPr>
        <w:t>Essar</w:t>
      </w:r>
      <w:r w:rsidR="00BC4135">
        <w:rPr>
          <w:rFonts w:cs="Times New Roman"/>
        </w:rPr>
        <w:t>”</w:t>
      </w:r>
      <w:r w:rsidR="00C21B1C">
        <w:rPr>
          <w:rFonts w:cs="Times New Roman"/>
        </w:rPr>
        <w:t>)</w:t>
      </w:r>
      <w:r w:rsidR="00FB40C1">
        <w:rPr>
          <w:rFonts w:cs="Times New Roman"/>
        </w:rPr>
        <w:t>,</w:t>
      </w:r>
      <w:r w:rsidRPr="00EF30BB">
        <w:rPr>
          <w:rFonts w:cs="Times New Roman"/>
        </w:rPr>
        <w:t xml:space="preserve"> at para. 103). In pursuit of those objectives,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proceedings have evolved to permit outcomes that do not result in the emergence of the pre-filing debtor company in a restructured state, but rather involve some form of liquidation of the debtor’s assets under the auspices of the Act itself (</w:t>
      </w:r>
      <w:proofErr w:type="spellStart"/>
      <w:r w:rsidRPr="00EF30BB">
        <w:rPr>
          <w:rFonts w:cs="Times New Roman"/>
        </w:rPr>
        <w:t>Sarra</w:t>
      </w:r>
      <w:proofErr w:type="spellEnd"/>
      <w:r w:rsidRPr="00EF30BB">
        <w:rPr>
          <w:rFonts w:cs="Times New Roman"/>
        </w:rPr>
        <w:t>, “The Oscillating Pendulum: Canada’s Sesquicentennial and Finding the Equilib</w:t>
      </w:r>
      <w:r>
        <w:rPr>
          <w:rFonts w:cs="Times New Roman"/>
        </w:rPr>
        <w:t>r</w:t>
      </w:r>
      <w:r w:rsidRPr="00EF30BB">
        <w:rPr>
          <w:rFonts w:cs="Times New Roman"/>
        </w:rPr>
        <w:t xml:space="preserve">ium for Insolvency Law”, at pp. 19-21). Such </w:t>
      </w:r>
      <w:r w:rsidRPr="00EF30BB">
        <w:rPr>
          <w:rFonts w:cs="Times New Roman"/>
        </w:rPr>
        <w:lastRenderedPageBreak/>
        <w:t xml:space="preserve">scenarios are referred to as “liquidating </w:t>
      </w:r>
      <w:proofErr w:type="spellStart"/>
      <w:r w:rsidRPr="00EF30BB">
        <w:rPr>
          <w:rFonts w:cs="Times New Roman"/>
        </w:rPr>
        <w:t>CCAAs</w:t>
      </w:r>
      <w:proofErr w:type="spellEnd"/>
      <w:r w:rsidRPr="00EF30BB">
        <w:rPr>
          <w:rFonts w:cs="Times New Roman"/>
        </w:rPr>
        <w:t xml:space="preserve">”, and they are now commonplace in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landscape (see </w:t>
      </w:r>
      <w:r w:rsidRPr="00EF30BB">
        <w:rPr>
          <w:rFonts w:cs="Times New Roman"/>
          <w:i/>
        </w:rPr>
        <w:t xml:space="preserve">Third Eye Capital Corporation v. </w:t>
      </w:r>
      <w:proofErr w:type="spellStart"/>
      <w:r w:rsidRPr="00EF30BB">
        <w:rPr>
          <w:rFonts w:cs="Times New Roman"/>
          <w:i/>
        </w:rPr>
        <w:t>Ressources</w:t>
      </w:r>
      <w:proofErr w:type="spellEnd"/>
      <w:r w:rsidRPr="00EF30BB">
        <w:rPr>
          <w:rFonts w:cs="Times New Roman"/>
          <w:i/>
        </w:rPr>
        <w:t xml:space="preserve"> </w:t>
      </w:r>
      <w:proofErr w:type="spellStart"/>
      <w:r w:rsidRPr="00EF30BB">
        <w:rPr>
          <w:rFonts w:cs="Times New Roman"/>
          <w:i/>
        </w:rPr>
        <w:t>Dianor</w:t>
      </w:r>
      <w:proofErr w:type="spellEnd"/>
      <w:r w:rsidRPr="00EF30BB">
        <w:rPr>
          <w:rFonts w:cs="Times New Roman"/>
          <w:i/>
        </w:rPr>
        <w:t xml:space="preserve"> Inc./</w:t>
      </w:r>
      <w:proofErr w:type="spellStart"/>
      <w:r w:rsidRPr="00EF30BB">
        <w:rPr>
          <w:rFonts w:cs="Times New Roman"/>
          <w:i/>
        </w:rPr>
        <w:t>Dianor</w:t>
      </w:r>
      <w:proofErr w:type="spellEnd"/>
      <w:r w:rsidRPr="00EF30BB">
        <w:rPr>
          <w:rFonts w:cs="Times New Roman"/>
          <w:i/>
        </w:rPr>
        <w:t xml:space="preserve"> Resources Inc.</w:t>
      </w:r>
      <w:r w:rsidRPr="00EF30BB">
        <w:rPr>
          <w:rFonts w:cs="Times New Roman"/>
        </w:rPr>
        <w:t xml:space="preserve">, 2019 </w:t>
      </w:r>
      <w:proofErr w:type="spellStart"/>
      <w:r w:rsidRPr="00EF30BB">
        <w:rPr>
          <w:rFonts w:cs="Times New Roman"/>
        </w:rPr>
        <w:t>ONCA</w:t>
      </w:r>
      <w:proofErr w:type="spellEnd"/>
      <w:r w:rsidRPr="00EF30BB">
        <w:rPr>
          <w:rFonts w:cs="Times New Roman"/>
        </w:rPr>
        <w:t xml:space="preserve"> 508, 435 </w:t>
      </w:r>
      <w:proofErr w:type="spellStart"/>
      <w:r w:rsidR="0083513A">
        <w:rPr>
          <w:rFonts w:cs="Times New Roman"/>
        </w:rPr>
        <w:t>D.L.R</w:t>
      </w:r>
      <w:proofErr w:type="spellEnd"/>
      <w:r w:rsidR="0083513A">
        <w:rPr>
          <w:rFonts w:cs="Times New Roman"/>
        </w:rPr>
        <w:t>. (4th) 416, at para. 70).</w:t>
      </w:r>
    </w:p>
    <w:p w:rsidR="006B1829" w:rsidRPr="00EF30BB" w:rsidRDefault="006B1829" w:rsidP="006B1829">
      <w:pPr>
        <w:pStyle w:val="ParaNoNdepar-AltN"/>
        <w:rPr>
          <w:rFonts w:cs="Times New Roman"/>
        </w:rPr>
      </w:pPr>
      <w:r w:rsidRPr="00EF30BB">
        <w:rPr>
          <w:rFonts w:cs="Times New Roman"/>
        </w:rPr>
        <w:t xml:space="preserve">Liquidating </w:t>
      </w:r>
      <w:proofErr w:type="spellStart"/>
      <w:r w:rsidRPr="00EF30BB">
        <w:rPr>
          <w:rFonts w:cs="Times New Roman"/>
        </w:rPr>
        <w:t>CCAAs</w:t>
      </w:r>
      <w:proofErr w:type="spellEnd"/>
      <w:r w:rsidRPr="00EF30BB">
        <w:rPr>
          <w:rFonts w:cs="Times New Roman"/>
        </w:rPr>
        <w:t xml:space="preserve"> take diverse forms and may involve, among other things: the sale of the debtor company as a going concern; an “</w:t>
      </w:r>
      <w:proofErr w:type="spellStart"/>
      <w:r w:rsidRPr="00EF30BB">
        <w:rPr>
          <w:rFonts w:cs="Times New Roman"/>
        </w:rPr>
        <w:t>en</w:t>
      </w:r>
      <w:proofErr w:type="spellEnd"/>
      <w:r w:rsidRPr="00EF30BB">
        <w:rPr>
          <w:rFonts w:cs="Times New Roman"/>
        </w:rPr>
        <w:t xml:space="preserve"> bloc” sale of assets that are capable of being operationalized by a buyer; a partial liquidation or downsizing of business operations; or a piecemeal sale of assets (B. Kaplan, “Liquidating </w:t>
      </w:r>
      <w:proofErr w:type="spellStart"/>
      <w:r w:rsidRPr="00EF30BB">
        <w:rPr>
          <w:rFonts w:cs="Times New Roman"/>
        </w:rPr>
        <w:t>CCAAs</w:t>
      </w:r>
      <w:proofErr w:type="spellEnd"/>
      <w:r w:rsidRPr="00EF30BB">
        <w:rPr>
          <w:rFonts w:cs="Times New Roman"/>
        </w:rPr>
        <w:t xml:space="preserve">: Discretion Gone Awry?”, in J. P. </w:t>
      </w:r>
      <w:proofErr w:type="spellStart"/>
      <w:r w:rsidRPr="00EF30BB">
        <w:rPr>
          <w:rFonts w:cs="Times New Roman"/>
        </w:rPr>
        <w:t>Sarra</w:t>
      </w:r>
      <w:proofErr w:type="spellEnd"/>
      <w:r w:rsidRPr="00EF30BB">
        <w:rPr>
          <w:rFonts w:cs="Times New Roman"/>
        </w:rPr>
        <w:t xml:space="preserve">, ed., </w:t>
      </w:r>
      <w:r w:rsidRPr="00EF30BB">
        <w:rPr>
          <w:rFonts w:cs="Times New Roman"/>
          <w:i/>
        </w:rPr>
        <w:t>Annual Review of Insolvency Law</w:t>
      </w:r>
      <w:r w:rsidRPr="00EF30BB">
        <w:rPr>
          <w:rFonts w:cs="Times New Roman"/>
        </w:rPr>
        <w:t xml:space="preserve"> (2008), 79</w:t>
      </w:r>
      <w:r>
        <w:rPr>
          <w:rFonts w:cs="Times New Roman"/>
        </w:rPr>
        <w:t>, at pp. 87-89)</w:t>
      </w:r>
      <w:r w:rsidRPr="00EF30BB">
        <w:rPr>
          <w:rFonts w:cs="Times New Roman"/>
        </w:rPr>
        <w:t xml:space="preserve">. The ultimate commercial outcomes facilitated by liquidating </w:t>
      </w:r>
      <w:proofErr w:type="spellStart"/>
      <w:r w:rsidRPr="00EF30BB">
        <w:rPr>
          <w:rFonts w:cs="Times New Roman"/>
        </w:rPr>
        <w:t>CCAAs</w:t>
      </w:r>
      <w:proofErr w:type="spellEnd"/>
      <w:r w:rsidRPr="00EF30BB">
        <w:rPr>
          <w:rFonts w:cs="Times New Roman"/>
        </w:rPr>
        <w:t xml:space="preserve"> are similarly diverse. Some may result in the continued operation of the business of the debtor under a different going concern entity (e.g., the liquidations in </w:t>
      </w:r>
      <w:proofErr w:type="spellStart"/>
      <w:r w:rsidRPr="00EF30BB">
        <w:rPr>
          <w:rFonts w:cs="Times New Roman"/>
          <w:i/>
        </w:rPr>
        <w:t>Indalex</w:t>
      </w:r>
      <w:proofErr w:type="spellEnd"/>
      <w:r w:rsidRPr="00EF30BB">
        <w:rPr>
          <w:rFonts w:cs="Times New Roman"/>
        </w:rPr>
        <w:t xml:space="preserve"> and </w:t>
      </w:r>
      <w:r w:rsidRPr="00EF30BB">
        <w:rPr>
          <w:rFonts w:cs="Times New Roman"/>
          <w:i/>
        </w:rPr>
        <w:t>Re Canadian Red Cross Society</w:t>
      </w:r>
      <w:r w:rsidRPr="00EF30BB">
        <w:rPr>
          <w:rFonts w:cs="Times New Roman"/>
        </w:rPr>
        <w:t xml:space="preserve"> (1998), 5 </w:t>
      </w:r>
      <w:proofErr w:type="spellStart"/>
      <w:r w:rsidRPr="00EF30BB">
        <w:rPr>
          <w:rFonts w:cs="Times New Roman"/>
        </w:rPr>
        <w:t>C.B.R</w:t>
      </w:r>
      <w:proofErr w:type="spellEnd"/>
      <w:r w:rsidRPr="00EF30BB">
        <w:rPr>
          <w:rFonts w:cs="Times New Roman"/>
        </w:rPr>
        <w:t xml:space="preserve">. (4th) 299 (Ont. </w:t>
      </w:r>
      <w:proofErr w:type="spellStart"/>
      <w:r w:rsidRPr="00EF30BB">
        <w:rPr>
          <w:rFonts w:cs="Times New Roman"/>
        </w:rPr>
        <w:t>C.J</w:t>
      </w:r>
      <w:proofErr w:type="spellEnd"/>
      <w:r w:rsidRPr="00EF30BB">
        <w:rPr>
          <w:rFonts w:cs="Times New Roman"/>
        </w:rPr>
        <w:t xml:space="preserve">. (Gen. Div.)), while others may result in a sale of assets and inventory with no such entity emerging (e.g., the proceedings in </w:t>
      </w:r>
      <w:r w:rsidRPr="00EF30BB">
        <w:rPr>
          <w:rFonts w:cs="Times New Roman"/>
          <w:i/>
        </w:rPr>
        <w:t>Re Target Canada Co.</w:t>
      </w:r>
      <w:r w:rsidRPr="00EF30BB">
        <w:rPr>
          <w:rFonts w:cs="Times New Roman"/>
        </w:rPr>
        <w:t xml:space="preserve">, 2015 </w:t>
      </w:r>
      <w:proofErr w:type="spellStart"/>
      <w:r w:rsidRPr="00EF30BB">
        <w:rPr>
          <w:rFonts w:cs="Times New Roman"/>
        </w:rPr>
        <w:t>ONSC</w:t>
      </w:r>
      <w:proofErr w:type="spellEnd"/>
      <w:r w:rsidRPr="00EF30BB">
        <w:rPr>
          <w:rFonts w:cs="Times New Roman"/>
        </w:rPr>
        <w:t xml:space="preserve"> 303, 22 </w:t>
      </w:r>
      <w:proofErr w:type="spellStart"/>
      <w:r w:rsidRPr="00EF30BB">
        <w:rPr>
          <w:rFonts w:cs="Times New Roman"/>
        </w:rPr>
        <w:t>C.B.R</w:t>
      </w:r>
      <w:proofErr w:type="spellEnd"/>
      <w:r w:rsidRPr="00EF30BB">
        <w:rPr>
          <w:rFonts w:cs="Times New Roman"/>
        </w:rPr>
        <w:t>. (6th) 323, at paras.</w:t>
      </w:r>
      <w:r>
        <w:rPr>
          <w:rFonts w:cs="Times New Roman"/>
        </w:rPr>
        <w:t> </w:t>
      </w:r>
      <w:r w:rsidRPr="00EF30BB">
        <w:rPr>
          <w:rFonts w:cs="Times New Roman"/>
        </w:rPr>
        <w:t>7</w:t>
      </w:r>
      <w:r>
        <w:rPr>
          <w:rFonts w:cs="Times New Roman"/>
        </w:rPr>
        <w:t> </w:t>
      </w:r>
      <w:r w:rsidRPr="00EF30BB">
        <w:rPr>
          <w:rFonts w:cs="Times New Roman"/>
        </w:rPr>
        <w:t>and</w:t>
      </w:r>
      <w:r>
        <w:rPr>
          <w:rFonts w:cs="Times New Roman"/>
        </w:rPr>
        <w:t> </w:t>
      </w:r>
      <w:r w:rsidRPr="00EF30BB">
        <w:rPr>
          <w:rFonts w:cs="Times New Roman"/>
        </w:rPr>
        <w:t>3</w:t>
      </w:r>
      <w:r w:rsidRPr="00EF30BB">
        <w:rPr>
          <w:rFonts w:cs="Times New Roman"/>
          <w:szCs w:val="24"/>
        </w:rPr>
        <w:t>1</w:t>
      </w:r>
      <w:r w:rsidRPr="00EF30BB">
        <w:rPr>
          <w:rStyle w:val="CommentReference"/>
          <w:rFonts w:eastAsiaTheme="minorHAnsi" w:cs="Times New Roman"/>
          <w:szCs w:val="24"/>
          <w:lang w:val="en-US"/>
        </w:rPr>
        <w:t>).</w:t>
      </w:r>
      <w:r w:rsidRPr="00EF30BB">
        <w:rPr>
          <w:rFonts w:cs="Times New Roman"/>
        </w:rPr>
        <w:t xml:space="preserve"> Others still, like the case at bar, may involve a going concern sale of most of the assets of the debtor, leaving residual assets to be dealt with by t</w:t>
      </w:r>
      <w:r w:rsidR="00BA1D27">
        <w:rPr>
          <w:rFonts w:cs="Times New Roman"/>
        </w:rPr>
        <w:t>he debtor and its stakeholders.</w:t>
      </w:r>
    </w:p>
    <w:p w:rsidR="006B1829" w:rsidRPr="00EF30BB" w:rsidRDefault="006B1829" w:rsidP="006B1829">
      <w:pPr>
        <w:pStyle w:val="ParaNoNdepar-AltN"/>
        <w:rPr>
          <w:rFonts w:cs="Times New Roman"/>
        </w:rPr>
      </w:pP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courts first began approving these forms of liquidation pursuant to the broad discretion conferred by the Act. The emergence of this practice was not without criticism, largely on the basis that it appeared to be inconsistent with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being a “restructuring statute” (see, e.g., </w:t>
      </w:r>
      <w:proofErr w:type="spellStart"/>
      <w:r w:rsidRPr="00EF30BB">
        <w:rPr>
          <w:rFonts w:cs="Times New Roman"/>
          <w:i/>
        </w:rPr>
        <w:t>Uti</w:t>
      </w:r>
      <w:proofErr w:type="spellEnd"/>
      <w:r w:rsidRPr="00EF30BB">
        <w:rPr>
          <w:rFonts w:cs="Times New Roman"/>
          <w:i/>
        </w:rPr>
        <w:t xml:space="preserve"> Energy Corp. v. </w:t>
      </w:r>
      <w:proofErr w:type="spellStart"/>
      <w:r w:rsidRPr="00EF30BB">
        <w:rPr>
          <w:rFonts w:cs="Times New Roman"/>
          <w:i/>
        </w:rPr>
        <w:t>Fracmaster</w:t>
      </w:r>
      <w:proofErr w:type="spellEnd"/>
      <w:r w:rsidRPr="00EF30BB">
        <w:rPr>
          <w:rFonts w:cs="Times New Roman"/>
          <w:i/>
        </w:rPr>
        <w:t xml:space="preserve"> Ltd.</w:t>
      </w:r>
      <w:r w:rsidRPr="00EF30BB">
        <w:rPr>
          <w:rFonts w:cs="Times New Roman"/>
        </w:rPr>
        <w:t xml:space="preserve">, 1999 </w:t>
      </w:r>
      <w:proofErr w:type="spellStart"/>
      <w:r w:rsidRPr="00EF30BB">
        <w:rPr>
          <w:rFonts w:cs="Times New Roman"/>
        </w:rPr>
        <w:lastRenderedPageBreak/>
        <w:t>ABCA</w:t>
      </w:r>
      <w:proofErr w:type="spellEnd"/>
      <w:r w:rsidRPr="00EF30BB">
        <w:rPr>
          <w:rFonts w:cs="Times New Roman"/>
        </w:rPr>
        <w:t xml:space="preserve"> 178, 244 </w:t>
      </w:r>
      <w:proofErr w:type="spellStart"/>
      <w:r w:rsidRPr="00EF30BB">
        <w:rPr>
          <w:rFonts w:cs="Times New Roman"/>
        </w:rPr>
        <w:t>A</w:t>
      </w:r>
      <w:r>
        <w:rPr>
          <w:rFonts w:cs="Times New Roman"/>
        </w:rPr>
        <w:t>.R</w:t>
      </w:r>
      <w:proofErr w:type="spellEnd"/>
      <w:r>
        <w:rPr>
          <w:rFonts w:cs="Times New Roman"/>
        </w:rPr>
        <w:t xml:space="preserve">. 93, at paras. 15-16, </w:t>
      </w:r>
      <w:proofErr w:type="spellStart"/>
      <w:r>
        <w:rPr>
          <w:rFonts w:cs="Times New Roman"/>
        </w:rPr>
        <w:t>aff’g</w:t>
      </w:r>
      <w:proofErr w:type="spellEnd"/>
      <w:r>
        <w:rPr>
          <w:rFonts w:cs="Times New Roman"/>
        </w:rPr>
        <w:t xml:space="preserve"> </w:t>
      </w:r>
      <w:r w:rsidRPr="00EF30BB">
        <w:rPr>
          <w:rFonts w:cs="Times New Roman"/>
        </w:rPr>
        <w:t xml:space="preserve">1999 </w:t>
      </w:r>
      <w:proofErr w:type="spellStart"/>
      <w:r w:rsidRPr="00EF30BB">
        <w:rPr>
          <w:rFonts w:cs="Times New Roman"/>
        </w:rPr>
        <w:t>ABQB</w:t>
      </w:r>
      <w:proofErr w:type="spellEnd"/>
      <w:r w:rsidRPr="00EF30BB">
        <w:rPr>
          <w:rFonts w:cs="Times New Roman"/>
        </w:rPr>
        <w:t xml:space="preserve"> 379, 11 </w:t>
      </w:r>
      <w:proofErr w:type="spellStart"/>
      <w:r w:rsidRPr="00EF30BB">
        <w:rPr>
          <w:rFonts w:cs="Times New Roman"/>
        </w:rPr>
        <w:t>C.B.R</w:t>
      </w:r>
      <w:proofErr w:type="spellEnd"/>
      <w:r w:rsidRPr="00EF30BB">
        <w:rPr>
          <w:rFonts w:cs="Times New Roman"/>
        </w:rPr>
        <w:t xml:space="preserve">. (4th) 204, at paras. 40-43; A. </w:t>
      </w:r>
      <w:proofErr w:type="spellStart"/>
      <w:r w:rsidRPr="00EF30BB">
        <w:rPr>
          <w:rFonts w:cs="Times New Roman"/>
        </w:rPr>
        <w:t>Nocilla</w:t>
      </w:r>
      <w:proofErr w:type="spellEnd"/>
      <w:r w:rsidRPr="00EF30BB">
        <w:rPr>
          <w:rFonts w:cs="Times New Roman"/>
        </w:rPr>
        <w:t>, “The History of the Companies’ Creditors Arrangement Act and the Future of Re-Structuring Law in Canada” (2014)</w:t>
      </w:r>
      <w:r>
        <w:rPr>
          <w:rFonts w:cs="Times New Roman"/>
        </w:rPr>
        <w:t>,</w:t>
      </w:r>
      <w:r w:rsidRPr="00EF30BB">
        <w:rPr>
          <w:rFonts w:cs="Times New Roman"/>
        </w:rPr>
        <w:t xml:space="preserve"> 56 </w:t>
      </w:r>
      <w:r w:rsidRPr="00EF30BB">
        <w:rPr>
          <w:rFonts w:cs="Times New Roman"/>
          <w:i/>
        </w:rPr>
        <w:t xml:space="preserve">Can. Bus. </w:t>
      </w:r>
      <w:proofErr w:type="spellStart"/>
      <w:r w:rsidRPr="00EF30BB">
        <w:rPr>
          <w:rFonts w:cs="Times New Roman"/>
          <w:i/>
        </w:rPr>
        <w:t>L.J</w:t>
      </w:r>
      <w:proofErr w:type="spellEnd"/>
      <w:r w:rsidRPr="00EF30BB">
        <w:rPr>
          <w:rFonts w:cs="Times New Roman"/>
          <w:i/>
        </w:rPr>
        <w:t>.</w:t>
      </w:r>
      <w:r w:rsidR="00BA1D27">
        <w:rPr>
          <w:rFonts w:cs="Times New Roman"/>
        </w:rPr>
        <w:t xml:space="preserve"> 73, at pp. 88-92).</w:t>
      </w:r>
    </w:p>
    <w:p w:rsidR="006B1829" w:rsidRPr="00EF30BB" w:rsidRDefault="006B1829" w:rsidP="006B1829">
      <w:pPr>
        <w:pStyle w:val="ParaNoNdepar-AltN"/>
        <w:rPr>
          <w:rFonts w:cs="Times New Roman"/>
        </w:rPr>
      </w:pPr>
      <w:r w:rsidRPr="00EF30BB">
        <w:rPr>
          <w:rFonts w:cs="Times New Roman"/>
        </w:rPr>
        <w:t xml:space="preserve">However, since s. 36 of the </w:t>
      </w:r>
      <w:proofErr w:type="spellStart"/>
      <w:r w:rsidRPr="00EF30BB">
        <w:rPr>
          <w:rFonts w:cs="Times New Roman"/>
          <w:i/>
        </w:rPr>
        <w:t>CCAA</w:t>
      </w:r>
      <w:proofErr w:type="spellEnd"/>
      <w:r w:rsidRPr="00EF30BB">
        <w:rPr>
          <w:rFonts w:cs="Times New Roman"/>
        </w:rPr>
        <w:t xml:space="preserve"> came into force in 2009, courts have been using it to effect liquidating </w:t>
      </w:r>
      <w:proofErr w:type="spellStart"/>
      <w:r w:rsidRPr="00EF30BB">
        <w:rPr>
          <w:rFonts w:cs="Times New Roman"/>
        </w:rPr>
        <w:t>CCAAs</w:t>
      </w:r>
      <w:proofErr w:type="spellEnd"/>
      <w:r w:rsidRPr="00EF30BB">
        <w:rPr>
          <w:rFonts w:cs="Times New Roman"/>
        </w:rPr>
        <w:t>. Section 36 empowers courts to authorize the sale or disposition of a debtor company’s assets outside the ordinary course of business.</w:t>
      </w:r>
      <w:r w:rsidRPr="00BA1D27">
        <w:rPr>
          <w:rStyle w:val="Hyperlink"/>
          <w:color w:val="000000" w:themeColor="text1"/>
          <w:u w:val="none"/>
          <w:vertAlign w:val="superscript"/>
        </w:rPr>
        <w:footnoteReference w:id="3"/>
      </w:r>
      <w:r w:rsidRPr="00EF30BB">
        <w:rPr>
          <w:rFonts w:cs="Times New Roman"/>
        </w:rPr>
        <w:t xml:space="preserve"> Significantly, when the Standing Senate Committee on Banking, Trade and Commerce recommended the adoption of s. 36, it observed that liquidation is not necessarily inconsistent with the remedial objectives of the </w:t>
      </w:r>
      <w:proofErr w:type="spellStart"/>
      <w:r w:rsidRPr="00EF30BB">
        <w:rPr>
          <w:rFonts w:cs="Times New Roman"/>
          <w:i/>
        </w:rPr>
        <w:t>CCAA</w:t>
      </w:r>
      <w:proofErr w:type="spellEnd"/>
      <w:r w:rsidRPr="00EF30BB">
        <w:rPr>
          <w:rFonts w:cs="Times New Roman"/>
        </w:rPr>
        <w:t>, and that it may be a means to “raise capital [to facilitate a restructuring], eliminate further loss for creditors or focus on the solvent operations of the business”</w:t>
      </w:r>
      <w:r w:rsidRPr="00EF30BB">
        <w:rPr>
          <w:rFonts w:cs="Times New Roman"/>
          <w:i/>
        </w:rPr>
        <w:t xml:space="preserve"> </w:t>
      </w:r>
      <w:r w:rsidRPr="00EF30BB">
        <w:rPr>
          <w:rFonts w:cs="Times New Roman"/>
        </w:rPr>
        <w:t>(p. 147)</w:t>
      </w:r>
      <w:r w:rsidRPr="00EF30BB">
        <w:rPr>
          <w:rFonts w:cs="Times New Roman"/>
          <w:i/>
        </w:rPr>
        <w:t xml:space="preserve">. </w:t>
      </w:r>
      <w:r w:rsidRPr="00EF30BB">
        <w:rPr>
          <w:rFonts w:cs="Times New Roman"/>
        </w:rPr>
        <w:t>Other commentators have observed that liquidation can be a “vehicle to restructure a business” by allowing the business to survive, albeit under a different corporate form or ownership (</w:t>
      </w:r>
      <w:proofErr w:type="spellStart"/>
      <w:r w:rsidRPr="00EF30BB">
        <w:rPr>
          <w:rFonts w:cs="Times New Roman"/>
        </w:rPr>
        <w:t>Sarra</w:t>
      </w:r>
      <w:proofErr w:type="spellEnd"/>
      <w:r w:rsidRPr="00EF30BB">
        <w:rPr>
          <w:rFonts w:cs="Times New Roman"/>
        </w:rPr>
        <w:t xml:space="preserve">, </w:t>
      </w:r>
      <w:r w:rsidRPr="00EF30BB">
        <w:rPr>
          <w:rFonts w:cs="Times New Roman"/>
          <w:i/>
        </w:rPr>
        <w:t>Rescue! The Companies’ Creditors Arrangement Act</w:t>
      </w:r>
      <w:r w:rsidRPr="00EF30BB">
        <w:rPr>
          <w:rFonts w:cs="Times New Roman"/>
        </w:rPr>
        <w:t xml:space="preserve">, at p. 169; see also K. P. </w:t>
      </w:r>
      <w:proofErr w:type="spellStart"/>
      <w:r w:rsidRPr="00EF30BB">
        <w:rPr>
          <w:rFonts w:cs="Times New Roman"/>
        </w:rPr>
        <w:t>McElcheran</w:t>
      </w:r>
      <w:proofErr w:type="spellEnd"/>
      <w:r w:rsidRPr="00EF30BB">
        <w:rPr>
          <w:rFonts w:cs="Times New Roman"/>
        </w:rPr>
        <w:t xml:space="preserve">, </w:t>
      </w:r>
      <w:r w:rsidRPr="00EF30BB">
        <w:rPr>
          <w:rFonts w:cs="Times New Roman"/>
          <w:i/>
        </w:rPr>
        <w:t>Commercial Insolvency in Canada</w:t>
      </w:r>
      <w:r w:rsidRPr="00EF30BB">
        <w:rPr>
          <w:rFonts w:cs="Times New Roman"/>
        </w:rPr>
        <w:t xml:space="preserve"> (4th ed. 2019), at p. 311). Indeed, in </w:t>
      </w:r>
      <w:proofErr w:type="spellStart"/>
      <w:r w:rsidRPr="00EF30BB">
        <w:rPr>
          <w:rFonts w:cs="Times New Roman"/>
          <w:i/>
        </w:rPr>
        <w:lastRenderedPageBreak/>
        <w:t>Indalex</w:t>
      </w:r>
      <w:proofErr w:type="spellEnd"/>
      <w:r w:rsidRPr="00EF30BB">
        <w:rPr>
          <w:rFonts w:cs="Times New Roman"/>
        </w:rPr>
        <w:t xml:space="preserve">, the company sold its assets under the </w:t>
      </w:r>
      <w:proofErr w:type="spellStart"/>
      <w:r w:rsidRPr="00EF30BB">
        <w:rPr>
          <w:rFonts w:cs="Times New Roman"/>
          <w:i/>
        </w:rPr>
        <w:t>CCAA</w:t>
      </w:r>
      <w:proofErr w:type="spellEnd"/>
      <w:r w:rsidRPr="00EF30BB">
        <w:rPr>
          <w:rFonts w:cs="Times New Roman"/>
        </w:rPr>
        <w:t xml:space="preserve"> in order to preserve the jobs of its employees, despite being unable to survive as their employer (see para. 51).</w:t>
      </w:r>
    </w:p>
    <w:p w:rsidR="006B1829" w:rsidRPr="00EF30BB" w:rsidRDefault="006B1829" w:rsidP="006B1829">
      <w:pPr>
        <w:pStyle w:val="ParaNoNdepar-AltN"/>
        <w:rPr>
          <w:rFonts w:cs="Times New Roman"/>
        </w:rPr>
      </w:pPr>
      <w:r w:rsidRPr="00EF30BB">
        <w:rPr>
          <w:rFonts w:cs="Times New Roman"/>
        </w:rPr>
        <w:t xml:space="preserve">Ultimately, the relative weight that the different objectives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take on in a particular case may vary based on the factual circumstances, the stage of the proceedings, or the proposed solutions that are presented to the court for approval. Here, a parallel may be drawn with the </w:t>
      </w:r>
      <w:r w:rsidRPr="00EF30BB">
        <w:rPr>
          <w:rFonts w:cs="Times New Roman"/>
          <w:i/>
        </w:rPr>
        <w:t>BIA</w:t>
      </w:r>
      <w:r w:rsidRPr="00EF30BB">
        <w:rPr>
          <w:rFonts w:cs="Times New Roman"/>
        </w:rPr>
        <w:t xml:space="preserve"> context. In </w:t>
      </w:r>
      <w:r w:rsidRPr="00EF30BB">
        <w:rPr>
          <w:rFonts w:cs="Times New Roman"/>
          <w:i/>
        </w:rPr>
        <w:t>Orphan Well Association v. Grant Thornton Ltd.</w:t>
      </w:r>
      <w:r w:rsidRPr="00EF30BB">
        <w:rPr>
          <w:rFonts w:cs="Times New Roman"/>
        </w:rPr>
        <w:t xml:space="preserve">, 2019 SCC 5, [2019] 1 </w:t>
      </w:r>
      <w:proofErr w:type="spellStart"/>
      <w:r w:rsidRPr="00EF30BB">
        <w:rPr>
          <w:rFonts w:cs="Times New Roman"/>
        </w:rPr>
        <w:t>S.C.R</w:t>
      </w:r>
      <w:proofErr w:type="spellEnd"/>
      <w:r w:rsidRPr="00EF30BB">
        <w:rPr>
          <w:rFonts w:cs="Times New Roman"/>
        </w:rPr>
        <w:t xml:space="preserve">. 150, at para. 67, this Court explained that, as a general matter, the </w:t>
      </w:r>
      <w:r w:rsidRPr="00EF30BB">
        <w:rPr>
          <w:rFonts w:cs="Times New Roman"/>
          <w:i/>
        </w:rPr>
        <w:t>BIA</w:t>
      </w:r>
      <w:r w:rsidRPr="00EF30BB">
        <w:rPr>
          <w:rFonts w:cs="Times New Roman"/>
        </w:rPr>
        <w:t xml:space="preserve"> serves two purposes: (1) the bankrupt’s financial rehabilitation and (2) the equitable distribution of the bankrupt’s assets among creditors. However, in circumstances where a debtor corporation will never emerge from bankruptcy, only the latter purpose is relevant (see para. 67). Similarly, under the </w:t>
      </w:r>
      <w:proofErr w:type="spellStart"/>
      <w:r w:rsidRPr="00EF30BB">
        <w:rPr>
          <w:rFonts w:cs="Times New Roman"/>
          <w:i/>
        </w:rPr>
        <w:t>CCAA</w:t>
      </w:r>
      <w:proofErr w:type="spellEnd"/>
      <w:r w:rsidRPr="00EF30BB">
        <w:rPr>
          <w:rFonts w:cs="Times New Roman"/>
        </w:rPr>
        <w:t xml:space="preserve">, when a reorganization of the pre-filing debtor company is not a possibility, a liquidation that preserves going-concern value and the ongoing business operations of the pre-filing company may become the predominant remedial focus. Moreover, where a reorganization or liquidation is complete and the court is dealing with residual assets, the objective of maximizing creditor recovery from those assets may take centre stage. As we will explain, the architecture of the </w:t>
      </w:r>
      <w:proofErr w:type="spellStart"/>
      <w:r w:rsidRPr="00EF30BB">
        <w:rPr>
          <w:rFonts w:cs="Times New Roman"/>
          <w:i/>
        </w:rPr>
        <w:t>CCAA</w:t>
      </w:r>
      <w:proofErr w:type="spellEnd"/>
      <w:r w:rsidRPr="00EF30BB">
        <w:rPr>
          <w:rFonts w:cs="Times New Roman"/>
        </w:rPr>
        <w:t xml:space="preserve"> leaves the case-specific assessment and balancing of these remedial objectives to the supervising judge.</w:t>
      </w:r>
    </w:p>
    <w:p w:rsidR="006B1829" w:rsidRPr="00EF30BB" w:rsidRDefault="006B1829" w:rsidP="006B1829">
      <w:pPr>
        <w:pStyle w:val="Title3LevelTitre3Niveau"/>
        <w:tabs>
          <w:tab w:val="clear" w:pos="1566"/>
        </w:tabs>
        <w:ind w:left="1170"/>
        <w:rPr>
          <w:rFonts w:cs="Times New Roman"/>
        </w:rPr>
      </w:pPr>
      <w:bookmarkStart w:id="31" w:name="_Toc33653912"/>
      <w:r w:rsidRPr="00EF30BB">
        <w:rPr>
          <w:rFonts w:cs="Times New Roman"/>
        </w:rPr>
        <w:t xml:space="preserve">The </w:t>
      </w:r>
      <w:bookmarkEnd w:id="28"/>
      <w:r w:rsidRPr="00EF30BB">
        <w:rPr>
          <w:rFonts w:cs="Times New Roman"/>
        </w:rPr>
        <w:t xml:space="preserve">Role of a Supervising Judge in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Proceedings</w:t>
      </w:r>
      <w:bookmarkEnd w:id="31"/>
    </w:p>
    <w:p w:rsidR="006B1829" w:rsidRPr="00EF30BB" w:rsidRDefault="006B1829" w:rsidP="006B1829">
      <w:pPr>
        <w:pStyle w:val="ParaNoNdepar-AltN"/>
        <w:rPr>
          <w:rFonts w:cs="Times New Roman"/>
          <w:b/>
        </w:rPr>
      </w:pPr>
      <w:r w:rsidRPr="00EF30BB">
        <w:rPr>
          <w:rFonts w:cs="Times New Roman"/>
        </w:rPr>
        <w:t xml:space="preserve">One of the principal means through which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achieves its objectives is by carving out a unique supervisory role for judges (see </w:t>
      </w:r>
      <w:proofErr w:type="spellStart"/>
      <w:r w:rsidRPr="00EF30BB">
        <w:rPr>
          <w:rFonts w:cs="Times New Roman"/>
        </w:rPr>
        <w:t>Sarra</w:t>
      </w:r>
      <w:proofErr w:type="spellEnd"/>
      <w:r w:rsidRPr="00EF30BB">
        <w:rPr>
          <w:rFonts w:cs="Times New Roman"/>
        </w:rPr>
        <w:t xml:space="preserve">, </w:t>
      </w:r>
      <w:r w:rsidRPr="00EF30BB">
        <w:rPr>
          <w:rFonts w:cs="Times New Roman"/>
          <w:i/>
        </w:rPr>
        <w:t xml:space="preserve">Rescue! </w:t>
      </w:r>
      <w:r w:rsidRPr="00EF30BB">
        <w:rPr>
          <w:rFonts w:cs="Times New Roman"/>
          <w:i/>
        </w:rPr>
        <w:lastRenderedPageBreak/>
        <w:t>The Companies’ Creditors Arrangement Act</w:t>
      </w:r>
      <w:r w:rsidRPr="00EF30BB">
        <w:rPr>
          <w:rFonts w:cs="Times New Roman"/>
        </w:rPr>
        <w:t xml:space="preserve">, at pp. 18-19). From beginning to end, each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 is overseen by a single supervising judge. The supervising judge acquires extensive knowledge and insight into the stakeholder dynamics and the business realities of the proceedings from their ong</w:t>
      </w:r>
      <w:r w:rsidR="00A9389D">
        <w:rPr>
          <w:rFonts w:cs="Times New Roman"/>
        </w:rPr>
        <w:t>oing dealings with the parties.</w:t>
      </w:r>
    </w:p>
    <w:p w:rsidR="006B1829" w:rsidRPr="00EF30BB" w:rsidRDefault="006B1829" w:rsidP="006B1829">
      <w:pPr>
        <w:pStyle w:val="ParaNoNdepar-AltN"/>
        <w:rPr>
          <w:rFonts w:cs="Times New Roman"/>
        </w:rPr>
      </w:pPr>
      <w:r w:rsidRPr="00EF30BB">
        <w:rPr>
          <w:rFonts w:cs="Times New Roman"/>
        </w:rPr>
        <w:t xml:space="preserve">The </w:t>
      </w:r>
      <w:proofErr w:type="spellStart"/>
      <w:r w:rsidRPr="00EF30BB">
        <w:rPr>
          <w:rFonts w:cs="Times New Roman"/>
          <w:i/>
        </w:rPr>
        <w:t>CCAA</w:t>
      </w:r>
      <w:proofErr w:type="spellEnd"/>
      <w:r w:rsidRPr="00EF30BB">
        <w:rPr>
          <w:rFonts w:cs="Times New Roman"/>
          <w:i/>
        </w:rPr>
        <w:t xml:space="preserve"> </w:t>
      </w:r>
      <w:r w:rsidRPr="00EF30BB">
        <w:rPr>
          <w:rFonts w:cs="Times New Roman"/>
        </w:rPr>
        <w:t>capitalizes on this positional advantage by supplying supervising judges with broad discretion to make a variety of orders that respond to the circumstances of each case and “meet contemporary business and social needs” (</w:t>
      </w:r>
      <w:r w:rsidRPr="00EF30BB">
        <w:rPr>
          <w:rFonts w:cs="Times New Roman"/>
          <w:i/>
        </w:rPr>
        <w:t>Century Services</w:t>
      </w:r>
      <w:r w:rsidRPr="00EF30BB">
        <w:rPr>
          <w:rFonts w:cs="Times New Roman"/>
        </w:rPr>
        <w:t>, at para. 58) in “real-time” (para. 58, citing R. B. Jones, “The Evolut</w:t>
      </w:r>
      <w:r>
        <w:rPr>
          <w:rFonts w:cs="Times New Roman"/>
        </w:rPr>
        <w:t xml:space="preserve">ion of Canadian Restructuring: </w:t>
      </w:r>
      <w:r w:rsidRPr="00EF30BB">
        <w:rPr>
          <w:rFonts w:cs="Times New Roman"/>
        </w:rPr>
        <w:t xml:space="preserve">Challenges for the Rule of Law”, in J. P. </w:t>
      </w:r>
      <w:proofErr w:type="spellStart"/>
      <w:r w:rsidRPr="00EF30BB">
        <w:rPr>
          <w:rFonts w:cs="Times New Roman"/>
        </w:rPr>
        <w:t>Sarra</w:t>
      </w:r>
      <w:proofErr w:type="spellEnd"/>
      <w:r w:rsidRPr="00EF30BB">
        <w:rPr>
          <w:rFonts w:cs="Times New Roman"/>
        </w:rPr>
        <w:t xml:space="preserve">, ed., </w:t>
      </w:r>
      <w:r w:rsidRPr="00EF30BB">
        <w:rPr>
          <w:rFonts w:cs="Times New Roman"/>
          <w:i/>
        </w:rPr>
        <w:t>Annual Review of Insolvency Law</w:t>
      </w:r>
      <w:r w:rsidRPr="00EF30BB">
        <w:rPr>
          <w:rFonts w:cs="Times New Roman"/>
        </w:rPr>
        <w:t xml:space="preserve"> </w:t>
      </w:r>
      <w:r w:rsidRPr="00EF30BB">
        <w:rPr>
          <w:rFonts w:cs="Times New Roman"/>
          <w:i/>
        </w:rPr>
        <w:t>2005</w:t>
      </w:r>
      <w:r w:rsidRPr="00EF30BB">
        <w:rPr>
          <w:rFonts w:cs="Times New Roman"/>
        </w:rPr>
        <w:t xml:space="preserve"> (2006), 481, at p. 484). The anchor of this discretionary authority is s. 11, which empowers a judge “to make any order that [the judge] considers appropriate in the circumstances”. This section has been described as “the engine” driving the statutory scheme (</w:t>
      </w:r>
      <w:proofErr w:type="spellStart"/>
      <w:r w:rsidRPr="00EF30BB">
        <w:rPr>
          <w:rFonts w:cs="Times New Roman"/>
          <w:i/>
        </w:rPr>
        <w:t>Stelco</w:t>
      </w:r>
      <w:proofErr w:type="spellEnd"/>
      <w:r w:rsidRPr="00EF30BB">
        <w:rPr>
          <w:rFonts w:cs="Times New Roman"/>
          <w:i/>
        </w:rPr>
        <w:t xml:space="preserve"> Inc. (Re) </w:t>
      </w:r>
      <w:r>
        <w:rPr>
          <w:rFonts w:cs="Times New Roman"/>
        </w:rPr>
        <w:t xml:space="preserve">(2005), 253 </w:t>
      </w:r>
      <w:proofErr w:type="spellStart"/>
      <w:r>
        <w:rPr>
          <w:rFonts w:cs="Times New Roman"/>
        </w:rPr>
        <w:t>D.L.R</w:t>
      </w:r>
      <w:proofErr w:type="spellEnd"/>
      <w:r>
        <w:rPr>
          <w:rFonts w:cs="Times New Roman"/>
        </w:rPr>
        <w:t xml:space="preserve">. (4th) 109 </w:t>
      </w:r>
      <w:r w:rsidRPr="00EF30BB">
        <w:rPr>
          <w:rFonts w:cs="Times New Roman"/>
        </w:rPr>
        <w:t>(Ont. C.A.), at para. 36).</w:t>
      </w:r>
    </w:p>
    <w:p w:rsidR="006B1829" w:rsidRPr="00EF30BB" w:rsidRDefault="006B1829" w:rsidP="006B1829">
      <w:pPr>
        <w:pStyle w:val="ParaNoNdepar-AltN"/>
        <w:rPr>
          <w:rFonts w:cs="Times New Roman"/>
        </w:rPr>
      </w:pPr>
      <w:r w:rsidRPr="00EF30BB">
        <w:rPr>
          <w:rFonts w:cs="Times New Roman"/>
        </w:rPr>
        <w:t xml:space="preserve">The discretionary authority conferred by the </w:t>
      </w:r>
      <w:proofErr w:type="spellStart"/>
      <w:r w:rsidRPr="00EF30BB">
        <w:rPr>
          <w:rFonts w:cs="Times New Roman"/>
          <w:i/>
        </w:rPr>
        <w:t>CCAA</w:t>
      </w:r>
      <w:proofErr w:type="spellEnd"/>
      <w:r w:rsidRPr="00EF30BB">
        <w:rPr>
          <w:rFonts w:cs="Times New Roman"/>
        </w:rPr>
        <w:t xml:space="preserve">, while broad in nature, is not boundless. This authority must be exercised in furtherance of the remedial objectives of the </w:t>
      </w:r>
      <w:proofErr w:type="spellStart"/>
      <w:r w:rsidRPr="00EF30BB">
        <w:rPr>
          <w:rFonts w:cs="Times New Roman"/>
          <w:i/>
        </w:rPr>
        <w:t>CCAA</w:t>
      </w:r>
      <w:proofErr w:type="spellEnd"/>
      <w:r w:rsidRPr="00EF30BB">
        <w:rPr>
          <w:rFonts w:cs="Times New Roman"/>
        </w:rPr>
        <w:t xml:space="preserve">, which we have explained above (see </w:t>
      </w:r>
      <w:r w:rsidRPr="00EF30BB">
        <w:rPr>
          <w:rFonts w:cs="Times New Roman"/>
          <w:i/>
        </w:rPr>
        <w:t>Century Services</w:t>
      </w:r>
      <w:r w:rsidRPr="00EF30BB">
        <w:rPr>
          <w:rFonts w:cs="Times New Roman"/>
        </w:rPr>
        <w:t>,</w:t>
      </w:r>
      <w:r w:rsidRPr="00EF30BB">
        <w:rPr>
          <w:rFonts w:cs="Times New Roman"/>
          <w:i/>
        </w:rPr>
        <w:t xml:space="preserve"> </w:t>
      </w:r>
      <w:r w:rsidRPr="00EF30BB">
        <w:rPr>
          <w:rFonts w:cs="Times New Roman"/>
        </w:rPr>
        <w:t>at para. 59). Additionally, the court must keep in mind three “baseline considerations”</w:t>
      </w:r>
      <w:r>
        <w:rPr>
          <w:rFonts w:cs="Times New Roman"/>
        </w:rPr>
        <w:t xml:space="preserve"> (at para. 70)</w:t>
      </w:r>
      <w:r w:rsidRPr="00EF30BB">
        <w:rPr>
          <w:rFonts w:cs="Times New Roman"/>
        </w:rPr>
        <w:t>, which the applicant bears the burden of demonstrating: (1) that the order sought is appropriate in the circumstances, and (2) that the applicant has been acting in good faith and (3)</w:t>
      </w:r>
      <w:r w:rsidR="00BA1D27">
        <w:rPr>
          <w:rFonts w:cs="Times New Roman"/>
        </w:rPr>
        <w:t xml:space="preserve"> with due diligence (para. 69).</w:t>
      </w:r>
    </w:p>
    <w:p w:rsidR="006B1829" w:rsidRPr="00EF30BB" w:rsidRDefault="006B1829" w:rsidP="006B1829">
      <w:pPr>
        <w:pStyle w:val="ParaNoNdepar-AltN"/>
        <w:rPr>
          <w:rFonts w:cs="Times New Roman"/>
        </w:rPr>
      </w:pPr>
      <w:r w:rsidRPr="00EF30BB">
        <w:rPr>
          <w:rFonts w:cs="Times New Roman"/>
        </w:rPr>
        <w:lastRenderedPageBreak/>
        <w:t xml:space="preserve">The first two considerations of appropriateness and good faith are widely understood in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context. Appropriateness </w:t>
      </w:r>
      <w:r w:rsidRPr="00EF30BB">
        <w:rPr>
          <w:rFonts w:cs="Times New Roman"/>
          <w:iCs/>
          <w:lang w:val="en-US"/>
        </w:rPr>
        <w:t>“</w:t>
      </w:r>
      <w:r w:rsidRPr="00EF30BB">
        <w:rPr>
          <w:rFonts w:cs="Times New Roman"/>
          <w:lang w:val="en-US"/>
        </w:rPr>
        <w:t>is assessed by inquiring whether the order sought advances the policy objectives underlying the </w:t>
      </w:r>
      <w:proofErr w:type="spellStart"/>
      <w:r w:rsidRPr="00EF30BB">
        <w:rPr>
          <w:rFonts w:cs="Times New Roman"/>
          <w:i/>
          <w:iCs/>
          <w:lang w:val="en-US"/>
        </w:rPr>
        <w:t>CCAA</w:t>
      </w:r>
      <w:proofErr w:type="spellEnd"/>
      <w:r w:rsidRPr="00EF30BB">
        <w:rPr>
          <w:rFonts w:cs="Times New Roman"/>
        </w:rPr>
        <w:t xml:space="preserve">” (para. 70). Further, the well-established requirement that parties must act in good faith in insolvency proceedings has recently been made express in s. 18.6 of the </w:t>
      </w:r>
      <w:proofErr w:type="spellStart"/>
      <w:r w:rsidRPr="00EF30BB">
        <w:rPr>
          <w:rFonts w:cs="Times New Roman"/>
          <w:i/>
        </w:rPr>
        <w:t>CCAA</w:t>
      </w:r>
      <w:proofErr w:type="spellEnd"/>
      <w:r w:rsidRPr="00EF30BB">
        <w:rPr>
          <w:rFonts w:cs="Times New Roman"/>
        </w:rPr>
        <w:t>, which provides:</w:t>
      </w:r>
    </w:p>
    <w:p w:rsidR="006B1829" w:rsidRPr="00EF30BB" w:rsidRDefault="006B1829" w:rsidP="006B1829">
      <w:pPr>
        <w:pStyle w:val="Citation-AltC"/>
        <w:spacing w:after="120"/>
        <w:contextualSpacing w:val="0"/>
        <w:rPr>
          <w:b/>
        </w:rPr>
      </w:pPr>
      <w:r w:rsidRPr="00EF30BB">
        <w:rPr>
          <w:b/>
        </w:rPr>
        <w:t>Good faith</w:t>
      </w:r>
    </w:p>
    <w:p w:rsidR="006B1829" w:rsidRPr="00EF30BB" w:rsidRDefault="006B1829" w:rsidP="006B1829">
      <w:pPr>
        <w:pStyle w:val="Citation-AltC"/>
        <w:spacing w:after="120"/>
        <w:contextualSpacing w:val="0"/>
      </w:pPr>
      <w:r w:rsidRPr="00EF30BB">
        <w:rPr>
          <w:b/>
        </w:rPr>
        <w:t>18.6 (1)</w:t>
      </w:r>
      <w:r w:rsidRPr="00EF30BB">
        <w:t xml:space="preserve"> </w:t>
      </w:r>
      <w:proofErr w:type="gramStart"/>
      <w:r w:rsidRPr="00EF30BB">
        <w:t>Any</w:t>
      </w:r>
      <w:proofErr w:type="gramEnd"/>
      <w:r w:rsidRPr="00EF30BB">
        <w:t xml:space="preserve"> interested person in any proceedings under this Act shall act in good faith with respect to those proceedings.</w:t>
      </w:r>
    </w:p>
    <w:p w:rsidR="006B1829" w:rsidRPr="00EF30BB" w:rsidRDefault="006B1829" w:rsidP="006B1829">
      <w:pPr>
        <w:pStyle w:val="Citation-AltC"/>
        <w:spacing w:after="120"/>
        <w:contextualSpacing w:val="0"/>
        <w:rPr>
          <w:b/>
        </w:rPr>
      </w:pPr>
      <w:r w:rsidRPr="00EF30BB">
        <w:rPr>
          <w:b/>
        </w:rPr>
        <w:t>Good faith — powers of court</w:t>
      </w:r>
    </w:p>
    <w:p w:rsidR="006B1829" w:rsidRPr="00EF30BB" w:rsidRDefault="006B1829" w:rsidP="00A9389D">
      <w:pPr>
        <w:pStyle w:val="Citation-AltC"/>
        <w:spacing w:after="240"/>
        <w:contextualSpacing w:val="0"/>
      </w:pPr>
      <w:r w:rsidRPr="00EF30BB">
        <w:rPr>
          <w:b/>
        </w:rPr>
        <w:t>(2)</w:t>
      </w:r>
      <w:r w:rsidRPr="00EF30BB">
        <w:t xml:space="preserve"> If the court is satisfied that an interested person fails to act in good faith, on application by an interested person, the court may make any order that it considers appropriate in the circumstances.</w:t>
      </w:r>
    </w:p>
    <w:p w:rsidR="006B1829" w:rsidRPr="00EF30BB" w:rsidRDefault="006B1829" w:rsidP="00C402D4">
      <w:pPr>
        <w:pStyle w:val="Citation-AltC"/>
        <w:ind w:left="0"/>
      </w:pPr>
      <w:r w:rsidRPr="00EF30BB">
        <w:t xml:space="preserve">(See also </w:t>
      </w:r>
      <w:r w:rsidRPr="00EF30BB">
        <w:rPr>
          <w:i/>
        </w:rPr>
        <w:t>BIA</w:t>
      </w:r>
      <w:r w:rsidRPr="00EF30BB">
        <w:t xml:space="preserve">, s. 4.2; </w:t>
      </w:r>
      <w:r w:rsidRPr="00EF30BB">
        <w:rPr>
          <w:i/>
        </w:rPr>
        <w:t>Budget Implementation Act</w:t>
      </w:r>
      <w:r w:rsidRPr="00EF30BB">
        <w:t xml:space="preserve">, </w:t>
      </w:r>
      <w:r w:rsidRPr="00E70DFF">
        <w:rPr>
          <w:i/>
        </w:rPr>
        <w:t>2019, No. 1</w:t>
      </w:r>
      <w:r w:rsidRPr="00EF30BB">
        <w:t>, S.C. 2019, c. 29, ss. 133 and 140</w:t>
      </w:r>
      <w:r>
        <w:t>.</w:t>
      </w:r>
      <w:r w:rsidRPr="00EF30BB">
        <w:t>)</w:t>
      </w:r>
    </w:p>
    <w:p w:rsidR="006B1829" w:rsidRPr="00653E63" w:rsidRDefault="006B1829" w:rsidP="006B1829">
      <w:pPr>
        <w:pStyle w:val="ParaNoNdepar-AltN"/>
        <w:rPr>
          <w:rFonts w:cs="Times New Roman"/>
        </w:rPr>
      </w:pPr>
      <w:r w:rsidRPr="00EF30BB">
        <w:rPr>
          <w:rFonts w:cs="Times New Roman"/>
        </w:rPr>
        <w:t xml:space="preserve">The third consideration of due diligence requires some elaboration. Consistent with the </w:t>
      </w:r>
      <w:proofErr w:type="spellStart"/>
      <w:r w:rsidRPr="00EF30BB">
        <w:rPr>
          <w:rFonts w:cs="Times New Roman"/>
          <w:i/>
        </w:rPr>
        <w:t>CCAA</w:t>
      </w:r>
      <w:proofErr w:type="spellEnd"/>
      <w:r w:rsidRPr="00EF30BB">
        <w:rPr>
          <w:rFonts w:cs="Times New Roman"/>
          <w:i/>
        </w:rPr>
        <w:t xml:space="preserve"> </w:t>
      </w:r>
      <w:r w:rsidRPr="00EF30BB">
        <w:rPr>
          <w:rFonts w:cs="Times New Roman"/>
        </w:rPr>
        <w:t>regime generally, the due diligence consideration discourages parties from sitting on their rights and ensures that creditors do not strategically manoeuver or position themselves to gain an advantage (</w:t>
      </w:r>
      <w:proofErr w:type="spellStart"/>
      <w:r w:rsidRPr="00EF30BB">
        <w:rPr>
          <w:rFonts w:cs="Times New Roman"/>
          <w:i/>
          <w:iCs/>
        </w:rPr>
        <w:t>Lehndorff</w:t>
      </w:r>
      <w:proofErr w:type="spellEnd"/>
      <w:r w:rsidRPr="00EF30BB">
        <w:rPr>
          <w:rFonts w:cs="Times New Roman"/>
          <w:i/>
          <w:iCs/>
        </w:rPr>
        <w:t xml:space="preserve"> General Partner Ltd., Re </w:t>
      </w:r>
      <w:r w:rsidRPr="00EF30BB">
        <w:rPr>
          <w:rFonts w:cs="Times New Roman"/>
          <w:iCs/>
        </w:rPr>
        <w:t xml:space="preserve">(1993), 17 </w:t>
      </w:r>
      <w:proofErr w:type="spellStart"/>
      <w:r w:rsidRPr="00EF30BB">
        <w:rPr>
          <w:rFonts w:cs="Times New Roman"/>
          <w:iCs/>
        </w:rPr>
        <w:t>C.B.R</w:t>
      </w:r>
      <w:proofErr w:type="spellEnd"/>
      <w:r w:rsidRPr="00EF30BB">
        <w:rPr>
          <w:rFonts w:cs="Times New Roman"/>
          <w:iCs/>
        </w:rPr>
        <w:t>. (</w:t>
      </w:r>
      <w:proofErr w:type="spellStart"/>
      <w:r w:rsidRPr="00EF30BB">
        <w:rPr>
          <w:rFonts w:cs="Times New Roman"/>
          <w:iCs/>
        </w:rPr>
        <w:t>3d</w:t>
      </w:r>
      <w:proofErr w:type="spellEnd"/>
      <w:r w:rsidRPr="00EF30BB">
        <w:rPr>
          <w:rFonts w:cs="Times New Roman"/>
          <w:iCs/>
        </w:rPr>
        <w:t>) 24</w:t>
      </w:r>
      <w:r w:rsidRPr="00EF30BB">
        <w:rPr>
          <w:rFonts w:cs="Times New Roman"/>
        </w:rPr>
        <w:t xml:space="preserve"> (Ont. </w:t>
      </w:r>
      <w:proofErr w:type="spellStart"/>
      <w:r w:rsidRPr="00EF30BB">
        <w:rPr>
          <w:rFonts w:cs="Times New Roman"/>
        </w:rPr>
        <w:t>C.J</w:t>
      </w:r>
      <w:proofErr w:type="spellEnd"/>
      <w:r w:rsidRPr="00EF30BB">
        <w:rPr>
          <w:rFonts w:cs="Times New Roman"/>
        </w:rPr>
        <w:t xml:space="preserve">. (Gen. Div.)), at p. 31). The procedures set out in the </w:t>
      </w:r>
      <w:proofErr w:type="spellStart"/>
      <w:r w:rsidRPr="00EF30BB">
        <w:rPr>
          <w:rFonts w:cs="Times New Roman"/>
          <w:i/>
        </w:rPr>
        <w:t>CCAA</w:t>
      </w:r>
      <w:proofErr w:type="spellEnd"/>
      <w:r w:rsidRPr="00EF30BB">
        <w:rPr>
          <w:rFonts w:cs="Times New Roman"/>
        </w:rPr>
        <w:t xml:space="preserve"> rely on negotiations and compromise between the debtor and its stakeholders, as overseen by the supervising judge and the monitor. This necessarily requires that, to the extent possible, those involved in the proceedings be on equal footing and have a clear understanding of their respective rights (see </w:t>
      </w:r>
      <w:proofErr w:type="spellStart"/>
      <w:r w:rsidRPr="00EF30BB">
        <w:rPr>
          <w:rFonts w:cs="Times New Roman"/>
        </w:rPr>
        <w:lastRenderedPageBreak/>
        <w:t>McElcheran</w:t>
      </w:r>
      <w:proofErr w:type="spellEnd"/>
      <w:r w:rsidRPr="00EF30BB">
        <w:rPr>
          <w:rFonts w:cs="Times New Roman"/>
        </w:rPr>
        <w:t xml:space="preserve">, at p. 262). A party’s failure to participate in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in a diligent and timely fashion can undermine these procedures and, more generally, the effective functioning of the </w:t>
      </w:r>
      <w:proofErr w:type="spellStart"/>
      <w:r w:rsidRPr="00EF30BB">
        <w:rPr>
          <w:rFonts w:cs="Times New Roman"/>
          <w:i/>
        </w:rPr>
        <w:t>CCAA</w:t>
      </w:r>
      <w:proofErr w:type="spellEnd"/>
      <w:r w:rsidRPr="00EF30BB">
        <w:rPr>
          <w:rFonts w:cs="Times New Roman"/>
        </w:rPr>
        <w:t xml:space="preserve"> regime (see, e.g., </w:t>
      </w:r>
      <w:r w:rsidRPr="00EF30BB">
        <w:rPr>
          <w:rFonts w:cs="Times New Roman"/>
          <w:i/>
        </w:rPr>
        <w:t>North American Tungsten Corp. v. Global Tungsten and Powders Corp.</w:t>
      </w:r>
      <w:r w:rsidRPr="00EF30BB">
        <w:rPr>
          <w:rFonts w:cs="Times New Roman"/>
        </w:rPr>
        <w:t xml:space="preserve">, 2015 </w:t>
      </w:r>
      <w:proofErr w:type="spellStart"/>
      <w:r w:rsidRPr="00EF30BB">
        <w:rPr>
          <w:rFonts w:cs="Times New Roman"/>
        </w:rPr>
        <w:t>BCCA</w:t>
      </w:r>
      <w:proofErr w:type="spellEnd"/>
      <w:r w:rsidRPr="00EF30BB">
        <w:rPr>
          <w:rFonts w:cs="Times New Roman"/>
        </w:rPr>
        <w:t xml:space="preserve"> 390, 377 </w:t>
      </w:r>
      <w:proofErr w:type="spellStart"/>
      <w:r w:rsidRPr="00EF30BB">
        <w:rPr>
          <w:rFonts w:cs="Times New Roman"/>
        </w:rPr>
        <w:t>B.C.</w:t>
      </w:r>
      <w:r>
        <w:rPr>
          <w:rFonts w:cs="Times New Roman"/>
        </w:rPr>
        <w:t>A.C</w:t>
      </w:r>
      <w:proofErr w:type="spellEnd"/>
      <w:r>
        <w:rPr>
          <w:rFonts w:cs="Times New Roman"/>
        </w:rPr>
        <w:t>. 6, at  </w:t>
      </w:r>
      <w:r w:rsidRPr="00E8642C">
        <w:rPr>
          <w:rFonts w:cs="Times New Roman"/>
        </w:rPr>
        <w:t xml:space="preserve">paras. 21-23; </w:t>
      </w:r>
      <w:r w:rsidRPr="00E8642C">
        <w:rPr>
          <w:rFonts w:cs="Times New Roman"/>
          <w:i/>
        </w:rPr>
        <w:t>Re BA</w:t>
      </w:r>
      <w:r w:rsidRPr="00653E63">
        <w:rPr>
          <w:rFonts w:cs="Times New Roman"/>
          <w:i/>
        </w:rPr>
        <w:t xml:space="preserve"> Energy Inc.</w:t>
      </w:r>
      <w:r w:rsidRPr="00653E63">
        <w:rPr>
          <w:rFonts w:cs="Times New Roman"/>
        </w:rPr>
        <w:t xml:space="preserve">, 2010 </w:t>
      </w:r>
      <w:proofErr w:type="spellStart"/>
      <w:r w:rsidRPr="00653E63">
        <w:rPr>
          <w:rFonts w:cs="Times New Roman"/>
        </w:rPr>
        <w:t>ABQB</w:t>
      </w:r>
      <w:proofErr w:type="spellEnd"/>
      <w:r w:rsidRPr="00653E63">
        <w:rPr>
          <w:rFonts w:cs="Times New Roman"/>
        </w:rPr>
        <w:t xml:space="preserve"> 507, 70 </w:t>
      </w:r>
      <w:proofErr w:type="spellStart"/>
      <w:r w:rsidRPr="00653E63">
        <w:rPr>
          <w:rFonts w:cs="Times New Roman"/>
        </w:rPr>
        <w:t>C.B.R</w:t>
      </w:r>
      <w:proofErr w:type="spellEnd"/>
      <w:r w:rsidRPr="00653E63">
        <w:rPr>
          <w:rFonts w:cs="Times New Roman"/>
        </w:rPr>
        <w:t xml:space="preserve">. (5th) 24; </w:t>
      </w:r>
      <w:r w:rsidRPr="00653E63">
        <w:rPr>
          <w:rFonts w:cs="Times New Roman"/>
          <w:i/>
        </w:rPr>
        <w:t>HSBC Bank Canada v. Bear Mountain Master Partnership</w:t>
      </w:r>
      <w:r w:rsidRPr="00653E63">
        <w:rPr>
          <w:rFonts w:cs="Times New Roman"/>
        </w:rPr>
        <w:t xml:space="preserve">, 2010 </w:t>
      </w:r>
      <w:proofErr w:type="spellStart"/>
      <w:r w:rsidRPr="00653E63">
        <w:rPr>
          <w:rFonts w:cs="Times New Roman"/>
        </w:rPr>
        <w:t>BCSC</w:t>
      </w:r>
      <w:proofErr w:type="spellEnd"/>
      <w:r w:rsidRPr="00653E63">
        <w:rPr>
          <w:rFonts w:cs="Times New Roman"/>
        </w:rPr>
        <w:t xml:space="preserve"> 1563, 72 </w:t>
      </w:r>
      <w:proofErr w:type="spellStart"/>
      <w:r w:rsidRPr="00653E63">
        <w:rPr>
          <w:rFonts w:cs="Times New Roman"/>
        </w:rPr>
        <w:t>C.B.R</w:t>
      </w:r>
      <w:proofErr w:type="spellEnd"/>
      <w:r w:rsidRPr="00653E63">
        <w:rPr>
          <w:rFonts w:cs="Times New Roman"/>
        </w:rPr>
        <w:t xml:space="preserve">. (5th) 276, at para. 11; </w:t>
      </w:r>
      <w:r w:rsidRPr="00653E63">
        <w:rPr>
          <w:rFonts w:cs="Times New Roman"/>
          <w:i/>
        </w:rPr>
        <w:t xml:space="preserve">Caterpillar Financial Services Ltd. v. </w:t>
      </w:r>
      <w:proofErr w:type="spellStart"/>
      <w:r w:rsidRPr="00653E63">
        <w:rPr>
          <w:rFonts w:cs="Times New Roman"/>
          <w:i/>
        </w:rPr>
        <w:t>360networks</w:t>
      </w:r>
      <w:proofErr w:type="spellEnd"/>
      <w:r w:rsidRPr="00653E63">
        <w:rPr>
          <w:rFonts w:cs="Times New Roman"/>
          <w:i/>
        </w:rPr>
        <w:t xml:space="preserve"> Corp.</w:t>
      </w:r>
      <w:r w:rsidRPr="00653E63">
        <w:rPr>
          <w:rFonts w:cs="Times New Roman"/>
        </w:rPr>
        <w:t xml:space="preserve">, 2007 </w:t>
      </w:r>
      <w:proofErr w:type="spellStart"/>
      <w:r w:rsidRPr="00653E63">
        <w:rPr>
          <w:rFonts w:cs="Times New Roman"/>
        </w:rPr>
        <w:t>BCCA</w:t>
      </w:r>
      <w:proofErr w:type="spellEnd"/>
      <w:r w:rsidRPr="00653E63">
        <w:rPr>
          <w:rFonts w:cs="Times New Roman"/>
        </w:rPr>
        <w:t xml:space="preserve"> 14, 279 </w:t>
      </w:r>
      <w:proofErr w:type="spellStart"/>
      <w:r w:rsidRPr="00653E63">
        <w:rPr>
          <w:rFonts w:cs="Times New Roman"/>
        </w:rPr>
        <w:t>D.L.R</w:t>
      </w:r>
      <w:proofErr w:type="spellEnd"/>
      <w:r w:rsidRPr="00653E63">
        <w:rPr>
          <w:rFonts w:cs="Times New Roman"/>
        </w:rPr>
        <w:t>. (4th) 701, at paras. 51-52, in which the courts seized on a party’s failure to act diligently).</w:t>
      </w:r>
    </w:p>
    <w:p w:rsidR="006B1829" w:rsidRPr="00E8642C" w:rsidRDefault="006B1829" w:rsidP="006B1829">
      <w:pPr>
        <w:pStyle w:val="ParaNoNdepar-AltN"/>
        <w:keepLines/>
        <w:rPr>
          <w:rFonts w:cs="Times New Roman"/>
        </w:rPr>
      </w:pPr>
      <w:r w:rsidRPr="00EF30BB">
        <w:rPr>
          <w:rFonts w:cs="Times New Roman"/>
        </w:rPr>
        <w:t xml:space="preserve">We pause to note that supervising judges are assisted in their oversight role by a court appointed monitor whose qualifications and duties are set out in the </w:t>
      </w:r>
      <w:proofErr w:type="spellStart"/>
      <w:r w:rsidRPr="00EF30BB">
        <w:rPr>
          <w:rFonts w:cs="Times New Roman"/>
          <w:i/>
        </w:rPr>
        <w:t>CCAA</w:t>
      </w:r>
      <w:proofErr w:type="spellEnd"/>
      <w:r w:rsidRPr="00EF30BB">
        <w:rPr>
          <w:rFonts w:cs="Times New Roman"/>
        </w:rPr>
        <w:t xml:space="preserve"> (see ss. 11.7, 11.8 and 23 to 25). The monitor is an independent and impartial expert, acting as “the eyes and the ears of the court” throughout the proceedings (</w:t>
      </w:r>
      <w:r w:rsidRPr="00EF30BB">
        <w:rPr>
          <w:rFonts w:cs="Times New Roman"/>
          <w:i/>
        </w:rPr>
        <w:t>Essar</w:t>
      </w:r>
      <w:r w:rsidRPr="00EF30BB">
        <w:rPr>
          <w:rFonts w:cs="Times New Roman"/>
        </w:rPr>
        <w:t xml:space="preserve">, at para. 109). The core of the monitor’s role includes providing an advisory opinion to the court as to the fairness of any proposed plan of arrangement and on orders sought by parties, including the sale of assets and requests for interim financing (see </w:t>
      </w:r>
      <w:proofErr w:type="spellStart"/>
      <w:r w:rsidRPr="00EF30BB">
        <w:rPr>
          <w:rFonts w:cs="Times New Roman"/>
          <w:i/>
        </w:rPr>
        <w:t>CCAA</w:t>
      </w:r>
      <w:proofErr w:type="spellEnd"/>
      <w:r w:rsidRPr="00EF30BB">
        <w:rPr>
          <w:rFonts w:cs="Times New Roman"/>
        </w:rPr>
        <w:t>,</w:t>
      </w:r>
      <w:r w:rsidRPr="00EF30BB">
        <w:rPr>
          <w:rFonts w:cs="Times New Roman"/>
          <w:i/>
        </w:rPr>
        <w:t xml:space="preserve"> </w:t>
      </w:r>
      <w:r w:rsidRPr="00EF30BB">
        <w:rPr>
          <w:rFonts w:cs="Times New Roman"/>
        </w:rPr>
        <w:t>s. 23(1)(d) and (</w:t>
      </w:r>
      <w:proofErr w:type="spellStart"/>
      <w:r w:rsidRPr="00EF30BB">
        <w:rPr>
          <w:rFonts w:cs="Times New Roman"/>
        </w:rPr>
        <w:t>i</w:t>
      </w:r>
      <w:proofErr w:type="spellEnd"/>
      <w:r w:rsidRPr="00EF30BB">
        <w:rPr>
          <w:rFonts w:cs="Times New Roman"/>
        </w:rPr>
        <w:t xml:space="preserve">); </w:t>
      </w:r>
      <w:proofErr w:type="spellStart"/>
      <w:r w:rsidRPr="00EF30BB">
        <w:rPr>
          <w:rFonts w:cs="Times New Roman"/>
        </w:rPr>
        <w:t>Sarra</w:t>
      </w:r>
      <w:proofErr w:type="spellEnd"/>
      <w:r w:rsidRPr="00EF30BB">
        <w:rPr>
          <w:rFonts w:cs="Times New Roman"/>
        </w:rPr>
        <w:t xml:space="preserve">, </w:t>
      </w:r>
      <w:r w:rsidRPr="00EF30BB">
        <w:rPr>
          <w:rFonts w:cs="Times New Roman"/>
          <w:i/>
        </w:rPr>
        <w:t>Rescue! The Companies’ Creditors Arrangement Act</w:t>
      </w:r>
      <w:r w:rsidRPr="00EF30BB">
        <w:rPr>
          <w:rFonts w:cs="Times New Roman"/>
        </w:rPr>
        <w:t xml:space="preserve">, at </w:t>
      </w:r>
      <w:r w:rsidR="00CE5CC6">
        <w:rPr>
          <w:rFonts w:cs="Times New Roman"/>
        </w:rPr>
        <w:t>pp.</w:t>
      </w:r>
      <w:r w:rsidR="00BA1D27">
        <w:rPr>
          <w:rFonts w:cs="Times New Roman"/>
        </w:rPr>
        <w:t> 566 and 569).</w:t>
      </w:r>
    </w:p>
    <w:p w:rsidR="006B1829" w:rsidRPr="00EF30BB" w:rsidRDefault="006B1829" w:rsidP="006B1829">
      <w:pPr>
        <w:pStyle w:val="Title3LevelTitre3Niveau"/>
        <w:tabs>
          <w:tab w:val="clear" w:pos="1566"/>
          <w:tab w:val="num" w:pos="1350"/>
        </w:tabs>
        <w:ind w:left="1422" w:hanging="846"/>
        <w:rPr>
          <w:rFonts w:cs="Times New Roman"/>
        </w:rPr>
      </w:pPr>
      <w:bookmarkStart w:id="32" w:name="_Toc33564172"/>
      <w:bookmarkStart w:id="33" w:name="_Toc33653913"/>
      <w:r w:rsidRPr="00EF30BB">
        <w:rPr>
          <w:rFonts w:cs="Times New Roman"/>
        </w:rPr>
        <w:t>Appellate Review of Exercises of Discretion by a</w:t>
      </w:r>
      <w:bookmarkEnd w:id="32"/>
      <w:r w:rsidRPr="00EF30BB">
        <w:rPr>
          <w:rFonts w:cs="Times New Roman"/>
        </w:rPr>
        <w:t xml:space="preserve"> Supervising Judge</w:t>
      </w:r>
      <w:bookmarkEnd w:id="33"/>
    </w:p>
    <w:p w:rsidR="006B1829" w:rsidRPr="00EF30BB" w:rsidRDefault="006B1829" w:rsidP="006B1829">
      <w:pPr>
        <w:pStyle w:val="ParaNoNdepar-AltN"/>
        <w:rPr>
          <w:rFonts w:cs="Times New Roman"/>
        </w:rPr>
      </w:pPr>
      <w:r w:rsidRPr="00EF30BB">
        <w:rPr>
          <w:rFonts w:cs="Times New Roman"/>
        </w:rPr>
        <w:t xml:space="preserve">A high degree of deference is owed to discretionary decisions made by judges supervising </w:t>
      </w:r>
      <w:proofErr w:type="spellStart"/>
      <w:r w:rsidRPr="00EF30BB">
        <w:rPr>
          <w:rFonts w:cs="Times New Roman"/>
          <w:i/>
        </w:rPr>
        <w:t>CCAA</w:t>
      </w:r>
      <w:proofErr w:type="spellEnd"/>
      <w:r w:rsidRPr="00EF30BB">
        <w:rPr>
          <w:rFonts w:cs="Times New Roman"/>
        </w:rPr>
        <w:t xml:space="preserve"> proceedings. As such, appellate intervention will only be </w:t>
      </w:r>
      <w:r w:rsidRPr="00EF30BB">
        <w:rPr>
          <w:rFonts w:cs="Times New Roman"/>
        </w:rPr>
        <w:lastRenderedPageBreak/>
        <w:t xml:space="preserve">justified if the supervising judge erred in principle or exercised their discretion unreasonably (see </w:t>
      </w:r>
      <w:r w:rsidRPr="00EF30BB">
        <w:rPr>
          <w:rFonts w:cs="Times New Roman"/>
          <w:i/>
        </w:rPr>
        <w:t>Grant Forest Products Inc. v. Toronto-Dominion Bank</w:t>
      </w:r>
      <w:r w:rsidRPr="00EF30BB">
        <w:rPr>
          <w:rFonts w:cs="Times New Roman"/>
        </w:rPr>
        <w:t xml:space="preserve">, 2015 </w:t>
      </w:r>
      <w:proofErr w:type="spellStart"/>
      <w:r w:rsidRPr="00EF30BB">
        <w:rPr>
          <w:rFonts w:cs="Times New Roman"/>
        </w:rPr>
        <w:t>ONCA</w:t>
      </w:r>
      <w:proofErr w:type="spellEnd"/>
      <w:r w:rsidRPr="00EF30BB">
        <w:rPr>
          <w:rFonts w:cs="Times New Roman"/>
        </w:rPr>
        <w:t xml:space="preserve"> 570, 387 </w:t>
      </w:r>
      <w:proofErr w:type="spellStart"/>
      <w:r w:rsidRPr="00EF30BB">
        <w:rPr>
          <w:rFonts w:cs="Times New Roman"/>
        </w:rPr>
        <w:t>D.L.R</w:t>
      </w:r>
      <w:proofErr w:type="spellEnd"/>
      <w:r w:rsidRPr="00EF30BB">
        <w:rPr>
          <w:rFonts w:cs="Times New Roman"/>
        </w:rPr>
        <w:t xml:space="preserve">. (4th) 426, at para. 98; </w:t>
      </w:r>
      <w:r w:rsidRPr="00EF30BB">
        <w:rPr>
          <w:rFonts w:cs="Times New Roman"/>
          <w:i/>
          <w:lang w:val="en-US"/>
        </w:rPr>
        <w:t xml:space="preserve">Bridging Finance Inc. v. </w:t>
      </w:r>
      <w:proofErr w:type="spellStart"/>
      <w:r w:rsidRPr="00EF30BB">
        <w:rPr>
          <w:rFonts w:cs="Times New Roman"/>
          <w:i/>
          <w:lang w:val="en-US"/>
        </w:rPr>
        <w:t>Béton</w:t>
      </w:r>
      <w:proofErr w:type="spellEnd"/>
      <w:r w:rsidRPr="00EF30BB">
        <w:rPr>
          <w:rFonts w:cs="Times New Roman"/>
          <w:i/>
          <w:lang w:val="en-US"/>
        </w:rPr>
        <w:t xml:space="preserve"> Brunet 2001 </w:t>
      </w:r>
      <w:proofErr w:type="spellStart"/>
      <w:r w:rsidRPr="00EF30BB">
        <w:rPr>
          <w:rFonts w:cs="Times New Roman"/>
          <w:i/>
          <w:lang w:val="en-US"/>
        </w:rPr>
        <w:t>inc</w:t>
      </w:r>
      <w:r w:rsidRPr="00E70DFF">
        <w:rPr>
          <w:rFonts w:cs="Times New Roman"/>
          <w:i/>
          <w:lang w:val="en-US"/>
        </w:rPr>
        <w:t>.</w:t>
      </w:r>
      <w:proofErr w:type="spellEnd"/>
      <w:r w:rsidRPr="00EF30BB">
        <w:rPr>
          <w:rFonts w:cs="Times New Roman"/>
          <w:lang w:val="en-US"/>
        </w:rPr>
        <w:t xml:space="preserve">, 2017 </w:t>
      </w:r>
      <w:proofErr w:type="spellStart"/>
      <w:r w:rsidRPr="00EF30BB">
        <w:rPr>
          <w:rFonts w:cs="Times New Roman"/>
          <w:lang w:val="en-US"/>
        </w:rPr>
        <w:t>QCCA</w:t>
      </w:r>
      <w:proofErr w:type="spellEnd"/>
      <w:r w:rsidRPr="00EF30BB">
        <w:rPr>
          <w:rFonts w:cs="Times New Roman"/>
          <w:lang w:val="en-US"/>
        </w:rPr>
        <w:t xml:space="preserve"> 138, 44 </w:t>
      </w:r>
      <w:proofErr w:type="spellStart"/>
      <w:r w:rsidRPr="00EF30BB">
        <w:rPr>
          <w:rFonts w:cs="Times New Roman"/>
          <w:lang w:val="en-US"/>
        </w:rPr>
        <w:t>C.B.R</w:t>
      </w:r>
      <w:proofErr w:type="spellEnd"/>
      <w:r w:rsidRPr="00EF30BB">
        <w:rPr>
          <w:rFonts w:cs="Times New Roman"/>
          <w:lang w:val="en-US"/>
        </w:rPr>
        <w:t>. (6th) 175, at para. 23)</w:t>
      </w:r>
      <w:r w:rsidRPr="00EF30BB">
        <w:rPr>
          <w:rFonts w:cs="Times New Roman"/>
        </w:rPr>
        <w:t>. Appellate courts must be careful not to substitute their own discretion in place of the supervising judge’s (</w:t>
      </w:r>
      <w:r w:rsidRPr="00EF30BB">
        <w:rPr>
          <w:rFonts w:cs="Times New Roman"/>
          <w:i/>
          <w:iCs/>
          <w:lang w:val="en-US"/>
        </w:rPr>
        <w:t>New Skeena Forest Products Inc., Re</w:t>
      </w:r>
      <w:r w:rsidRPr="00EF30BB">
        <w:rPr>
          <w:rFonts w:cs="Times New Roman"/>
          <w:lang w:val="en-US"/>
        </w:rPr>
        <w:t xml:space="preserve">, 2005 </w:t>
      </w:r>
      <w:proofErr w:type="spellStart"/>
      <w:r w:rsidRPr="00EF30BB">
        <w:rPr>
          <w:rFonts w:cs="Times New Roman"/>
          <w:lang w:val="en-US"/>
        </w:rPr>
        <w:t>BCCA</w:t>
      </w:r>
      <w:proofErr w:type="spellEnd"/>
      <w:r w:rsidRPr="00EF30BB">
        <w:rPr>
          <w:rFonts w:cs="Times New Roman"/>
          <w:lang w:val="en-US"/>
        </w:rPr>
        <w:t xml:space="preserve"> 192, 39 </w:t>
      </w:r>
      <w:proofErr w:type="spellStart"/>
      <w:r w:rsidRPr="00EF30BB">
        <w:rPr>
          <w:rFonts w:cs="Times New Roman"/>
          <w:lang w:val="en-US"/>
        </w:rPr>
        <w:t>B.C.L.R</w:t>
      </w:r>
      <w:proofErr w:type="spellEnd"/>
      <w:r w:rsidRPr="00EF30BB">
        <w:rPr>
          <w:rFonts w:cs="Times New Roman"/>
          <w:lang w:val="en-US"/>
        </w:rPr>
        <w:t>. (4th) 338, at para. 20</w:t>
      </w:r>
      <w:r w:rsidRPr="00EF30BB">
        <w:rPr>
          <w:rFonts w:cs="Times New Roman"/>
        </w:rPr>
        <w:t>).</w:t>
      </w:r>
    </w:p>
    <w:p w:rsidR="006B1829" w:rsidRPr="00EF30BB" w:rsidRDefault="006B1829" w:rsidP="006B1829">
      <w:pPr>
        <w:pStyle w:val="ParaNoNdepar-AltN"/>
        <w:rPr>
          <w:rFonts w:cs="Times New Roman"/>
        </w:rPr>
      </w:pPr>
      <w:r w:rsidRPr="00EF30BB">
        <w:rPr>
          <w:rFonts w:cs="Times New Roman"/>
        </w:rPr>
        <w:t xml:space="preserve">This deferential standard of review accounts for the fact that supervising judges are steeped in the intricacies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they oversee. In this respect, the comments of </w:t>
      </w:r>
      <w:proofErr w:type="spellStart"/>
      <w:r w:rsidRPr="00EF30BB">
        <w:rPr>
          <w:rFonts w:cs="Times New Roman"/>
        </w:rPr>
        <w:t>Tysoe</w:t>
      </w:r>
      <w:proofErr w:type="spellEnd"/>
      <w:r w:rsidRPr="00EF30BB">
        <w:rPr>
          <w:rFonts w:cs="Times New Roman"/>
        </w:rPr>
        <w:t xml:space="preserve"> J.A. in </w:t>
      </w:r>
      <w:r w:rsidRPr="00EF30BB">
        <w:rPr>
          <w:rFonts w:cs="Times New Roman"/>
          <w:i/>
        </w:rPr>
        <w:t xml:space="preserve">Canadian Metropolitan Properties Corp. v. </w:t>
      </w:r>
      <w:proofErr w:type="spellStart"/>
      <w:r w:rsidRPr="00EF30BB">
        <w:rPr>
          <w:rFonts w:cs="Times New Roman"/>
          <w:i/>
        </w:rPr>
        <w:t>Libin</w:t>
      </w:r>
      <w:proofErr w:type="spellEnd"/>
      <w:r w:rsidRPr="00EF30BB">
        <w:rPr>
          <w:rFonts w:cs="Times New Roman"/>
          <w:i/>
        </w:rPr>
        <w:t xml:space="preserve"> Holdings Ltd.</w:t>
      </w:r>
      <w:r w:rsidR="0011296D">
        <w:rPr>
          <w:rFonts w:cs="Times New Roman"/>
        </w:rPr>
        <w:t xml:space="preserve">, 2009 </w:t>
      </w:r>
      <w:proofErr w:type="spellStart"/>
      <w:r w:rsidR="0011296D">
        <w:rPr>
          <w:rFonts w:cs="Times New Roman"/>
        </w:rPr>
        <w:t>BCCA</w:t>
      </w:r>
      <w:proofErr w:type="spellEnd"/>
      <w:r w:rsidR="0011296D">
        <w:rPr>
          <w:rFonts w:cs="Times New Roman"/>
        </w:rPr>
        <w:t xml:space="preserve"> 40, 308</w:t>
      </w:r>
      <w:r w:rsidRPr="00EF30BB">
        <w:rPr>
          <w:rFonts w:cs="Times New Roman"/>
        </w:rPr>
        <w:t xml:space="preserve"> </w:t>
      </w:r>
      <w:proofErr w:type="spellStart"/>
      <w:r w:rsidRPr="00EF30BB">
        <w:rPr>
          <w:rFonts w:cs="Times New Roman"/>
        </w:rPr>
        <w:t>D.L.R</w:t>
      </w:r>
      <w:proofErr w:type="spellEnd"/>
      <w:r w:rsidRPr="00EF30BB">
        <w:rPr>
          <w:rFonts w:cs="Times New Roman"/>
        </w:rPr>
        <w:t>. (4th) 339 (“</w:t>
      </w:r>
      <w:r w:rsidRPr="00EF30BB">
        <w:rPr>
          <w:rFonts w:cs="Times New Roman"/>
          <w:i/>
        </w:rPr>
        <w:t>Re Edgewater Casino Inc.</w:t>
      </w:r>
      <w:r w:rsidR="00BA1D27">
        <w:rPr>
          <w:rFonts w:cs="Times New Roman"/>
        </w:rPr>
        <w:t>), at para. 20, are apt:</w:t>
      </w:r>
    </w:p>
    <w:p w:rsidR="006B1829" w:rsidRPr="00EF30BB" w:rsidRDefault="006B1829" w:rsidP="006B1829">
      <w:pPr>
        <w:pStyle w:val="Citation-AltC"/>
      </w:pPr>
      <w:r w:rsidRPr="00EF30BB">
        <w:t xml:space="preserve">. . . one of the principal functions of the judge supervising the </w:t>
      </w:r>
      <w:proofErr w:type="spellStart"/>
      <w:r w:rsidRPr="00EF30BB">
        <w:rPr>
          <w:i/>
        </w:rPr>
        <w:t>CCAA</w:t>
      </w:r>
      <w:proofErr w:type="spellEnd"/>
      <w:r w:rsidRPr="00EF30BB">
        <w:t xml:space="preserve"> proceeding is to attempt to balance the interests of the various stakeholders during the reorganization process, and it will often be inappropriate to consider an exercise of discretion by the supervising judge in isolation of other exercises of discretion by the judge in endeavoring to balance the va</w:t>
      </w:r>
      <w:r w:rsidR="00C402D4">
        <w:t>rious interests. . . . </w:t>
      </w:r>
      <w:proofErr w:type="spellStart"/>
      <w:r w:rsidRPr="00EF30BB">
        <w:rPr>
          <w:i/>
        </w:rPr>
        <w:t>CCAA</w:t>
      </w:r>
      <w:proofErr w:type="spellEnd"/>
      <w:r w:rsidRPr="00EF30BB">
        <w:t xml:space="preserve"> proceedings are dynamic in nature and the supervising judge has intimate knowledge of the reorganization process. The nature of the proceedings often requires the supervising judge to make quick decision</w:t>
      </w:r>
      <w:r w:rsidR="00BA1D27">
        <w:t>s in complicated circumstances.</w:t>
      </w:r>
    </w:p>
    <w:p w:rsidR="006B1829" w:rsidRPr="00EF30BB" w:rsidRDefault="006B1829" w:rsidP="006B1829">
      <w:pPr>
        <w:pStyle w:val="ParaNoNdepar-AltN"/>
        <w:rPr>
          <w:rFonts w:cs="Times New Roman"/>
        </w:rPr>
      </w:pPr>
      <w:r w:rsidRPr="00EF30BB">
        <w:rPr>
          <w:rFonts w:cs="Times New Roman"/>
        </w:rPr>
        <w:t xml:space="preserve">With the foregoing in mind, we turn to </w:t>
      </w:r>
      <w:r w:rsidR="00BA1D27">
        <w:rPr>
          <w:rFonts w:cs="Times New Roman"/>
        </w:rPr>
        <w:t>the issues on appeal.</w:t>
      </w:r>
    </w:p>
    <w:p w:rsidR="006B1829" w:rsidRPr="00EF30BB" w:rsidRDefault="006B1829" w:rsidP="006B1829">
      <w:pPr>
        <w:pStyle w:val="Title2LevelTitre2Niveau"/>
        <w:keepNext/>
        <w:rPr>
          <w:rFonts w:cs="Times New Roman"/>
        </w:rPr>
      </w:pPr>
      <w:bookmarkStart w:id="34" w:name="_Toc33564173"/>
      <w:bookmarkStart w:id="35" w:name="_Toc33653914"/>
      <w:proofErr w:type="spellStart"/>
      <w:r w:rsidRPr="00EF30BB">
        <w:rPr>
          <w:rFonts w:cs="Times New Roman"/>
        </w:rPr>
        <w:lastRenderedPageBreak/>
        <w:t>Callidus</w:t>
      </w:r>
      <w:proofErr w:type="spellEnd"/>
      <w:r w:rsidRPr="00EF30BB">
        <w:rPr>
          <w:rFonts w:cs="Times New Roman"/>
        </w:rPr>
        <w:t xml:space="preserve"> Should Not Be Permitted to Vote on Its New Plan</w:t>
      </w:r>
      <w:bookmarkEnd w:id="34"/>
      <w:bookmarkEnd w:id="35"/>
    </w:p>
    <w:p w:rsidR="006B1829" w:rsidRPr="00EF30BB" w:rsidRDefault="006B1829" w:rsidP="006B1829">
      <w:pPr>
        <w:pStyle w:val="ParaNoNdepar-AltN"/>
        <w:keepNext/>
        <w:rPr>
          <w:rFonts w:cs="Times New Roman"/>
        </w:rPr>
      </w:pPr>
      <w:r w:rsidRPr="00EF30BB">
        <w:rPr>
          <w:rFonts w:cs="Times New Roman"/>
        </w:rPr>
        <w:t xml:space="preserve">A creditor can generally vote on a plan of arrangement or compromise that affects its rights, subject to any specific provisions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that </w:t>
      </w:r>
      <w:r w:rsidRPr="00EF30BB">
        <w:rPr>
          <w:rFonts w:cs="Times New Roman"/>
          <w:lang w:bidi="en-US"/>
        </w:rPr>
        <w:t>may restrict its voting rights</w:t>
      </w:r>
      <w:r w:rsidRPr="00EF30BB">
        <w:rPr>
          <w:rFonts w:cs="Times New Roman"/>
        </w:rPr>
        <w:t xml:space="preserve"> (e.g., s. 22(3))</w:t>
      </w:r>
      <w:r w:rsidRPr="00EF30BB">
        <w:rPr>
          <w:rFonts w:cs="Times New Roman"/>
          <w:lang w:bidi="en-US"/>
        </w:rPr>
        <w:t>, or a proper exercise of discretion by the supervising judge to constrain or bar the creditor’s right to vote</w:t>
      </w:r>
      <w:r w:rsidRPr="00EF30BB">
        <w:rPr>
          <w:rFonts w:cs="Times New Roman"/>
        </w:rPr>
        <w:t xml:space="preserve">. We conclude that one such constraint arises from s. 11 of the </w:t>
      </w:r>
      <w:proofErr w:type="spellStart"/>
      <w:r w:rsidRPr="00EF30BB">
        <w:rPr>
          <w:rFonts w:cs="Times New Roman"/>
          <w:i/>
        </w:rPr>
        <w:t>CCAA</w:t>
      </w:r>
      <w:proofErr w:type="spellEnd"/>
      <w:r w:rsidRPr="00EF30BB">
        <w:rPr>
          <w:rFonts w:cs="Times New Roman"/>
        </w:rPr>
        <w:t xml:space="preserve">, which provides supervising judges with the discretion to bar a creditor from voting where the creditor is acting for an improper purpose. Supervising judges are best-placed to determine whether this discretion should be exercised in a particular case. In our view, the supervising judge here made no error in exercising his discretion to bar </w:t>
      </w:r>
      <w:proofErr w:type="spellStart"/>
      <w:r w:rsidRPr="00EF30BB">
        <w:rPr>
          <w:rFonts w:cs="Times New Roman"/>
        </w:rPr>
        <w:t>Callidus</w:t>
      </w:r>
      <w:proofErr w:type="spellEnd"/>
      <w:r w:rsidRPr="00EF30BB">
        <w:rPr>
          <w:rFonts w:cs="Times New Roman"/>
        </w:rPr>
        <w:t xml:space="preserve"> from voting on the New Plan.</w:t>
      </w:r>
    </w:p>
    <w:p w:rsidR="006B1829" w:rsidRPr="00EF30BB" w:rsidRDefault="006B1829" w:rsidP="006B1829">
      <w:pPr>
        <w:pStyle w:val="Title3LevelTitre3Niveau"/>
        <w:ind w:left="1152"/>
        <w:rPr>
          <w:rFonts w:cs="Times New Roman"/>
        </w:rPr>
      </w:pPr>
      <w:bookmarkStart w:id="36" w:name="_Toc33564174"/>
      <w:bookmarkStart w:id="37" w:name="_Toc33653915"/>
      <w:r w:rsidRPr="00EF30BB">
        <w:rPr>
          <w:rFonts w:cs="Times New Roman"/>
        </w:rPr>
        <w:t>Parameters of Creditors’ Right to Vote on Plans of Arrangement</w:t>
      </w:r>
      <w:bookmarkEnd w:id="36"/>
      <w:bookmarkEnd w:id="37"/>
    </w:p>
    <w:p w:rsidR="006B1829" w:rsidRPr="00EF30BB" w:rsidRDefault="006B1829" w:rsidP="006B1829">
      <w:pPr>
        <w:pStyle w:val="ParaNoNdepar-AltN"/>
        <w:rPr>
          <w:rFonts w:cs="Times New Roman"/>
        </w:rPr>
      </w:pPr>
      <w:r w:rsidRPr="00EF30BB">
        <w:rPr>
          <w:rFonts w:cs="Times New Roman"/>
        </w:rPr>
        <w:t xml:space="preserve">Creditor approval of any plan of arrangement or compromise is a key feature of the </w:t>
      </w:r>
      <w:proofErr w:type="spellStart"/>
      <w:r w:rsidRPr="00EF30BB">
        <w:rPr>
          <w:rFonts w:cs="Times New Roman"/>
          <w:i/>
        </w:rPr>
        <w:t>CCAA</w:t>
      </w:r>
      <w:proofErr w:type="spellEnd"/>
      <w:r w:rsidRPr="00EF30BB">
        <w:rPr>
          <w:rFonts w:cs="Times New Roman"/>
        </w:rPr>
        <w:t>, as is the supervising judge’s oversight of that process. Where a plan is proposed, an application may be made to the supervising judge to order a creditors’ meeting to vote on the proposed plan (</w:t>
      </w:r>
      <w:proofErr w:type="spellStart"/>
      <w:r w:rsidRPr="00EF30BB">
        <w:rPr>
          <w:rFonts w:cs="Times New Roman"/>
          <w:i/>
        </w:rPr>
        <w:t>CCAA</w:t>
      </w:r>
      <w:proofErr w:type="spellEnd"/>
      <w:r w:rsidRPr="00EF30BB">
        <w:rPr>
          <w:rFonts w:cs="Times New Roman"/>
        </w:rPr>
        <w:t>,</w:t>
      </w:r>
      <w:r w:rsidRPr="00EF30BB">
        <w:rPr>
          <w:rFonts w:cs="Times New Roman"/>
          <w:i/>
        </w:rPr>
        <w:t xml:space="preserve"> </w:t>
      </w:r>
      <w:r w:rsidRPr="00EF30BB">
        <w:rPr>
          <w:rFonts w:cs="Times New Roman"/>
        </w:rPr>
        <w:t>ss. 4 and 5). The supervising judge has the discretion to determine whether to order the meeting. For the purposes of voting at a creditors’ meeting, the debtor company may divide the creditors into classes, subject to court approval (</w:t>
      </w:r>
      <w:proofErr w:type="spellStart"/>
      <w:r w:rsidRPr="00EF30BB">
        <w:rPr>
          <w:rFonts w:cs="Times New Roman"/>
          <w:i/>
        </w:rPr>
        <w:t>CCAA</w:t>
      </w:r>
      <w:proofErr w:type="spellEnd"/>
      <w:r w:rsidRPr="00EF30BB">
        <w:rPr>
          <w:rFonts w:cs="Times New Roman"/>
        </w:rPr>
        <w:t>,</w:t>
      </w:r>
      <w:r w:rsidRPr="00EF30BB">
        <w:rPr>
          <w:rFonts w:cs="Times New Roman"/>
          <w:i/>
        </w:rPr>
        <w:t xml:space="preserve"> </w:t>
      </w:r>
      <w:r w:rsidRPr="00EF30BB">
        <w:rPr>
          <w:rFonts w:cs="Times New Roman"/>
        </w:rPr>
        <w:t>s. 22(1)). Creditors may be included in the same class if “their interests or rights are sufficiently similar to give them a commonality of interest” (</w:t>
      </w:r>
      <w:proofErr w:type="spellStart"/>
      <w:r w:rsidRPr="00EF30BB">
        <w:rPr>
          <w:rFonts w:cs="Times New Roman"/>
          <w:i/>
        </w:rPr>
        <w:t>CCAA</w:t>
      </w:r>
      <w:proofErr w:type="spellEnd"/>
      <w:r w:rsidRPr="00EF30BB">
        <w:rPr>
          <w:rFonts w:cs="Times New Roman"/>
        </w:rPr>
        <w:t xml:space="preserve">, s. 22(2); see also L. W. </w:t>
      </w:r>
      <w:proofErr w:type="spellStart"/>
      <w:r w:rsidRPr="00EF30BB">
        <w:rPr>
          <w:rFonts w:cs="Times New Roman"/>
        </w:rPr>
        <w:t>Houlden</w:t>
      </w:r>
      <w:proofErr w:type="spellEnd"/>
      <w:r w:rsidRPr="00EF30BB">
        <w:rPr>
          <w:rFonts w:cs="Times New Roman"/>
        </w:rPr>
        <w:t xml:space="preserve">, G. B. </w:t>
      </w:r>
      <w:proofErr w:type="spellStart"/>
      <w:r w:rsidRPr="00EF30BB">
        <w:rPr>
          <w:rFonts w:cs="Times New Roman"/>
        </w:rPr>
        <w:t>Morawetz</w:t>
      </w:r>
      <w:proofErr w:type="spellEnd"/>
      <w:r w:rsidRPr="00EF30BB">
        <w:rPr>
          <w:rFonts w:cs="Times New Roman"/>
        </w:rPr>
        <w:t xml:space="preserve"> and J. P. </w:t>
      </w:r>
      <w:proofErr w:type="spellStart"/>
      <w:r w:rsidRPr="00EF30BB">
        <w:rPr>
          <w:rFonts w:cs="Times New Roman"/>
        </w:rPr>
        <w:t>Sarra</w:t>
      </w:r>
      <w:proofErr w:type="spellEnd"/>
      <w:r w:rsidRPr="00EF30BB">
        <w:rPr>
          <w:rFonts w:cs="Times New Roman"/>
        </w:rPr>
        <w:t xml:space="preserve">, </w:t>
      </w:r>
      <w:r w:rsidRPr="00EF30BB">
        <w:rPr>
          <w:rFonts w:cs="Times New Roman"/>
          <w:i/>
        </w:rPr>
        <w:t>Bankruptcy and Insolvency Law of Canada</w:t>
      </w:r>
      <w:r w:rsidRPr="00EF30BB">
        <w:rPr>
          <w:rFonts w:cs="Times New Roman"/>
        </w:rPr>
        <w:t xml:space="preserve"> (4th ed. (loose-leaf)</w:t>
      </w:r>
      <w:r>
        <w:rPr>
          <w:rFonts w:cs="Times New Roman"/>
        </w:rPr>
        <w:t>)</w:t>
      </w:r>
      <w:r w:rsidR="00BC33B6">
        <w:rPr>
          <w:rFonts w:cs="Times New Roman"/>
        </w:rPr>
        <w:t xml:space="preserve">, vol. 4, at </w:t>
      </w:r>
      <w:r w:rsidRPr="00EF30BB">
        <w:rPr>
          <w:rFonts w:cs="Times New Roman"/>
        </w:rPr>
        <w:t xml:space="preserve">§149). If </w:t>
      </w:r>
      <w:r w:rsidRPr="00EF30BB">
        <w:rPr>
          <w:rFonts w:cs="Times New Roman"/>
        </w:rPr>
        <w:lastRenderedPageBreak/>
        <w:t xml:space="preserve">the requisite “double majority” in each class of creditors — again, a majority in </w:t>
      </w:r>
      <w:r w:rsidRPr="00EF30BB">
        <w:rPr>
          <w:rFonts w:cs="Times New Roman"/>
          <w:i/>
        </w:rPr>
        <w:t>number</w:t>
      </w:r>
      <w:r w:rsidRPr="00EF30BB">
        <w:rPr>
          <w:rFonts w:cs="Times New Roman"/>
        </w:rPr>
        <w:t xml:space="preserve"> of class members, which also represents two-thirds in </w:t>
      </w:r>
      <w:r w:rsidRPr="00EF30BB">
        <w:rPr>
          <w:rFonts w:cs="Times New Roman"/>
          <w:i/>
        </w:rPr>
        <w:t>value</w:t>
      </w:r>
      <w:r w:rsidRPr="00EF30BB">
        <w:rPr>
          <w:rFonts w:cs="Times New Roman"/>
        </w:rPr>
        <w:t xml:space="preserve"> of the class members’ claims — vote in favour of the plan, the supervising judge may sanction the plan (</w:t>
      </w:r>
      <w:r w:rsidRPr="00EF30BB">
        <w:rPr>
          <w:rFonts w:cs="Times New Roman"/>
          <w:i/>
        </w:rPr>
        <w:t>Metcalfe &amp; Mansfield Alternative Investments II Corp. (Re)</w:t>
      </w:r>
      <w:r w:rsidRPr="00EF30BB">
        <w:rPr>
          <w:rFonts w:cs="Times New Roman"/>
        </w:rPr>
        <w:t xml:space="preserve">, 2008 </w:t>
      </w:r>
      <w:proofErr w:type="spellStart"/>
      <w:r w:rsidRPr="00EF30BB">
        <w:rPr>
          <w:rFonts w:cs="Times New Roman"/>
        </w:rPr>
        <w:t>ONCA</w:t>
      </w:r>
      <w:proofErr w:type="spellEnd"/>
      <w:r w:rsidRPr="00EF30BB">
        <w:rPr>
          <w:rFonts w:cs="Times New Roman"/>
        </w:rPr>
        <w:t xml:space="preserve"> 587, 296 </w:t>
      </w:r>
      <w:proofErr w:type="spellStart"/>
      <w:r w:rsidRPr="00EF30BB">
        <w:rPr>
          <w:rFonts w:cs="Times New Roman"/>
        </w:rPr>
        <w:t>D.L.R</w:t>
      </w:r>
      <w:proofErr w:type="spellEnd"/>
      <w:r w:rsidRPr="00EF30BB">
        <w:rPr>
          <w:rFonts w:cs="Times New Roman"/>
        </w:rPr>
        <w:t xml:space="preserve">. (4th) 135, at para. 34; see </w:t>
      </w:r>
      <w:proofErr w:type="spellStart"/>
      <w:r w:rsidRPr="00EF30BB">
        <w:rPr>
          <w:rFonts w:cs="Times New Roman"/>
          <w:i/>
        </w:rPr>
        <w:t>CCAA</w:t>
      </w:r>
      <w:proofErr w:type="spellEnd"/>
      <w:r w:rsidRPr="00EF30BB">
        <w:rPr>
          <w:rFonts w:cs="Times New Roman"/>
        </w:rPr>
        <w:t xml:space="preserve">, s. 6). The supervising judge will conduct what is commonly referred to as a “fairness hearing” to determine, among other things, whether the plan is fair and reasonable (Wood, at pp. 490-92; see also </w:t>
      </w:r>
      <w:proofErr w:type="spellStart"/>
      <w:r w:rsidRPr="00EF30BB">
        <w:rPr>
          <w:rFonts w:cs="Times New Roman"/>
        </w:rPr>
        <w:t>Sarra</w:t>
      </w:r>
      <w:proofErr w:type="spellEnd"/>
      <w:r w:rsidRPr="00EF30BB">
        <w:rPr>
          <w:rFonts w:cs="Times New Roman"/>
        </w:rPr>
        <w:t>, </w:t>
      </w:r>
      <w:r w:rsidRPr="00EF30BB">
        <w:rPr>
          <w:rFonts w:cs="Times New Roman"/>
          <w:i/>
          <w:iCs/>
        </w:rPr>
        <w:t xml:space="preserve">Rescue! </w:t>
      </w:r>
      <w:r w:rsidRPr="00EF30BB">
        <w:rPr>
          <w:rFonts w:cs="Times New Roman"/>
          <w:i/>
        </w:rPr>
        <w:t>The Companies’ Creditors Arrangement Act</w:t>
      </w:r>
      <w:r w:rsidRPr="00EF30BB">
        <w:rPr>
          <w:rFonts w:cs="Times New Roman"/>
        </w:rPr>
        <w:t xml:space="preserve">, at p. 529; </w:t>
      </w:r>
      <w:proofErr w:type="spellStart"/>
      <w:r w:rsidR="00BC33B6">
        <w:rPr>
          <w:rFonts w:cs="Times New Roman"/>
        </w:rPr>
        <w:t>Houlden</w:t>
      </w:r>
      <w:proofErr w:type="spellEnd"/>
      <w:r w:rsidR="00BC33B6">
        <w:rPr>
          <w:rFonts w:cs="Times New Roman"/>
        </w:rPr>
        <w:t xml:space="preserve">, </w:t>
      </w:r>
      <w:proofErr w:type="spellStart"/>
      <w:r w:rsidR="00BC33B6">
        <w:rPr>
          <w:rFonts w:cs="Times New Roman"/>
        </w:rPr>
        <w:t>Morawetz</w:t>
      </w:r>
      <w:proofErr w:type="spellEnd"/>
      <w:r w:rsidR="00BC33B6">
        <w:rPr>
          <w:rFonts w:cs="Times New Roman"/>
        </w:rPr>
        <w:t xml:space="preserve"> and </w:t>
      </w:r>
      <w:proofErr w:type="spellStart"/>
      <w:r w:rsidR="00BC33B6">
        <w:rPr>
          <w:rFonts w:cs="Times New Roman"/>
        </w:rPr>
        <w:t>Sarra</w:t>
      </w:r>
      <w:proofErr w:type="spellEnd"/>
      <w:r w:rsidR="00BC33B6">
        <w:rPr>
          <w:rFonts w:cs="Times New Roman"/>
        </w:rPr>
        <w:t xml:space="preserve"> at </w:t>
      </w:r>
      <w:r w:rsidRPr="00EF30BB">
        <w:rPr>
          <w:rFonts w:cs="Times New Roman"/>
          <w:bCs/>
        </w:rPr>
        <w:t>§</w:t>
      </w:r>
      <w:r w:rsidRPr="00EF30BB">
        <w:rPr>
          <w:rFonts w:cs="Times New Roman"/>
        </w:rPr>
        <w:t>45). Once sanctioned by the supervising judge, the plan is binding on each class of creditors that participated in the vote (</w:t>
      </w:r>
      <w:proofErr w:type="spellStart"/>
      <w:r w:rsidRPr="00EF30BB">
        <w:rPr>
          <w:rFonts w:cs="Times New Roman"/>
          <w:i/>
        </w:rPr>
        <w:t>CCAA</w:t>
      </w:r>
      <w:proofErr w:type="spellEnd"/>
      <w:r w:rsidR="00BA1D27">
        <w:rPr>
          <w:rFonts w:cs="Times New Roman"/>
        </w:rPr>
        <w:t>, s. 6(1)).</w:t>
      </w:r>
    </w:p>
    <w:p w:rsidR="006B1829" w:rsidRPr="00EF30BB" w:rsidRDefault="006B1829" w:rsidP="006B1829">
      <w:pPr>
        <w:pStyle w:val="ParaNoNdepar-AltN"/>
        <w:rPr>
          <w:rFonts w:cs="Times New Roman"/>
        </w:rPr>
      </w:pPr>
      <w:r w:rsidRPr="00EF30BB">
        <w:rPr>
          <w:rFonts w:cs="Times New Roman"/>
        </w:rPr>
        <w:t xml:space="preserve">Creditors with a provable claim against the debtor whose interests are affected by a proposed plan are usually entitled to vote on plans of arrangement (Wood, at p. 470). Indeed, there is no express provision in the </w:t>
      </w:r>
      <w:proofErr w:type="spellStart"/>
      <w:r w:rsidRPr="00EF30BB">
        <w:rPr>
          <w:rFonts w:cs="Times New Roman"/>
          <w:i/>
        </w:rPr>
        <w:t>CCAA</w:t>
      </w:r>
      <w:proofErr w:type="spellEnd"/>
      <w:r w:rsidRPr="00EF30BB">
        <w:rPr>
          <w:rFonts w:cs="Times New Roman"/>
        </w:rPr>
        <w:t xml:space="preserve"> barring such a creditor from voting on a plan of arrangement</w:t>
      </w:r>
      <w:r w:rsidR="00BA1D27">
        <w:rPr>
          <w:rFonts w:cs="Times New Roman"/>
        </w:rPr>
        <w:t>, including a plan it sponsors.</w:t>
      </w:r>
    </w:p>
    <w:p w:rsidR="006B1829" w:rsidRPr="00EF30BB" w:rsidRDefault="006B1829" w:rsidP="00640031">
      <w:pPr>
        <w:pStyle w:val="ParaNoNdepar-AltN"/>
        <w:tabs>
          <w:tab w:val="clear" w:pos="1166"/>
          <w:tab w:val="num" w:pos="1152"/>
        </w:tabs>
        <w:spacing w:before="0"/>
        <w:rPr>
          <w:rFonts w:cs="Times New Roman"/>
        </w:rPr>
      </w:pPr>
      <w:r w:rsidRPr="00EF30BB">
        <w:rPr>
          <w:rFonts w:cs="Times New Roman"/>
        </w:rPr>
        <w:t xml:space="preserve">Notwithstanding the foregoing, the appellants submit that a purposive interpretation of s. 22(3) of the </w:t>
      </w:r>
      <w:proofErr w:type="spellStart"/>
      <w:r w:rsidRPr="00EF30BB">
        <w:rPr>
          <w:rFonts w:cs="Times New Roman"/>
          <w:i/>
        </w:rPr>
        <w:t>CCAA</w:t>
      </w:r>
      <w:proofErr w:type="spellEnd"/>
      <w:r w:rsidRPr="00EF30BB">
        <w:rPr>
          <w:rFonts w:cs="Times New Roman"/>
        </w:rPr>
        <w:t xml:space="preserve"> reveals that, as a general matter, a creditor should be precluded from voting on its own plan. </w:t>
      </w:r>
      <w:r w:rsidRPr="00EF30BB">
        <w:rPr>
          <w:rFonts w:cs="Times New Roman"/>
          <w:lang w:bidi="en-US"/>
        </w:rPr>
        <w:t>Section 22(3) provides:</w:t>
      </w:r>
    </w:p>
    <w:p w:rsidR="006B1829" w:rsidRPr="00EF30BB" w:rsidRDefault="006B1829" w:rsidP="006B1829">
      <w:pPr>
        <w:pStyle w:val="Citation-AltC"/>
        <w:keepNext/>
        <w:spacing w:after="120"/>
        <w:contextualSpacing w:val="0"/>
        <w:rPr>
          <w:b/>
        </w:rPr>
      </w:pPr>
      <w:r w:rsidRPr="00EF30BB">
        <w:rPr>
          <w:b/>
        </w:rPr>
        <w:lastRenderedPageBreak/>
        <w:t>Related creditors</w:t>
      </w:r>
    </w:p>
    <w:p w:rsidR="006B1829" w:rsidRPr="00EF30BB" w:rsidRDefault="006B1829" w:rsidP="006B1829">
      <w:pPr>
        <w:pStyle w:val="Citation-AltC"/>
        <w:keepNext/>
      </w:pPr>
      <w:r w:rsidRPr="00EF30BB">
        <w:rPr>
          <w:b/>
        </w:rPr>
        <w:t>(3)</w:t>
      </w:r>
      <w:r w:rsidRPr="00EF30BB">
        <w:t xml:space="preserve"> A creditor who is related to the company may vote against, but not for, a compromise or arrangement relating to the company.</w:t>
      </w:r>
    </w:p>
    <w:p w:rsidR="006B1829" w:rsidRPr="00EF30BB" w:rsidRDefault="006B1829" w:rsidP="006B1829">
      <w:pPr>
        <w:pStyle w:val="ParaNoNdepar-AltN"/>
        <w:numPr>
          <w:ilvl w:val="0"/>
          <w:numId w:val="0"/>
        </w:numPr>
        <w:rPr>
          <w:rFonts w:cs="Times New Roman"/>
        </w:rPr>
      </w:pPr>
      <w:r w:rsidRPr="00EF30BB">
        <w:rPr>
          <w:rFonts w:cs="Times New Roman"/>
        </w:rPr>
        <w:t xml:space="preserve">The appellants note that s. 22(3) was meant to harmonize the </w:t>
      </w:r>
      <w:proofErr w:type="spellStart"/>
      <w:r w:rsidRPr="00EF30BB">
        <w:rPr>
          <w:rFonts w:cs="Times New Roman"/>
          <w:i/>
        </w:rPr>
        <w:t>CCAA</w:t>
      </w:r>
      <w:proofErr w:type="spellEnd"/>
      <w:r w:rsidRPr="00EF30BB">
        <w:rPr>
          <w:rFonts w:cs="Times New Roman"/>
        </w:rPr>
        <w:t xml:space="preserve"> scheme with s. 54(3) of the </w:t>
      </w:r>
      <w:r w:rsidRPr="00EF30BB">
        <w:rPr>
          <w:rFonts w:cs="Times New Roman"/>
          <w:i/>
        </w:rPr>
        <w:t>BIA</w:t>
      </w:r>
      <w:r w:rsidRPr="00EF30BB">
        <w:rPr>
          <w:rFonts w:cs="Times New Roman"/>
        </w:rPr>
        <w:t xml:space="preserve">, which provides that “[a] creditor who is related to the debtor may vote against but not for the acceptance of the proposal.” The appellants point out that, under s. 50(1) of the </w:t>
      </w:r>
      <w:r w:rsidRPr="00EF30BB">
        <w:rPr>
          <w:rFonts w:cs="Times New Roman"/>
          <w:i/>
        </w:rPr>
        <w:t>BIA</w:t>
      </w:r>
      <w:r w:rsidRPr="00EF30BB">
        <w:rPr>
          <w:rFonts w:cs="Times New Roman"/>
        </w:rPr>
        <w:t xml:space="preserve">, only debtors can sponsor plans; as a result, the reference to “debtor” in s. 54(3) captures </w:t>
      </w:r>
      <w:r w:rsidRPr="00EF30BB">
        <w:rPr>
          <w:rFonts w:cs="Times New Roman"/>
          <w:i/>
        </w:rPr>
        <w:t xml:space="preserve">all </w:t>
      </w:r>
      <w:r w:rsidRPr="00EF30BB">
        <w:rPr>
          <w:rFonts w:cs="Times New Roman"/>
        </w:rPr>
        <w:t xml:space="preserve">plan sponsors. They submit that if s. 54(3) captures all plan sponsors, s. 22(3)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must do the same. On this basis, the appellants ask us to extend the voting restriction in s. 22(3) to apply not only to creditors who are “related to the company”, as the provision states, but to any creditor who sponsors a plan. They submit that this interpretation gives effect to the underlying intention of both provisions, which they say is to ensure that a creditor who has a conflict of interest cannot “dilute” or overtake the votes of other creditors.</w:t>
      </w:r>
    </w:p>
    <w:p w:rsidR="006B1829" w:rsidRPr="00EF30BB" w:rsidRDefault="006B1829" w:rsidP="006B1829">
      <w:pPr>
        <w:pStyle w:val="ParaNoNdepar-AltN"/>
        <w:rPr>
          <w:rFonts w:cs="Times New Roman"/>
          <w:lang w:bidi="en-US"/>
        </w:rPr>
      </w:pPr>
      <w:r w:rsidRPr="00EF30BB">
        <w:rPr>
          <w:rFonts w:cs="Times New Roman"/>
          <w:lang w:bidi="en-US"/>
        </w:rPr>
        <w:t xml:space="preserve">We would not accept this strained interpretation of s. 22(3). Section 22(3) makes </w:t>
      </w:r>
      <w:r w:rsidRPr="00EF30BB">
        <w:rPr>
          <w:rFonts w:cs="Times New Roman"/>
        </w:rPr>
        <w:t>no mention of conflicts of interest between creditors and plan sponsors generally</w:t>
      </w:r>
      <w:r w:rsidRPr="00EF30BB">
        <w:rPr>
          <w:rFonts w:cs="Times New Roman"/>
          <w:lang w:bidi="en-US"/>
        </w:rPr>
        <w:t xml:space="preserve">. The wording of s. 22(3) only places voting restrictions on creditors who are “related to the [debtor] company”. These words are “precise and unequivocal” and, as such, </w:t>
      </w:r>
      <w:r w:rsidRPr="00EF30BB">
        <w:rPr>
          <w:rFonts w:cs="Times New Roman"/>
        </w:rPr>
        <w:t>must “play a dominant role in the interpretive process” (</w:t>
      </w:r>
      <w:r w:rsidRPr="00EF30BB">
        <w:rPr>
          <w:rFonts w:cs="Times New Roman"/>
          <w:i/>
        </w:rPr>
        <w:t xml:space="preserve">Canada </w:t>
      </w:r>
      <w:proofErr w:type="spellStart"/>
      <w:r w:rsidRPr="00EF30BB">
        <w:rPr>
          <w:rFonts w:cs="Times New Roman"/>
          <w:i/>
        </w:rPr>
        <w:t>Trustco</w:t>
      </w:r>
      <w:proofErr w:type="spellEnd"/>
      <w:r w:rsidRPr="00EF30BB">
        <w:rPr>
          <w:rFonts w:cs="Times New Roman"/>
          <w:i/>
        </w:rPr>
        <w:t xml:space="preserve"> Mortgage Co. v. Canada</w:t>
      </w:r>
      <w:r w:rsidRPr="00EF30BB">
        <w:rPr>
          <w:rFonts w:cs="Times New Roman"/>
        </w:rPr>
        <w:t xml:space="preserve">, 2005 SCC 54, [2005] 2 </w:t>
      </w:r>
      <w:proofErr w:type="spellStart"/>
      <w:r w:rsidRPr="00EF30BB">
        <w:rPr>
          <w:rFonts w:cs="Times New Roman"/>
        </w:rPr>
        <w:t>S.C.R</w:t>
      </w:r>
      <w:proofErr w:type="spellEnd"/>
      <w:r w:rsidRPr="00EF30BB">
        <w:rPr>
          <w:rFonts w:cs="Times New Roman"/>
        </w:rPr>
        <w:t xml:space="preserve">. 601, at para. 10). </w:t>
      </w:r>
      <w:r w:rsidRPr="00EF30BB">
        <w:rPr>
          <w:rFonts w:cs="Times New Roman"/>
          <w:lang w:bidi="en-US"/>
        </w:rPr>
        <w:t xml:space="preserve">In our view, the appellants’ analogy to the </w:t>
      </w:r>
      <w:r w:rsidRPr="00EF30BB">
        <w:rPr>
          <w:rFonts w:cs="Times New Roman"/>
          <w:i/>
          <w:lang w:bidi="en-US"/>
        </w:rPr>
        <w:t>BIA</w:t>
      </w:r>
      <w:r w:rsidRPr="00EF30BB">
        <w:rPr>
          <w:rFonts w:cs="Times New Roman"/>
          <w:lang w:bidi="en-US"/>
        </w:rPr>
        <w:t xml:space="preserve"> is not sufficient to overcome the p</w:t>
      </w:r>
      <w:r w:rsidR="00BA1D27">
        <w:rPr>
          <w:rFonts w:cs="Times New Roman"/>
          <w:lang w:bidi="en-US"/>
        </w:rPr>
        <w:t>lain wording of this provision.</w:t>
      </w:r>
    </w:p>
    <w:p w:rsidR="006B1829" w:rsidRPr="00EF30BB" w:rsidRDefault="006B1829" w:rsidP="006B1829">
      <w:pPr>
        <w:pStyle w:val="ParaNoNdepar-AltN"/>
        <w:rPr>
          <w:rFonts w:cs="Times New Roman"/>
          <w:lang w:bidi="en-US"/>
        </w:rPr>
      </w:pPr>
      <w:r w:rsidRPr="00EF30BB">
        <w:rPr>
          <w:rFonts w:cs="Times New Roman"/>
        </w:rPr>
        <w:lastRenderedPageBreak/>
        <w:t xml:space="preserve">While the appellants are correct that s. 22(3) was enacted to harmonize the treatment of related parties in the </w:t>
      </w:r>
      <w:proofErr w:type="spellStart"/>
      <w:r w:rsidRPr="00EF30BB">
        <w:rPr>
          <w:rFonts w:cs="Times New Roman"/>
          <w:i/>
        </w:rPr>
        <w:t>CCAA</w:t>
      </w:r>
      <w:proofErr w:type="spellEnd"/>
      <w:r w:rsidRPr="00EF30BB">
        <w:rPr>
          <w:rFonts w:cs="Times New Roman"/>
        </w:rPr>
        <w:t xml:space="preserve"> and </w:t>
      </w:r>
      <w:r w:rsidRPr="00EF30BB">
        <w:rPr>
          <w:rFonts w:cs="Times New Roman"/>
          <w:i/>
        </w:rPr>
        <w:t>BIA</w:t>
      </w:r>
      <w:r w:rsidRPr="00EF30BB">
        <w:rPr>
          <w:rFonts w:cs="Times New Roman"/>
        </w:rPr>
        <w:t xml:space="preserve">, its history demonstrates that it is not a general conflict of interest provision. Prior to the amendments incorporating s. 22(3) into the </w:t>
      </w:r>
      <w:proofErr w:type="spellStart"/>
      <w:r w:rsidRPr="00EF30BB">
        <w:rPr>
          <w:rFonts w:cs="Times New Roman"/>
          <w:i/>
        </w:rPr>
        <w:t>CCAA</w:t>
      </w:r>
      <w:proofErr w:type="spellEnd"/>
      <w:r w:rsidRPr="00EF30BB">
        <w:rPr>
          <w:rFonts w:cs="Times New Roman"/>
        </w:rPr>
        <w:t xml:space="preserve">, the </w:t>
      </w:r>
      <w:proofErr w:type="spellStart"/>
      <w:r w:rsidRPr="00EF30BB">
        <w:rPr>
          <w:rFonts w:cs="Times New Roman"/>
          <w:i/>
        </w:rPr>
        <w:t>CCAA</w:t>
      </w:r>
      <w:proofErr w:type="spellEnd"/>
      <w:r w:rsidRPr="00EF30BB">
        <w:rPr>
          <w:rFonts w:cs="Times New Roman"/>
        </w:rPr>
        <w:t xml:space="preserve"> clearly allowed creditors to put forward a plan of arrangement (see </w:t>
      </w:r>
      <w:proofErr w:type="spellStart"/>
      <w:r w:rsidRPr="00EF30BB">
        <w:rPr>
          <w:rFonts w:cs="Times New Roman"/>
        </w:rPr>
        <w:t>H</w:t>
      </w:r>
      <w:r w:rsidR="00BC33B6">
        <w:rPr>
          <w:rFonts w:cs="Times New Roman"/>
        </w:rPr>
        <w:t>oulden</w:t>
      </w:r>
      <w:proofErr w:type="spellEnd"/>
      <w:r w:rsidR="00BC33B6">
        <w:rPr>
          <w:rFonts w:cs="Times New Roman"/>
        </w:rPr>
        <w:t xml:space="preserve">, </w:t>
      </w:r>
      <w:proofErr w:type="spellStart"/>
      <w:r w:rsidR="00BC33B6">
        <w:rPr>
          <w:rFonts w:cs="Times New Roman"/>
        </w:rPr>
        <w:t>Morawetz</w:t>
      </w:r>
      <w:proofErr w:type="spellEnd"/>
      <w:r w:rsidR="00BC33B6">
        <w:rPr>
          <w:rFonts w:cs="Times New Roman"/>
        </w:rPr>
        <w:t xml:space="preserve"> and </w:t>
      </w:r>
      <w:proofErr w:type="spellStart"/>
      <w:r w:rsidR="00BC33B6">
        <w:rPr>
          <w:rFonts w:cs="Times New Roman"/>
        </w:rPr>
        <w:t>Sarra</w:t>
      </w:r>
      <w:proofErr w:type="spellEnd"/>
      <w:r w:rsidR="00BC33B6">
        <w:rPr>
          <w:rFonts w:cs="Times New Roman"/>
        </w:rPr>
        <w:t xml:space="preserve">, at </w:t>
      </w:r>
      <w:r w:rsidRPr="00EF30BB">
        <w:rPr>
          <w:rFonts w:cs="Times New Roman"/>
          <w:bCs/>
          <w:lang w:val="en-US"/>
        </w:rPr>
        <w:t xml:space="preserve">§33, </w:t>
      </w:r>
      <w:r w:rsidRPr="00EF30BB">
        <w:rPr>
          <w:rFonts w:cs="Times New Roman"/>
          <w:i/>
        </w:rPr>
        <w:t>Red Cross</w:t>
      </w:r>
      <w:r w:rsidRPr="00EF30BB">
        <w:rPr>
          <w:rFonts w:cs="Times New Roman"/>
        </w:rPr>
        <w:t xml:space="preserve">; </w:t>
      </w:r>
      <w:r w:rsidRPr="00EF30BB">
        <w:rPr>
          <w:rFonts w:cs="Times New Roman"/>
          <w:i/>
        </w:rPr>
        <w:t>Re 1078385 Ontario Inc.</w:t>
      </w:r>
      <w:r w:rsidRPr="00EF30BB">
        <w:rPr>
          <w:rFonts w:cs="Times New Roman"/>
        </w:rPr>
        <w:t xml:space="preserve"> (2004), 206 </w:t>
      </w:r>
      <w:proofErr w:type="spellStart"/>
      <w:r w:rsidRPr="00EF30BB">
        <w:rPr>
          <w:rFonts w:cs="Times New Roman"/>
        </w:rPr>
        <w:t>O.A.C</w:t>
      </w:r>
      <w:proofErr w:type="spellEnd"/>
      <w:r w:rsidRPr="00EF30BB">
        <w:rPr>
          <w:rFonts w:cs="Times New Roman"/>
        </w:rPr>
        <w:t xml:space="preserve">. 17). In contrast, under the </w:t>
      </w:r>
      <w:r w:rsidRPr="00EF30BB">
        <w:rPr>
          <w:rFonts w:cs="Times New Roman"/>
          <w:i/>
        </w:rPr>
        <w:t>BIA</w:t>
      </w:r>
      <w:r w:rsidRPr="00EF30BB">
        <w:rPr>
          <w:rFonts w:cs="Times New Roman"/>
        </w:rPr>
        <w:t xml:space="preserve">, only debtors could make proposals. Parliament is presumed to have been aware of this obvious difference between the two statutes (see </w:t>
      </w:r>
      <w:r w:rsidRPr="00EF30BB">
        <w:rPr>
          <w:rFonts w:cs="Times New Roman"/>
          <w:i/>
        </w:rPr>
        <w:t>ATCO Gas and Pipelines Ltd. v. Alberta (Energy and Utilities Board)</w:t>
      </w:r>
      <w:r w:rsidRPr="00EF30BB">
        <w:rPr>
          <w:rFonts w:cs="Times New Roman"/>
        </w:rPr>
        <w:t xml:space="preserve">, 2006 SCC 4, [2006] 1 </w:t>
      </w:r>
      <w:proofErr w:type="spellStart"/>
      <w:r w:rsidRPr="00EF30BB">
        <w:rPr>
          <w:rFonts w:cs="Times New Roman"/>
        </w:rPr>
        <w:t>S.C.R</w:t>
      </w:r>
      <w:proofErr w:type="spellEnd"/>
      <w:r w:rsidRPr="00EF30BB">
        <w:rPr>
          <w:rFonts w:cs="Times New Roman"/>
        </w:rPr>
        <w:t xml:space="preserve">. 140, at para. 59; see also </w:t>
      </w:r>
      <w:r w:rsidRPr="00EF30BB">
        <w:rPr>
          <w:rFonts w:cs="Times New Roman"/>
          <w:i/>
        </w:rPr>
        <w:t>Third Eye</w:t>
      </w:r>
      <w:r w:rsidRPr="00EF30BB">
        <w:rPr>
          <w:rFonts w:cs="Times New Roman"/>
        </w:rPr>
        <w:t xml:space="preserve">, at para. 57). Despite this difference, Parliament imported, with necessary modification, the wording of the </w:t>
      </w:r>
      <w:r w:rsidRPr="00EF30BB">
        <w:rPr>
          <w:rFonts w:cs="Times New Roman"/>
          <w:i/>
        </w:rPr>
        <w:t xml:space="preserve">BIA </w:t>
      </w:r>
      <w:r w:rsidRPr="00EF30BB">
        <w:rPr>
          <w:rFonts w:cs="Times New Roman"/>
        </w:rPr>
        <w:t xml:space="preserve">related creditor provision into the </w:t>
      </w:r>
      <w:proofErr w:type="spellStart"/>
      <w:r w:rsidRPr="00EF30BB">
        <w:rPr>
          <w:rFonts w:cs="Times New Roman"/>
          <w:i/>
        </w:rPr>
        <w:t>CCAA</w:t>
      </w:r>
      <w:proofErr w:type="spellEnd"/>
      <w:r w:rsidRPr="00EF30BB">
        <w:rPr>
          <w:rFonts w:cs="Times New Roman"/>
        </w:rPr>
        <w:t xml:space="preserve">. Going beyond this language entails accepting that Parliament failed to choose the right words to give effect to </w:t>
      </w:r>
      <w:r w:rsidR="00BA1D27">
        <w:rPr>
          <w:rFonts w:cs="Times New Roman"/>
        </w:rPr>
        <w:t>its intention, which we do not.</w:t>
      </w:r>
    </w:p>
    <w:p w:rsidR="006B1829" w:rsidRPr="00EF30BB" w:rsidRDefault="006B1829" w:rsidP="006B1829">
      <w:pPr>
        <w:pStyle w:val="ParaNoNdepar-AltN"/>
        <w:rPr>
          <w:rFonts w:cs="Times New Roman"/>
          <w:lang w:bidi="en-US"/>
        </w:rPr>
      </w:pPr>
      <w:r w:rsidRPr="00EF30BB">
        <w:rPr>
          <w:rFonts w:cs="Times New Roman"/>
        </w:rPr>
        <w:t xml:space="preserve">Indeed, Parliament did not mindlessly reproduce s. 54(3) of the </w:t>
      </w:r>
      <w:r w:rsidRPr="00EF30BB">
        <w:rPr>
          <w:rFonts w:cs="Times New Roman"/>
          <w:i/>
        </w:rPr>
        <w:t>BIA</w:t>
      </w:r>
      <w:r w:rsidRPr="00EF30BB">
        <w:rPr>
          <w:rFonts w:cs="Times New Roman"/>
        </w:rPr>
        <w:t xml:space="preserve"> in s. 22(3) of the </w:t>
      </w:r>
      <w:proofErr w:type="spellStart"/>
      <w:r w:rsidRPr="00EF30BB">
        <w:rPr>
          <w:rFonts w:cs="Times New Roman"/>
          <w:i/>
        </w:rPr>
        <w:t>CCAA</w:t>
      </w:r>
      <w:proofErr w:type="spellEnd"/>
      <w:r w:rsidRPr="00EF30BB">
        <w:rPr>
          <w:rFonts w:cs="Times New Roman"/>
        </w:rPr>
        <w:t xml:space="preserve">. Rather, it made two modifications to </w:t>
      </w:r>
      <w:r w:rsidRPr="00EF30BB">
        <w:rPr>
          <w:rFonts w:cs="Times New Roman"/>
          <w:lang w:bidi="en-US"/>
        </w:rPr>
        <w:t xml:space="preserve">the language of s. 54(3) to bring it into conformity with the language of the </w:t>
      </w:r>
      <w:proofErr w:type="spellStart"/>
      <w:r w:rsidRPr="00EF30BB">
        <w:rPr>
          <w:rFonts w:cs="Times New Roman"/>
          <w:i/>
          <w:lang w:bidi="en-US"/>
        </w:rPr>
        <w:t>CCAA</w:t>
      </w:r>
      <w:proofErr w:type="spellEnd"/>
      <w:r w:rsidRPr="00EF30BB">
        <w:rPr>
          <w:rFonts w:cs="Times New Roman"/>
          <w:lang w:bidi="en-US"/>
        </w:rPr>
        <w:t xml:space="preserve">. First, it changed “proposal” (a defined term in the </w:t>
      </w:r>
      <w:r w:rsidRPr="00EF30BB">
        <w:rPr>
          <w:rFonts w:cs="Times New Roman"/>
          <w:i/>
          <w:lang w:bidi="en-US"/>
        </w:rPr>
        <w:t>BIA</w:t>
      </w:r>
      <w:r w:rsidRPr="00EF30BB">
        <w:rPr>
          <w:rFonts w:cs="Times New Roman"/>
          <w:lang w:bidi="en-US"/>
        </w:rPr>
        <w:t xml:space="preserve">) to “compromise or arrangement” (a term used throughout the </w:t>
      </w:r>
      <w:proofErr w:type="spellStart"/>
      <w:r w:rsidRPr="00EF30BB">
        <w:rPr>
          <w:rFonts w:cs="Times New Roman"/>
          <w:i/>
          <w:lang w:bidi="en-US"/>
        </w:rPr>
        <w:t>CCAA</w:t>
      </w:r>
      <w:proofErr w:type="spellEnd"/>
      <w:r w:rsidRPr="00EF30BB">
        <w:rPr>
          <w:rFonts w:cs="Times New Roman"/>
          <w:lang w:bidi="en-US"/>
        </w:rPr>
        <w:t xml:space="preserve">). Second, it changed “debtor” to “company”, recognizing that companies are the only kind of debtor that exists in the </w:t>
      </w:r>
      <w:proofErr w:type="spellStart"/>
      <w:r w:rsidRPr="00EF30BB">
        <w:rPr>
          <w:rFonts w:cs="Times New Roman"/>
          <w:i/>
          <w:lang w:bidi="en-US"/>
        </w:rPr>
        <w:t>CCAA</w:t>
      </w:r>
      <w:proofErr w:type="spellEnd"/>
      <w:r w:rsidRPr="00EF30BB">
        <w:rPr>
          <w:rFonts w:cs="Times New Roman"/>
          <w:i/>
          <w:lang w:bidi="en-US"/>
        </w:rPr>
        <w:t xml:space="preserve"> </w:t>
      </w:r>
      <w:r w:rsidR="00BA1D27">
        <w:rPr>
          <w:rFonts w:cs="Times New Roman"/>
          <w:lang w:bidi="en-US"/>
        </w:rPr>
        <w:t>context.</w:t>
      </w:r>
    </w:p>
    <w:p w:rsidR="006B1829" w:rsidRPr="00EF30BB" w:rsidRDefault="006B1829" w:rsidP="006B1829">
      <w:pPr>
        <w:pStyle w:val="ParaNoNdepar-AltN"/>
        <w:rPr>
          <w:rFonts w:cs="Times New Roman"/>
          <w:lang w:bidi="en-US"/>
        </w:rPr>
      </w:pPr>
      <w:r w:rsidRPr="00EF30BB">
        <w:rPr>
          <w:rFonts w:cs="Times New Roman"/>
          <w:lang w:bidi="en-US"/>
        </w:rPr>
        <w:t xml:space="preserve">Our view is further supported by </w:t>
      </w:r>
      <w:r w:rsidRPr="00EF30BB">
        <w:rPr>
          <w:rFonts w:cs="Times New Roman"/>
        </w:rPr>
        <w:t xml:space="preserve">Industry Canada’s explanation of the rationale for s. 22(3) as being to “reduce the ability of </w:t>
      </w:r>
      <w:r w:rsidRPr="00EF30BB">
        <w:rPr>
          <w:rFonts w:cs="Times New Roman"/>
          <w:u w:val="single"/>
        </w:rPr>
        <w:t>debtor companies</w:t>
      </w:r>
      <w:r w:rsidRPr="00EF30BB">
        <w:rPr>
          <w:rFonts w:cs="Times New Roman"/>
        </w:rPr>
        <w:t xml:space="preserve"> to organize a </w:t>
      </w:r>
      <w:r w:rsidRPr="00EF30BB">
        <w:rPr>
          <w:rFonts w:cs="Times New Roman"/>
        </w:rPr>
        <w:lastRenderedPageBreak/>
        <w:t xml:space="preserve">restructuring plan that confers additional benefits to </w:t>
      </w:r>
      <w:r w:rsidRPr="00EF30BB">
        <w:rPr>
          <w:rFonts w:cs="Times New Roman"/>
          <w:u w:val="single"/>
        </w:rPr>
        <w:t>related parties</w:t>
      </w:r>
      <w:r w:rsidRPr="00EF30BB">
        <w:rPr>
          <w:rFonts w:cs="Times New Roman"/>
        </w:rPr>
        <w:t>” (</w:t>
      </w:r>
      <w:r>
        <w:rPr>
          <w:rFonts w:cs="Times New Roman"/>
        </w:rPr>
        <w:t>Office of the Superintende</w:t>
      </w:r>
      <w:r w:rsidRPr="00EF30BB">
        <w:rPr>
          <w:rFonts w:cs="Times New Roman"/>
        </w:rPr>
        <w:t xml:space="preserve">nt of Bankruptcy Canada, </w:t>
      </w:r>
      <w:r w:rsidRPr="00EF30BB">
        <w:rPr>
          <w:rFonts w:cs="Times New Roman"/>
          <w:i/>
        </w:rPr>
        <w:t>Bill C-12: Clause by Clause Analysis</w:t>
      </w:r>
      <w:r w:rsidR="00BA1D27">
        <w:rPr>
          <w:rFonts w:cs="Times New Roman"/>
        </w:rPr>
        <w:t xml:space="preserve"> </w:t>
      </w:r>
      <w:r w:rsidRPr="00EF30BB">
        <w:rPr>
          <w:rFonts w:cs="Times New Roman"/>
        </w:rPr>
        <w:t xml:space="preserve">(online), cl. 71, s. 22 (emphasis added); see also Standing Senate Committee on Banking, </w:t>
      </w:r>
      <w:r w:rsidR="00BA1D27">
        <w:rPr>
          <w:rFonts w:cs="Times New Roman"/>
        </w:rPr>
        <w:t>Trade and Commerce, at p. 151).</w:t>
      </w:r>
    </w:p>
    <w:p w:rsidR="006B1829" w:rsidRPr="00EF30BB" w:rsidRDefault="006B1829" w:rsidP="006B1829">
      <w:pPr>
        <w:pStyle w:val="ParaNoNdepar-AltN"/>
        <w:tabs>
          <w:tab w:val="clear" w:pos="1166"/>
          <w:tab w:val="num" w:pos="1152"/>
        </w:tabs>
        <w:rPr>
          <w:rFonts w:cs="Times New Roman"/>
          <w:lang w:bidi="en-US"/>
        </w:rPr>
      </w:pPr>
      <w:r w:rsidRPr="00EF30BB">
        <w:rPr>
          <w:rFonts w:cs="Times New Roman"/>
        </w:rPr>
        <w:t xml:space="preserve">Finally, we note that the </w:t>
      </w:r>
      <w:proofErr w:type="spellStart"/>
      <w:r w:rsidRPr="00EF30BB">
        <w:rPr>
          <w:rFonts w:cs="Times New Roman"/>
          <w:i/>
        </w:rPr>
        <w:t>CCAA</w:t>
      </w:r>
      <w:proofErr w:type="spellEnd"/>
      <w:r w:rsidRPr="00EF30BB">
        <w:rPr>
          <w:rFonts w:cs="Times New Roman"/>
          <w:i/>
        </w:rPr>
        <w:t xml:space="preserve"> </w:t>
      </w:r>
      <w:r w:rsidRPr="00EF30BB">
        <w:rPr>
          <w:rFonts w:cs="Times New Roman"/>
        </w:rPr>
        <w:t>contains other mechanisms that attenuate the concern that a creditor with conflicting legal interests with respect to a plan it proposes may distort the creditors’ vote. A</w:t>
      </w:r>
      <w:r>
        <w:rPr>
          <w:rFonts w:cs="Times New Roman"/>
        </w:rPr>
        <w:t>lthough we reject the appellant</w:t>
      </w:r>
      <w:r w:rsidRPr="00EF30BB">
        <w:rPr>
          <w:rFonts w:cs="Times New Roman"/>
        </w:rPr>
        <w:t>s</w:t>
      </w:r>
      <w:r>
        <w:rPr>
          <w:rFonts w:cs="Times New Roman"/>
        </w:rPr>
        <w:t>’</w:t>
      </w:r>
      <w:r w:rsidRPr="00EF30BB">
        <w:rPr>
          <w:rFonts w:cs="Times New Roman"/>
        </w:rPr>
        <w:t xml:space="preserve"> interpretation of s. 22(3), that section still bars creditors who are related to the debtor company from voting in favour of </w:t>
      </w:r>
      <w:r w:rsidRPr="00EF30BB">
        <w:rPr>
          <w:rFonts w:cs="Times New Roman"/>
          <w:i/>
        </w:rPr>
        <w:t>any</w:t>
      </w:r>
      <w:r w:rsidRPr="00EF30BB">
        <w:rPr>
          <w:rFonts w:cs="Times New Roman"/>
        </w:rPr>
        <w:t xml:space="preserve"> plan. Additionally, creditors who do not share a sufficient commonality of interest may be forced to vote in separate classes (s. 22(1) and (2)), and, as we will explain, a supervising judge may bar a creditor from voting where the creditor is acting for an </w:t>
      </w:r>
      <w:r w:rsidR="00BA1D27">
        <w:rPr>
          <w:rFonts w:cs="Times New Roman"/>
        </w:rPr>
        <w:t>improper purpose.</w:t>
      </w:r>
    </w:p>
    <w:p w:rsidR="006B1829" w:rsidRPr="00EF30BB" w:rsidRDefault="006B1829" w:rsidP="006B1829">
      <w:pPr>
        <w:pStyle w:val="Title3LevelTitre3Niveau"/>
        <w:keepNext/>
        <w:tabs>
          <w:tab w:val="clear" w:pos="1566"/>
        </w:tabs>
        <w:ind w:left="1170"/>
        <w:rPr>
          <w:rFonts w:cs="Times New Roman"/>
        </w:rPr>
      </w:pPr>
      <w:bookmarkStart w:id="38" w:name="_Toc33564175"/>
      <w:bookmarkStart w:id="39" w:name="_Toc33653916"/>
      <w:r w:rsidRPr="00EF30BB">
        <w:rPr>
          <w:rFonts w:cs="Times New Roman"/>
        </w:rPr>
        <w:t>Discretion to Bar</w:t>
      </w:r>
      <w:r>
        <w:rPr>
          <w:rFonts w:cs="Times New Roman"/>
        </w:rPr>
        <w:t xml:space="preserve"> a Creditor F</w:t>
      </w:r>
      <w:r w:rsidRPr="00EF30BB">
        <w:rPr>
          <w:rFonts w:cs="Times New Roman"/>
        </w:rPr>
        <w:t>rom Voting in Furtherance of an Improper Purpose</w:t>
      </w:r>
      <w:bookmarkEnd w:id="38"/>
      <w:bookmarkEnd w:id="39"/>
    </w:p>
    <w:p w:rsidR="006B1829" w:rsidRPr="00EF30BB" w:rsidRDefault="006B1829" w:rsidP="006B1829">
      <w:pPr>
        <w:pStyle w:val="ParaNoNdepar-AltN"/>
        <w:keepNext/>
        <w:tabs>
          <w:tab w:val="clear" w:pos="1166"/>
          <w:tab w:val="num" w:pos="1152"/>
        </w:tabs>
        <w:rPr>
          <w:rFonts w:cs="Times New Roman"/>
        </w:rPr>
      </w:pPr>
      <w:r w:rsidRPr="00EF30BB">
        <w:rPr>
          <w:rFonts w:cs="Times New Roman"/>
        </w:rPr>
        <w:t xml:space="preserve">There is no dispute that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is silent on when a creditor who is otherwise entitled to vote on a plan can be barred from voting. However, </w:t>
      </w:r>
      <w:proofErr w:type="spellStart"/>
      <w:r w:rsidRPr="00EF30BB">
        <w:rPr>
          <w:rFonts w:cs="Times New Roman"/>
          <w:i/>
        </w:rPr>
        <w:t>CCAA</w:t>
      </w:r>
      <w:proofErr w:type="spellEnd"/>
      <w:r w:rsidRPr="00EF30BB">
        <w:rPr>
          <w:rFonts w:cs="Times New Roman"/>
        </w:rPr>
        <w:t xml:space="preserve"> supervising judges are often called upon “to sanction measures for which there is no explicit authority in the </w:t>
      </w:r>
      <w:proofErr w:type="spellStart"/>
      <w:r w:rsidRPr="00EF30BB">
        <w:rPr>
          <w:rFonts w:cs="Times New Roman"/>
          <w:i/>
        </w:rPr>
        <w:t>CCAA</w:t>
      </w:r>
      <w:proofErr w:type="spellEnd"/>
      <w:r w:rsidRPr="00EF30BB">
        <w:rPr>
          <w:rFonts w:cs="Times New Roman"/>
        </w:rPr>
        <w:t>” (</w:t>
      </w:r>
      <w:r w:rsidRPr="00EF30BB">
        <w:rPr>
          <w:rFonts w:cs="Times New Roman"/>
          <w:i/>
        </w:rPr>
        <w:t>Century Services</w:t>
      </w:r>
      <w:r w:rsidRPr="00EF30BB">
        <w:rPr>
          <w:rFonts w:cs="Times New Roman"/>
        </w:rPr>
        <w:t xml:space="preserve">, at para. 61; see also para. 62). In </w:t>
      </w:r>
      <w:r w:rsidRPr="00EF30BB">
        <w:rPr>
          <w:rFonts w:cs="Times New Roman"/>
          <w:i/>
        </w:rPr>
        <w:t>Century Services</w:t>
      </w:r>
      <w:r w:rsidRPr="00EF30BB">
        <w:rPr>
          <w:rFonts w:cs="Times New Roman"/>
        </w:rPr>
        <w:t>, this Court endorsed a “hierarchical</w:t>
      </w:r>
      <w:r w:rsidRPr="00EF30BB">
        <w:rPr>
          <w:rFonts w:cs="Times New Roman"/>
          <w:lang w:val="en-US"/>
        </w:rPr>
        <w:t>”</w:t>
      </w:r>
      <w:r w:rsidRPr="00EF30BB">
        <w:rPr>
          <w:rFonts w:cs="Times New Roman"/>
        </w:rPr>
        <w:t xml:space="preserve"> approach to determining whether jurisdiction exists to sanction a proposed measure: “</w:t>
      </w:r>
      <w:r w:rsidR="00BC33B6">
        <w:rPr>
          <w:rFonts w:cs="Times New Roman"/>
        </w:rPr>
        <w:t xml:space="preserve">... </w:t>
      </w:r>
      <w:r w:rsidRPr="00EF30BB">
        <w:rPr>
          <w:rFonts w:cs="Times New Roman"/>
        </w:rPr>
        <w:t xml:space="preserve">courts [must] rely first on an interpretation of the provisions of the </w:t>
      </w:r>
      <w:proofErr w:type="spellStart"/>
      <w:r w:rsidRPr="00EF30BB">
        <w:rPr>
          <w:rFonts w:cs="Times New Roman"/>
          <w:i/>
        </w:rPr>
        <w:t>CCAA</w:t>
      </w:r>
      <w:proofErr w:type="spellEnd"/>
      <w:r w:rsidRPr="00EF30BB">
        <w:rPr>
          <w:rFonts w:cs="Times New Roman"/>
        </w:rPr>
        <w:t xml:space="preserve"> text before</w:t>
      </w:r>
      <w:r w:rsidRPr="00EF30BB">
        <w:rPr>
          <w:rFonts w:cs="Times New Roman"/>
          <w:i/>
        </w:rPr>
        <w:t xml:space="preserve"> </w:t>
      </w:r>
      <w:r w:rsidRPr="00EF30BB">
        <w:rPr>
          <w:rFonts w:cs="Times New Roman"/>
        </w:rPr>
        <w:t xml:space="preserve">turning to inherent or </w:t>
      </w:r>
      <w:r w:rsidRPr="00EF30BB">
        <w:rPr>
          <w:rFonts w:cs="Times New Roman"/>
        </w:rPr>
        <w:lastRenderedPageBreak/>
        <w:t xml:space="preserve">equitable jurisdiction to anchor measures taken in a </w:t>
      </w:r>
      <w:proofErr w:type="spellStart"/>
      <w:r w:rsidRPr="00EF30BB">
        <w:rPr>
          <w:rFonts w:cs="Times New Roman"/>
          <w:i/>
        </w:rPr>
        <w:t>CCAA</w:t>
      </w:r>
      <w:proofErr w:type="spellEnd"/>
      <w:r w:rsidRPr="00EF30BB">
        <w:rPr>
          <w:rFonts w:cs="Times New Roman"/>
        </w:rPr>
        <w:t xml:space="preserve"> proceeding” (para. 65). In most circumstances, a purposive and liberal interpretation of the provisions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will be sufficient “to ground measures necessary to achieve its objectives” (para. 65).</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Applying this approach, we conclude that jurisdiction exists under s. 11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to bar a creditor from voting on a plan of arrangement or compromise where the creditor is a</w:t>
      </w:r>
      <w:r w:rsidR="00BA1D27">
        <w:rPr>
          <w:rFonts w:cs="Times New Roman"/>
        </w:rPr>
        <w:t>cting for an improper purpose.</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Courts have long recognized that s. 11 of the </w:t>
      </w:r>
      <w:proofErr w:type="spellStart"/>
      <w:r w:rsidRPr="00EF30BB">
        <w:rPr>
          <w:rFonts w:cs="Times New Roman"/>
          <w:i/>
        </w:rPr>
        <w:t>CCAA</w:t>
      </w:r>
      <w:proofErr w:type="spellEnd"/>
      <w:r w:rsidRPr="00EF30BB">
        <w:rPr>
          <w:rFonts w:cs="Times New Roman"/>
        </w:rPr>
        <w:t xml:space="preserve"> signals legislative endorsement of the “broad reading of </w:t>
      </w:r>
      <w:proofErr w:type="spellStart"/>
      <w:r w:rsidRPr="00EF30BB">
        <w:rPr>
          <w:rFonts w:cs="Times New Roman"/>
          <w:i/>
        </w:rPr>
        <w:t>CCAA</w:t>
      </w:r>
      <w:proofErr w:type="spellEnd"/>
      <w:r w:rsidRPr="00EF30BB">
        <w:rPr>
          <w:rFonts w:cs="Times New Roman"/>
        </w:rPr>
        <w:t xml:space="preserve"> authority developed by the jurisprudence” (</w:t>
      </w:r>
      <w:r w:rsidRPr="00EF30BB">
        <w:rPr>
          <w:rFonts w:cs="Times New Roman"/>
          <w:i/>
        </w:rPr>
        <w:t>Century Services</w:t>
      </w:r>
      <w:r w:rsidRPr="00EF30BB">
        <w:rPr>
          <w:rFonts w:cs="Times New Roman"/>
        </w:rPr>
        <w:t>, at</w:t>
      </w:r>
      <w:r w:rsidRPr="00EF30BB">
        <w:rPr>
          <w:rFonts w:cs="Times New Roman"/>
          <w:i/>
        </w:rPr>
        <w:t xml:space="preserve"> </w:t>
      </w:r>
      <w:r w:rsidR="00BA1D27">
        <w:rPr>
          <w:rFonts w:cs="Times New Roman"/>
        </w:rPr>
        <w:t>para. 68). Section 11 states:</w:t>
      </w:r>
    </w:p>
    <w:p w:rsidR="006B1829" w:rsidRPr="00EF30BB" w:rsidRDefault="006B1829" w:rsidP="006B1829">
      <w:pPr>
        <w:pStyle w:val="Citation-AltC"/>
        <w:spacing w:after="120"/>
        <w:contextualSpacing w:val="0"/>
        <w:rPr>
          <w:b/>
          <w:bCs/>
        </w:rPr>
      </w:pPr>
      <w:r w:rsidRPr="00EF30BB">
        <w:rPr>
          <w:b/>
          <w:bCs/>
        </w:rPr>
        <w:t>General power of court</w:t>
      </w:r>
    </w:p>
    <w:p w:rsidR="006B1829" w:rsidRPr="00EF30BB" w:rsidRDefault="006B1829" w:rsidP="00AA76F0">
      <w:pPr>
        <w:pStyle w:val="Citation-AltC"/>
        <w:contextualSpacing w:val="0"/>
      </w:pPr>
      <w:r w:rsidRPr="00EF30BB">
        <w:rPr>
          <w:b/>
          <w:bCs/>
        </w:rPr>
        <w:t>11</w:t>
      </w:r>
      <w:r w:rsidRPr="00EF30BB">
        <w:t> Despite anything in the </w:t>
      </w:r>
      <w:r w:rsidRPr="00EF30BB">
        <w:rPr>
          <w:i/>
          <w:iCs/>
        </w:rPr>
        <w:t>Bankruptcy and Insolvency Act</w:t>
      </w:r>
      <w:r w:rsidRPr="00EF30BB">
        <w:t> or the </w:t>
      </w:r>
      <w:r w:rsidRPr="00EF30BB">
        <w:rPr>
          <w:i/>
          <w:iCs/>
        </w:rPr>
        <w:t>Winding-up and Restructuring Act</w:t>
      </w:r>
      <w:r w:rsidRPr="00EF30BB">
        <w:t xml:space="preserve">, if an application is made under this Act in respect of a debtor company, </w:t>
      </w:r>
      <w:r w:rsidRPr="00EF30BB">
        <w:rPr>
          <w:u w:val="single"/>
        </w:rPr>
        <w:t>the court, on the application of any person interested in the matter, may, subject to the restrictions set out in this Act</w:t>
      </w:r>
      <w:r w:rsidRPr="00EF30BB">
        <w:t xml:space="preserve">, on notice to any other person or without notice as it may see fit, </w:t>
      </w:r>
      <w:r w:rsidRPr="00EF30BB">
        <w:rPr>
          <w:u w:val="single"/>
        </w:rPr>
        <w:t>make any order that it considers appropriate in the circumstances</w:t>
      </w:r>
      <w:r w:rsidR="00BA1D27" w:rsidRPr="00BC33B6">
        <w:t>.</w:t>
      </w:r>
    </w:p>
    <w:p w:rsidR="006B1829" w:rsidRPr="00EF30BB" w:rsidRDefault="006B1829" w:rsidP="006B1829">
      <w:pPr>
        <w:pStyle w:val="ParaNoNdepar-AltN"/>
        <w:numPr>
          <w:ilvl w:val="0"/>
          <w:numId w:val="0"/>
        </w:numPr>
        <w:rPr>
          <w:rFonts w:cs="Times New Roman"/>
        </w:rPr>
      </w:pPr>
      <w:r w:rsidRPr="00EF30BB">
        <w:rPr>
          <w:rFonts w:cs="Times New Roman"/>
        </w:rPr>
        <w:t xml:space="preserve">On the plain wording of the provision, the jurisdiction granted by s. 11 is constrained only by restrictions set out in the </w:t>
      </w:r>
      <w:proofErr w:type="spellStart"/>
      <w:r w:rsidRPr="00EF30BB">
        <w:rPr>
          <w:rFonts w:cs="Times New Roman"/>
          <w:i/>
        </w:rPr>
        <w:t>CCAA</w:t>
      </w:r>
      <w:proofErr w:type="spellEnd"/>
      <w:r w:rsidRPr="00EF30BB">
        <w:rPr>
          <w:rFonts w:cs="Times New Roman"/>
        </w:rPr>
        <w:t xml:space="preserve"> itself, and the requirement that the order made be “app</w:t>
      </w:r>
      <w:r w:rsidR="007922EF">
        <w:rPr>
          <w:rFonts w:cs="Times New Roman"/>
        </w:rPr>
        <w:t>ropriate in the circumstances”.</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Where a party seeks an order relating to a matter that falls within the supervising judge’s purview, and for which there is no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provision conferring </w:t>
      </w:r>
      <w:r w:rsidRPr="00EF30BB">
        <w:rPr>
          <w:rFonts w:cs="Times New Roman"/>
        </w:rPr>
        <w:lastRenderedPageBreak/>
        <w:t xml:space="preserve">more specific jurisdiction, s. 11 necessarily is the provision of first resort in anchoring jurisdiction. As Blair J.A. put it in </w:t>
      </w:r>
      <w:proofErr w:type="spellStart"/>
      <w:r w:rsidRPr="00EF30BB">
        <w:rPr>
          <w:rFonts w:cs="Times New Roman"/>
          <w:i/>
        </w:rPr>
        <w:t>Stelco</w:t>
      </w:r>
      <w:proofErr w:type="spellEnd"/>
      <w:r w:rsidRPr="00EF30BB">
        <w:rPr>
          <w:rFonts w:cs="Times New Roman"/>
        </w:rPr>
        <w:t xml:space="preserve">, s. 11 “for the most part supplants the need to resort to inherent jurisdiction” in the </w:t>
      </w:r>
      <w:proofErr w:type="spellStart"/>
      <w:r w:rsidRPr="00EF30BB">
        <w:rPr>
          <w:rFonts w:cs="Times New Roman"/>
          <w:i/>
        </w:rPr>
        <w:t>CCAA</w:t>
      </w:r>
      <w:proofErr w:type="spellEnd"/>
      <w:r w:rsidRPr="00EF30BB">
        <w:rPr>
          <w:rFonts w:cs="Times New Roman"/>
        </w:rPr>
        <w:t xml:space="preserve"> context (para. 36).</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Oversight of the plan negotiation, voting, and approval process falls squarely within the supervising judge’s purview. As indicated, there are no specific provisions in the </w:t>
      </w:r>
      <w:proofErr w:type="spellStart"/>
      <w:r w:rsidRPr="00EF30BB">
        <w:rPr>
          <w:rFonts w:cs="Times New Roman"/>
          <w:i/>
        </w:rPr>
        <w:t>CCAA</w:t>
      </w:r>
      <w:proofErr w:type="spellEnd"/>
      <w:r w:rsidRPr="00EF30BB">
        <w:rPr>
          <w:rFonts w:cs="Times New Roman"/>
        </w:rPr>
        <w:t xml:space="preserve"> which govern when a creditor who is otherwise eligible to vote on a plan may nonetheless be barred from voting. Nor is there any provision in the </w:t>
      </w:r>
      <w:proofErr w:type="spellStart"/>
      <w:r w:rsidRPr="00EF30BB">
        <w:rPr>
          <w:rFonts w:cs="Times New Roman"/>
          <w:i/>
        </w:rPr>
        <w:t>CCAA</w:t>
      </w:r>
      <w:proofErr w:type="spellEnd"/>
      <w:r w:rsidRPr="00EF30BB">
        <w:rPr>
          <w:rFonts w:cs="Times New Roman"/>
        </w:rPr>
        <w:t xml:space="preserve"> which suggests that a creditor has an absolute right to vote on a plan that cannot be displaced by a proper exercise of judicial discretion. However, given that the </w:t>
      </w:r>
      <w:proofErr w:type="spellStart"/>
      <w:r w:rsidRPr="00EF30BB">
        <w:rPr>
          <w:rFonts w:cs="Times New Roman"/>
          <w:i/>
        </w:rPr>
        <w:t>CCAA</w:t>
      </w:r>
      <w:proofErr w:type="spellEnd"/>
      <w:r w:rsidRPr="00EF30BB">
        <w:rPr>
          <w:rFonts w:cs="Times New Roman"/>
        </w:rPr>
        <w:t xml:space="preserve"> regime contemplates creditor participation in decision-making as an integral facet of the workout regime, creditors should only be barred from voting where the circumstances demand such an outcome. In other words, it is necessarily a discretionary, circumstance-specifi</w:t>
      </w:r>
      <w:r w:rsidR="007922EF">
        <w:rPr>
          <w:rFonts w:cs="Times New Roman"/>
        </w:rPr>
        <w:t>c inquiry.</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Thus, it is apparent that s. 11 serves as the source of the supervising judge’s jurisdiction to issue a discretionary order barring a creditor from voting on a plan of arrangement. The exercise of this discretion must further the remedial objectives of the </w:t>
      </w:r>
      <w:proofErr w:type="spellStart"/>
      <w:r w:rsidRPr="00EF30BB">
        <w:rPr>
          <w:rFonts w:cs="Times New Roman"/>
          <w:i/>
        </w:rPr>
        <w:t>CCAA</w:t>
      </w:r>
      <w:proofErr w:type="spellEnd"/>
      <w:r w:rsidRPr="00EF30BB">
        <w:rPr>
          <w:rFonts w:cs="Times New Roman"/>
        </w:rPr>
        <w:t xml:space="preserve"> and be guided by the baseline considerations of appropriateness, good faith, and due diligence. This means that, where a creditor is seeking to exercise its voting rights in a manner that frustrates, undermines, or runs counter to those objectives</w:t>
      </w:r>
      <w:r w:rsidRPr="00EF30BB">
        <w:rPr>
          <w:rFonts w:cs="Times New Roman"/>
          <w:i/>
        </w:rPr>
        <w:t xml:space="preserve"> </w:t>
      </w:r>
      <w:r w:rsidRPr="00EF30BB">
        <w:rPr>
          <w:rFonts w:cs="Times New Roman"/>
        </w:rPr>
        <w:t>—</w:t>
      </w:r>
      <w:r w:rsidRPr="00EF30BB">
        <w:rPr>
          <w:rFonts w:cs="Times New Roman"/>
          <w:i/>
        </w:rPr>
        <w:t xml:space="preserve"> </w:t>
      </w:r>
      <w:r w:rsidRPr="00EF30BB">
        <w:rPr>
          <w:rFonts w:cs="Times New Roman"/>
        </w:rPr>
        <w:t>that is, acting for an “improper purpose” — the supervising judge has the discretion to</w:t>
      </w:r>
      <w:r w:rsidR="007922EF">
        <w:rPr>
          <w:rFonts w:cs="Times New Roman"/>
        </w:rPr>
        <w:t xml:space="preserve"> bar that creditor from voting.</w:t>
      </w:r>
    </w:p>
    <w:p w:rsidR="006B1829" w:rsidRPr="00EF30BB" w:rsidRDefault="006B1829" w:rsidP="006B1829">
      <w:pPr>
        <w:pStyle w:val="ParaNoNdepar-AltN"/>
        <w:tabs>
          <w:tab w:val="clear" w:pos="1166"/>
          <w:tab w:val="num" w:pos="1152"/>
        </w:tabs>
        <w:rPr>
          <w:rFonts w:cs="Times New Roman"/>
        </w:rPr>
      </w:pPr>
      <w:r w:rsidRPr="00EF30BB">
        <w:rPr>
          <w:rFonts w:cs="Times New Roman"/>
        </w:rPr>
        <w:lastRenderedPageBreak/>
        <w:t xml:space="preserve">The discretion to bar a creditor from voting in furtherance of an improper purpose under the </w:t>
      </w:r>
      <w:proofErr w:type="spellStart"/>
      <w:r w:rsidRPr="00EF30BB">
        <w:rPr>
          <w:rFonts w:cs="Times New Roman"/>
          <w:i/>
        </w:rPr>
        <w:t>CCAA</w:t>
      </w:r>
      <w:proofErr w:type="spellEnd"/>
      <w:r w:rsidRPr="00EF30BB">
        <w:rPr>
          <w:rFonts w:cs="Times New Roman"/>
        </w:rPr>
        <w:t xml:space="preserve"> parallels the similar discretion that exists under the </w:t>
      </w:r>
      <w:r w:rsidRPr="00EF30BB">
        <w:rPr>
          <w:rFonts w:cs="Times New Roman"/>
          <w:i/>
        </w:rPr>
        <w:t>BIA</w:t>
      </w:r>
      <w:r w:rsidRPr="00EF30BB">
        <w:rPr>
          <w:rFonts w:cs="Times New Roman"/>
        </w:rPr>
        <w:t xml:space="preserve">, which was recognized in </w:t>
      </w:r>
      <w:proofErr w:type="spellStart"/>
      <w:r w:rsidRPr="00EF30BB">
        <w:rPr>
          <w:rFonts w:cs="Times New Roman"/>
          <w:i/>
          <w:iCs/>
          <w:lang w:bidi="en-US"/>
        </w:rPr>
        <w:t>Laserworks</w:t>
      </w:r>
      <w:proofErr w:type="spellEnd"/>
      <w:r w:rsidRPr="00EF30BB">
        <w:rPr>
          <w:rFonts w:cs="Times New Roman"/>
          <w:i/>
          <w:iCs/>
          <w:lang w:bidi="en-US"/>
        </w:rPr>
        <w:t xml:space="preserve"> Computer Services Inc. (Bankruptcy), Re</w:t>
      </w:r>
      <w:r w:rsidRPr="00EF30BB">
        <w:rPr>
          <w:rFonts w:cs="Times New Roman"/>
          <w:iCs/>
          <w:lang w:bidi="en-US"/>
        </w:rPr>
        <w:t>,</w:t>
      </w:r>
      <w:r w:rsidRPr="00EF30BB">
        <w:rPr>
          <w:rFonts w:cs="Times New Roman"/>
          <w:i/>
          <w:iCs/>
          <w:lang w:bidi="en-US"/>
        </w:rPr>
        <w:t> </w:t>
      </w:r>
      <w:r w:rsidRPr="00EF30BB">
        <w:rPr>
          <w:rFonts w:cs="Times New Roman"/>
          <w:lang w:bidi="en-US"/>
        </w:rPr>
        <w:t xml:space="preserve">1998 </w:t>
      </w:r>
      <w:proofErr w:type="spellStart"/>
      <w:r w:rsidRPr="00EF30BB">
        <w:rPr>
          <w:rFonts w:cs="Times New Roman"/>
          <w:lang w:bidi="en-US"/>
        </w:rPr>
        <w:t>NSCA</w:t>
      </w:r>
      <w:proofErr w:type="spellEnd"/>
      <w:r w:rsidRPr="00EF30BB">
        <w:rPr>
          <w:rFonts w:cs="Times New Roman"/>
          <w:lang w:bidi="en-US"/>
        </w:rPr>
        <w:t xml:space="preserve"> 42, 165 </w:t>
      </w:r>
      <w:proofErr w:type="spellStart"/>
      <w:r w:rsidRPr="00EF30BB">
        <w:rPr>
          <w:rFonts w:cs="Times New Roman"/>
          <w:lang w:bidi="en-US"/>
        </w:rPr>
        <w:t>N.S.R</w:t>
      </w:r>
      <w:proofErr w:type="spellEnd"/>
      <w:r w:rsidRPr="00EF30BB">
        <w:rPr>
          <w:rFonts w:cs="Times New Roman"/>
          <w:lang w:bidi="en-US"/>
        </w:rPr>
        <w:t>. (</w:t>
      </w:r>
      <w:proofErr w:type="spellStart"/>
      <w:r w:rsidRPr="00EF30BB">
        <w:rPr>
          <w:rFonts w:cs="Times New Roman"/>
          <w:lang w:bidi="en-US"/>
        </w:rPr>
        <w:t>2d</w:t>
      </w:r>
      <w:proofErr w:type="spellEnd"/>
      <w:r w:rsidRPr="00EF30BB">
        <w:rPr>
          <w:rFonts w:cs="Times New Roman"/>
          <w:lang w:bidi="en-US"/>
        </w:rPr>
        <w:t>) 296</w:t>
      </w:r>
      <w:r w:rsidRPr="00EF30BB">
        <w:rPr>
          <w:rFonts w:cs="Times New Roman"/>
        </w:rPr>
        <w:t xml:space="preserve">. In </w:t>
      </w:r>
      <w:proofErr w:type="spellStart"/>
      <w:r w:rsidRPr="00EF30BB">
        <w:rPr>
          <w:rFonts w:cs="Times New Roman"/>
          <w:i/>
          <w:iCs/>
          <w:lang w:bidi="en-US"/>
        </w:rPr>
        <w:t>Laserworks</w:t>
      </w:r>
      <w:proofErr w:type="spellEnd"/>
      <w:r w:rsidRPr="00EF30BB">
        <w:rPr>
          <w:rFonts w:cs="Times New Roman"/>
        </w:rPr>
        <w:t xml:space="preserve">, the Nova Scotia Court of Appeal concluded that the discretion to bar a creditor from voting in this way stemmed from the court’s power, inherent in the scheme of the </w:t>
      </w:r>
      <w:r w:rsidRPr="00EF30BB">
        <w:rPr>
          <w:rFonts w:cs="Times New Roman"/>
          <w:i/>
        </w:rPr>
        <w:t>BIA</w:t>
      </w:r>
      <w:r w:rsidRPr="00EF30BB">
        <w:rPr>
          <w:rFonts w:cs="Times New Roman"/>
        </w:rPr>
        <w:t>, to supervise “</w:t>
      </w:r>
      <w:r w:rsidRPr="00EF30BB">
        <w:rPr>
          <w:rFonts w:cs="Times New Roman"/>
          <w:lang w:val="en-US"/>
        </w:rPr>
        <w:t>[</w:t>
      </w:r>
      <w:r w:rsidRPr="00EF30BB">
        <w:rPr>
          <w:rFonts w:cs="Times New Roman"/>
        </w:rPr>
        <w:t xml:space="preserve">e]ach step in the bankruptcy process” (at para. 41), as reflected in ss. 43(7), 108(3), and 187(9) of the Act. The court explained that s. 187(9) specifically grants the power to remedy a “substantial injustice”, which arises “when the </w:t>
      </w:r>
      <w:r w:rsidRPr="00EF30BB">
        <w:rPr>
          <w:rFonts w:cs="Times New Roman"/>
          <w:i/>
        </w:rPr>
        <w:t>BIA</w:t>
      </w:r>
      <w:r w:rsidRPr="00EF30BB">
        <w:rPr>
          <w:rFonts w:cs="Times New Roman"/>
        </w:rPr>
        <w:t xml:space="preserve"> is used for an improper purpose” (para. 54). The court held that “[a]n improper purpose is any purpose collateral to the purpose for which the bankruptcy and insolvency legislation was enacted by Parliament” (para. 54).</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While not determinative, the existence of this discretion under the </w:t>
      </w:r>
      <w:r w:rsidRPr="00EF30BB">
        <w:rPr>
          <w:rFonts w:cs="Times New Roman"/>
          <w:i/>
        </w:rPr>
        <w:t>BIA</w:t>
      </w:r>
      <w:r w:rsidRPr="00EF30BB">
        <w:rPr>
          <w:rFonts w:cs="Times New Roman"/>
        </w:rPr>
        <w:t xml:space="preserve"> lends support to the existence of similar discretion under the </w:t>
      </w:r>
      <w:proofErr w:type="spellStart"/>
      <w:r w:rsidRPr="00EF30BB">
        <w:rPr>
          <w:rFonts w:cs="Times New Roman"/>
          <w:i/>
        </w:rPr>
        <w:t>CCAA</w:t>
      </w:r>
      <w:proofErr w:type="spellEnd"/>
      <w:r w:rsidR="007922EF">
        <w:rPr>
          <w:rFonts w:cs="Times New Roman"/>
        </w:rPr>
        <w:t xml:space="preserve"> for two reasons.</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First, this conclusion would be consistent with this Court’s recognition that the </w:t>
      </w:r>
      <w:proofErr w:type="spellStart"/>
      <w:r w:rsidRPr="00EF30BB">
        <w:rPr>
          <w:rFonts w:cs="Times New Roman"/>
          <w:i/>
        </w:rPr>
        <w:t>CCAA</w:t>
      </w:r>
      <w:proofErr w:type="spellEnd"/>
      <w:r w:rsidRPr="00EF30BB">
        <w:rPr>
          <w:rFonts w:cs="Times New Roman"/>
        </w:rPr>
        <w:t xml:space="preserve"> “offers a more flexible mechanism with </w:t>
      </w:r>
      <w:r w:rsidRPr="00EF30BB">
        <w:rPr>
          <w:rFonts w:cs="Times New Roman"/>
          <w:u w:val="single"/>
        </w:rPr>
        <w:t>greater</w:t>
      </w:r>
      <w:r w:rsidRPr="00EF30BB">
        <w:rPr>
          <w:rFonts w:cs="Times New Roman"/>
        </w:rPr>
        <w:t xml:space="preserve"> judicial discretion” than the </w:t>
      </w:r>
      <w:r w:rsidRPr="00EF30BB">
        <w:rPr>
          <w:rFonts w:cs="Times New Roman"/>
          <w:i/>
        </w:rPr>
        <w:t>BIA</w:t>
      </w:r>
      <w:r w:rsidRPr="00EF30BB">
        <w:rPr>
          <w:rFonts w:cs="Times New Roman"/>
        </w:rPr>
        <w:t xml:space="preserve"> (</w:t>
      </w:r>
      <w:r w:rsidRPr="00EF30BB">
        <w:rPr>
          <w:rFonts w:cs="Times New Roman"/>
          <w:i/>
        </w:rPr>
        <w:t>Century Services</w:t>
      </w:r>
      <w:r w:rsidRPr="00EF30BB">
        <w:rPr>
          <w:rFonts w:cs="Times New Roman"/>
        </w:rPr>
        <w:t>,</w:t>
      </w:r>
      <w:r w:rsidR="007922EF">
        <w:rPr>
          <w:rFonts w:cs="Times New Roman"/>
        </w:rPr>
        <w:t xml:space="preserve"> at para. 14 (emphasis added)).</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Second, this Court has recognized the benefits of harmonizing the two statutes to the extent possible. For example, in </w:t>
      </w:r>
      <w:proofErr w:type="spellStart"/>
      <w:r w:rsidRPr="00EF30BB">
        <w:rPr>
          <w:rFonts w:cs="Times New Roman"/>
          <w:i/>
        </w:rPr>
        <w:t>Indalex</w:t>
      </w:r>
      <w:proofErr w:type="spellEnd"/>
      <w:r w:rsidRPr="00EF30BB">
        <w:rPr>
          <w:rFonts w:cs="Times New Roman"/>
        </w:rPr>
        <w:t xml:space="preserve">, the Court observed that “in order to avoid a race to liquidation under the </w:t>
      </w:r>
      <w:r w:rsidRPr="00EF30BB">
        <w:rPr>
          <w:rFonts w:cs="Times New Roman"/>
          <w:i/>
        </w:rPr>
        <w:t>BIA</w:t>
      </w:r>
      <w:r w:rsidRPr="00EF30BB">
        <w:rPr>
          <w:rFonts w:cs="Times New Roman"/>
        </w:rPr>
        <w:t xml:space="preserve">, courts will favour an interpretation of the </w:t>
      </w:r>
      <w:proofErr w:type="spellStart"/>
      <w:r w:rsidRPr="00EF30BB">
        <w:rPr>
          <w:rFonts w:cs="Times New Roman"/>
          <w:i/>
        </w:rPr>
        <w:t>CCAA</w:t>
      </w:r>
      <w:proofErr w:type="spellEnd"/>
      <w:r w:rsidRPr="00EF30BB">
        <w:rPr>
          <w:rFonts w:cs="Times New Roman"/>
        </w:rPr>
        <w:t xml:space="preserve"> that affords creditors analogous entitlements” to those received under the </w:t>
      </w:r>
      <w:r w:rsidRPr="00EF30BB">
        <w:rPr>
          <w:rFonts w:cs="Times New Roman"/>
          <w:i/>
        </w:rPr>
        <w:lastRenderedPageBreak/>
        <w:t>BIA</w:t>
      </w:r>
      <w:r w:rsidRPr="00EF30BB">
        <w:rPr>
          <w:rFonts w:cs="Times New Roman"/>
        </w:rPr>
        <w:t xml:space="preserve"> (para. 51; see also </w:t>
      </w:r>
      <w:r w:rsidRPr="00EF30BB">
        <w:rPr>
          <w:rFonts w:cs="Times New Roman"/>
          <w:i/>
        </w:rPr>
        <w:t>Century Services</w:t>
      </w:r>
      <w:r w:rsidRPr="00EF30BB">
        <w:rPr>
          <w:rFonts w:cs="Times New Roman"/>
        </w:rPr>
        <w:t xml:space="preserve">, at para. 24; </w:t>
      </w:r>
      <w:r w:rsidRPr="00EF30BB">
        <w:rPr>
          <w:rFonts w:cs="Times New Roman"/>
          <w:i/>
        </w:rPr>
        <w:t>Nortel Networks Corp., Re</w:t>
      </w:r>
      <w:r w:rsidRPr="00EF30BB">
        <w:rPr>
          <w:rFonts w:cs="Times New Roman"/>
        </w:rPr>
        <w:t xml:space="preserve">, 2015 </w:t>
      </w:r>
      <w:proofErr w:type="spellStart"/>
      <w:r w:rsidRPr="00EF30BB">
        <w:rPr>
          <w:rFonts w:cs="Times New Roman"/>
        </w:rPr>
        <w:t>ONCA</w:t>
      </w:r>
      <w:proofErr w:type="spellEnd"/>
      <w:r w:rsidRPr="00EF30BB">
        <w:rPr>
          <w:rFonts w:cs="Times New Roman"/>
        </w:rPr>
        <w:t xml:space="preserve"> 681, 391 </w:t>
      </w:r>
      <w:proofErr w:type="spellStart"/>
      <w:r w:rsidRPr="00EF30BB">
        <w:rPr>
          <w:rFonts w:cs="Times New Roman"/>
        </w:rPr>
        <w:t>D.L.R</w:t>
      </w:r>
      <w:proofErr w:type="spellEnd"/>
      <w:r w:rsidRPr="00EF30BB">
        <w:rPr>
          <w:rFonts w:cs="Times New Roman"/>
        </w:rPr>
        <w:t>. (4th) 283, at paras. 34-46). Thus, where the statutes are capable of bearing a harmonious interpretation, that interpretation ought to be preferred “to avoid the ills that can arise from [insolvency] ‘statute-shopping’” (</w:t>
      </w:r>
      <w:r w:rsidRPr="00EF30BB">
        <w:rPr>
          <w:rFonts w:cs="Times New Roman"/>
          <w:i/>
        </w:rPr>
        <w:t>Kitchener Frame Ltd.</w:t>
      </w:r>
      <w:r w:rsidRPr="00EF30BB">
        <w:rPr>
          <w:rFonts w:cs="Times New Roman"/>
        </w:rPr>
        <w:t xml:space="preserve">, 2012 </w:t>
      </w:r>
      <w:proofErr w:type="spellStart"/>
      <w:r w:rsidRPr="00EF30BB">
        <w:rPr>
          <w:rFonts w:cs="Times New Roman"/>
        </w:rPr>
        <w:t>ONSC</w:t>
      </w:r>
      <w:proofErr w:type="spellEnd"/>
      <w:r w:rsidRPr="00EF30BB">
        <w:rPr>
          <w:rFonts w:cs="Times New Roman"/>
        </w:rPr>
        <w:t xml:space="preserve"> 234, 86 </w:t>
      </w:r>
      <w:proofErr w:type="spellStart"/>
      <w:r w:rsidRPr="00EF30BB">
        <w:rPr>
          <w:rFonts w:cs="Times New Roman"/>
        </w:rPr>
        <w:t>C.B.R</w:t>
      </w:r>
      <w:proofErr w:type="spellEnd"/>
      <w:r w:rsidRPr="00EF30BB">
        <w:rPr>
          <w:rFonts w:cs="Times New Roman"/>
        </w:rPr>
        <w:t xml:space="preserve">. (5th) 274, at para. 78; see also para. 73). In our view, the articulation of “improper purpose” set out in </w:t>
      </w:r>
      <w:proofErr w:type="spellStart"/>
      <w:r w:rsidRPr="00EF30BB">
        <w:rPr>
          <w:rFonts w:cs="Times New Roman"/>
          <w:i/>
        </w:rPr>
        <w:t>Laserworks</w:t>
      </w:r>
      <w:proofErr w:type="spellEnd"/>
      <w:r w:rsidRPr="00EF30BB">
        <w:rPr>
          <w:rFonts w:cs="Times New Roman"/>
          <w:i/>
        </w:rPr>
        <w:t xml:space="preserve"> </w:t>
      </w:r>
      <w:r w:rsidRPr="00EF30BB">
        <w:rPr>
          <w:rFonts w:cs="Times New Roman"/>
        </w:rPr>
        <w:t xml:space="preserve">— that is, any purpose collateral to the purpose of insolvency legislation — is entirely harmonious with the nature and scope of judicial discretion afforded by the </w:t>
      </w:r>
      <w:proofErr w:type="spellStart"/>
      <w:r w:rsidRPr="00EF30BB">
        <w:rPr>
          <w:rFonts w:cs="Times New Roman"/>
          <w:i/>
        </w:rPr>
        <w:t>CCAA</w:t>
      </w:r>
      <w:proofErr w:type="spellEnd"/>
      <w:r w:rsidRPr="00EF30BB">
        <w:rPr>
          <w:rFonts w:cs="Times New Roman"/>
        </w:rPr>
        <w:t>. Indeed, as we have explained, this discretion</w:t>
      </w:r>
      <w:r w:rsidRPr="00EF30BB">
        <w:rPr>
          <w:rFonts w:cs="Times New Roman"/>
          <w:i/>
        </w:rPr>
        <w:t xml:space="preserve"> </w:t>
      </w:r>
      <w:r w:rsidRPr="00EF30BB">
        <w:rPr>
          <w:rFonts w:cs="Times New Roman"/>
        </w:rPr>
        <w:t xml:space="preserve">is to be exercised in accordance with the </w:t>
      </w:r>
      <w:proofErr w:type="spellStart"/>
      <w:r w:rsidRPr="00EF30BB">
        <w:rPr>
          <w:rFonts w:cs="Times New Roman"/>
          <w:i/>
        </w:rPr>
        <w:t>CCAA</w:t>
      </w:r>
      <w:r w:rsidRPr="00EF30BB">
        <w:rPr>
          <w:rFonts w:cs="Times New Roman"/>
        </w:rPr>
        <w:t>’s</w:t>
      </w:r>
      <w:proofErr w:type="spellEnd"/>
      <w:r w:rsidRPr="00EF30BB">
        <w:rPr>
          <w:rFonts w:cs="Times New Roman"/>
        </w:rPr>
        <w:t xml:space="preserve"> objectives as an insolvency</w:t>
      </w:r>
      <w:r w:rsidR="007922EF">
        <w:rPr>
          <w:rFonts w:cs="Times New Roman"/>
        </w:rPr>
        <w:t xml:space="preserve"> statute.</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We also observe that the recognition of this discretion under the </w:t>
      </w:r>
      <w:proofErr w:type="spellStart"/>
      <w:r w:rsidRPr="00EF30BB">
        <w:rPr>
          <w:rFonts w:cs="Times New Roman"/>
          <w:i/>
        </w:rPr>
        <w:t>CCAA</w:t>
      </w:r>
      <w:proofErr w:type="spellEnd"/>
      <w:r w:rsidRPr="00EF30BB">
        <w:rPr>
          <w:rFonts w:cs="Times New Roman"/>
        </w:rPr>
        <w:t xml:space="preserve"> advances the basic fairness that “permeates Canadian insolvency law and practice” (</w:t>
      </w:r>
      <w:proofErr w:type="spellStart"/>
      <w:r w:rsidRPr="00EF30BB">
        <w:rPr>
          <w:rFonts w:cs="Times New Roman"/>
        </w:rPr>
        <w:t>Sarra</w:t>
      </w:r>
      <w:proofErr w:type="spellEnd"/>
      <w:r w:rsidRPr="00EF30BB">
        <w:rPr>
          <w:rFonts w:cs="Times New Roman"/>
        </w:rPr>
        <w:t xml:space="preserve">, “The Oscillating Pendulum: Canada’s Sesquicentennial and Finding the Equilibrium for Insolvency Law”, at p. 27; see also </w:t>
      </w:r>
      <w:r w:rsidRPr="00EF30BB">
        <w:rPr>
          <w:rFonts w:cs="Times New Roman"/>
          <w:i/>
        </w:rPr>
        <w:t>Century Services</w:t>
      </w:r>
      <w:r w:rsidRPr="00EF30BB">
        <w:rPr>
          <w:rFonts w:cs="Times New Roman"/>
        </w:rPr>
        <w:t xml:space="preserve">, at paras. 70 and 77). As Professor </w:t>
      </w:r>
      <w:proofErr w:type="spellStart"/>
      <w:r w:rsidRPr="00EF30BB">
        <w:rPr>
          <w:rFonts w:cs="Times New Roman"/>
        </w:rPr>
        <w:t>Sarra</w:t>
      </w:r>
      <w:proofErr w:type="spellEnd"/>
      <w:r w:rsidRPr="00EF30BB">
        <w:rPr>
          <w:rFonts w:cs="Times New Roman"/>
        </w:rPr>
        <w:t xml:space="preserve"> observes, fairness demands that supervising judges be in a position to recognize and meaningfully address circumstances in which parties are working against the</w:t>
      </w:r>
      <w:r w:rsidR="007922EF">
        <w:rPr>
          <w:rFonts w:cs="Times New Roman"/>
        </w:rPr>
        <w:t xml:space="preserve"> goals of the statute:</w:t>
      </w:r>
    </w:p>
    <w:p w:rsidR="006B1829" w:rsidRPr="00EF30BB" w:rsidRDefault="006B1829" w:rsidP="00E051EC">
      <w:pPr>
        <w:pStyle w:val="Citation-AltC"/>
        <w:spacing w:after="240"/>
        <w:ind w:firstLine="274"/>
        <w:rPr>
          <w:lang w:val="en-US"/>
        </w:rPr>
      </w:pPr>
      <w:r w:rsidRPr="00EF30BB">
        <w:rPr>
          <w:lang w:val="en-US"/>
        </w:rPr>
        <w:t>The Canadian insolvency regime is based on the assumption that creditors and the debtor share a common goal of maximizing recoveries. The substantive aspect of fairness in the insolvency regime is based on the assumption that all involved parties face real economic risks. Unfairness resides where only some face these risks, while others actu</w:t>
      </w:r>
      <w:r w:rsidR="00C402D4">
        <w:rPr>
          <w:lang w:val="en-US"/>
        </w:rPr>
        <w:t xml:space="preserve">ally benefit from the </w:t>
      </w:r>
      <w:proofErr w:type="gramStart"/>
      <w:r w:rsidR="00C402D4">
        <w:rPr>
          <w:lang w:val="en-US"/>
        </w:rPr>
        <w:t>situation .</w:t>
      </w:r>
      <w:proofErr w:type="gramEnd"/>
      <w:r w:rsidR="00C402D4">
        <w:rPr>
          <w:lang w:val="en-US"/>
        </w:rPr>
        <w:t> . . . </w:t>
      </w:r>
      <w:r w:rsidRPr="00EF30BB">
        <w:rPr>
          <w:u w:val="single"/>
          <w:lang w:val="en-US"/>
        </w:rPr>
        <w:t>If the </w:t>
      </w:r>
      <w:proofErr w:type="spellStart"/>
      <w:r w:rsidRPr="00EF30BB">
        <w:rPr>
          <w:i/>
          <w:iCs/>
          <w:u w:val="single"/>
          <w:lang w:val="en-US"/>
        </w:rPr>
        <w:t>CCAA</w:t>
      </w:r>
      <w:proofErr w:type="spellEnd"/>
      <w:r w:rsidRPr="00EF30BB">
        <w:rPr>
          <w:u w:val="single"/>
          <w:lang w:val="en-US"/>
        </w:rPr>
        <w:t> is to be interpreted in a purposive way, the courts must be able to recognize when people have conflicting interests and are working actively against the goals of the statute</w:t>
      </w:r>
      <w:r w:rsidRPr="00E77CFF">
        <w:rPr>
          <w:u w:val="single"/>
          <w:lang w:val="en-US"/>
        </w:rPr>
        <w:t>.</w:t>
      </w:r>
      <w:r w:rsidR="00854D6E" w:rsidRPr="00854D6E">
        <w:rPr>
          <w:lang w:val="en-US"/>
        </w:rPr>
        <w:t xml:space="preserve"> [</w:t>
      </w:r>
      <w:r w:rsidR="00854D6E">
        <w:rPr>
          <w:lang w:val="en-US"/>
        </w:rPr>
        <w:t>Emphasis added.]</w:t>
      </w:r>
    </w:p>
    <w:p w:rsidR="006B1829" w:rsidRPr="00EF30BB" w:rsidRDefault="006B1829" w:rsidP="00C402D4">
      <w:pPr>
        <w:pStyle w:val="Citation-AltC"/>
        <w:ind w:left="0"/>
      </w:pPr>
      <w:r w:rsidRPr="00EF30BB">
        <w:rPr>
          <w:lang w:val="en-US"/>
        </w:rPr>
        <w:lastRenderedPageBreak/>
        <w:t xml:space="preserve">(“The Oscillating Pendulum: Canada’s Sesquicentennial and Finding the </w:t>
      </w:r>
      <w:r>
        <w:rPr>
          <w:lang w:val="en-US"/>
        </w:rPr>
        <w:t>Equilibrium for Insolvency Law”, at p. 30</w:t>
      </w:r>
      <w:r w:rsidRPr="00EF30BB">
        <w:rPr>
          <w:lang w:val="en-US"/>
        </w:rPr>
        <w:t>)</w:t>
      </w:r>
    </w:p>
    <w:p w:rsidR="006B1829" w:rsidRPr="00EF30BB" w:rsidRDefault="006B1829" w:rsidP="006B1829">
      <w:pPr>
        <w:pStyle w:val="ParaNoNdepar-AltN"/>
        <w:numPr>
          <w:ilvl w:val="0"/>
          <w:numId w:val="0"/>
        </w:numPr>
        <w:rPr>
          <w:rFonts w:cs="Times New Roman"/>
        </w:rPr>
      </w:pPr>
      <w:r w:rsidRPr="00EF30BB">
        <w:rPr>
          <w:rFonts w:cs="Times New Roman"/>
        </w:rPr>
        <w:t xml:space="preserve">In this vein, the supervising judge’s oversight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voting regime must not only ensure strict compliance with the Act, but should further its goals as well. We are of the view that the policy objectives of the </w:t>
      </w:r>
      <w:proofErr w:type="spellStart"/>
      <w:r w:rsidRPr="00EF30BB">
        <w:rPr>
          <w:rFonts w:cs="Times New Roman"/>
          <w:i/>
        </w:rPr>
        <w:t>CCAA</w:t>
      </w:r>
      <w:proofErr w:type="spellEnd"/>
      <w:r w:rsidRPr="00EF30BB">
        <w:rPr>
          <w:rFonts w:cs="Times New Roman"/>
        </w:rPr>
        <w:t xml:space="preserve"> necessitate the recognition of the discretion to bar a creditor from voting where the creditor is </w:t>
      </w:r>
      <w:r w:rsidR="007922EF">
        <w:rPr>
          <w:rFonts w:cs="Times New Roman"/>
        </w:rPr>
        <w:t>acting for an improper purpose.</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Whether this discretion ought to be exercised in a particular case is a circumstance-specific inquiry that must balance the various objectives of the </w:t>
      </w:r>
      <w:proofErr w:type="spellStart"/>
      <w:r w:rsidRPr="00EF30BB">
        <w:rPr>
          <w:rFonts w:cs="Times New Roman"/>
          <w:i/>
        </w:rPr>
        <w:t>CCAA</w:t>
      </w:r>
      <w:proofErr w:type="spellEnd"/>
      <w:r w:rsidRPr="00EF30BB">
        <w:rPr>
          <w:rFonts w:cs="Times New Roman"/>
        </w:rPr>
        <w:t>. As this case demonstrates, the supervising judge is best-positi</w:t>
      </w:r>
      <w:r w:rsidR="007922EF">
        <w:rPr>
          <w:rFonts w:cs="Times New Roman"/>
        </w:rPr>
        <w:t>oned to undertake this inquiry.</w:t>
      </w:r>
    </w:p>
    <w:p w:rsidR="006B1829" w:rsidRPr="00EF30BB" w:rsidRDefault="006B1829" w:rsidP="006B1829">
      <w:pPr>
        <w:pStyle w:val="Title3LevelTitre3Niveau"/>
        <w:tabs>
          <w:tab w:val="clear" w:pos="1566"/>
          <w:tab w:val="num" w:pos="1080"/>
        </w:tabs>
        <w:ind w:left="1152"/>
        <w:rPr>
          <w:rFonts w:cs="Times New Roman"/>
        </w:rPr>
      </w:pPr>
      <w:bookmarkStart w:id="40" w:name="_Toc33564176"/>
      <w:bookmarkStart w:id="41" w:name="_Toc33653917"/>
      <w:r w:rsidRPr="00EF30BB">
        <w:rPr>
          <w:rFonts w:cs="Times New Roman"/>
        </w:rPr>
        <w:t xml:space="preserve">The Supervising Judge Did Not Err in Prohibiting </w:t>
      </w:r>
      <w:proofErr w:type="spellStart"/>
      <w:r w:rsidRPr="00EF30BB">
        <w:rPr>
          <w:rFonts w:cs="Times New Roman"/>
        </w:rPr>
        <w:t>Callidus</w:t>
      </w:r>
      <w:proofErr w:type="spellEnd"/>
      <w:r w:rsidRPr="00EF30BB">
        <w:rPr>
          <w:rFonts w:cs="Times New Roman"/>
        </w:rPr>
        <w:t xml:space="preserve"> From Voting</w:t>
      </w:r>
      <w:bookmarkEnd w:id="40"/>
      <w:bookmarkEnd w:id="41"/>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In our view, the supervising judge’s decision to bar </w:t>
      </w:r>
      <w:proofErr w:type="spellStart"/>
      <w:r w:rsidRPr="00EF30BB">
        <w:rPr>
          <w:rFonts w:cs="Times New Roman"/>
        </w:rPr>
        <w:t>Callidus</w:t>
      </w:r>
      <w:proofErr w:type="spellEnd"/>
      <w:r w:rsidRPr="00EF30BB">
        <w:rPr>
          <w:rFonts w:cs="Times New Roman"/>
        </w:rPr>
        <w:t xml:space="preserve"> from voting on the New Plan discloses no error justifying appellate intervention. As we have explained, discretionary decisions like this one must be approached from the appropriate posture of deference. It bears mentioning that, when he made this decision, the supervising judge was intimately familiar with </w:t>
      </w:r>
      <w:proofErr w:type="spellStart"/>
      <w:r w:rsidRPr="00EF30BB">
        <w:rPr>
          <w:rFonts w:cs="Times New Roman"/>
        </w:rPr>
        <w:t>Bluberi’s</w:t>
      </w:r>
      <w:proofErr w:type="spellEnd"/>
      <w:r w:rsidRPr="00EF30BB">
        <w:rPr>
          <w:rFonts w:cs="Times New Roman"/>
        </w:rPr>
        <w:t xml:space="preserve">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proceedings. He had presided over them for over 2 years, received 15 reports from the Monitor, and issued approximately 25 orders.</w:t>
      </w:r>
    </w:p>
    <w:p w:rsidR="006B1829" w:rsidRPr="00EF30BB" w:rsidRDefault="006B1829" w:rsidP="006B1829">
      <w:pPr>
        <w:pStyle w:val="ParaNoNdepar-AltN"/>
        <w:tabs>
          <w:tab w:val="clear" w:pos="1166"/>
          <w:tab w:val="num" w:pos="1152"/>
        </w:tabs>
        <w:rPr>
          <w:rFonts w:cs="Times New Roman"/>
        </w:rPr>
      </w:pPr>
      <w:r w:rsidRPr="00EF30BB">
        <w:rPr>
          <w:rFonts w:cs="Times New Roman"/>
        </w:rPr>
        <w:lastRenderedPageBreak/>
        <w:t xml:space="preserve">The supervising judge considered the whole of the circumstances and concluded that </w:t>
      </w:r>
      <w:proofErr w:type="spellStart"/>
      <w:r w:rsidRPr="00EF30BB">
        <w:rPr>
          <w:rFonts w:cs="Times New Roman"/>
        </w:rPr>
        <w:t>Callidus’s</w:t>
      </w:r>
      <w:proofErr w:type="spellEnd"/>
      <w:r w:rsidRPr="00EF30BB">
        <w:rPr>
          <w:rFonts w:cs="Times New Roman"/>
        </w:rPr>
        <w:t xml:space="preserve"> vote would serve an improper purpose (paras. 45 and 48). We agree with his determination. He was aware that, prior to the vote on the First Plan, </w:t>
      </w:r>
      <w:proofErr w:type="spellStart"/>
      <w:r w:rsidRPr="00EF30BB">
        <w:rPr>
          <w:rFonts w:cs="Times New Roman"/>
        </w:rPr>
        <w:t>Callidus</w:t>
      </w:r>
      <w:proofErr w:type="spellEnd"/>
      <w:r w:rsidRPr="00EF30BB">
        <w:rPr>
          <w:rFonts w:cs="Times New Roman"/>
        </w:rPr>
        <w:t xml:space="preserve"> had chosen not to value </w:t>
      </w:r>
      <w:r w:rsidRPr="00EF30BB">
        <w:rPr>
          <w:rFonts w:cs="Times New Roman"/>
          <w:i/>
        </w:rPr>
        <w:t xml:space="preserve">any </w:t>
      </w:r>
      <w:r w:rsidRPr="00EF30BB">
        <w:rPr>
          <w:rFonts w:cs="Times New Roman"/>
        </w:rPr>
        <w:t>of its claim as unsecured and later declined to vote at all — despite the Monitor explicitly inviting it do so</w:t>
      </w:r>
      <w:r w:rsidR="007922EF">
        <w:rPr>
          <w:rFonts w:cs="Times New Roman"/>
        </w:rPr>
        <w:t>.</w:t>
      </w:r>
      <w:r w:rsidRPr="007922EF">
        <w:rPr>
          <w:rStyle w:val="Hyperlink"/>
          <w:color w:val="000000" w:themeColor="text1"/>
          <w:u w:val="none"/>
          <w:vertAlign w:val="superscript"/>
        </w:rPr>
        <w:footnoteReference w:id="4"/>
      </w:r>
      <w:r w:rsidRPr="00EF30BB">
        <w:rPr>
          <w:rFonts w:cs="Times New Roman"/>
        </w:rPr>
        <w:t xml:space="preserve"> The supervising judge was also aware that </w:t>
      </w:r>
      <w:proofErr w:type="spellStart"/>
      <w:r w:rsidRPr="00EF30BB">
        <w:rPr>
          <w:rFonts w:cs="Times New Roman"/>
        </w:rPr>
        <w:t>Callidus’s</w:t>
      </w:r>
      <w:proofErr w:type="spellEnd"/>
      <w:r w:rsidRPr="00EF30BB">
        <w:rPr>
          <w:rFonts w:cs="Times New Roman"/>
        </w:rPr>
        <w:t xml:space="preserve"> First Plan had failed to receive the other creditors’ approval at the creditors’ meeting of December 15, 2017, and that </w:t>
      </w:r>
      <w:proofErr w:type="spellStart"/>
      <w:r w:rsidRPr="00EF30BB">
        <w:rPr>
          <w:rFonts w:cs="Times New Roman"/>
        </w:rPr>
        <w:t>Callidus</w:t>
      </w:r>
      <w:proofErr w:type="spellEnd"/>
      <w:r w:rsidRPr="00EF30BB">
        <w:rPr>
          <w:rFonts w:cs="Times New Roman"/>
        </w:rPr>
        <w:t xml:space="preserve"> had chosen not to take the opportunity to amend or increase the value of its plan at that time, which it was entitled to do (see </w:t>
      </w:r>
      <w:proofErr w:type="spellStart"/>
      <w:r w:rsidRPr="00EF30BB">
        <w:rPr>
          <w:rFonts w:cs="Times New Roman"/>
          <w:i/>
        </w:rPr>
        <w:t>CCAA</w:t>
      </w:r>
      <w:proofErr w:type="spellEnd"/>
      <w:r w:rsidRPr="00EF30BB">
        <w:rPr>
          <w:rFonts w:cs="Times New Roman"/>
        </w:rPr>
        <w:t xml:space="preserve">, ss. 6 and 7; Monitor, </w:t>
      </w:r>
      <w:proofErr w:type="spellStart"/>
      <w:r w:rsidRPr="00EF30BB">
        <w:rPr>
          <w:rFonts w:cs="Times New Roman"/>
        </w:rPr>
        <w:t>I.F</w:t>
      </w:r>
      <w:proofErr w:type="spellEnd"/>
      <w:r w:rsidRPr="00EF30BB">
        <w:rPr>
          <w:rFonts w:cs="Times New Roman"/>
        </w:rPr>
        <w:t xml:space="preserve">., </w:t>
      </w:r>
      <w:r>
        <w:rPr>
          <w:rFonts w:cs="Times New Roman"/>
        </w:rPr>
        <w:t xml:space="preserve">at para. 17). </w:t>
      </w:r>
      <w:r w:rsidRPr="00EF30BB">
        <w:rPr>
          <w:rFonts w:cs="Times New Roman"/>
        </w:rPr>
        <w:t xml:space="preserve">Between the failure of the First Plan and the proposal of the New Plan — which was identical to the First Plan, save for a modest increase of $250,000 — none of the factual circumstances relating to </w:t>
      </w:r>
      <w:proofErr w:type="spellStart"/>
      <w:r w:rsidRPr="00EF30BB">
        <w:rPr>
          <w:rFonts w:cs="Times New Roman"/>
        </w:rPr>
        <w:t>Bluberi’s</w:t>
      </w:r>
      <w:proofErr w:type="spellEnd"/>
      <w:r w:rsidRPr="00EF30BB">
        <w:rPr>
          <w:rFonts w:cs="Times New Roman"/>
        </w:rPr>
        <w:t xml:space="preserve"> financial or business affairs had materially changed. However, </w:t>
      </w:r>
      <w:proofErr w:type="spellStart"/>
      <w:r w:rsidRPr="00EF30BB">
        <w:rPr>
          <w:rFonts w:cs="Times New Roman"/>
        </w:rPr>
        <w:t>Callidus</w:t>
      </w:r>
      <w:proofErr w:type="spellEnd"/>
      <w:r w:rsidRPr="00EF30BB">
        <w:rPr>
          <w:rFonts w:cs="Times New Roman"/>
        </w:rPr>
        <w:t xml:space="preserve"> sought to value the </w:t>
      </w:r>
      <w:r w:rsidRPr="00EF30BB">
        <w:rPr>
          <w:rFonts w:cs="Times New Roman"/>
          <w:i/>
        </w:rPr>
        <w:t>entirety</w:t>
      </w:r>
      <w:r w:rsidRPr="00EF30BB">
        <w:rPr>
          <w:rFonts w:cs="Times New Roman"/>
        </w:rPr>
        <w:t xml:space="preserve"> of its security at </w:t>
      </w:r>
      <w:r w:rsidRPr="00EF30BB">
        <w:rPr>
          <w:rFonts w:cs="Times New Roman"/>
          <w:i/>
        </w:rPr>
        <w:t>nil</w:t>
      </w:r>
      <w:r w:rsidRPr="00EF30BB">
        <w:rPr>
          <w:rFonts w:cs="Times New Roman"/>
        </w:rPr>
        <w:t xml:space="preserve"> and, on that basis, sought leave to vote on the New Plan as an unsecured creditor. If </w:t>
      </w:r>
      <w:proofErr w:type="spellStart"/>
      <w:r w:rsidRPr="00EF30BB">
        <w:rPr>
          <w:rFonts w:cs="Times New Roman"/>
        </w:rPr>
        <w:t>Callidus</w:t>
      </w:r>
      <w:proofErr w:type="spellEnd"/>
      <w:r w:rsidRPr="00EF30BB">
        <w:rPr>
          <w:rFonts w:cs="Times New Roman"/>
        </w:rPr>
        <w:t xml:space="preserve"> were permitted to vote in this way, the New Plan would certainly have met the s. 6(1) threshold for approval. In these circumstances, the inescapable inference was that </w:t>
      </w:r>
      <w:proofErr w:type="spellStart"/>
      <w:r w:rsidRPr="00EF30BB">
        <w:rPr>
          <w:rFonts w:cs="Times New Roman"/>
        </w:rPr>
        <w:t>Callidus</w:t>
      </w:r>
      <w:proofErr w:type="spellEnd"/>
      <w:r w:rsidRPr="00EF30BB">
        <w:rPr>
          <w:rFonts w:cs="Times New Roman"/>
        </w:rPr>
        <w:t xml:space="preserve"> was attempting to strategically value its security to acquire control over the outcome of the vote and thereby circumvent</w:t>
      </w:r>
      <w:r w:rsidRPr="00EF30BB">
        <w:rPr>
          <w:rFonts w:cs="Times New Roman"/>
          <w:i/>
        </w:rPr>
        <w:t xml:space="preserve"> </w:t>
      </w:r>
      <w:r w:rsidRPr="00EF30BB">
        <w:rPr>
          <w:rFonts w:cs="Times New Roman"/>
        </w:rPr>
        <w:t xml:space="preserve">the creditor democracy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protects. Put simply, </w:t>
      </w:r>
      <w:proofErr w:type="spellStart"/>
      <w:r w:rsidRPr="00EF30BB">
        <w:rPr>
          <w:rFonts w:cs="Times New Roman"/>
        </w:rPr>
        <w:t>Callidus</w:t>
      </w:r>
      <w:proofErr w:type="spellEnd"/>
      <w:r w:rsidRPr="00EF30BB">
        <w:rPr>
          <w:rFonts w:cs="Times New Roman"/>
        </w:rPr>
        <w:t xml:space="preserve"> was seeking to take a “second kick at the can” and manipulate the vote on the New </w:t>
      </w:r>
      <w:r w:rsidRPr="00EF30BB">
        <w:rPr>
          <w:rFonts w:cs="Times New Roman"/>
        </w:rPr>
        <w:lastRenderedPageBreak/>
        <w:t xml:space="preserve">Plan. The supervising judge made no error in exercising his discretion to </w:t>
      </w:r>
      <w:r w:rsidR="00C82FFA">
        <w:rPr>
          <w:rFonts w:cs="Times New Roman"/>
        </w:rPr>
        <w:t xml:space="preserve">prevent </w:t>
      </w:r>
      <w:proofErr w:type="spellStart"/>
      <w:r w:rsidR="00C82FFA">
        <w:rPr>
          <w:rFonts w:cs="Times New Roman"/>
        </w:rPr>
        <w:t>Callidus</w:t>
      </w:r>
      <w:proofErr w:type="spellEnd"/>
      <w:r w:rsidR="00C82FFA">
        <w:rPr>
          <w:rFonts w:cs="Times New Roman"/>
        </w:rPr>
        <w:t xml:space="preserve"> from doing so.</w:t>
      </w:r>
    </w:p>
    <w:p w:rsidR="006B1829" w:rsidRPr="00EF30BB" w:rsidRDefault="006B1829" w:rsidP="006B1829">
      <w:pPr>
        <w:pStyle w:val="ParaNoNdepar-AltN"/>
        <w:tabs>
          <w:tab w:val="clear" w:pos="1166"/>
          <w:tab w:val="num" w:pos="1152"/>
        </w:tabs>
        <w:rPr>
          <w:rFonts w:cs="Times New Roman"/>
        </w:rPr>
      </w:pPr>
      <w:r w:rsidRPr="00EF30BB">
        <w:rPr>
          <w:rFonts w:cs="Times New Roman"/>
        </w:rPr>
        <w:t>Ind</w:t>
      </w:r>
      <w:r w:rsidR="00854D6E">
        <w:rPr>
          <w:rFonts w:cs="Times New Roman"/>
        </w:rPr>
        <w:t>eed, as the Monitor observes, “[o]</w:t>
      </w:r>
      <w:proofErr w:type="spellStart"/>
      <w:r w:rsidRPr="00EF30BB">
        <w:rPr>
          <w:rFonts w:cs="Times New Roman"/>
        </w:rPr>
        <w:t>nce</w:t>
      </w:r>
      <w:proofErr w:type="spellEnd"/>
      <w:r w:rsidRPr="00EF30BB">
        <w:rPr>
          <w:rFonts w:cs="Times New Roman"/>
        </w:rPr>
        <w:t xml:space="preserve"> a plan of arrangement or proposal has been submitted to the creditors of a debtor for voting purposes, to order a second creditors’ meeting to vote on a substantially similar plan would not advance the policy objectives of the </w:t>
      </w:r>
      <w:proofErr w:type="spellStart"/>
      <w:r w:rsidRPr="00EF30BB">
        <w:rPr>
          <w:rFonts w:cs="Times New Roman"/>
        </w:rPr>
        <w:t>CCAA</w:t>
      </w:r>
      <w:proofErr w:type="spellEnd"/>
      <w:r w:rsidRPr="00EF30BB">
        <w:rPr>
          <w:rFonts w:cs="Times New Roman"/>
        </w:rPr>
        <w:t>, nor would it serve and enhance the public’s confidence in the process or otherwise serve the ends of justice” (</w:t>
      </w:r>
      <w:proofErr w:type="spellStart"/>
      <w:r w:rsidRPr="00EF30BB">
        <w:rPr>
          <w:rFonts w:cs="Times New Roman"/>
        </w:rPr>
        <w:t>I.F</w:t>
      </w:r>
      <w:proofErr w:type="spellEnd"/>
      <w:r w:rsidRPr="00EF30BB">
        <w:rPr>
          <w:rFonts w:cs="Times New Roman"/>
        </w:rPr>
        <w:t>., at para. 18). This is particularly the case given that the cost of having another meeting to vote on the New Plan would have been upwards of $200,000 (see supervising</w:t>
      </w:r>
      <w:r w:rsidR="00C82FFA">
        <w:rPr>
          <w:rFonts w:cs="Times New Roman"/>
        </w:rPr>
        <w:t xml:space="preserve"> judge’s reasons, at para. 72).</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We add that </w:t>
      </w:r>
      <w:proofErr w:type="spellStart"/>
      <w:r w:rsidRPr="00EF30BB">
        <w:rPr>
          <w:rFonts w:cs="Times New Roman"/>
        </w:rPr>
        <w:t>Callidus’s</w:t>
      </w:r>
      <w:proofErr w:type="spellEnd"/>
      <w:r w:rsidRPr="00EF30BB">
        <w:rPr>
          <w:rFonts w:cs="Times New Roman"/>
        </w:rPr>
        <w:t xml:space="preserve"> course of action was plainly contrary to the expectation that parties act with due diligence in an insolvency proceeding — which, in our view, includes acting with due diligence in valuing their claims and security. At all material times, </w:t>
      </w:r>
      <w:proofErr w:type="spellStart"/>
      <w:r w:rsidRPr="00EF30BB">
        <w:rPr>
          <w:rFonts w:cs="Times New Roman"/>
        </w:rPr>
        <w:t>Bluberi’s</w:t>
      </w:r>
      <w:proofErr w:type="spellEnd"/>
      <w:r w:rsidRPr="00EF30BB">
        <w:rPr>
          <w:rFonts w:cs="Times New Roman"/>
        </w:rPr>
        <w:t xml:space="preserve"> Retained Claims have been the sole asset securing </w:t>
      </w:r>
      <w:proofErr w:type="spellStart"/>
      <w:r w:rsidRPr="00EF30BB">
        <w:rPr>
          <w:rFonts w:cs="Times New Roman"/>
        </w:rPr>
        <w:t>Callidus’s</w:t>
      </w:r>
      <w:proofErr w:type="spellEnd"/>
      <w:r w:rsidRPr="00EF30BB">
        <w:rPr>
          <w:rFonts w:cs="Times New Roman"/>
        </w:rPr>
        <w:t xml:space="preserve"> claim. </w:t>
      </w:r>
      <w:proofErr w:type="spellStart"/>
      <w:r w:rsidRPr="00EF30BB">
        <w:rPr>
          <w:rFonts w:cs="Times New Roman"/>
        </w:rPr>
        <w:t>Callidus</w:t>
      </w:r>
      <w:proofErr w:type="spellEnd"/>
      <w:r w:rsidRPr="00EF30BB">
        <w:rPr>
          <w:rFonts w:cs="Times New Roman"/>
        </w:rPr>
        <w:t xml:space="preserve"> has pointed to nothing in the record that indicates that the value of the Retained Claims has changed. Had </w:t>
      </w:r>
      <w:proofErr w:type="spellStart"/>
      <w:r w:rsidRPr="00EF30BB">
        <w:rPr>
          <w:rFonts w:cs="Times New Roman"/>
        </w:rPr>
        <w:t>Callidus</w:t>
      </w:r>
      <w:proofErr w:type="spellEnd"/>
      <w:r w:rsidRPr="00EF30BB">
        <w:rPr>
          <w:rFonts w:cs="Times New Roman"/>
        </w:rPr>
        <w:t xml:space="preserve"> been of the view that the Retained Claims had no value, one would have expected </w:t>
      </w:r>
      <w:proofErr w:type="spellStart"/>
      <w:r w:rsidRPr="00EF30BB">
        <w:rPr>
          <w:rFonts w:cs="Times New Roman"/>
        </w:rPr>
        <w:t>Callidus</w:t>
      </w:r>
      <w:proofErr w:type="spellEnd"/>
      <w:r w:rsidRPr="00EF30BB">
        <w:rPr>
          <w:rFonts w:cs="Times New Roman"/>
        </w:rPr>
        <w:t xml:space="preserve"> to have valued its security accordingly prior to the vote on the First Plan, if not earlier. Parenthetically, we note that, irrespective of the timing, an attempt at such a valuation may well have failed. This would have prevented </w:t>
      </w:r>
      <w:proofErr w:type="spellStart"/>
      <w:r w:rsidRPr="00EF30BB">
        <w:rPr>
          <w:rFonts w:cs="Times New Roman"/>
        </w:rPr>
        <w:t>Callidus</w:t>
      </w:r>
      <w:proofErr w:type="spellEnd"/>
      <w:r w:rsidRPr="00EF30BB">
        <w:rPr>
          <w:rFonts w:cs="Times New Roman"/>
        </w:rPr>
        <w:t xml:space="preserve"> from voting as an unsecured creditor, even in the absence of </w:t>
      </w:r>
      <w:proofErr w:type="spellStart"/>
      <w:r w:rsidRPr="00EF30BB">
        <w:rPr>
          <w:rFonts w:cs="Times New Roman"/>
        </w:rPr>
        <w:t>Callidus’s</w:t>
      </w:r>
      <w:proofErr w:type="spellEnd"/>
      <w:r w:rsidRPr="00EF30BB">
        <w:rPr>
          <w:rFonts w:cs="Times New Roman"/>
        </w:rPr>
        <w:t xml:space="preserve"> improper purpose.</w:t>
      </w:r>
    </w:p>
    <w:p w:rsidR="006B1829" w:rsidRPr="00EF30BB" w:rsidRDefault="006B1829" w:rsidP="006B1829">
      <w:pPr>
        <w:pStyle w:val="ParaNoNdepar-AltN"/>
        <w:tabs>
          <w:tab w:val="clear" w:pos="1166"/>
          <w:tab w:val="num" w:pos="1152"/>
        </w:tabs>
        <w:rPr>
          <w:rFonts w:cs="Times New Roman"/>
        </w:rPr>
      </w:pPr>
      <w:r w:rsidRPr="00EF30BB">
        <w:rPr>
          <w:rFonts w:cs="Times New Roman"/>
        </w:rPr>
        <w:lastRenderedPageBreak/>
        <w:t xml:space="preserve"> As we have indicated, discretionary decisions attract a highly deferential standard of review. Deference demands that review of a discretionary decision begin with a proper characterization of the basis for the decision. Respectfully, the Court of Appeal failed in this regard. The Court of Appeal seized on the supervising judge’s somewhat critical comments relating to </w:t>
      </w:r>
      <w:proofErr w:type="spellStart"/>
      <w:r w:rsidRPr="00EF30BB">
        <w:rPr>
          <w:rFonts w:cs="Times New Roman"/>
        </w:rPr>
        <w:t>Callidus’s</w:t>
      </w:r>
      <w:proofErr w:type="spellEnd"/>
      <w:r w:rsidRPr="00EF30BB">
        <w:rPr>
          <w:rFonts w:cs="Times New Roman"/>
        </w:rPr>
        <w:t xml:space="preserve"> goal of being released from the Retained Claims and its conduct throughout the proceedings as being incapable of grounding a finding of improper purpose. However, as we have explained, these considerations did not drive the supervising judge’s conclusion. His conclusion was squarely based on </w:t>
      </w:r>
      <w:proofErr w:type="spellStart"/>
      <w:r w:rsidRPr="00EF30BB">
        <w:rPr>
          <w:rFonts w:cs="Times New Roman"/>
        </w:rPr>
        <w:t>Callidus</w:t>
      </w:r>
      <w:proofErr w:type="spellEnd"/>
      <w:r w:rsidRPr="00EF30BB">
        <w:rPr>
          <w:rFonts w:cs="Times New Roman"/>
        </w:rPr>
        <w:t>’ attempt to manipulate the creditors’ vote to ensure that its New Plan would succeed where its First Plan had failed (see supervising judge’s reasons, at paras. 45-48). We see nothing in the Court of Appeal’s reasons that grapples with this decisive impropriety, which goes far beyond a creditor merely a</w:t>
      </w:r>
      <w:r w:rsidR="00C82FFA">
        <w:rPr>
          <w:rFonts w:cs="Times New Roman"/>
        </w:rPr>
        <w:t>cting in its own self-interest.</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In sum, we see nothing in the supervising judge’s reasons on this point that would justify appellate intervention. </w:t>
      </w:r>
      <w:proofErr w:type="spellStart"/>
      <w:r w:rsidRPr="00EF30BB">
        <w:rPr>
          <w:rFonts w:cs="Times New Roman"/>
        </w:rPr>
        <w:t>Callidus</w:t>
      </w:r>
      <w:proofErr w:type="spellEnd"/>
      <w:r w:rsidRPr="00EF30BB">
        <w:rPr>
          <w:rFonts w:cs="Times New Roman"/>
        </w:rPr>
        <w:t xml:space="preserve"> was properly barred from voting on the New Plan.</w:t>
      </w:r>
    </w:p>
    <w:p w:rsidR="006B1829" w:rsidRPr="00EF30BB" w:rsidRDefault="006B1829" w:rsidP="006B1829">
      <w:pPr>
        <w:pStyle w:val="ParaNoNdepar-AltN"/>
        <w:tabs>
          <w:tab w:val="clear" w:pos="1166"/>
          <w:tab w:val="num" w:pos="1152"/>
        </w:tabs>
        <w:rPr>
          <w:rFonts w:cs="Times New Roman"/>
        </w:rPr>
      </w:pPr>
      <w:r w:rsidRPr="00EF30BB">
        <w:rPr>
          <w:rFonts w:cs="Times New Roman"/>
        </w:rPr>
        <w:t xml:space="preserve">Before moving on, we note that the Court of Appeal addressed two further issues: whether </w:t>
      </w:r>
      <w:proofErr w:type="spellStart"/>
      <w:r w:rsidRPr="00EF30BB">
        <w:rPr>
          <w:rFonts w:cs="Times New Roman"/>
        </w:rPr>
        <w:t>Callidus</w:t>
      </w:r>
      <w:proofErr w:type="spellEnd"/>
      <w:r w:rsidRPr="00EF30BB">
        <w:rPr>
          <w:rFonts w:cs="Times New Roman"/>
        </w:rPr>
        <w:t xml:space="preserve"> is “related” to </w:t>
      </w:r>
      <w:proofErr w:type="spellStart"/>
      <w:r w:rsidRPr="00EF30BB">
        <w:rPr>
          <w:rFonts w:cs="Times New Roman"/>
        </w:rPr>
        <w:t>Bluberi</w:t>
      </w:r>
      <w:proofErr w:type="spellEnd"/>
      <w:r w:rsidRPr="00EF30BB">
        <w:rPr>
          <w:rFonts w:cs="Times New Roman"/>
        </w:rPr>
        <w:t xml:space="preserve"> within the meaning of s. 22(3) of the </w:t>
      </w:r>
      <w:proofErr w:type="spellStart"/>
      <w:r w:rsidRPr="00EF30BB">
        <w:rPr>
          <w:rFonts w:cs="Times New Roman"/>
          <w:i/>
        </w:rPr>
        <w:t>CCAA</w:t>
      </w:r>
      <w:proofErr w:type="spellEnd"/>
      <w:r w:rsidRPr="00EF30BB">
        <w:rPr>
          <w:rFonts w:cs="Times New Roman"/>
        </w:rPr>
        <w:t xml:space="preserve">; and whether, if permitted to vote, </w:t>
      </w:r>
      <w:proofErr w:type="spellStart"/>
      <w:r w:rsidRPr="00EF30BB">
        <w:rPr>
          <w:rFonts w:cs="Times New Roman"/>
        </w:rPr>
        <w:t>Callidus</w:t>
      </w:r>
      <w:proofErr w:type="spellEnd"/>
      <w:r w:rsidRPr="00EF30BB">
        <w:rPr>
          <w:rFonts w:cs="Times New Roman"/>
        </w:rPr>
        <w:t xml:space="preserve"> should be ordered to vote in a separate class from </w:t>
      </w:r>
      <w:proofErr w:type="spellStart"/>
      <w:r w:rsidRPr="00EF30BB">
        <w:rPr>
          <w:rFonts w:cs="Times New Roman"/>
        </w:rPr>
        <w:t>Bluberi’s</w:t>
      </w:r>
      <w:proofErr w:type="spellEnd"/>
      <w:r w:rsidRPr="00EF30BB">
        <w:rPr>
          <w:rFonts w:cs="Times New Roman"/>
        </w:rPr>
        <w:t xml:space="preserve"> other creditors (see </w:t>
      </w:r>
      <w:proofErr w:type="spellStart"/>
      <w:r w:rsidRPr="00EF30BB">
        <w:rPr>
          <w:rFonts w:cs="Times New Roman"/>
          <w:i/>
        </w:rPr>
        <w:t>CCAA</w:t>
      </w:r>
      <w:proofErr w:type="spellEnd"/>
      <w:r w:rsidRPr="00EF30BB">
        <w:rPr>
          <w:rFonts w:cs="Times New Roman"/>
        </w:rPr>
        <w:t xml:space="preserve">, s. 22(1) and (2)). Given our conclusion that the supervising judge did not err in barring </w:t>
      </w:r>
      <w:proofErr w:type="spellStart"/>
      <w:r w:rsidRPr="00EF30BB">
        <w:rPr>
          <w:rFonts w:cs="Times New Roman"/>
        </w:rPr>
        <w:t>Callidus</w:t>
      </w:r>
      <w:proofErr w:type="spellEnd"/>
      <w:r w:rsidRPr="00EF30BB">
        <w:rPr>
          <w:rFonts w:cs="Times New Roman"/>
        </w:rPr>
        <w:t xml:space="preserve"> from voting on the </w:t>
      </w:r>
      <w:r w:rsidRPr="00EF30BB">
        <w:rPr>
          <w:rFonts w:cs="Times New Roman"/>
        </w:rPr>
        <w:lastRenderedPageBreak/>
        <w:t xml:space="preserve">New Plan on the basis that </w:t>
      </w:r>
      <w:proofErr w:type="spellStart"/>
      <w:r w:rsidRPr="00EF30BB">
        <w:rPr>
          <w:rFonts w:cs="Times New Roman"/>
        </w:rPr>
        <w:t>Callidus</w:t>
      </w:r>
      <w:proofErr w:type="spellEnd"/>
      <w:r w:rsidRPr="00EF30BB">
        <w:rPr>
          <w:rFonts w:cs="Times New Roman"/>
        </w:rPr>
        <w:t xml:space="preserve"> was acting for an improper purpose, it is unnecessary to address either of these issues. However, nothing in our reasons should be read as endorsing the Cour</w:t>
      </w:r>
      <w:r w:rsidR="00C82FFA">
        <w:rPr>
          <w:rFonts w:cs="Times New Roman"/>
        </w:rPr>
        <w:t>t of Appeal’s analysis of them.</w:t>
      </w:r>
    </w:p>
    <w:p w:rsidR="006B1829" w:rsidRPr="00EF30BB" w:rsidRDefault="006B1829" w:rsidP="006B1829">
      <w:pPr>
        <w:pStyle w:val="Title2LevelTitre2Niveau"/>
        <w:keepNext/>
        <w:rPr>
          <w:rFonts w:cs="Times New Roman"/>
        </w:rPr>
      </w:pPr>
      <w:bookmarkStart w:id="42" w:name="_Toc33564177"/>
      <w:bookmarkStart w:id="43" w:name="_Toc33653918"/>
      <w:proofErr w:type="spellStart"/>
      <w:r w:rsidRPr="00EF30BB">
        <w:rPr>
          <w:rFonts w:cs="Times New Roman"/>
        </w:rPr>
        <w:t>Bluberi’s</w:t>
      </w:r>
      <w:proofErr w:type="spellEnd"/>
      <w:r w:rsidRPr="00EF30BB">
        <w:rPr>
          <w:rFonts w:cs="Times New Roman"/>
        </w:rPr>
        <w:t xml:space="preserve"> </w:t>
      </w:r>
      <w:proofErr w:type="spellStart"/>
      <w:r w:rsidRPr="00EF30BB">
        <w:rPr>
          <w:rFonts w:cs="Times New Roman"/>
        </w:rPr>
        <w:t>LFA</w:t>
      </w:r>
      <w:proofErr w:type="spellEnd"/>
      <w:r w:rsidRPr="00EF30BB">
        <w:rPr>
          <w:rFonts w:cs="Times New Roman"/>
        </w:rPr>
        <w:t xml:space="preserve"> Should Be Approved as Interim Financing</w:t>
      </w:r>
      <w:bookmarkEnd w:id="42"/>
      <w:bookmarkEnd w:id="43"/>
    </w:p>
    <w:p w:rsidR="006B1829" w:rsidRPr="00EF30BB" w:rsidRDefault="006B1829" w:rsidP="006B1829">
      <w:pPr>
        <w:pStyle w:val="ParaNoNdepar-AltN"/>
        <w:rPr>
          <w:rFonts w:cs="Times New Roman"/>
        </w:rPr>
      </w:pPr>
      <w:r w:rsidRPr="00EF30BB">
        <w:rPr>
          <w:rFonts w:cs="Times New Roman"/>
        </w:rPr>
        <w:t xml:space="preserve">In our view, the supervising judge made no error in approving the </w:t>
      </w:r>
      <w:proofErr w:type="spellStart"/>
      <w:r w:rsidRPr="00EF30BB">
        <w:rPr>
          <w:rFonts w:cs="Times New Roman"/>
        </w:rPr>
        <w:t>LFA</w:t>
      </w:r>
      <w:proofErr w:type="spellEnd"/>
      <w:r w:rsidRPr="00EF30BB">
        <w:rPr>
          <w:rFonts w:cs="Times New Roman"/>
        </w:rPr>
        <w:t xml:space="preserve"> as interim financing pursuant to s. 11.2 of the </w:t>
      </w:r>
      <w:proofErr w:type="spellStart"/>
      <w:r w:rsidRPr="00EF30BB">
        <w:rPr>
          <w:rFonts w:cs="Times New Roman"/>
          <w:i/>
        </w:rPr>
        <w:t>CCAA</w:t>
      </w:r>
      <w:proofErr w:type="spellEnd"/>
      <w:r w:rsidRPr="00EF30BB">
        <w:rPr>
          <w:rFonts w:cs="Times New Roman"/>
        </w:rPr>
        <w:t xml:space="preserve">. Interim financing is a flexible tool that may take on a range of forms. As we will explain, third party litigation funding may be one such form. Whether third party litigation funding should be approved as interim financing is a case-specific inquiry that should have regard to the text of s. 11.2 and the remedial objectives of the </w:t>
      </w:r>
      <w:proofErr w:type="spellStart"/>
      <w:r w:rsidRPr="00EF30BB">
        <w:rPr>
          <w:rFonts w:cs="Times New Roman"/>
          <w:i/>
        </w:rPr>
        <w:t>CCAA</w:t>
      </w:r>
      <w:proofErr w:type="spellEnd"/>
      <w:r w:rsidR="00C82FFA">
        <w:rPr>
          <w:rFonts w:cs="Times New Roman"/>
        </w:rPr>
        <w:t xml:space="preserve"> more generally.</w:t>
      </w:r>
    </w:p>
    <w:p w:rsidR="006B1829" w:rsidRPr="00EF30BB" w:rsidRDefault="006B1829" w:rsidP="006B1829">
      <w:pPr>
        <w:pStyle w:val="Title3LevelTitre3Niveau"/>
        <w:keepNext/>
        <w:tabs>
          <w:tab w:val="clear" w:pos="1566"/>
          <w:tab w:val="num" w:pos="1170"/>
        </w:tabs>
        <w:ind w:left="1170"/>
        <w:rPr>
          <w:rFonts w:cs="Times New Roman"/>
        </w:rPr>
      </w:pPr>
      <w:bookmarkStart w:id="44" w:name="_Toc33564178"/>
      <w:bookmarkStart w:id="45" w:name="_Toc33653919"/>
      <w:r w:rsidRPr="00EF30BB">
        <w:rPr>
          <w:rFonts w:cs="Times New Roman"/>
        </w:rPr>
        <w:t xml:space="preserve">Interim Financing and Section 11.2 of the </w:t>
      </w:r>
      <w:proofErr w:type="spellStart"/>
      <w:r w:rsidRPr="00EF30BB">
        <w:rPr>
          <w:rFonts w:cs="Times New Roman"/>
          <w:i/>
        </w:rPr>
        <w:t>CCAA</w:t>
      </w:r>
      <w:bookmarkEnd w:id="44"/>
      <w:bookmarkEnd w:id="45"/>
      <w:proofErr w:type="spellEnd"/>
    </w:p>
    <w:p w:rsidR="006B1829" w:rsidRPr="00EF30BB" w:rsidRDefault="006B1829" w:rsidP="006B1829">
      <w:pPr>
        <w:pStyle w:val="ParaNoNdepar-AltN"/>
        <w:rPr>
          <w:rFonts w:cs="Times New Roman"/>
        </w:rPr>
      </w:pPr>
      <w:r w:rsidRPr="00EF30BB">
        <w:rPr>
          <w:rFonts w:cs="Times New Roman"/>
        </w:rPr>
        <w:t xml:space="preserve">Interim financing, despite being expressly provided for in s. 11.2 of the </w:t>
      </w:r>
      <w:proofErr w:type="spellStart"/>
      <w:r w:rsidRPr="00EF30BB">
        <w:rPr>
          <w:rFonts w:cs="Times New Roman"/>
          <w:i/>
        </w:rPr>
        <w:t>CCAA</w:t>
      </w:r>
      <w:proofErr w:type="spellEnd"/>
      <w:r w:rsidRPr="00EF30BB">
        <w:rPr>
          <w:rFonts w:cs="Times New Roman"/>
        </w:rPr>
        <w:t xml:space="preserve">, is not defined in the Act. Professor </w:t>
      </w:r>
      <w:proofErr w:type="spellStart"/>
      <w:r w:rsidRPr="00EF30BB">
        <w:rPr>
          <w:rFonts w:cs="Times New Roman"/>
        </w:rPr>
        <w:t>Sarra</w:t>
      </w:r>
      <w:proofErr w:type="spellEnd"/>
      <w:r w:rsidRPr="00EF30BB">
        <w:rPr>
          <w:rFonts w:cs="Times New Roman"/>
        </w:rPr>
        <w:t xml:space="preserve"> has described it as “refer[ring] primarily to the working capital that the debtor corporation requires in order to keep operating during restructuring proceedings, as well as to the financing to pay the costs of the workout process” (</w:t>
      </w:r>
      <w:r w:rsidRPr="00EF30BB">
        <w:rPr>
          <w:rFonts w:cs="Times New Roman"/>
          <w:i/>
        </w:rPr>
        <w:t>Rescue! The Companies’ Creditors Arrangement Act</w:t>
      </w:r>
      <w:r w:rsidRPr="00EF30BB">
        <w:rPr>
          <w:rFonts w:cs="Times New Roman"/>
        </w:rPr>
        <w:t xml:space="preserve">, at p. 197). Interim financing used in this way — sometimes referred to as “debtor-in-possession” financing — protects the going-concern value of the debtor company while it develops a workable solution to its insolvency issues (p. 197; </w:t>
      </w:r>
      <w:r w:rsidRPr="00EF30BB">
        <w:rPr>
          <w:rFonts w:cs="Times New Roman"/>
          <w:i/>
        </w:rPr>
        <w:t>Royal Oak Mines Inc</w:t>
      </w:r>
      <w:r w:rsidRPr="00E865B5">
        <w:rPr>
          <w:rFonts w:cs="Times New Roman"/>
          <w:i/>
        </w:rPr>
        <w:t>.,</w:t>
      </w:r>
      <w:r w:rsidRPr="00EF30BB">
        <w:rPr>
          <w:rFonts w:cs="Times New Roman"/>
        </w:rPr>
        <w:t xml:space="preserve"> </w:t>
      </w:r>
      <w:r w:rsidRPr="00EF30BB">
        <w:rPr>
          <w:rFonts w:cs="Times New Roman"/>
          <w:i/>
        </w:rPr>
        <w:t>Re</w:t>
      </w:r>
      <w:r w:rsidRPr="00EF30BB">
        <w:rPr>
          <w:rFonts w:cs="Times New Roman"/>
        </w:rPr>
        <w:t xml:space="preserve"> (1999),</w:t>
      </w:r>
      <w:r>
        <w:rPr>
          <w:rFonts w:cs="Times New Roman"/>
        </w:rPr>
        <w:t xml:space="preserve"> 6 </w:t>
      </w:r>
      <w:proofErr w:type="spellStart"/>
      <w:r>
        <w:rPr>
          <w:rFonts w:cs="Times New Roman"/>
        </w:rPr>
        <w:t>C.B.R</w:t>
      </w:r>
      <w:proofErr w:type="spellEnd"/>
      <w:r>
        <w:rPr>
          <w:rFonts w:cs="Times New Roman"/>
        </w:rPr>
        <w:t>. (4th) 314</w:t>
      </w:r>
      <w:r w:rsidRPr="00EF30BB">
        <w:rPr>
          <w:rFonts w:cs="Times New Roman"/>
        </w:rPr>
        <w:t xml:space="preserve"> (Ont. </w:t>
      </w:r>
      <w:proofErr w:type="spellStart"/>
      <w:r w:rsidRPr="00EF30BB">
        <w:rPr>
          <w:rFonts w:cs="Times New Roman"/>
        </w:rPr>
        <w:t>C.J</w:t>
      </w:r>
      <w:proofErr w:type="spellEnd"/>
      <w:r w:rsidRPr="00EF30BB">
        <w:rPr>
          <w:rFonts w:cs="Times New Roman"/>
        </w:rPr>
        <w:t xml:space="preserve">. (Gen. Div.)), at paras. 7, 9 and 24; </w:t>
      </w:r>
      <w:r w:rsidRPr="00EF30BB">
        <w:rPr>
          <w:rFonts w:cs="Times New Roman"/>
          <w:i/>
        </w:rPr>
        <w:t xml:space="preserve">Boutiques </w:t>
      </w:r>
      <w:r w:rsidRPr="00EF30BB">
        <w:rPr>
          <w:rFonts w:cs="Times New Roman"/>
          <w:i/>
        </w:rPr>
        <w:lastRenderedPageBreak/>
        <w:t xml:space="preserve">San Francisco Inc. v. Richter &amp; </w:t>
      </w:r>
      <w:proofErr w:type="spellStart"/>
      <w:r w:rsidRPr="00EF30BB">
        <w:rPr>
          <w:rFonts w:cs="Times New Roman"/>
          <w:i/>
        </w:rPr>
        <w:t>Associ</w:t>
      </w:r>
      <w:r w:rsidRPr="00EF30BB">
        <w:rPr>
          <w:rFonts w:cs="Times New Roman"/>
          <w:i/>
          <w:lang w:val="en-US"/>
        </w:rPr>
        <w:t>és</w:t>
      </w:r>
      <w:proofErr w:type="spellEnd"/>
      <w:r w:rsidRPr="00EF30BB">
        <w:rPr>
          <w:rFonts w:cs="Times New Roman"/>
          <w:i/>
          <w:lang w:val="en-US"/>
        </w:rPr>
        <w:t xml:space="preserve"> Inc.</w:t>
      </w:r>
      <w:r w:rsidRPr="00EF30BB">
        <w:rPr>
          <w:rFonts w:cs="Times New Roman"/>
        </w:rPr>
        <w:t xml:space="preserve">, 2003 </w:t>
      </w:r>
      <w:proofErr w:type="spellStart"/>
      <w:r w:rsidRPr="00EF30BB">
        <w:rPr>
          <w:rFonts w:cs="Times New Roman"/>
        </w:rPr>
        <w:t>CanLII</w:t>
      </w:r>
      <w:proofErr w:type="spellEnd"/>
      <w:r w:rsidRPr="00EF30BB">
        <w:rPr>
          <w:rFonts w:cs="Times New Roman"/>
        </w:rPr>
        <w:t xml:space="preserve"> 36955 (Que. Sup. Ct.), at para. 32). </w:t>
      </w:r>
      <w:proofErr w:type="gramStart"/>
      <w:r w:rsidRPr="00EF30BB">
        <w:rPr>
          <w:rFonts w:cs="Times New Roman"/>
        </w:rPr>
        <w:t>That</w:t>
      </w:r>
      <w:proofErr w:type="gramEnd"/>
      <w:r w:rsidRPr="00EF30BB">
        <w:rPr>
          <w:rFonts w:cs="Times New Roman"/>
        </w:rPr>
        <w:t xml:space="preserve"> said, interim financing is not limited to providing debtor companies with immediate operating capital. Consistent with the remedial objectives of the </w:t>
      </w:r>
      <w:proofErr w:type="spellStart"/>
      <w:r w:rsidRPr="00EF30BB">
        <w:rPr>
          <w:rFonts w:cs="Times New Roman"/>
          <w:i/>
        </w:rPr>
        <w:t>CCAA</w:t>
      </w:r>
      <w:proofErr w:type="spellEnd"/>
      <w:r w:rsidRPr="00EF30BB">
        <w:rPr>
          <w:rFonts w:cs="Times New Roman"/>
        </w:rPr>
        <w:t xml:space="preserve">, interim financing at its core enables the preservation and realization of </w:t>
      </w:r>
      <w:r w:rsidR="00C82FFA">
        <w:rPr>
          <w:rFonts w:cs="Times New Roman"/>
        </w:rPr>
        <w:t>the value of a debtor’s assets.</w:t>
      </w:r>
    </w:p>
    <w:p w:rsidR="006B1829" w:rsidRPr="00EF30BB" w:rsidRDefault="006B1829" w:rsidP="0096022B">
      <w:pPr>
        <w:pStyle w:val="ParaNoNdepar-AltN"/>
        <w:spacing w:before="0"/>
        <w:rPr>
          <w:rFonts w:cs="Times New Roman"/>
        </w:rPr>
      </w:pPr>
      <w:r w:rsidRPr="00EF30BB">
        <w:rPr>
          <w:rFonts w:cs="Times New Roman"/>
        </w:rPr>
        <w:t xml:space="preserve">Since 2009, s. 11.2(1)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has codified a supervising judge’s discretion to approve interim financing, and to grant a corresponding security or charge in favour of the lender in the amount the judge considers appropriate:</w:t>
      </w:r>
    </w:p>
    <w:p w:rsidR="006B1829" w:rsidRPr="00EF30BB" w:rsidRDefault="006B1829" w:rsidP="006B1829">
      <w:pPr>
        <w:pStyle w:val="Citation-AltC"/>
        <w:keepNext/>
        <w:spacing w:after="120"/>
        <w:contextualSpacing w:val="0"/>
        <w:rPr>
          <w:b/>
        </w:rPr>
      </w:pPr>
      <w:r w:rsidRPr="00EF30BB">
        <w:rPr>
          <w:b/>
        </w:rPr>
        <w:t>Interim financing</w:t>
      </w:r>
    </w:p>
    <w:p w:rsidR="006B1829" w:rsidRPr="00EF30BB" w:rsidRDefault="006B1829" w:rsidP="006B1829">
      <w:pPr>
        <w:pStyle w:val="Citation-AltC"/>
        <w:keepNext/>
      </w:pPr>
      <w:r w:rsidRPr="00EF30BB">
        <w:rPr>
          <w:rStyle w:val="sectionlabel"/>
        </w:rPr>
        <w:t>11.2</w:t>
      </w:r>
      <w:r w:rsidRPr="00EF30BB">
        <w:t> </w:t>
      </w:r>
      <w:r w:rsidRPr="00EF30BB">
        <w:rPr>
          <w:rStyle w:val="canliisectionwithsubsection"/>
          <w:rFonts w:eastAsiaTheme="minorHAnsi"/>
          <w:b/>
        </w:rPr>
        <w:t>(1)</w:t>
      </w:r>
      <w:r w:rsidRPr="00EF30BB">
        <w:t> On application by a debtor company and on notice to the secured creditors who are likely to be affected by the security or charge, a court may make an order declaring that all or part of the company’s property is subject to a security or charge — in an amount that the court considers appropriate — in favour of a person specified in the order who agrees to lend to the company an amount approved by the court as being required by the company, having regard to its cash-flow statement. The security or charge may not secure an obligation that exists before the order is made.</w:t>
      </w:r>
    </w:p>
    <w:p w:rsidR="006B1829" w:rsidRPr="00EF30BB" w:rsidRDefault="006B1829" w:rsidP="0047750D">
      <w:pPr>
        <w:pStyle w:val="ParaNoNdepar-AltN"/>
        <w:rPr>
          <w:rFonts w:cs="Times New Roman"/>
        </w:rPr>
      </w:pPr>
      <w:r w:rsidRPr="00EF30BB">
        <w:rPr>
          <w:rFonts w:cs="Times New Roman"/>
        </w:rPr>
        <w:t>The breadth of a supervising judge’s discretion to approve interim financing is apparent from the wording of s. 11.2(1). Aside from the protections regarding notice and pre-filing security, s. 11.2(1) does not mandate any standard form</w:t>
      </w:r>
      <w:r w:rsidR="0047750D">
        <w:rPr>
          <w:rFonts w:cs="Times New Roman"/>
        </w:rPr>
        <w:t xml:space="preserve"> </w:t>
      </w:r>
      <w:r w:rsidRPr="00EF30BB">
        <w:rPr>
          <w:rFonts w:cs="Times New Roman"/>
        </w:rPr>
        <w:lastRenderedPageBreak/>
        <w:t>or terms.</w:t>
      </w:r>
      <w:r w:rsidRPr="00C82FFA">
        <w:rPr>
          <w:rStyle w:val="Hyperlink"/>
          <w:color w:val="000000" w:themeColor="text1"/>
          <w:u w:val="none"/>
          <w:vertAlign w:val="superscript"/>
        </w:rPr>
        <w:footnoteReference w:id="5"/>
      </w:r>
      <w:r w:rsidRPr="00EF30BB">
        <w:rPr>
          <w:rFonts w:cs="Times New Roman"/>
        </w:rPr>
        <w:t xml:space="preserve"> It simply provides that the financing must be in an amount that is “appropriate” and “required by the company, having regard to its cash-flow statement”.</w:t>
      </w:r>
    </w:p>
    <w:p w:rsidR="006B1829" w:rsidRPr="00EF30BB" w:rsidRDefault="006B1829" w:rsidP="00EA51BD">
      <w:pPr>
        <w:pStyle w:val="ParaNoNdepar-AltN"/>
        <w:spacing w:before="0"/>
        <w:rPr>
          <w:rFonts w:cs="Times New Roman"/>
        </w:rPr>
      </w:pPr>
      <w:r w:rsidRPr="00EF30BB">
        <w:rPr>
          <w:rFonts w:cs="Times New Roman"/>
        </w:rPr>
        <w:t xml:space="preserve"> The supervising judge may also grant the lender a “super-priority charge” that will rank in priority over the claims of any secured cre</w:t>
      </w:r>
      <w:r w:rsidR="00C82FFA">
        <w:rPr>
          <w:rFonts w:cs="Times New Roman"/>
        </w:rPr>
        <w:t>ditors, pursuant to s. 11.2(2):</w:t>
      </w:r>
    </w:p>
    <w:p w:rsidR="006B1829" w:rsidRPr="00EF30BB" w:rsidRDefault="006B1829" w:rsidP="00EA51BD">
      <w:pPr>
        <w:pStyle w:val="Citation-AltC"/>
        <w:spacing w:after="120"/>
        <w:ind w:left="1152"/>
        <w:contextualSpacing w:val="0"/>
        <w:rPr>
          <w:b/>
        </w:rPr>
      </w:pPr>
      <w:r w:rsidRPr="00EF30BB">
        <w:rPr>
          <w:b/>
        </w:rPr>
        <w:t>Priority — secured creditors</w:t>
      </w:r>
    </w:p>
    <w:p w:rsidR="006B1829" w:rsidRPr="00EF30BB" w:rsidRDefault="006B1829" w:rsidP="006B1829">
      <w:pPr>
        <w:pStyle w:val="Citation-AltC"/>
      </w:pPr>
      <w:r w:rsidRPr="00EF30BB">
        <w:rPr>
          <w:rStyle w:val="canliisubsection"/>
          <w:rFonts w:eastAsiaTheme="majorEastAsia"/>
        </w:rPr>
        <w:t>(2)</w:t>
      </w:r>
      <w:r w:rsidRPr="00EF30BB">
        <w:t> The court may order that the security or charge rank in priority over the claim of any secured creditor of the company.</w:t>
      </w:r>
    </w:p>
    <w:p w:rsidR="006B1829" w:rsidRPr="00EF30BB" w:rsidRDefault="006B1829" w:rsidP="006B1829">
      <w:pPr>
        <w:pStyle w:val="ParaNoNdepar-AltN"/>
        <w:rPr>
          <w:rFonts w:cs="Times New Roman"/>
        </w:rPr>
      </w:pPr>
      <w:r w:rsidRPr="00EF30BB">
        <w:rPr>
          <w:rFonts w:cs="Times New Roman"/>
        </w:rPr>
        <w:t xml:space="preserve">Such charges, also known as “priming liens”, reduce lenders’ risks, thereby incentivizing them to assist insolvent companies (Innovation, Science and Economic Development Canada, </w:t>
      </w:r>
      <w:r w:rsidRPr="00EF30BB">
        <w:rPr>
          <w:rFonts w:cs="Times New Roman"/>
          <w:i/>
        </w:rPr>
        <w:t>Archived</w:t>
      </w:r>
      <w:r w:rsidRPr="00EF30BB">
        <w:rPr>
          <w:rFonts w:cs="Times New Roman"/>
        </w:rPr>
        <w:t xml:space="preserve"> — </w:t>
      </w:r>
      <w:r w:rsidRPr="00EF30BB">
        <w:rPr>
          <w:rFonts w:cs="Times New Roman"/>
          <w:i/>
        </w:rPr>
        <w:t>Bill C-55: clause by clause analysis</w:t>
      </w:r>
      <w:r w:rsidRPr="00EF30BB">
        <w:rPr>
          <w:rFonts w:cs="Times New Roman"/>
        </w:rPr>
        <w:t xml:space="preserve">, last updated December 29, 2016 (online), cl. 128, s. 11.2; Wood, at p. 387). As a practical matter, these charges are often the only way to encourage this lending. Normally, a lender protects itself against lending risk by taking a security interest in the borrower’s assets. However, debtor companies under </w:t>
      </w:r>
      <w:proofErr w:type="spellStart"/>
      <w:r w:rsidRPr="00EF30BB">
        <w:rPr>
          <w:rFonts w:cs="Times New Roman"/>
          <w:i/>
        </w:rPr>
        <w:t>CCAA</w:t>
      </w:r>
      <w:proofErr w:type="spellEnd"/>
      <w:r w:rsidRPr="00EF30BB">
        <w:rPr>
          <w:rFonts w:cs="Times New Roman"/>
          <w:i/>
        </w:rPr>
        <w:t xml:space="preserve"> </w:t>
      </w:r>
      <w:r w:rsidRPr="00EF30BB">
        <w:rPr>
          <w:rFonts w:cs="Times New Roman"/>
        </w:rPr>
        <w:t>protection will often have pledged all or substantially all of their assets to other creditors. Accordingly, without the benefit of a super-priority charge, an interim financing lender would rank behind those other creditors (</w:t>
      </w:r>
      <w:proofErr w:type="spellStart"/>
      <w:r w:rsidRPr="00EF30BB">
        <w:rPr>
          <w:rFonts w:cs="Times New Roman"/>
        </w:rPr>
        <w:t>McElcheran</w:t>
      </w:r>
      <w:proofErr w:type="spellEnd"/>
      <w:r w:rsidRPr="00EF30BB">
        <w:rPr>
          <w:rFonts w:cs="Times New Roman"/>
        </w:rPr>
        <w:t xml:space="preserve">, at pp. 298-99). Although super-priority charges do subordinate </w:t>
      </w:r>
      <w:r w:rsidRPr="00EF30BB">
        <w:rPr>
          <w:rFonts w:cs="Times New Roman"/>
        </w:rPr>
        <w:lastRenderedPageBreak/>
        <w:t xml:space="preserve">secured creditors’ security positions to the interim financing lender’s — a result that was controversial at common law — Parliament has indicated its general acceptance of the trade-offs associated with these charges by enacting s. 11.2(2) (see </w:t>
      </w:r>
      <w:r>
        <w:rPr>
          <w:rFonts w:cs="Times New Roman"/>
        </w:rPr>
        <w:t xml:space="preserve">M. B. </w:t>
      </w:r>
      <w:proofErr w:type="spellStart"/>
      <w:r>
        <w:rPr>
          <w:rFonts w:cs="Times New Roman"/>
        </w:rPr>
        <w:t>Rotsztain</w:t>
      </w:r>
      <w:proofErr w:type="spellEnd"/>
      <w:r>
        <w:rPr>
          <w:rFonts w:cs="Times New Roman"/>
        </w:rPr>
        <w:t xml:space="preserve"> and A. </w:t>
      </w:r>
      <w:proofErr w:type="spellStart"/>
      <w:r>
        <w:rPr>
          <w:rFonts w:cs="Times New Roman"/>
        </w:rPr>
        <w:t>Dostal</w:t>
      </w:r>
      <w:proofErr w:type="spellEnd"/>
      <w:r>
        <w:rPr>
          <w:rFonts w:cs="Times New Roman"/>
        </w:rPr>
        <w:t xml:space="preserve">, “Debtor-In-Possession Financing”, in </w:t>
      </w:r>
      <w:r w:rsidRPr="00EF30BB">
        <w:rPr>
          <w:rFonts w:cs="Times New Roman"/>
        </w:rPr>
        <w:t>S. Ben-</w:t>
      </w:r>
      <w:proofErr w:type="spellStart"/>
      <w:r w:rsidRPr="00EF30BB">
        <w:rPr>
          <w:rFonts w:cs="Times New Roman"/>
        </w:rPr>
        <w:t>Ishai</w:t>
      </w:r>
      <w:proofErr w:type="spellEnd"/>
      <w:r w:rsidRPr="00EF30BB">
        <w:rPr>
          <w:rFonts w:cs="Times New Roman"/>
        </w:rPr>
        <w:t xml:space="preserve"> and A. Duggan, eds., </w:t>
      </w:r>
      <w:r w:rsidRPr="00EF30BB">
        <w:rPr>
          <w:rFonts w:cs="Times New Roman"/>
          <w:i/>
        </w:rPr>
        <w:t>Canadian Bankruptcy and Insolvency Law: Bill C-55, Statute c. 47 and Beyond</w:t>
      </w:r>
      <w:r w:rsidRPr="00EF30BB">
        <w:rPr>
          <w:rFonts w:cs="Times New Roman"/>
        </w:rPr>
        <w:t xml:space="preserve"> (2007), </w:t>
      </w:r>
      <w:r>
        <w:rPr>
          <w:rFonts w:cs="Times New Roman"/>
        </w:rPr>
        <w:t xml:space="preserve">227, </w:t>
      </w:r>
      <w:r w:rsidR="0040252E">
        <w:rPr>
          <w:rFonts w:cs="Times New Roman"/>
        </w:rPr>
        <w:t>at pp. 228-</w:t>
      </w:r>
      <w:r w:rsidRPr="00EF30BB">
        <w:rPr>
          <w:rFonts w:cs="Times New Roman"/>
        </w:rPr>
        <w:t xml:space="preserve">29 and 240-50). Indeed, this balance was expressly considered by the Standing Senate Committee on Banking, Trade and Commerce that recommended codifying interim financing in the </w:t>
      </w:r>
      <w:proofErr w:type="spellStart"/>
      <w:r w:rsidRPr="00EF30BB">
        <w:rPr>
          <w:rFonts w:cs="Times New Roman"/>
          <w:i/>
        </w:rPr>
        <w:t>CCAA</w:t>
      </w:r>
      <w:proofErr w:type="spellEnd"/>
      <w:r w:rsidRPr="00EF30BB">
        <w:rPr>
          <w:rFonts w:cs="Times New Roman"/>
          <w:i/>
        </w:rPr>
        <w:t xml:space="preserve"> </w:t>
      </w:r>
      <w:r w:rsidR="00C82FFA">
        <w:rPr>
          <w:rFonts w:cs="Times New Roman"/>
        </w:rPr>
        <w:t>(pp. 100-</w:t>
      </w:r>
      <w:r w:rsidR="00854D6E">
        <w:rPr>
          <w:rFonts w:cs="Times New Roman"/>
        </w:rPr>
        <w:t>10</w:t>
      </w:r>
      <w:r w:rsidR="00C82FFA">
        <w:rPr>
          <w:rFonts w:cs="Times New Roman"/>
        </w:rPr>
        <w:t>4).</w:t>
      </w:r>
    </w:p>
    <w:p w:rsidR="006B1829" w:rsidRPr="00EF30BB" w:rsidRDefault="006B1829" w:rsidP="00EA51BD">
      <w:pPr>
        <w:pStyle w:val="ParaNoNdepar-AltN"/>
        <w:spacing w:before="0"/>
        <w:rPr>
          <w:rFonts w:cs="Times New Roman"/>
        </w:rPr>
      </w:pPr>
      <w:r w:rsidRPr="00EF30BB">
        <w:rPr>
          <w:rFonts w:cs="Times New Roman"/>
        </w:rPr>
        <w:t xml:space="preserve">Ultimately, whether proposed interim financing should be approved is a question that the supervising judge is best-placed to answer.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sets out a number of factors that help guide the exercise of this discretion. The inclusion of these factors in s. 11.2 was informed by the Standing Senate Committee on Banking, Trade and Commerce’s view that they would help meet the “fundamental principles” that have guided the development of Canadian insolvency law, including “fairness, predictability and efficiency” (p. 103; see also Innovation, Science and Economic Development Canada, cl. 128, s. 11.2). In deciding whether to grant interim financing, the supervising judge is to consider the following </w:t>
      </w:r>
      <w:r w:rsidR="00C82FFA">
        <w:rPr>
          <w:rFonts w:cs="Times New Roman"/>
        </w:rPr>
        <w:t>non-exhaustive list of factors:</w:t>
      </w:r>
    </w:p>
    <w:p w:rsidR="006B1829" w:rsidRPr="00EF30BB" w:rsidRDefault="006B1829" w:rsidP="006B1829">
      <w:pPr>
        <w:pStyle w:val="Citation-AltC"/>
        <w:keepNext/>
        <w:spacing w:after="120"/>
        <w:contextualSpacing w:val="0"/>
        <w:rPr>
          <w:b/>
        </w:rPr>
      </w:pPr>
      <w:r w:rsidRPr="00EF30BB">
        <w:rPr>
          <w:b/>
        </w:rPr>
        <w:t>Factors to be considered</w:t>
      </w:r>
    </w:p>
    <w:p w:rsidR="006B1829" w:rsidRPr="00EF30BB" w:rsidRDefault="006B1829" w:rsidP="006B1829">
      <w:pPr>
        <w:pStyle w:val="Citation-AltC"/>
        <w:spacing w:after="120"/>
        <w:contextualSpacing w:val="0"/>
      </w:pPr>
      <w:r w:rsidRPr="00EF30BB">
        <w:rPr>
          <w:rStyle w:val="canliisubsection"/>
          <w:rFonts w:eastAsiaTheme="majorEastAsia"/>
        </w:rPr>
        <w:t>(4)</w:t>
      </w:r>
      <w:r w:rsidRPr="00EF30BB">
        <w:t> In deciding whether to make an order, the court is to consider, among other things,</w:t>
      </w:r>
    </w:p>
    <w:p w:rsidR="006B1829" w:rsidRPr="00EF30BB" w:rsidRDefault="006B1829" w:rsidP="006B1829">
      <w:pPr>
        <w:pStyle w:val="Citation-AltC"/>
        <w:spacing w:after="120"/>
        <w:ind w:left="1440"/>
        <w:contextualSpacing w:val="0"/>
      </w:pPr>
      <w:r w:rsidRPr="00EF30BB">
        <w:rPr>
          <w:rStyle w:val="lawlabel"/>
        </w:rPr>
        <w:t>(a)</w:t>
      </w:r>
      <w:r w:rsidRPr="00EF30BB">
        <w:t> </w:t>
      </w:r>
      <w:proofErr w:type="gramStart"/>
      <w:r w:rsidRPr="00EF30BB">
        <w:t>the</w:t>
      </w:r>
      <w:proofErr w:type="gramEnd"/>
      <w:r w:rsidRPr="00EF30BB">
        <w:t xml:space="preserve"> period during which the company is expected to be subject to proceedings under this Act;</w:t>
      </w:r>
    </w:p>
    <w:p w:rsidR="006B1829" w:rsidRPr="00EF30BB" w:rsidRDefault="006B1829" w:rsidP="006B1829">
      <w:pPr>
        <w:pStyle w:val="Citation-AltC"/>
        <w:spacing w:after="120"/>
        <w:ind w:left="1440"/>
        <w:contextualSpacing w:val="0"/>
      </w:pPr>
      <w:r w:rsidRPr="00EF30BB">
        <w:rPr>
          <w:rStyle w:val="lawlabel"/>
        </w:rPr>
        <w:t>(b)</w:t>
      </w:r>
      <w:r w:rsidRPr="00EF30BB">
        <w:t> </w:t>
      </w:r>
      <w:proofErr w:type="gramStart"/>
      <w:r w:rsidRPr="00EF30BB">
        <w:t>how</w:t>
      </w:r>
      <w:proofErr w:type="gramEnd"/>
      <w:r w:rsidRPr="00EF30BB">
        <w:t xml:space="preserve"> the company’s business and financial affairs are to be managed during the proceedings;</w:t>
      </w:r>
    </w:p>
    <w:p w:rsidR="006B1829" w:rsidRPr="00EF30BB" w:rsidRDefault="006B1829" w:rsidP="006B1829">
      <w:pPr>
        <w:pStyle w:val="Citation-AltC"/>
        <w:spacing w:after="120"/>
        <w:ind w:left="1440"/>
        <w:contextualSpacing w:val="0"/>
      </w:pPr>
      <w:r w:rsidRPr="00EF30BB">
        <w:rPr>
          <w:rStyle w:val="lawlabel"/>
        </w:rPr>
        <w:lastRenderedPageBreak/>
        <w:t>(c)</w:t>
      </w:r>
      <w:r w:rsidRPr="00EF30BB">
        <w:t> </w:t>
      </w:r>
      <w:proofErr w:type="gramStart"/>
      <w:r w:rsidRPr="00EF30BB">
        <w:t>whether</w:t>
      </w:r>
      <w:proofErr w:type="gramEnd"/>
      <w:r w:rsidRPr="00EF30BB">
        <w:t xml:space="preserve"> the company’s management has the confidence of its major creditors;</w:t>
      </w:r>
    </w:p>
    <w:p w:rsidR="006B1829" w:rsidRPr="00EF30BB" w:rsidRDefault="006B1829" w:rsidP="006B1829">
      <w:pPr>
        <w:pStyle w:val="Citation-AltC"/>
        <w:spacing w:after="120"/>
        <w:ind w:left="1440"/>
        <w:contextualSpacing w:val="0"/>
      </w:pPr>
      <w:r w:rsidRPr="00EF30BB">
        <w:rPr>
          <w:rStyle w:val="lawlabel"/>
        </w:rPr>
        <w:t>(d)</w:t>
      </w:r>
      <w:r w:rsidRPr="00EF30BB">
        <w:t> </w:t>
      </w:r>
      <w:proofErr w:type="gramStart"/>
      <w:r w:rsidRPr="00EF30BB">
        <w:t>whether</w:t>
      </w:r>
      <w:proofErr w:type="gramEnd"/>
      <w:r w:rsidRPr="00EF30BB">
        <w:t xml:space="preserve"> the loan would enhance the prospects of a viable compromise or arrangement being made in respect of the company;</w:t>
      </w:r>
    </w:p>
    <w:p w:rsidR="006B1829" w:rsidRPr="00EF30BB" w:rsidRDefault="006B1829" w:rsidP="006B1829">
      <w:pPr>
        <w:pStyle w:val="Citation-AltC"/>
        <w:spacing w:after="120"/>
        <w:ind w:left="1440"/>
        <w:contextualSpacing w:val="0"/>
      </w:pPr>
      <w:r w:rsidRPr="00EF30BB">
        <w:rPr>
          <w:rStyle w:val="lawlabel"/>
        </w:rPr>
        <w:t>(e)</w:t>
      </w:r>
      <w:r w:rsidRPr="00EF30BB">
        <w:t> </w:t>
      </w:r>
      <w:proofErr w:type="gramStart"/>
      <w:r w:rsidRPr="00EF30BB">
        <w:t>the</w:t>
      </w:r>
      <w:proofErr w:type="gramEnd"/>
      <w:r w:rsidRPr="00EF30BB">
        <w:t xml:space="preserve"> nature and value of the company’s property;</w:t>
      </w:r>
    </w:p>
    <w:p w:rsidR="006B1829" w:rsidRPr="00EF30BB" w:rsidRDefault="006B1829" w:rsidP="006B1829">
      <w:pPr>
        <w:pStyle w:val="Citation-AltC"/>
        <w:spacing w:after="120"/>
        <w:ind w:left="1440"/>
        <w:contextualSpacing w:val="0"/>
      </w:pPr>
      <w:r w:rsidRPr="00EF30BB">
        <w:rPr>
          <w:rStyle w:val="lawlabel"/>
        </w:rPr>
        <w:t>(f)</w:t>
      </w:r>
      <w:r w:rsidRPr="00EF30BB">
        <w:t> </w:t>
      </w:r>
      <w:proofErr w:type="gramStart"/>
      <w:r w:rsidRPr="00EF30BB">
        <w:t>whether</w:t>
      </w:r>
      <w:proofErr w:type="gramEnd"/>
      <w:r w:rsidRPr="00EF30BB">
        <w:t xml:space="preserve"> any creditor would be materially prejudiced as a result of the security or charge; and</w:t>
      </w:r>
    </w:p>
    <w:p w:rsidR="00615BC1" w:rsidRDefault="006B1829" w:rsidP="006401F1">
      <w:pPr>
        <w:pStyle w:val="Citation-AltC"/>
        <w:spacing w:after="240"/>
        <w:ind w:left="1440"/>
        <w:contextualSpacing w:val="0"/>
      </w:pPr>
      <w:r w:rsidRPr="00EF30BB">
        <w:rPr>
          <w:rStyle w:val="lawlabel"/>
        </w:rPr>
        <w:t>(g)</w:t>
      </w:r>
      <w:r w:rsidRPr="00EF30BB">
        <w:t> </w:t>
      </w:r>
      <w:proofErr w:type="gramStart"/>
      <w:r w:rsidRPr="00EF30BB">
        <w:t>the</w:t>
      </w:r>
      <w:proofErr w:type="gramEnd"/>
      <w:r w:rsidRPr="00EF30BB">
        <w:t xml:space="preserve"> monitor’s report referred to in </w:t>
      </w:r>
      <w:r w:rsidRPr="00EF30BB">
        <w:rPr>
          <w:rFonts w:eastAsiaTheme="majorEastAsia"/>
        </w:rPr>
        <w:t>paragraph 23(1)</w:t>
      </w:r>
      <w:r w:rsidRPr="00EF30BB">
        <w:t>(b), if any.</w:t>
      </w:r>
    </w:p>
    <w:p w:rsidR="006B1829" w:rsidRPr="00EF30BB" w:rsidRDefault="006B1829" w:rsidP="008B024A">
      <w:pPr>
        <w:pStyle w:val="Citation-AltC"/>
        <w:ind w:left="0"/>
      </w:pPr>
      <w:r w:rsidRPr="00EF30BB">
        <w:t>(</w:t>
      </w:r>
      <w:proofErr w:type="spellStart"/>
      <w:r w:rsidRPr="00EF30BB">
        <w:rPr>
          <w:i/>
        </w:rPr>
        <w:t>CCAA</w:t>
      </w:r>
      <w:proofErr w:type="spellEnd"/>
      <w:r w:rsidRPr="00EF30BB">
        <w:t>, s. 11.2(4))</w:t>
      </w:r>
    </w:p>
    <w:p w:rsidR="006B1829" w:rsidRPr="00EF30BB" w:rsidRDefault="006B1829" w:rsidP="006B1829">
      <w:pPr>
        <w:pStyle w:val="ParaNoNdepar-AltN"/>
        <w:rPr>
          <w:rFonts w:cs="Times New Roman"/>
        </w:rPr>
      </w:pPr>
      <w:r w:rsidRPr="00EF30BB">
        <w:rPr>
          <w:rFonts w:cs="Times New Roman"/>
        </w:rPr>
        <w:t>Prior to the coming into force of the above provisions in 2009, courts had been using the general discretion conferred by s. 11 to authorize interim financing and associated super-priority charges (</w:t>
      </w:r>
      <w:r w:rsidRPr="00EF30BB">
        <w:rPr>
          <w:rFonts w:cs="Times New Roman"/>
          <w:i/>
        </w:rPr>
        <w:t>Century Services</w:t>
      </w:r>
      <w:r w:rsidRPr="00EF30BB">
        <w:rPr>
          <w:rFonts w:cs="Times New Roman"/>
        </w:rPr>
        <w:t xml:space="preserve">, at para. 62). Section 11.2 largely codifies the approaches those courts have taken (Wood, at p. 388; </w:t>
      </w:r>
      <w:proofErr w:type="spellStart"/>
      <w:r w:rsidRPr="00EF30BB">
        <w:rPr>
          <w:rFonts w:cs="Times New Roman"/>
        </w:rPr>
        <w:t>McElcheran</w:t>
      </w:r>
      <w:proofErr w:type="spellEnd"/>
      <w:r w:rsidRPr="00EF30BB">
        <w:rPr>
          <w:rFonts w:cs="Times New Roman"/>
        </w:rPr>
        <w:t>, at p. 301). As a result, where appropriate, guidance may be drawn from the pre-codification i</w:t>
      </w:r>
      <w:r w:rsidR="00C82FFA">
        <w:rPr>
          <w:rFonts w:cs="Times New Roman"/>
        </w:rPr>
        <w:t>nterim financing jurisprudence.</w:t>
      </w:r>
    </w:p>
    <w:p w:rsidR="006B1829" w:rsidRPr="00EF30BB" w:rsidRDefault="006B1829" w:rsidP="006B1829">
      <w:pPr>
        <w:pStyle w:val="ParaNoNdepar-AltN"/>
        <w:rPr>
          <w:rFonts w:cs="Times New Roman"/>
        </w:rPr>
      </w:pPr>
      <w:r w:rsidRPr="00EF30BB">
        <w:rPr>
          <w:rFonts w:cs="Times New Roman"/>
        </w:rPr>
        <w:t xml:space="preserve">As with other measures available under the </w:t>
      </w:r>
      <w:proofErr w:type="spellStart"/>
      <w:r w:rsidRPr="00EF30BB">
        <w:rPr>
          <w:rFonts w:cs="Times New Roman"/>
          <w:i/>
        </w:rPr>
        <w:t>CCAA</w:t>
      </w:r>
      <w:proofErr w:type="spellEnd"/>
      <w:r w:rsidRPr="00EF30BB">
        <w:rPr>
          <w:rFonts w:cs="Times New Roman"/>
        </w:rPr>
        <w:t>, interim financing is a flexible tool that may take different forms or attract different considerations in each case. Below, we explain that third party litigation funding may, in appropriate cases, be one such form.</w:t>
      </w:r>
    </w:p>
    <w:p w:rsidR="006B1829" w:rsidRPr="00EF30BB" w:rsidRDefault="006B1829" w:rsidP="006B1829">
      <w:pPr>
        <w:pStyle w:val="Title3LevelTitre3Niveau"/>
        <w:keepNext/>
        <w:tabs>
          <w:tab w:val="clear" w:pos="1566"/>
        </w:tabs>
        <w:ind w:left="1170"/>
        <w:rPr>
          <w:rFonts w:cs="Times New Roman"/>
        </w:rPr>
      </w:pPr>
      <w:bookmarkStart w:id="46" w:name="_Toc33564179"/>
      <w:bookmarkStart w:id="47" w:name="_Toc33653920"/>
      <w:r w:rsidRPr="00EF30BB">
        <w:rPr>
          <w:rFonts w:cs="Times New Roman"/>
        </w:rPr>
        <w:t>Supervising Judges May Approve Third Party Litigation Funding as Interim Financing</w:t>
      </w:r>
      <w:bookmarkEnd w:id="46"/>
      <w:bookmarkEnd w:id="47"/>
    </w:p>
    <w:p w:rsidR="006B1829" w:rsidRPr="00EF30BB" w:rsidRDefault="006B1829" w:rsidP="006B1829">
      <w:pPr>
        <w:pStyle w:val="ParaNoNdepar-AltN"/>
        <w:spacing w:before="240"/>
        <w:rPr>
          <w:rFonts w:cs="Times New Roman"/>
        </w:rPr>
      </w:pPr>
      <w:r w:rsidRPr="00EF30BB">
        <w:rPr>
          <w:rFonts w:cs="Times New Roman"/>
        </w:rPr>
        <w:t>Third party litigation funding generally involves “a third party, otherwise unconnected to the litigation, agree[</w:t>
      </w:r>
      <w:proofErr w:type="spellStart"/>
      <w:r w:rsidRPr="00EF30BB">
        <w:rPr>
          <w:rFonts w:cs="Times New Roman"/>
        </w:rPr>
        <w:t>ing</w:t>
      </w:r>
      <w:proofErr w:type="spellEnd"/>
      <w:r w:rsidRPr="00EF30BB">
        <w:rPr>
          <w:rFonts w:cs="Times New Roman"/>
        </w:rPr>
        <w:t xml:space="preserve">] to pay some or all of a party’s litigation costs, </w:t>
      </w:r>
      <w:r w:rsidRPr="00EF30BB">
        <w:rPr>
          <w:rFonts w:cs="Times New Roman"/>
        </w:rPr>
        <w:lastRenderedPageBreak/>
        <w:t xml:space="preserve">in exchange for a portion of that party’s recovery in damages or costs” (R. K. Agarwal and D. Fenton, “Beyond Access to Justice: Litigation Funding Agreements Outside the Class Actions Context” (2017), 59 </w:t>
      </w:r>
      <w:r w:rsidRPr="00EF30BB">
        <w:rPr>
          <w:rFonts w:cs="Times New Roman"/>
          <w:i/>
        </w:rPr>
        <w:t xml:space="preserve">Can. Bus. </w:t>
      </w:r>
      <w:proofErr w:type="spellStart"/>
      <w:r w:rsidRPr="00EF30BB">
        <w:rPr>
          <w:rFonts w:cs="Times New Roman"/>
          <w:i/>
        </w:rPr>
        <w:t>L.J</w:t>
      </w:r>
      <w:proofErr w:type="spellEnd"/>
      <w:r w:rsidRPr="00EF30BB">
        <w:rPr>
          <w:rFonts w:cs="Times New Roman"/>
        </w:rPr>
        <w:t xml:space="preserve">. 65, at p. 65). Third party litigation funding can take various forms. A common model involves the litigation funder agreeing to pay a plaintiff’s disbursements and indemnify the plaintiff in the event of an adverse cost award in exchange for a share of the proceeds of any successful litigation or settlement (see </w:t>
      </w:r>
      <w:proofErr w:type="spellStart"/>
      <w:r w:rsidRPr="00EF30BB">
        <w:rPr>
          <w:rFonts w:cs="Times New Roman"/>
          <w:i/>
        </w:rPr>
        <w:t>Dugal</w:t>
      </w:r>
      <w:proofErr w:type="spellEnd"/>
      <w:r w:rsidRPr="00EF30BB">
        <w:rPr>
          <w:rFonts w:cs="Times New Roman"/>
          <w:i/>
        </w:rPr>
        <w:t xml:space="preserve"> v. Manulife Financial Corp.</w:t>
      </w:r>
      <w:r w:rsidRPr="00EF30BB">
        <w:rPr>
          <w:rFonts w:cs="Times New Roman"/>
        </w:rPr>
        <w:t xml:space="preserve">, 2011 </w:t>
      </w:r>
      <w:proofErr w:type="spellStart"/>
      <w:r w:rsidRPr="00EF30BB">
        <w:rPr>
          <w:rFonts w:cs="Times New Roman"/>
        </w:rPr>
        <w:t>ONSC</w:t>
      </w:r>
      <w:proofErr w:type="spellEnd"/>
      <w:r w:rsidRPr="00EF30BB">
        <w:rPr>
          <w:rFonts w:cs="Times New Roman"/>
        </w:rPr>
        <w:t xml:space="preserve"> 1785, 105 </w:t>
      </w:r>
      <w:proofErr w:type="spellStart"/>
      <w:r w:rsidRPr="00EF30BB">
        <w:rPr>
          <w:rFonts w:cs="Times New Roman"/>
        </w:rPr>
        <w:t>O.R</w:t>
      </w:r>
      <w:proofErr w:type="spellEnd"/>
      <w:r w:rsidRPr="00EF30BB">
        <w:rPr>
          <w:rFonts w:cs="Times New Roman"/>
        </w:rPr>
        <w:t>. (</w:t>
      </w:r>
      <w:proofErr w:type="spellStart"/>
      <w:r w:rsidRPr="00EF30BB">
        <w:rPr>
          <w:rFonts w:cs="Times New Roman"/>
        </w:rPr>
        <w:t>3d</w:t>
      </w:r>
      <w:proofErr w:type="spellEnd"/>
      <w:r w:rsidRPr="00EF30BB">
        <w:rPr>
          <w:rFonts w:cs="Times New Roman"/>
        </w:rPr>
        <w:t>) 364</w:t>
      </w:r>
      <w:r w:rsidRPr="00E865B5">
        <w:rPr>
          <w:rFonts w:cs="Times New Roman"/>
        </w:rPr>
        <w:t>;</w:t>
      </w:r>
      <w:r w:rsidRPr="00EF30BB">
        <w:rPr>
          <w:rFonts w:cs="Times New Roman"/>
          <w:i/>
        </w:rPr>
        <w:t xml:space="preserve"> </w:t>
      </w:r>
      <w:proofErr w:type="spellStart"/>
      <w:r w:rsidRPr="00EF30BB">
        <w:rPr>
          <w:rFonts w:cs="Times New Roman"/>
          <w:i/>
        </w:rPr>
        <w:t>Bayens</w:t>
      </w:r>
      <w:proofErr w:type="spellEnd"/>
      <w:r w:rsidR="00C82FFA">
        <w:rPr>
          <w:rFonts w:cs="Times New Roman"/>
        </w:rPr>
        <w:t>).</w:t>
      </w:r>
    </w:p>
    <w:p w:rsidR="006B1829" w:rsidRPr="00EF30BB" w:rsidRDefault="006B1829" w:rsidP="006B1829">
      <w:pPr>
        <w:pStyle w:val="ParaNoNdepar-AltN"/>
        <w:spacing w:before="240"/>
        <w:rPr>
          <w:rFonts w:cs="Times New Roman"/>
        </w:rPr>
      </w:pPr>
      <w:r w:rsidRPr="00EF30BB">
        <w:rPr>
          <w:rFonts w:cs="Times New Roman"/>
        </w:rPr>
        <w:t xml:space="preserve">Outside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context, the approval of third party litigation funding agreements has been somewhat controversial. Part of that controversy arises from the potential of these agreements to offend the common law doctrines of </w:t>
      </w:r>
      <w:proofErr w:type="spellStart"/>
      <w:r w:rsidRPr="00EF30BB">
        <w:rPr>
          <w:rFonts w:cs="Times New Roman"/>
        </w:rPr>
        <w:t>champerty</w:t>
      </w:r>
      <w:proofErr w:type="spellEnd"/>
      <w:r w:rsidRPr="00EF30BB">
        <w:rPr>
          <w:rFonts w:cs="Times New Roman"/>
        </w:rPr>
        <w:t xml:space="preserve"> and maintenance.</w:t>
      </w:r>
      <w:r w:rsidRPr="00C82FFA">
        <w:rPr>
          <w:rStyle w:val="Hyperlink"/>
          <w:color w:val="000000" w:themeColor="text1"/>
          <w:u w:val="none"/>
          <w:vertAlign w:val="superscript"/>
        </w:rPr>
        <w:footnoteReference w:id="6"/>
      </w:r>
      <w:r w:rsidRPr="00EF30BB">
        <w:rPr>
          <w:rFonts w:cs="Times New Roman"/>
        </w:rPr>
        <w:t xml:space="preserve"> The tort of maintenance prohibits “officious intermeddling with a lawsuit which in no way belongs to one” (L. N. </w:t>
      </w:r>
      <w:proofErr w:type="spellStart"/>
      <w:r w:rsidRPr="00EF30BB">
        <w:rPr>
          <w:rFonts w:cs="Times New Roman"/>
        </w:rPr>
        <w:t>Klar</w:t>
      </w:r>
      <w:proofErr w:type="spellEnd"/>
      <w:r w:rsidRPr="00EF30BB">
        <w:rPr>
          <w:rFonts w:cs="Times New Roman"/>
        </w:rPr>
        <w:t xml:space="preserve"> et al., </w:t>
      </w:r>
      <w:r w:rsidRPr="00EF30BB">
        <w:rPr>
          <w:rFonts w:cs="Times New Roman"/>
          <w:i/>
        </w:rPr>
        <w:t>Remedies in Tort</w:t>
      </w:r>
      <w:r>
        <w:rPr>
          <w:rFonts w:cs="Times New Roman"/>
        </w:rPr>
        <w:t xml:space="preserve"> </w:t>
      </w:r>
      <w:r w:rsidRPr="00E8642C">
        <w:rPr>
          <w:rFonts w:cs="Times New Roman"/>
        </w:rPr>
        <w:t>(loose-leaf)</w:t>
      </w:r>
      <w:r w:rsidRPr="00EF30BB">
        <w:rPr>
          <w:rFonts w:cs="Times New Roman"/>
        </w:rPr>
        <w:t xml:space="preserve">, vol. 1, by L. Berry, ed., at p. 14-11, citing </w:t>
      </w:r>
      <w:r w:rsidRPr="00EF30BB">
        <w:rPr>
          <w:rFonts w:cs="Times New Roman"/>
          <w:i/>
        </w:rPr>
        <w:t xml:space="preserve">Langtry v. </w:t>
      </w:r>
      <w:proofErr w:type="spellStart"/>
      <w:r w:rsidRPr="00EF30BB">
        <w:rPr>
          <w:rFonts w:cs="Times New Roman"/>
          <w:i/>
        </w:rPr>
        <w:t>Dumoulin</w:t>
      </w:r>
      <w:proofErr w:type="spellEnd"/>
      <w:r w:rsidRPr="00EF30BB">
        <w:rPr>
          <w:rFonts w:cs="Times New Roman"/>
        </w:rPr>
        <w:t xml:space="preserve"> (1884), 7 </w:t>
      </w:r>
      <w:proofErr w:type="spellStart"/>
      <w:r w:rsidRPr="00EF30BB">
        <w:rPr>
          <w:rFonts w:cs="Times New Roman"/>
        </w:rPr>
        <w:t>O.R</w:t>
      </w:r>
      <w:proofErr w:type="spellEnd"/>
      <w:r w:rsidRPr="00EF30BB">
        <w:rPr>
          <w:rFonts w:cs="Times New Roman"/>
        </w:rPr>
        <w:t xml:space="preserve">. 644 (Ch. Div.), at </w:t>
      </w:r>
      <w:r>
        <w:rPr>
          <w:rFonts w:cs="Times New Roman"/>
        </w:rPr>
        <w:t>p. 661</w:t>
      </w:r>
      <w:r w:rsidRPr="00EF30BB">
        <w:rPr>
          <w:rFonts w:cs="Times New Roman"/>
        </w:rPr>
        <w:t xml:space="preserve">). </w:t>
      </w:r>
      <w:proofErr w:type="spellStart"/>
      <w:r w:rsidRPr="00EF30BB">
        <w:rPr>
          <w:rFonts w:cs="Times New Roman"/>
        </w:rPr>
        <w:t>Champerty</w:t>
      </w:r>
      <w:proofErr w:type="spellEnd"/>
      <w:r w:rsidRPr="00EF30BB">
        <w:rPr>
          <w:rFonts w:cs="Times New Roman"/>
        </w:rPr>
        <w:t xml:space="preserve"> is a species of maintenance that involves an agreement to share in the proceeds or otherwise profit from a successful suit (</w:t>
      </w:r>
      <w:r w:rsidRPr="00EF30BB">
        <w:rPr>
          <w:rFonts w:cs="Times New Roman"/>
          <w:i/>
        </w:rPr>
        <w:t xml:space="preserve">McIntyre </w:t>
      </w:r>
      <w:r w:rsidRPr="00EF30BB">
        <w:rPr>
          <w:rFonts w:cs="Times New Roman"/>
          <w:i/>
        </w:rPr>
        <w:lastRenderedPageBreak/>
        <w:t>Estate v. Ontario (Attorney General)</w:t>
      </w:r>
      <w:r w:rsidRPr="00EF30BB">
        <w:rPr>
          <w:rFonts w:cs="Times New Roman"/>
        </w:rPr>
        <w:t xml:space="preserve"> (2002), 218 </w:t>
      </w:r>
      <w:proofErr w:type="spellStart"/>
      <w:r w:rsidRPr="00EF30BB">
        <w:rPr>
          <w:rFonts w:cs="Times New Roman"/>
        </w:rPr>
        <w:t>D.L.R</w:t>
      </w:r>
      <w:proofErr w:type="spellEnd"/>
      <w:r w:rsidRPr="00EF30BB">
        <w:rPr>
          <w:rFonts w:cs="Times New Roman"/>
        </w:rPr>
        <w:t>. (4th) 193 (</w:t>
      </w:r>
      <w:r>
        <w:rPr>
          <w:rFonts w:cs="Times New Roman"/>
        </w:rPr>
        <w:t xml:space="preserve">Ont. </w:t>
      </w:r>
      <w:r w:rsidRPr="00EF30BB">
        <w:rPr>
          <w:rFonts w:cs="Times New Roman"/>
        </w:rPr>
        <w:t>C.A.), at para. 26).</w:t>
      </w:r>
    </w:p>
    <w:p w:rsidR="006B1829" w:rsidRPr="00EF30BB" w:rsidRDefault="006B1829" w:rsidP="006B1829">
      <w:pPr>
        <w:pStyle w:val="ParaNoNdepar-AltN"/>
        <w:spacing w:before="240"/>
        <w:rPr>
          <w:rFonts w:cs="Times New Roman"/>
        </w:rPr>
      </w:pPr>
      <w:r w:rsidRPr="00EF30BB">
        <w:rPr>
          <w:rFonts w:cs="Times New Roman"/>
        </w:rPr>
        <w:t xml:space="preserve">Building on jurisprudence holding that </w:t>
      </w:r>
      <w:r w:rsidRPr="00EF30BB">
        <w:rPr>
          <w:rFonts w:cs="Times New Roman"/>
          <w:i/>
        </w:rPr>
        <w:t>contingency fee</w:t>
      </w:r>
      <w:r w:rsidRPr="00EF30BB">
        <w:rPr>
          <w:rFonts w:cs="Times New Roman"/>
        </w:rPr>
        <w:t xml:space="preserve"> arrangements are not </w:t>
      </w:r>
      <w:proofErr w:type="spellStart"/>
      <w:r w:rsidRPr="00EF30BB">
        <w:rPr>
          <w:rFonts w:cs="Times New Roman"/>
        </w:rPr>
        <w:t>champertous</w:t>
      </w:r>
      <w:proofErr w:type="spellEnd"/>
      <w:r w:rsidRPr="00EF30BB">
        <w:rPr>
          <w:rFonts w:cs="Times New Roman"/>
        </w:rPr>
        <w:t xml:space="preserve"> where they are not motivated by an improper purpose (e.g., </w:t>
      </w:r>
      <w:r w:rsidRPr="00EF30BB">
        <w:rPr>
          <w:rFonts w:cs="Times New Roman"/>
          <w:i/>
        </w:rPr>
        <w:t>McIntyre Estate</w:t>
      </w:r>
      <w:r w:rsidRPr="00EF30BB">
        <w:rPr>
          <w:rFonts w:cs="Times New Roman"/>
        </w:rPr>
        <w:t xml:space="preserve">), lower courts have increasingly come to recognize that </w:t>
      </w:r>
      <w:r w:rsidRPr="00EF30BB">
        <w:rPr>
          <w:rFonts w:cs="Times New Roman"/>
          <w:i/>
        </w:rPr>
        <w:t>litigation funding</w:t>
      </w:r>
      <w:r w:rsidRPr="00EF30BB">
        <w:rPr>
          <w:rFonts w:cs="Times New Roman"/>
        </w:rPr>
        <w:t xml:space="preserve"> agreements are also not </w:t>
      </w:r>
      <w:r w:rsidRPr="00EF30BB">
        <w:rPr>
          <w:rFonts w:cs="Times New Roman"/>
          <w:i/>
        </w:rPr>
        <w:t>per se</w:t>
      </w:r>
      <w:r w:rsidRPr="00EF30BB">
        <w:rPr>
          <w:rFonts w:cs="Times New Roman"/>
        </w:rPr>
        <w:t xml:space="preserve"> </w:t>
      </w:r>
      <w:proofErr w:type="spellStart"/>
      <w:r w:rsidRPr="00EF30BB">
        <w:rPr>
          <w:rFonts w:cs="Times New Roman"/>
        </w:rPr>
        <w:t>champertous</w:t>
      </w:r>
      <w:proofErr w:type="spellEnd"/>
      <w:r w:rsidRPr="00EF30BB">
        <w:rPr>
          <w:rFonts w:cs="Times New Roman"/>
        </w:rPr>
        <w:t xml:space="preserve">. This development has been focussed within class action proceedings, where it arose as a response to barriers like adverse cost awards, which were stymieing litigants’ access to justice (see </w:t>
      </w:r>
      <w:proofErr w:type="spellStart"/>
      <w:r w:rsidRPr="00EF30BB">
        <w:rPr>
          <w:rFonts w:cs="Times New Roman"/>
          <w:i/>
        </w:rPr>
        <w:t>Dugal</w:t>
      </w:r>
      <w:proofErr w:type="spellEnd"/>
      <w:r w:rsidRPr="00EF30BB">
        <w:rPr>
          <w:rFonts w:cs="Times New Roman"/>
        </w:rPr>
        <w:t xml:space="preserve">, at para. 33; </w:t>
      </w:r>
      <w:proofErr w:type="spellStart"/>
      <w:r w:rsidRPr="00EF30BB">
        <w:rPr>
          <w:rFonts w:cs="Times New Roman"/>
          <w:i/>
        </w:rPr>
        <w:t>Marcotte</w:t>
      </w:r>
      <w:proofErr w:type="spellEnd"/>
      <w:r w:rsidRPr="00EF30BB">
        <w:rPr>
          <w:rFonts w:cs="Times New Roman"/>
          <w:i/>
        </w:rPr>
        <w:t xml:space="preserve"> v. </w:t>
      </w:r>
      <w:proofErr w:type="spellStart"/>
      <w:r w:rsidRPr="00EF30BB">
        <w:rPr>
          <w:rFonts w:cs="Times New Roman"/>
          <w:i/>
        </w:rPr>
        <w:t>Banque</w:t>
      </w:r>
      <w:proofErr w:type="spellEnd"/>
      <w:r w:rsidRPr="00EF30BB">
        <w:rPr>
          <w:rFonts w:cs="Times New Roman"/>
          <w:i/>
        </w:rPr>
        <w:t xml:space="preserve"> de Montréal</w:t>
      </w:r>
      <w:r w:rsidRPr="00EF30BB">
        <w:rPr>
          <w:rFonts w:cs="Times New Roman"/>
        </w:rPr>
        <w:t xml:space="preserve">, 2015 </w:t>
      </w:r>
      <w:proofErr w:type="spellStart"/>
      <w:r w:rsidRPr="00EF30BB">
        <w:rPr>
          <w:rFonts w:cs="Times New Roman"/>
        </w:rPr>
        <w:t>QCCS</w:t>
      </w:r>
      <w:proofErr w:type="spellEnd"/>
      <w:r w:rsidRPr="00EF30BB">
        <w:rPr>
          <w:rFonts w:cs="Times New Roman"/>
        </w:rPr>
        <w:t xml:space="preserve"> 1915, at paras. 43-44 (</w:t>
      </w:r>
      <w:proofErr w:type="spellStart"/>
      <w:r w:rsidRPr="00EF30BB">
        <w:rPr>
          <w:rFonts w:cs="Times New Roman"/>
        </w:rPr>
        <w:t>CanLII</w:t>
      </w:r>
      <w:proofErr w:type="spellEnd"/>
      <w:r w:rsidRPr="00EF30BB">
        <w:rPr>
          <w:rFonts w:cs="Times New Roman"/>
        </w:rPr>
        <w:t xml:space="preserve">); </w:t>
      </w:r>
      <w:r w:rsidRPr="00EF30BB">
        <w:rPr>
          <w:rFonts w:cs="Times New Roman"/>
          <w:i/>
        </w:rPr>
        <w:t>Houle v. St. Jude Medical Inc.</w:t>
      </w:r>
      <w:r w:rsidRPr="00EF30BB">
        <w:rPr>
          <w:rFonts w:cs="Times New Roman"/>
        </w:rPr>
        <w:t xml:space="preserve">, 2017 </w:t>
      </w:r>
      <w:proofErr w:type="spellStart"/>
      <w:r w:rsidRPr="00EF30BB">
        <w:rPr>
          <w:rFonts w:cs="Times New Roman"/>
        </w:rPr>
        <w:t>ONSC</w:t>
      </w:r>
      <w:proofErr w:type="spellEnd"/>
      <w:r w:rsidRPr="00EF30BB">
        <w:rPr>
          <w:rFonts w:cs="Times New Roman"/>
        </w:rPr>
        <w:t xml:space="preserve"> 5129, 9 </w:t>
      </w:r>
      <w:proofErr w:type="spellStart"/>
      <w:r w:rsidRPr="00EF30BB">
        <w:rPr>
          <w:rFonts w:cs="Times New Roman"/>
        </w:rPr>
        <w:t>C.P.C</w:t>
      </w:r>
      <w:proofErr w:type="spellEnd"/>
      <w:r w:rsidRPr="00EF30BB">
        <w:rPr>
          <w:rFonts w:cs="Times New Roman"/>
        </w:rPr>
        <w:t xml:space="preserve">. (8th) 321, at para. 52, aff’d 2018 </w:t>
      </w:r>
      <w:proofErr w:type="spellStart"/>
      <w:r w:rsidRPr="00EF30BB">
        <w:rPr>
          <w:rFonts w:cs="Times New Roman"/>
        </w:rPr>
        <w:t>ONSC</w:t>
      </w:r>
      <w:proofErr w:type="spellEnd"/>
      <w:r w:rsidRPr="00EF30BB">
        <w:rPr>
          <w:rFonts w:cs="Times New Roman"/>
        </w:rPr>
        <w:t xml:space="preserve"> 6352, 429 </w:t>
      </w:r>
      <w:proofErr w:type="spellStart"/>
      <w:r w:rsidRPr="00EF30BB">
        <w:rPr>
          <w:rFonts w:cs="Times New Roman"/>
        </w:rPr>
        <w:t>D.L.R</w:t>
      </w:r>
      <w:proofErr w:type="spellEnd"/>
      <w:r w:rsidRPr="00EF30BB">
        <w:rPr>
          <w:rFonts w:cs="Times New Roman"/>
        </w:rPr>
        <w:t xml:space="preserve">. (4th) 739 (Div. Ct.); see also </w:t>
      </w:r>
      <w:proofErr w:type="spellStart"/>
      <w:r w:rsidRPr="00EF30BB">
        <w:rPr>
          <w:rFonts w:cs="Times New Roman"/>
          <w:i/>
        </w:rPr>
        <w:t>Stanway</w:t>
      </w:r>
      <w:proofErr w:type="spellEnd"/>
      <w:r w:rsidRPr="00EF30BB">
        <w:rPr>
          <w:rFonts w:cs="Times New Roman"/>
          <w:i/>
        </w:rPr>
        <w:t xml:space="preserve"> v. Wyeth</w:t>
      </w:r>
      <w:r w:rsidRPr="00EF30BB">
        <w:rPr>
          <w:rFonts w:cs="Times New Roman"/>
        </w:rPr>
        <w:t xml:space="preserve">, 2013 </w:t>
      </w:r>
      <w:proofErr w:type="spellStart"/>
      <w:r w:rsidRPr="00EF30BB">
        <w:rPr>
          <w:rFonts w:cs="Times New Roman"/>
        </w:rPr>
        <w:t>BCSC</w:t>
      </w:r>
      <w:proofErr w:type="spellEnd"/>
      <w:r w:rsidRPr="00EF30BB">
        <w:rPr>
          <w:rFonts w:cs="Times New Roman"/>
        </w:rPr>
        <w:t xml:space="preserve"> 1585, 56 </w:t>
      </w:r>
      <w:proofErr w:type="spellStart"/>
      <w:r w:rsidRPr="00EF30BB">
        <w:rPr>
          <w:rFonts w:cs="Times New Roman"/>
        </w:rPr>
        <w:t>B.C.L.R</w:t>
      </w:r>
      <w:proofErr w:type="spellEnd"/>
      <w:r w:rsidRPr="00EF30BB">
        <w:rPr>
          <w:rFonts w:cs="Times New Roman"/>
        </w:rPr>
        <w:t>. (5th) 192, at para. 13). The jurisprudence on the approval of third party litigation funding agreements in the class action context — and indeed, the parameters of their legality generally — is still evolving, and no party before this Court</w:t>
      </w:r>
      <w:r w:rsidR="00C82FFA">
        <w:rPr>
          <w:rFonts w:cs="Times New Roman"/>
        </w:rPr>
        <w:t xml:space="preserve"> has invited us to evaluate it.</w:t>
      </w:r>
    </w:p>
    <w:p w:rsidR="006B1829" w:rsidRPr="00EF30BB" w:rsidRDefault="006B1829" w:rsidP="006B1829">
      <w:pPr>
        <w:pStyle w:val="ParaNoNdepar-AltN"/>
        <w:rPr>
          <w:rFonts w:cs="Times New Roman"/>
        </w:rPr>
      </w:pPr>
      <w:r w:rsidRPr="00EF30BB">
        <w:rPr>
          <w:rFonts w:cs="Times New Roman"/>
        </w:rPr>
        <w:t xml:space="preserve">That said, insofar as third party litigation funding agreements are not </w:t>
      </w:r>
      <w:r w:rsidRPr="00EF30BB">
        <w:rPr>
          <w:rFonts w:cs="Times New Roman"/>
          <w:i/>
        </w:rPr>
        <w:t xml:space="preserve">per se </w:t>
      </w:r>
      <w:r w:rsidRPr="00EF30BB">
        <w:rPr>
          <w:rFonts w:cs="Times New Roman"/>
        </w:rPr>
        <w:t xml:space="preserve">illegal, there is no principled basis upon which to restrict supervising judges from approving such agreements as interim financing in appropriate cases. We acknowledge that this funding differs from more common forms of interim financing that are simply designed to help the debtor “keep the lights on” (see </w:t>
      </w:r>
      <w:r w:rsidRPr="00EF30BB">
        <w:rPr>
          <w:rFonts w:cs="Times New Roman"/>
          <w:i/>
        </w:rPr>
        <w:t>Royal Oak</w:t>
      </w:r>
      <w:r w:rsidRPr="00EF30BB">
        <w:rPr>
          <w:rFonts w:cs="Times New Roman"/>
        </w:rPr>
        <w:t xml:space="preserve">, at paras. 7 and 24). However, in circumstances like the case at bar, where there is a single litigation asset </w:t>
      </w:r>
      <w:r w:rsidRPr="00EF30BB">
        <w:rPr>
          <w:rFonts w:cs="Times New Roman"/>
        </w:rPr>
        <w:lastRenderedPageBreak/>
        <w:t>that could be monetized for the benefit of creditors, the objective of maximizing creditor recovery has taken centre stage. In those circumstances, litigation funding furthers the basic purpose of interim financing: allowing the debtor to realize on the value of its assets.</w:t>
      </w:r>
    </w:p>
    <w:p w:rsidR="006B1829" w:rsidRPr="00EF30BB" w:rsidRDefault="006B1829" w:rsidP="006B1829">
      <w:pPr>
        <w:pStyle w:val="ParaNoNdepar-AltN"/>
        <w:rPr>
          <w:rFonts w:cs="Times New Roman"/>
        </w:rPr>
      </w:pPr>
      <w:r w:rsidRPr="00EF30BB">
        <w:rPr>
          <w:rFonts w:cs="Times New Roman"/>
        </w:rPr>
        <w:t xml:space="preserve">We conclude that third party litigation funding agreements may be approved as interim financing in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when the supervising judge determines that doing so would be fair and appropriate, having regard to all the circumstances and the objectives of the Act. This requires consideration of the specific factors set out in s. 11.2(4) of the </w:t>
      </w:r>
      <w:proofErr w:type="spellStart"/>
      <w:r w:rsidRPr="00EF30BB">
        <w:rPr>
          <w:rFonts w:cs="Times New Roman"/>
          <w:i/>
        </w:rPr>
        <w:t>CCAA</w:t>
      </w:r>
      <w:proofErr w:type="spellEnd"/>
      <w:r w:rsidRPr="00EF30BB">
        <w:rPr>
          <w:rFonts w:cs="Times New Roman"/>
        </w:rPr>
        <w:t>. That said, these factors need not be mechanically applied or individually reviewed by the supervising judge. Indeed, not all of them will be significant in every case, nor are they exhaustive. Further guidance may be drawn from other areas in which third party litigation funding agreements have been approved.</w:t>
      </w:r>
    </w:p>
    <w:p w:rsidR="006B1829" w:rsidRPr="00EF30BB" w:rsidRDefault="006B1829" w:rsidP="006B1829">
      <w:pPr>
        <w:pStyle w:val="ParaNoNdepar-AltN"/>
        <w:rPr>
          <w:rFonts w:cs="Times New Roman"/>
        </w:rPr>
      </w:pPr>
      <w:r w:rsidRPr="00EF30BB">
        <w:rPr>
          <w:rFonts w:cs="Times New Roman"/>
        </w:rPr>
        <w:t xml:space="preserve">The foregoing is consistent with the practice that is already occurring in lower courts. Most notably, in </w:t>
      </w:r>
      <w:r w:rsidRPr="00EF30BB">
        <w:rPr>
          <w:rFonts w:cs="Times New Roman"/>
          <w:i/>
        </w:rPr>
        <w:t>Crystallex</w:t>
      </w:r>
      <w:r w:rsidRPr="00EF30BB">
        <w:rPr>
          <w:rFonts w:cs="Times New Roman"/>
        </w:rPr>
        <w:t xml:space="preserve">, the Ontario Court of Appeal approved a third party litigation funding agreement in circumstances substantially similar to the case at bar. </w:t>
      </w:r>
      <w:r w:rsidRPr="00EF30BB">
        <w:rPr>
          <w:rFonts w:cs="Times New Roman"/>
          <w:i/>
        </w:rPr>
        <w:t xml:space="preserve">Crystallex </w:t>
      </w:r>
      <w:r w:rsidRPr="00EF30BB">
        <w:rPr>
          <w:rFonts w:cs="Times New Roman"/>
        </w:rPr>
        <w:t xml:space="preserve">involved a mining company that had the right to develop a large gold deposit in Venezuela. Crystallex eventually became insolvent and (similar to </w:t>
      </w:r>
      <w:proofErr w:type="spellStart"/>
      <w:r w:rsidRPr="00EF30BB">
        <w:rPr>
          <w:rFonts w:cs="Times New Roman"/>
        </w:rPr>
        <w:t>Bluberi</w:t>
      </w:r>
      <w:proofErr w:type="spellEnd"/>
      <w:r w:rsidRPr="00EF30BB">
        <w:rPr>
          <w:rFonts w:cs="Times New Roman"/>
        </w:rPr>
        <w:t xml:space="preserve">) was left with only a single significant asset: a </w:t>
      </w:r>
      <w:proofErr w:type="spellStart"/>
      <w:r w:rsidRPr="00EF30BB">
        <w:rPr>
          <w:rFonts w:cs="Times New Roman"/>
        </w:rPr>
        <w:t>US$3.4</w:t>
      </w:r>
      <w:proofErr w:type="spellEnd"/>
      <w:r w:rsidRPr="00EF30BB">
        <w:rPr>
          <w:rFonts w:cs="Times New Roman"/>
        </w:rPr>
        <w:t xml:space="preserve"> billion arbitration claim against Venezuela. After entering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protection, Crystallex sought the approval of a third party litigation funding agreement. The agreement contemplated that the lender would </w:t>
      </w:r>
      <w:r w:rsidRPr="00EF30BB">
        <w:rPr>
          <w:rFonts w:cs="Times New Roman"/>
        </w:rPr>
        <w:lastRenderedPageBreak/>
        <w:t>advance substantial funds to finance the arbitration in exchange for, among other things, a percentage of the net proceeds of any award or settlement. The supervising judge approved the agreement as interim financing pursuant to s. 11.2. The Court of Appeal unanimously found no error in the supervising judge’s exercise of discretion. It concluded that s. 11.2 “does not restrict the ability of the supervising judge, where appropriate, to approve the grant of a charge securing financing before a plan is approved that may continue after the company emerges fr</w:t>
      </w:r>
      <w:r w:rsidR="00C82FFA">
        <w:rPr>
          <w:rFonts w:cs="Times New Roman"/>
        </w:rPr>
        <w:t xml:space="preserve">om </w:t>
      </w:r>
      <w:proofErr w:type="spellStart"/>
      <w:r w:rsidR="00C82FFA">
        <w:rPr>
          <w:rFonts w:cs="Times New Roman"/>
        </w:rPr>
        <w:t>CCAA</w:t>
      </w:r>
      <w:proofErr w:type="spellEnd"/>
      <w:r w:rsidR="00C82FFA">
        <w:rPr>
          <w:rFonts w:cs="Times New Roman"/>
        </w:rPr>
        <w:t xml:space="preserve"> protection” (para. 68).</w:t>
      </w:r>
    </w:p>
    <w:p w:rsidR="006B1829" w:rsidRPr="00EF30BB" w:rsidRDefault="006B1829" w:rsidP="006B1829">
      <w:pPr>
        <w:pStyle w:val="ParaNoNdepar-AltN"/>
        <w:rPr>
          <w:rFonts w:cs="Times New Roman"/>
        </w:rPr>
      </w:pPr>
      <w:r w:rsidRPr="00EF30BB">
        <w:rPr>
          <w:rFonts w:cs="Times New Roman"/>
        </w:rPr>
        <w:t xml:space="preserve">A key argument raised by the creditors in </w:t>
      </w:r>
      <w:r w:rsidRPr="00EF30BB">
        <w:rPr>
          <w:rFonts w:cs="Times New Roman"/>
          <w:i/>
        </w:rPr>
        <w:t xml:space="preserve">Crystallex </w:t>
      </w:r>
      <w:r w:rsidRPr="00EF30BB">
        <w:rPr>
          <w:rFonts w:cs="Times New Roman"/>
        </w:rPr>
        <w:t xml:space="preserve">— and one that </w:t>
      </w:r>
      <w:proofErr w:type="spellStart"/>
      <w:r w:rsidRPr="00EF30BB">
        <w:rPr>
          <w:rFonts w:cs="Times New Roman"/>
        </w:rPr>
        <w:t>Callidus</w:t>
      </w:r>
      <w:proofErr w:type="spellEnd"/>
      <w:r w:rsidRPr="00EF30BB">
        <w:rPr>
          <w:rFonts w:cs="Times New Roman"/>
        </w:rPr>
        <w:t xml:space="preserve"> and the Creditors’ Group have put before us now — was that the litigation funding agreement at issue was a plan of arrangement and not interim financing. This was significant because, if</w:t>
      </w:r>
      <w:r w:rsidRPr="00EF30BB">
        <w:rPr>
          <w:rFonts w:cs="Times New Roman"/>
          <w:i/>
        </w:rPr>
        <w:t xml:space="preserve"> </w:t>
      </w:r>
      <w:r w:rsidRPr="00EF30BB">
        <w:rPr>
          <w:rFonts w:cs="Times New Roman"/>
        </w:rPr>
        <w:t xml:space="preserve">the agreement was in fact a plan, it would have had to be put to a creditors’ vote pursuant to ss. 4 and 5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prior to receiving court approval. The court in </w:t>
      </w:r>
      <w:r w:rsidRPr="00EF30BB">
        <w:rPr>
          <w:rFonts w:cs="Times New Roman"/>
          <w:i/>
        </w:rPr>
        <w:t xml:space="preserve">Crystallex </w:t>
      </w:r>
      <w:r w:rsidRPr="00EF30BB">
        <w:rPr>
          <w:rFonts w:cs="Times New Roman"/>
        </w:rPr>
        <w:t>rejected this argument, as do we.</w:t>
      </w:r>
    </w:p>
    <w:p w:rsidR="006B1829" w:rsidRPr="00EF30BB" w:rsidRDefault="006B1829" w:rsidP="00A91E74">
      <w:pPr>
        <w:pStyle w:val="ParaNoNdepar-AltN"/>
        <w:spacing w:before="0"/>
        <w:rPr>
          <w:rFonts w:cs="Times New Roman"/>
        </w:rPr>
      </w:pPr>
      <w:r w:rsidRPr="00EF30BB">
        <w:rPr>
          <w:rFonts w:cs="Times New Roman"/>
        </w:rPr>
        <w:t xml:space="preserve">There is no definition of plan of arrangement in the </w:t>
      </w:r>
      <w:proofErr w:type="spellStart"/>
      <w:r w:rsidRPr="00EF30BB">
        <w:rPr>
          <w:rFonts w:cs="Times New Roman"/>
          <w:i/>
        </w:rPr>
        <w:t>CCAA</w:t>
      </w:r>
      <w:proofErr w:type="spellEnd"/>
      <w:r w:rsidRPr="00EF30BB">
        <w:rPr>
          <w:rFonts w:cs="Times New Roman"/>
        </w:rPr>
        <w:t xml:space="preserve">. In fact,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does not refer to plans at all — it only refers to an “arrangement” or “compromise” (see ss. 4 and 5). The authors of </w:t>
      </w:r>
      <w:r w:rsidRPr="00EF30BB">
        <w:rPr>
          <w:rFonts w:cs="Times New Roman"/>
          <w:i/>
        </w:rPr>
        <w:t xml:space="preserve">Bankruptcy and Insolvency Law of Canada </w:t>
      </w:r>
      <w:r w:rsidRPr="00EF30BB">
        <w:rPr>
          <w:rFonts w:cs="Times New Roman"/>
        </w:rPr>
        <w:t>offer the following general definition of these terms, relying on early English case law:</w:t>
      </w:r>
    </w:p>
    <w:p w:rsidR="00ED741A" w:rsidRPr="00EF30BB" w:rsidRDefault="006B1829" w:rsidP="00A91E74">
      <w:pPr>
        <w:pStyle w:val="Citation-AltC"/>
        <w:spacing w:after="240"/>
        <w:ind w:firstLine="274"/>
        <w:contextualSpacing w:val="0"/>
      </w:pPr>
      <w:r w:rsidRPr="00EF30BB">
        <w:t xml:space="preserve">A “compromise” presupposes some dispute about the rights compromised and a settling of that dispute on terms that are satisfactory to the debtor and the creditor. An agreement to accept less than 100¢ on the </w:t>
      </w:r>
      <w:r w:rsidRPr="00EF30BB">
        <w:lastRenderedPageBreak/>
        <w:t>dollar would be a compromise where the debtor disputes the debt or lacks the means to pay it. “Arrangement” is a broader word than “compromise” and is not limited to something analogous to a compromise. It would include any scheme for reorganizing the affairs of the debtor: </w:t>
      </w:r>
      <w:r w:rsidRPr="00EF30BB">
        <w:rPr>
          <w:i/>
          <w:iCs/>
        </w:rPr>
        <w:t>Re Guardian Assur. Co.,</w:t>
      </w:r>
      <w:r w:rsidRPr="00EF30BB">
        <w:t xml:space="preserve"> [1917] 1 Ch. 431, 61 Sol. Jo 232, [1917] </w:t>
      </w:r>
      <w:proofErr w:type="spellStart"/>
      <w:r w:rsidRPr="00EF30BB">
        <w:t>H.B.R</w:t>
      </w:r>
      <w:proofErr w:type="spellEnd"/>
      <w:r w:rsidRPr="00EF30BB">
        <w:t>. 113 (C.A.); </w:t>
      </w:r>
      <w:r w:rsidRPr="00EF30BB">
        <w:rPr>
          <w:i/>
          <w:iCs/>
        </w:rPr>
        <w:t>Re Refund of Dues under Timber Regulations,</w:t>
      </w:r>
      <w:r w:rsidRPr="00EF30BB">
        <w:t xml:space="preserve"> [1935] </w:t>
      </w:r>
      <w:proofErr w:type="spellStart"/>
      <w:r w:rsidRPr="00EF30BB">
        <w:t>A.C</w:t>
      </w:r>
      <w:proofErr w:type="spellEnd"/>
      <w:r w:rsidRPr="00EF30BB">
        <w:t>. 185 (P.C.).</w:t>
      </w:r>
    </w:p>
    <w:p w:rsidR="006B1829" w:rsidRPr="00EF30BB" w:rsidRDefault="006B1829" w:rsidP="00F7517A">
      <w:pPr>
        <w:pStyle w:val="Citation-AltC"/>
        <w:spacing w:line="480" w:lineRule="auto"/>
        <w:ind w:left="0" w:firstLine="4"/>
      </w:pPr>
      <w:r w:rsidRPr="00EF30BB">
        <w:t>(</w:t>
      </w:r>
      <w:proofErr w:type="spellStart"/>
      <w:r w:rsidRPr="00EF30BB">
        <w:t>H</w:t>
      </w:r>
      <w:r w:rsidR="00854D6E">
        <w:t>oulden</w:t>
      </w:r>
      <w:proofErr w:type="spellEnd"/>
      <w:r w:rsidR="00854D6E">
        <w:t xml:space="preserve">, </w:t>
      </w:r>
      <w:proofErr w:type="spellStart"/>
      <w:r w:rsidR="00854D6E">
        <w:t>Morawetz</w:t>
      </w:r>
      <w:proofErr w:type="spellEnd"/>
      <w:r w:rsidR="00854D6E">
        <w:t xml:space="preserve"> and </w:t>
      </w:r>
      <w:proofErr w:type="spellStart"/>
      <w:r w:rsidR="00854D6E">
        <w:t>Sarra</w:t>
      </w:r>
      <w:proofErr w:type="spellEnd"/>
      <w:r w:rsidR="00854D6E">
        <w:t xml:space="preserve">, at </w:t>
      </w:r>
      <w:bookmarkStart w:id="48" w:name="_GoBack"/>
      <w:bookmarkEnd w:id="48"/>
      <w:r w:rsidRPr="00EF30BB">
        <w:t>§33)</w:t>
      </w:r>
    </w:p>
    <w:p w:rsidR="006B1829" w:rsidRPr="00EF30BB" w:rsidRDefault="006B1829" w:rsidP="00DA15DE">
      <w:pPr>
        <w:pStyle w:val="ParaNoNdepar-AltN"/>
        <w:spacing w:before="0"/>
        <w:rPr>
          <w:rFonts w:cs="Times New Roman"/>
        </w:rPr>
      </w:pPr>
      <w:r w:rsidRPr="00EF30BB">
        <w:rPr>
          <w:rFonts w:cs="Times New Roman"/>
        </w:rPr>
        <w:t xml:space="preserve">The apparent breadth of these terms notwithstanding, they do have some limits. More recent jurisprudence suggests that they require, at minimum, some compromise of creditors’ rights. For example, in </w:t>
      </w:r>
      <w:r w:rsidRPr="00854D6E">
        <w:rPr>
          <w:rFonts w:cs="Times New Roman"/>
          <w:i/>
        </w:rPr>
        <w:t>C</w:t>
      </w:r>
      <w:r w:rsidRPr="00EF30BB">
        <w:rPr>
          <w:rFonts w:cs="Times New Roman"/>
          <w:i/>
        </w:rPr>
        <w:t xml:space="preserve">rystallex </w:t>
      </w:r>
      <w:r w:rsidRPr="00EF30BB">
        <w:rPr>
          <w:rFonts w:cs="Times New Roman"/>
        </w:rPr>
        <w:t>the litigation funding agreement at issue (known as the Tenor DIP facility) was held not to be a plan of arrangement because it did not “compromise the terms of [the creditors’] indebtedness or take away . . . their legal rights” (para. 93). The Court of Appeal adopted the following reasoning from the lower court’s decision, with which we substantially agree:</w:t>
      </w:r>
    </w:p>
    <w:p w:rsidR="00D560E5" w:rsidRPr="00EF30BB" w:rsidRDefault="006B1829" w:rsidP="00DA15DE">
      <w:pPr>
        <w:pStyle w:val="Citation-AltC"/>
        <w:spacing w:after="240"/>
        <w:contextualSpacing w:val="0"/>
      </w:pPr>
      <w:r w:rsidRPr="00EF30BB">
        <w:t xml:space="preserve">A “plan of arrangement” or a “compromise” is not defined in the </w:t>
      </w:r>
      <w:proofErr w:type="spellStart"/>
      <w:r w:rsidRPr="00EF30BB">
        <w:t>CCAA</w:t>
      </w:r>
      <w:proofErr w:type="spellEnd"/>
      <w:r w:rsidRPr="00EF30BB">
        <w:t xml:space="preserve">. It is, however, to be an arrangement or compromise between a debtor and its creditors. The Tenor DIP facility is not on its face such an arrangement or compromise between Crystallex and its creditors. Importantly the rights of the noteholders are not taken away from them by the Tenor DIP facility. The noteholders are unsecured creditors. Their rights are to sue to judgment and enforce the judgment. If not paid, they have a right to apply for a bankruptcy order under the BIA. Under the </w:t>
      </w:r>
      <w:proofErr w:type="spellStart"/>
      <w:r w:rsidRPr="00EF30BB">
        <w:t>CCAA</w:t>
      </w:r>
      <w:proofErr w:type="spellEnd"/>
      <w:r w:rsidRPr="00EF30BB">
        <w:t>, they have the right to vote on a plan of arrangement or compromise. None of these rights are taken away by the Tenor DIP.</w:t>
      </w:r>
    </w:p>
    <w:p w:rsidR="006B1829" w:rsidRPr="00EF30BB" w:rsidRDefault="006B1829" w:rsidP="00C402D4">
      <w:pPr>
        <w:pStyle w:val="Citation-AltC"/>
        <w:ind w:left="0"/>
      </w:pPr>
      <w:r w:rsidRPr="00EF30BB">
        <w:t>(</w:t>
      </w:r>
      <w:r w:rsidRPr="00EF30BB">
        <w:rPr>
          <w:i/>
        </w:rPr>
        <w:t>Re Crystallex International Corporation</w:t>
      </w:r>
      <w:r w:rsidRPr="00EF30BB">
        <w:t xml:space="preserve">, 2012 </w:t>
      </w:r>
      <w:proofErr w:type="spellStart"/>
      <w:r w:rsidRPr="00EF30BB">
        <w:t>ONSC</w:t>
      </w:r>
      <w:proofErr w:type="spellEnd"/>
      <w:r w:rsidRPr="00EF30BB">
        <w:t xml:space="preserve"> 2125, 91 </w:t>
      </w:r>
      <w:proofErr w:type="spellStart"/>
      <w:r w:rsidRPr="00EF30BB">
        <w:t>C.B.R</w:t>
      </w:r>
      <w:proofErr w:type="spellEnd"/>
      <w:r w:rsidRPr="00EF30BB">
        <w:t>. (5th) 169, at para. 50)</w:t>
      </w:r>
    </w:p>
    <w:p w:rsidR="006B1829" w:rsidRPr="00EF30BB" w:rsidRDefault="006B1829" w:rsidP="006B1829">
      <w:pPr>
        <w:pStyle w:val="ParaNoNdepar-AltN"/>
        <w:rPr>
          <w:rFonts w:cs="Times New Roman"/>
        </w:rPr>
      </w:pPr>
      <w:r w:rsidRPr="00EF30BB">
        <w:rPr>
          <w:rFonts w:cs="Times New Roman"/>
        </w:rPr>
        <w:lastRenderedPageBreak/>
        <w:t xml:space="preserve">Setting out an exhaustive definition of plan of arrangement or compromise is unnecessary to resolve these appeals. For our purposes, it is sufficient to conclude that plans of arrangement require at least some compromise of creditors’ rights. It follows that a third party litigation funding agreement aimed at extending financing to a debtor company to realize on the value of a litigation asset does not necessarily constitute a plan of arrangement. We would leave it to supervising judges to determine whether, in the particular circumstances of the case before them, a particular third party litigation funding agreement contains terms that effectively convert it into a plan of arrangement. So long as the agreement does not contain such terms, it may be approved as interim financing pursuant to s. 11.2 of the </w:t>
      </w:r>
      <w:proofErr w:type="spellStart"/>
      <w:r w:rsidRPr="00EF30BB">
        <w:rPr>
          <w:rFonts w:cs="Times New Roman"/>
          <w:i/>
        </w:rPr>
        <w:t>CCAA</w:t>
      </w:r>
      <w:proofErr w:type="spellEnd"/>
      <w:r w:rsidR="00C82FFA">
        <w:rPr>
          <w:rFonts w:cs="Times New Roman"/>
        </w:rPr>
        <w:t>.</w:t>
      </w:r>
    </w:p>
    <w:p w:rsidR="006B1829" w:rsidRPr="00EF30BB" w:rsidRDefault="006B1829" w:rsidP="006B1829">
      <w:pPr>
        <w:pStyle w:val="ParaNoNdepar-AltN"/>
        <w:rPr>
          <w:rFonts w:cs="Times New Roman"/>
        </w:rPr>
      </w:pPr>
      <w:r w:rsidRPr="00EF30BB">
        <w:rPr>
          <w:rFonts w:cs="Times New Roman"/>
        </w:rPr>
        <w:t>We add that there may be circumstances in which a third party litigation funding agreement may contain or incorporate a plan of arrangement (e.g., if it contemplates a plan for distribution of litigation proceeds among creditors). Alternatively, a supervising judge may determine that, despite an agreement itself not being a plan of arrangement, it should be packaged with a plan and submitted to a creditors’ vote. That said, we repeat that third party litigation funding agreements are not necessarily, or even generally, plans of arrangement.</w:t>
      </w:r>
    </w:p>
    <w:p w:rsidR="006B1829" w:rsidRPr="00EF30BB" w:rsidRDefault="006B1829" w:rsidP="006B1829">
      <w:pPr>
        <w:pStyle w:val="ParaNoNdepar-AltN"/>
        <w:rPr>
          <w:rFonts w:cs="Times New Roman"/>
        </w:rPr>
      </w:pPr>
      <w:r w:rsidRPr="00EF30BB">
        <w:rPr>
          <w:rFonts w:cs="Times New Roman"/>
        </w:rPr>
        <w:t xml:space="preserve">None of the foregoing is seriously contested before us. The parties essentially agree that third party litigation funding agreements </w:t>
      </w:r>
      <w:r w:rsidRPr="00EF30BB">
        <w:rPr>
          <w:rFonts w:cs="Times New Roman"/>
          <w:i/>
        </w:rPr>
        <w:t xml:space="preserve">can </w:t>
      </w:r>
      <w:r w:rsidRPr="00EF30BB">
        <w:rPr>
          <w:rFonts w:cs="Times New Roman"/>
        </w:rPr>
        <w:t xml:space="preserve">be approved as interim financing. The dispute between them focusses on whether the supervising judge erred in exercising his discretion to approve the </w:t>
      </w:r>
      <w:proofErr w:type="spellStart"/>
      <w:r w:rsidRPr="00EF30BB">
        <w:rPr>
          <w:rFonts w:cs="Times New Roman"/>
        </w:rPr>
        <w:t>LFA</w:t>
      </w:r>
      <w:proofErr w:type="spellEnd"/>
      <w:r w:rsidRPr="00EF30BB">
        <w:rPr>
          <w:rFonts w:cs="Times New Roman"/>
        </w:rPr>
        <w:t xml:space="preserve"> in the absence of a vote of the </w:t>
      </w:r>
      <w:r w:rsidRPr="00EF30BB">
        <w:rPr>
          <w:rFonts w:cs="Times New Roman"/>
        </w:rPr>
        <w:lastRenderedPageBreak/>
        <w:t>creditors, either because it was a plan of arrangement or because it should have been accompanied by a plan of arrangement. We turn to these issues now.</w:t>
      </w:r>
    </w:p>
    <w:p w:rsidR="006B1829" w:rsidRPr="00EF30BB" w:rsidRDefault="006B1829" w:rsidP="006B1829">
      <w:pPr>
        <w:pStyle w:val="Title3LevelTitre3Niveau"/>
        <w:keepNext/>
        <w:tabs>
          <w:tab w:val="clear" w:pos="1566"/>
          <w:tab w:val="num" w:pos="1170"/>
        </w:tabs>
        <w:ind w:left="1170"/>
        <w:rPr>
          <w:rFonts w:cs="Times New Roman"/>
        </w:rPr>
      </w:pPr>
      <w:bookmarkStart w:id="49" w:name="_Toc33564180"/>
      <w:bookmarkStart w:id="50" w:name="_Toc33653921"/>
      <w:r w:rsidRPr="00EF30BB">
        <w:rPr>
          <w:rFonts w:cs="Times New Roman"/>
        </w:rPr>
        <w:t xml:space="preserve">The Supervising Judge Did Not Err in Approving the </w:t>
      </w:r>
      <w:proofErr w:type="spellStart"/>
      <w:r w:rsidRPr="00EF30BB">
        <w:rPr>
          <w:rFonts w:cs="Times New Roman"/>
        </w:rPr>
        <w:t>LFA</w:t>
      </w:r>
      <w:bookmarkEnd w:id="49"/>
      <w:bookmarkEnd w:id="50"/>
      <w:proofErr w:type="spellEnd"/>
    </w:p>
    <w:p w:rsidR="006B1829" w:rsidRPr="00EF30BB" w:rsidRDefault="006B1829" w:rsidP="006B1829">
      <w:pPr>
        <w:pStyle w:val="ParaNoNdepar-AltN"/>
        <w:keepNext/>
        <w:rPr>
          <w:rFonts w:cs="Times New Roman"/>
        </w:rPr>
      </w:pPr>
      <w:r w:rsidRPr="00EF30BB">
        <w:rPr>
          <w:rFonts w:cs="Times New Roman"/>
        </w:rPr>
        <w:t xml:space="preserve">In our view, there is no basis upon which to interfere with the supervising judge’s exercise of his discretion to approve the </w:t>
      </w:r>
      <w:proofErr w:type="spellStart"/>
      <w:r w:rsidRPr="00EF30BB">
        <w:rPr>
          <w:rFonts w:cs="Times New Roman"/>
        </w:rPr>
        <w:t>LFA</w:t>
      </w:r>
      <w:proofErr w:type="spellEnd"/>
      <w:r w:rsidRPr="00EF30BB">
        <w:rPr>
          <w:rFonts w:cs="Times New Roman"/>
        </w:rPr>
        <w:t xml:space="preserve"> as interim financing. The supervising judge considered the </w:t>
      </w:r>
      <w:proofErr w:type="spellStart"/>
      <w:r w:rsidRPr="00EF30BB">
        <w:rPr>
          <w:rFonts w:cs="Times New Roman"/>
        </w:rPr>
        <w:t>LFA</w:t>
      </w:r>
      <w:proofErr w:type="spellEnd"/>
      <w:r w:rsidRPr="00EF30BB">
        <w:rPr>
          <w:rFonts w:cs="Times New Roman"/>
        </w:rPr>
        <w:t xml:space="preserve"> to be fair and reasonable, drawing guidance from the principles relevant to approving similar agreements in the class action context (para. 74, citing </w:t>
      </w:r>
      <w:proofErr w:type="spellStart"/>
      <w:r w:rsidRPr="00EF30BB">
        <w:rPr>
          <w:rFonts w:cs="Times New Roman"/>
          <w:i/>
        </w:rPr>
        <w:t>Bayens</w:t>
      </w:r>
      <w:proofErr w:type="spellEnd"/>
      <w:r w:rsidRPr="00EF30BB">
        <w:rPr>
          <w:rFonts w:cs="Times New Roman"/>
        </w:rPr>
        <w:t xml:space="preserve">, at para. 41; </w:t>
      </w:r>
      <w:r w:rsidRPr="00EF30BB">
        <w:rPr>
          <w:rFonts w:cs="Times New Roman"/>
          <w:i/>
        </w:rPr>
        <w:t>Hayes</w:t>
      </w:r>
      <w:r w:rsidRPr="00EF30BB">
        <w:rPr>
          <w:rFonts w:cs="Times New Roman"/>
        </w:rPr>
        <w:t xml:space="preserve">, at para. 4). In particular, he canvassed the terms upon which Bentham and </w:t>
      </w:r>
      <w:proofErr w:type="spellStart"/>
      <w:r w:rsidRPr="00EF30BB">
        <w:rPr>
          <w:rFonts w:cs="Times New Roman"/>
        </w:rPr>
        <w:t>Bluberi’s</w:t>
      </w:r>
      <w:proofErr w:type="spellEnd"/>
      <w:r w:rsidRPr="00EF30BB">
        <w:rPr>
          <w:rFonts w:cs="Times New Roman"/>
        </w:rPr>
        <w:t xml:space="preserve"> lawyers would be paid in the event the litigation was successful, the risks they were taking by investing in the litigation, and the extent of Bentham’s control over the litigation going forward (paras. 79 and 81). The supervising judge also considered the unique objectives of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in distinguishing the </w:t>
      </w:r>
      <w:proofErr w:type="spellStart"/>
      <w:r w:rsidRPr="00EF30BB">
        <w:rPr>
          <w:rFonts w:cs="Times New Roman"/>
        </w:rPr>
        <w:t>LFA</w:t>
      </w:r>
      <w:proofErr w:type="spellEnd"/>
      <w:r w:rsidRPr="00EF30BB">
        <w:rPr>
          <w:rFonts w:cs="Times New Roman"/>
        </w:rPr>
        <w:t xml:space="preserve"> from ostensibly similar agreements that had not received approval in the class action context (paras. 81-82, distinguishing </w:t>
      </w:r>
      <w:r w:rsidRPr="00EF30BB">
        <w:rPr>
          <w:rFonts w:cs="Times New Roman"/>
          <w:i/>
        </w:rPr>
        <w:t>Houle</w:t>
      </w:r>
      <w:r w:rsidRPr="00EF30BB">
        <w:rPr>
          <w:rFonts w:cs="Times New Roman"/>
        </w:rPr>
        <w:t xml:space="preserve">). His consideration of those objectives is also apparent from his reliance on </w:t>
      </w:r>
      <w:r w:rsidRPr="00EF30BB">
        <w:rPr>
          <w:rFonts w:cs="Times New Roman"/>
          <w:i/>
        </w:rPr>
        <w:t>Crystallex</w:t>
      </w:r>
      <w:r w:rsidRPr="00EF30BB">
        <w:rPr>
          <w:rFonts w:cs="Times New Roman"/>
        </w:rPr>
        <w:t>, which, as we have explained, involved the approval of interim financing in circumstances substantially similar to the case at bar (see paras. 67 and 71). We see no error in principle or unreasonableness to this approach.</w:t>
      </w:r>
    </w:p>
    <w:p w:rsidR="006B1829" w:rsidRPr="00EF30BB" w:rsidRDefault="006B1829" w:rsidP="006B1829">
      <w:pPr>
        <w:pStyle w:val="ParaNoNdepar-AltN"/>
        <w:rPr>
          <w:rFonts w:cs="Times New Roman"/>
        </w:rPr>
      </w:pPr>
      <w:r w:rsidRPr="00EF30BB">
        <w:rPr>
          <w:rFonts w:cs="Times New Roman"/>
        </w:rPr>
        <w:t xml:space="preserve">While the supervising judge did not canvass each of the factors set out in s. 11.2(4) of the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individually before reaching his conclusion, this was not itself an error. A review of the supervising judge’s reasons as a whole, combined with a </w:t>
      </w:r>
      <w:r w:rsidRPr="00EF30BB">
        <w:rPr>
          <w:rFonts w:cs="Times New Roman"/>
        </w:rPr>
        <w:lastRenderedPageBreak/>
        <w:t xml:space="preserve">recognition of his manifest experience with </w:t>
      </w:r>
      <w:proofErr w:type="spellStart"/>
      <w:r w:rsidRPr="00EF30BB">
        <w:rPr>
          <w:rFonts w:cs="Times New Roman"/>
        </w:rPr>
        <w:t>Bluberi’s</w:t>
      </w:r>
      <w:proofErr w:type="spellEnd"/>
      <w:r w:rsidRPr="00EF30BB">
        <w:rPr>
          <w:rFonts w:cs="Times New Roman"/>
        </w:rPr>
        <w:t xml:space="preserve"> </w:t>
      </w:r>
      <w:proofErr w:type="spellStart"/>
      <w:r w:rsidRPr="00EF30BB">
        <w:rPr>
          <w:rFonts w:cs="Times New Roman"/>
          <w:i/>
        </w:rPr>
        <w:t>CCAA</w:t>
      </w:r>
      <w:proofErr w:type="spellEnd"/>
      <w:r w:rsidRPr="00EF30BB">
        <w:rPr>
          <w:rFonts w:cs="Times New Roman"/>
          <w:i/>
        </w:rPr>
        <w:t xml:space="preserve"> </w:t>
      </w:r>
      <w:r w:rsidRPr="00EF30BB">
        <w:rPr>
          <w:rFonts w:cs="Times New Roman"/>
        </w:rPr>
        <w:t>proceedings, leads us to conclude that the factors listed in s. 11.2(4) concern matters that could not have escaped his attention and due consideration. It bears repeating that, at the time of his decision, the supervising judge had been seized of these proceedings for well over two years and had the benefit of the Monitor’s assistance. With respect to each of the s. 11.2(4) factors, we note that:</w:t>
      </w:r>
    </w:p>
    <w:p w:rsidR="006B1829" w:rsidRPr="00EF30BB" w:rsidRDefault="006B1829" w:rsidP="005758CA">
      <w:pPr>
        <w:pStyle w:val="ParaNoNdepar-AltN"/>
        <w:numPr>
          <w:ilvl w:val="0"/>
          <w:numId w:val="12"/>
        </w:numPr>
        <w:tabs>
          <w:tab w:val="left" w:pos="1166"/>
        </w:tabs>
        <w:spacing w:before="0"/>
        <w:ind w:left="1166" w:hanging="446"/>
        <w:rPr>
          <w:rFonts w:cs="Times New Roman"/>
        </w:rPr>
      </w:pPr>
      <w:r w:rsidRPr="00EF30BB">
        <w:rPr>
          <w:rFonts w:cs="Times New Roman"/>
        </w:rPr>
        <w:t xml:space="preserve">the judge’s supervisory role would have made him aware of the potential length of </w:t>
      </w:r>
      <w:proofErr w:type="spellStart"/>
      <w:r w:rsidRPr="00EF30BB">
        <w:rPr>
          <w:rFonts w:cs="Times New Roman"/>
        </w:rPr>
        <w:t>Bluberi’s</w:t>
      </w:r>
      <w:proofErr w:type="spellEnd"/>
      <w:r w:rsidRPr="00EF30BB">
        <w:rPr>
          <w:rFonts w:cs="Times New Roman"/>
        </w:rPr>
        <w:t xml:space="preserve"> </w:t>
      </w:r>
      <w:proofErr w:type="spellStart"/>
      <w:r w:rsidRPr="00EF30BB">
        <w:rPr>
          <w:rFonts w:cs="Times New Roman"/>
          <w:i/>
        </w:rPr>
        <w:t>CCAA</w:t>
      </w:r>
      <w:proofErr w:type="spellEnd"/>
      <w:r w:rsidRPr="00EF30BB">
        <w:rPr>
          <w:rFonts w:cs="Times New Roman"/>
          <w:i/>
        </w:rPr>
        <w:t xml:space="preserve"> </w:t>
      </w:r>
      <w:r w:rsidRPr="00EF30BB">
        <w:rPr>
          <w:rFonts w:cs="Times New Roman"/>
        </w:rPr>
        <w:t xml:space="preserve">proceedings and the extent of creditor support for </w:t>
      </w:r>
      <w:proofErr w:type="spellStart"/>
      <w:r w:rsidRPr="00EF30BB">
        <w:rPr>
          <w:rFonts w:cs="Times New Roman"/>
        </w:rPr>
        <w:t>Bluberi’s</w:t>
      </w:r>
      <w:proofErr w:type="spellEnd"/>
      <w:r w:rsidRPr="00EF30BB">
        <w:rPr>
          <w:rFonts w:cs="Times New Roman"/>
        </w:rPr>
        <w:t xml:space="preserve"> management (s. 11.2(4)(a) and (c)), though we observe that these factors appear to be less significant than the others in the context of this particular case (see para. 96);</w:t>
      </w:r>
    </w:p>
    <w:p w:rsidR="006B1829" w:rsidRPr="00EF30BB" w:rsidRDefault="006B1829" w:rsidP="005758CA">
      <w:pPr>
        <w:pStyle w:val="ParaNoNdepar-AltN"/>
        <w:numPr>
          <w:ilvl w:val="0"/>
          <w:numId w:val="12"/>
        </w:numPr>
        <w:tabs>
          <w:tab w:val="left" w:pos="1166"/>
        </w:tabs>
        <w:spacing w:before="0"/>
        <w:ind w:left="1166" w:hanging="446"/>
        <w:rPr>
          <w:rFonts w:cs="Times New Roman"/>
        </w:rPr>
      </w:pPr>
      <w:r w:rsidRPr="00EF30BB">
        <w:rPr>
          <w:rFonts w:cs="Times New Roman"/>
        </w:rPr>
        <w:t xml:space="preserve">the </w:t>
      </w:r>
      <w:proofErr w:type="spellStart"/>
      <w:r w:rsidRPr="00EF30BB">
        <w:rPr>
          <w:rFonts w:cs="Times New Roman"/>
        </w:rPr>
        <w:t>LFA</w:t>
      </w:r>
      <w:proofErr w:type="spellEnd"/>
      <w:r w:rsidRPr="00EF30BB">
        <w:rPr>
          <w:rFonts w:cs="Times New Roman"/>
        </w:rPr>
        <w:t xml:space="preserve"> itself explains “how the company’s business and financial affairs are to be managed during the proceedings” (s. 11.2(4)(b));</w:t>
      </w:r>
    </w:p>
    <w:p w:rsidR="006B1829" w:rsidRPr="00EF30BB" w:rsidRDefault="006B1829" w:rsidP="005758CA">
      <w:pPr>
        <w:pStyle w:val="ParaNoNdepar-AltN"/>
        <w:numPr>
          <w:ilvl w:val="0"/>
          <w:numId w:val="12"/>
        </w:numPr>
        <w:tabs>
          <w:tab w:val="left" w:pos="1166"/>
        </w:tabs>
        <w:spacing w:before="0"/>
        <w:ind w:left="1166" w:hanging="446"/>
        <w:rPr>
          <w:rFonts w:cs="Times New Roman"/>
        </w:rPr>
      </w:pPr>
      <w:r w:rsidRPr="00EF30BB">
        <w:rPr>
          <w:rFonts w:cs="Times New Roman"/>
        </w:rPr>
        <w:t xml:space="preserve">the supervising judge was of the view that the </w:t>
      </w:r>
      <w:proofErr w:type="spellStart"/>
      <w:r w:rsidRPr="00EF30BB">
        <w:rPr>
          <w:rFonts w:cs="Times New Roman"/>
        </w:rPr>
        <w:t>LFA</w:t>
      </w:r>
      <w:proofErr w:type="spellEnd"/>
      <w:r w:rsidRPr="00EF30BB">
        <w:rPr>
          <w:rFonts w:cs="Times New Roman"/>
        </w:rPr>
        <w:t xml:space="preserve"> would enhance the prospect of a viable plan, as he accepted (1) that </w:t>
      </w:r>
      <w:proofErr w:type="spellStart"/>
      <w:r w:rsidRPr="00EF30BB">
        <w:rPr>
          <w:rFonts w:cs="Times New Roman"/>
        </w:rPr>
        <w:t>Bluberi</w:t>
      </w:r>
      <w:proofErr w:type="spellEnd"/>
      <w:r w:rsidRPr="00EF30BB">
        <w:rPr>
          <w:rFonts w:cs="Times New Roman"/>
        </w:rPr>
        <w:t xml:space="preserve"> intended to submit a plan and (2) </w:t>
      </w:r>
      <w:proofErr w:type="spellStart"/>
      <w:r w:rsidRPr="00EF30BB">
        <w:rPr>
          <w:rFonts w:cs="Times New Roman"/>
        </w:rPr>
        <w:t>Bluberi’s</w:t>
      </w:r>
      <w:proofErr w:type="spellEnd"/>
      <w:r w:rsidRPr="00EF30BB">
        <w:rPr>
          <w:rFonts w:cs="Times New Roman"/>
        </w:rPr>
        <w:t xml:space="preserve"> submission that approval of the </w:t>
      </w:r>
      <w:proofErr w:type="spellStart"/>
      <w:r w:rsidRPr="00EF30BB">
        <w:rPr>
          <w:rFonts w:cs="Times New Roman"/>
        </w:rPr>
        <w:t>LFA</w:t>
      </w:r>
      <w:proofErr w:type="spellEnd"/>
      <w:r w:rsidRPr="00EF30BB">
        <w:rPr>
          <w:rFonts w:cs="Times New Roman"/>
        </w:rPr>
        <w:t xml:space="preserve"> would assist it in finalizing a plan “with a view towards achieving maximum</w:t>
      </w:r>
      <w:r w:rsidR="00025919">
        <w:rPr>
          <w:rFonts w:cs="Times New Roman"/>
        </w:rPr>
        <w:t xml:space="preserve"> realization” of its assets (</w:t>
      </w:r>
      <w:r w:rsidRPr="00EF30BB">
        <w:rPr>
          <w:rFonts w:cs="Times New Roman"/>
        </w:rPr>
        <w:t xml:space="preserve">para. 68, citing 9354-9186 Québec </w:t>
      </w:r>
      <w:proofErr w:type="spellStart"/>
      <w:r w:rsidRPr="00EF30BB">
        <w:rPr>
          <w:rFonts w:cs="Times New Roman"/>
        </w:rPr>
        <w:t>inc.</w:t>
      </w:r>
      <w:proofErr w:type="spellEnd"/>
      <w:r w:rsidRPr="00EF30BB">
        <w:rPr>
          <w:rFonts w:cs="Times New Roman"/>
        </w:rPr>
        <w:t xml:space="preserve"> and 9354-9178 Québec </w:t>
      </w:r>
      <w:proofErr w:type="spellStart"/>
      <w:r w:rsidRPr="00EF30BB">
        <w:rPr>
          <w:rFonts w:cs="Times New Roman"/>
        </w:rPr>
        <w:t>inc.’s</w:t>
      </w:r>
      <w:proofErr w:type="spellEnd"/>
      <w:r w:rsidRPr="00EF30BB">
        <w:rPr>
          <w:rFonts w:cs="Times New Roman"/>
        </w:rPr>
        <w:t xml:space="preserve"> application, at para. 99; s. 11.2(4)(d));</w:t>
      </w:r>
    </w:p>
    <w:p w:rsidR="006B1829" w:rsidRPr="00EF30BB" w:rsidRDefault="006B1829" w:rsidP="005758CA">
      <w:pPr>
        <w:pStyle w:val="ParaNoNdepar-AltN"/>
        <w:numPr>
          <w:ilvl w:val="0"/>
          <w:numId w:val="12"/>
        </w:numPr>
        <w:tabs>
          <w:tab w:val="left" w:pos="1166"/>
        </w:tabs>
        <w:spacing w:before="0"/>
        <w:ind w:left="1166" w:hanging="446"/>
        <w:rPr>
          <w:rFonts w:cs="Times New Roman"/>
        </w:rPr>
      </w:pPr>
      <w:r w:rsidRPr="00EF30BB">
        <w:rPr>
          <w:rFonts w:cs="Times New Roman"/>
        </w:rPr>
        <w:lastRenderedPageBreak/>
        <w:t xml:space="preserve">the supervising judge was apprised of the “nature and value” of </w:t>
      </w:r>
      <w:proofErr w:type="spellStart"/>
      <w:r w:rsidRPr="00EF30BB">
        <w:rPr>
          <w:rFonts w:cs="Times New Roman"/>
        </w:rPr>
        <w:t>Bluberi’s</w:t>
      </w:r>
      <w:proofErr w:type="spellEnd"/>
      <w:r w:rsidRPr="00EF30BB">
        <w:rPr>
          <w:rFonts w:cs="Times New Roman"/>
        </w:rPr>
        <w:t xml:space="preserve"> property, which was clearly limited to the Retained Claims (s. 11.2(4)(e));</w:t>
      </w:r>
    </w:p>
    <w:p w:rsidR="006B1829" w:rsidRPr="00EF30BB" w:rsidRDefault="006B1829" w:rsidP="005758CA">
      <w:pPr>
        <w:pStyle w:val="ParaNoNdepar-AltN"/>
        <w:numPr>
          <w:ilvl w:val="0"/>
          <w:numId w:val="12"/>
        </w:numPr>
        <w:tabs>
          <w:tab w:val="left" w:pos="1166"/>
        </w:tabs>
        <w:spacing w:before="0"/>
        <w:ind w:left="1166" w:hanging="446"/>
        <w:rPr>
          <w:rFonts w:cs="Times New Roman"/>
        </w:rPr>
      </w:pPr>
      <w:r w:rsidRPr="00EF30BB">
        <w:rPr>
          <w:rFonts w:cs="Times New Roman"/>
        </w:rPr>
        <w:t>the supervising judge implicitly concluded that the creditors would not be materially prejudiced by the Litigation Financing Charge, as he stated that “[c]</w:t>
      </w:r>
      <w:proofErr w:type="spellStart"/>
      <w:r w:rsidRPr="00EF30BB">
        <w:rPr>
          <w:rFonts w:cs="Times New Roman"/>
        </w:rPr>
        <w:t>onsidering</w:t>
      </w:r>
      <w:proofErr w:type="spellEnd"/>
      <w:r w:rsidRPr="00EF30BB">
        <w:rPr>
          <w:rFonts w:cs="Times New Roman"/>
        </w:rPr>
        <w:t xml:space="preserve"> the results of the vote [on the First Plan], and given the particular circumstances of this matter, </w:t>
      </w:r>
      <w:r w:rsidRPr="00EF30BB">
        <w:rPr>
          <w:rFonts w:cs="Times New Roman"/>
          <w:u w:val="single"/>
        </w:rPr>
        <w:t>the only potential recovery</w:t>
      </w:r>
      <w:r w:rsidRPr="00EF30BB">
        <w:rPr>
          <w:rFonts w:cs="Times New Roman"/>
        </w:rPr>
        <w:t xml:space="preserve"> lies with the lawsuit th</w:t>
      </w:r>
      <w:r w:rsidR="00025919">
        <w:rPr>
          <w:rFonts w:cs="Times New Roman"/>
        </w:rPr>
        <w:t>at the Debtors will launch” (</w:t>
      </w:r>
      <w:r w:rsidRPr="00EF30BB">
        <w:rPr>
          <w:rFonts w:cs="Times New Roman"/>
        </w:rPr>
        <w:t>para. 91 (emphasis added); s. 11.2(4)(f)); and</w:t>
      </w:r>
    </w:p>
    <w:p w:rsidR="006B1829" w:rsidRPr="00EF30BB" w:rsidRDefault="006B1829" w:rsidP="005758CA">
      <w:pPr>
        <w:pStyle w:val="ParaNoNdepar-AltN"/>
        <w:numPr>
          <w:ilvl w:val="0"/>
          <w:numId w:val="12"/>
        </w:numPr>
        <w:tabs>
          <w:tab w:val="left" w:pos="1166"/>
        </w:tabs>
        <w:spacing w:before="0" w:after="720"/>
        <w:ind w:left="1166" w:hanging="446"/>
        <w:rPr>
          <w:rFonts w:cs="Times New Roman"/>
        </w:rPr>
      </w:pPr>
      <w:proofErr w:type="gramStart"/>
      <w:r w:rsidRPr="00EF30BB">
        <w:rPr>
          <w:rFonts w:cs="Times New Roman"/>
        </w:rPr>
        <w:t>the</w:t>
      </w:r>
      <w:proofErr w:type="gramEnd"/>
      <w:r w:rsidRPr="00EF30BB">
        <w:rPr>
          <w:rFonts w:cs="Times New Roman"/>
        </w:rPr>
        <w:t xml:space="preserve"> supervising judge was also well aware of the Monitor’s reports, and drew from the most recent report at various points in his reasons (see, e.g., paras. 64-</w:t>
      </w:r>
      <w:r>
        <w:rPr>
          <w:rFonts w:cs="Times New Roman"/>
        </w:rPr>
        <w:t>65</w:t>
      </w:r>
      <w:r w:rsidRPr="00EF30BB">
        <w:rPr>
          <w:rFonts w:cs="Times New Roman"/>
        </w:rPr>
        <w:t xml:space="preserve"> and fn. 1; s. 11.2(4)(g)). It is worth noting that the Monitor supported approving the </w:t>
      </w:r>
      <w:proofErr w:type="spellStart"/>
      <w:r w:rsidRPr="00EF30BB">
        <w:rPr>
          <w:rFonts w:cs="Times New Roman"/>
        </w:rPr>
        <w:t>LFA</w:t>
      </w:r>
      <w:proofErr w:type="spellEnd"/>
      <w:r w:rsidRPr="00EF30BB">
        <w:rPr>
          <w:rFonts w:cs="Times New Roman"/>
        </w:rPr>
        <w:t xml:space="preserve"> as interim financing.</w:t>
      </w:r>
    </w:p>
    <w:p w:rsidR="006B1829" w:rsidRPr="00EF30BB" w:rsidRDefault="006B1829" w:rsidP="006B1829">
      <w:pPr>
        <w:pStyle w:val="ParaNoNdepar-AltN"/>
        <w:rPr>
          <w:rFonts w:cs="Times New Roman"/>
        </w:rPr>
      </w:pPr>
      <w:r w:rsidRPr="00EF30BB">
        <w:rPr>
          <w:rFonts w:cs="Times New Roman"/>
        </w:rPr>
        <w:t xml:space="preserve">In our view, it is apparent that the supervising judge was focussed on the fairness at stake to all parties, the specific objectives of the </w:t>
      </w:r>
      <w:proofErr w:type="spellStart"/>
      <w:r w:rsidRPr="00EF30BB">
        <w:rPr>
          <w:rFonts w:cs="Times New Roman"/>
          <w:i/>
        </w:rPr>
        <w:t>CCAA</w:t>
      </w:r>
      <w:proofErr w:type="spellEnd"/>
      <w:r w:rsidRPr="00EF30BB">
        <w:rPr>
          <w:rFonts w:cs="Times New Roman"/>
        </w:rPr>
        <w:t xml:space="preserve">, and the particular circumstances of this case when he approved the </w:t>
      </w:r>
      <w:proofErr w:type="spellStart"/>
      <w:r w:rsidRPr="00EF30BB">
        <w:rPr>
          <w:rFonts w:cs="Times New Roman"/>
        </w:rPr>
        <w:t>LFA</w:t>
      </w:r>
      <w:proofErr w:type="spellEnd"/>
      <w:r w:rsidRPr="00EF30BB">
        <w:rPr>
          <w:rFonts w:cs="Times New Roman"/>
        </w:rPr>
        <w:t xml:space="preserve"> as interim financing. We cannot say that he erred in the exercise of his discretion. Although we are unsure whether the </w:t>
      </w:r>
      <w:proofErr w:type="spellStart"/>
      <w:r w:rsidRPr="00EF30BB">
        <w:rPr>
          <w:rFonts w:cs="Times New Roman"/>
        </w:rPr>
        <w:t>LFA</w:t>
      </w:r>
      <w:proofErr w:type="spellEnd"/>
      <w:r w:rsidRPr="00EF30BB">
        <w:rPr>
          <w:rFonts w:cs="Times New Roman"/>
        </w:rPr>
        <w:t xml:space="preserve"> was as favourable to </w:t>
      </w:r>
      <w:proofErr w:type="spellStart"/>
      <w:r w:rsidRPr="00EF30BB">
        <w:rPr>
          <w:rFonts w:cs="Times New Roman"/>
        </w:rPr>
        <w:t>Bluberi’s</w:t>
      </w:r>
      <w:proofErr w:type="spellEnd"/>
      <w:r w:rsidRPr="00EF30BB">
        <w:rPr>
          <w:rFonts w:cs="Times New Roman"/>
        </w:rPr>
        <w:t xml:space="preserve"> creditors as it might have been — to some extent, it does prioritize Bentham’s recovery over theirs — we nonetheless defer to the supervising judge’s exercise of discretion.</w:t>
      </w:r>
    </w:p>
    <w:p w:rsidR="006B1829" w:rsidRPr="00EF30BB" w:rsidRDefault="006B1829" w:rsidP="006B1829">
      <w:pPr>
        <w:pStyle w:val="ParaNoNdepar-AltN"/>
        <w:rPr>
          <w:rFonts w:cs="Times New Roman"/>
        </w:rPr>
      </w:pPr>
      <w:r w:rsidRPr="00EF30BB">
        <w:rPr>
          <w:rFonts w:cs="Times New Roman"/>
        </w:rPr>
        <w:lastRenderedPageBreak/>
        <w:t xml:space="preserve">To the extent the Court of Appeal held otherwise, we respectfully do not agree. Generally speaking, our view is that the Court of Appeal again failed to afford the supervising judge the necessary deference. More specifically, we wish to comment on three of the purported errors in the supervising judge’s decision that </w:t>
      </w:r>
      <w:r w:rsidR="00C82FFA">
        <w:rPr>
          <w:rFonts w:cs="Times New Roman"/>
        </w:rPr>
        <w:t>the Court of Appeal identified.</w:t>
      </w:r>
    </w:p>
    <w:p w:rsidR="006B1829" w:rsidRPr="00EF30BB" w:rsidRDefault="006B1829" w:rsidP="006B1829">
      <w:pPr>
        <w:pStyle w:val="ParaNoNdepar-AltN"/>
        <w:rPr>
          <w:rFonts w:cs="Times New Roman"/>
        </w:rPr>
      </w:pPr>
      <w:r w:rsidRPr="00EF30BB">
        <w:rPr>
          <w:rFonts w:cs="Times New Roman"/>
        </w:rPr>
        <w:t xml:space="preserve">First, it follows from our conclusion that </w:t>
      </w:r>
      <w:proofErr w:type="spellStart"/>
      <w:r w:rsidRPr="00EF30BB">
        <w:rPr>
          <w:rFonts w:cs="Times New Roman"/>
        </w:rPr>
        <w:t>LFAs</w:t>
      </w:r>
      <w:proofErr w:type="spellEnd"/>
      <w:r w:rsidRPr="00EF30BB">
        <w:rPr>
          <w:rFonts w:cs="Times New Roman"/>
        </w:rPr>
        <w:t xml:space="preserve"> can constitute interim financing that the Court of Appeal was incorrect to hold that approving the </w:t>
      </w:r>
      <w:proofErr w:type="spellStart"/>
      <w:r w:rsidRPr="00EF30BB">
        <w:rPr>
          <w:rFonts w:cs="Times New Roman"/>
        </w:rPr>
        <w:t>LFA</w:t>
      </w:r>
      <w:proofErr w:type="spellEnd"/>
      <w:r w:rsidRPr="00EF30BB">
        <w:rPr>
          <w:rFonts w:cs="Times New Roman"/>
        </w:rPr>
        <w:t xml:space="preserve"> as interim financing “transcended the nature of such financing” (par</w:t>
      </w:r>
      <w:r w:rsidR="00C82FFA">
        <w:rPr>
          <w:rFonts w:cs="Times New Roman"/>
        </w:rPr>
        <w:t>a. 78).</w:t>
      </w:r>
    </w:p>
    <w:p w:rsidR="006B1829" w:rsidRPr="00EF30BB" w:rsidRDefault="006B1829" w:rsidP="006B1829">
      <w:pPr>
        <w:pStyle w:val="ParaNoNdepar-AltN"/>
        <w:rPr>
          <w:rFonts w:cs="Times New Roman"/>
        </w:rPr>
      </w:pPr>
      <w:r w:rsidRPr="00EF30BB">
        <w:rPr>
          <w:rFonts w:cs="Times New Roman"/>
        </w:rPr>
        <w:t xml:space="preserve">Second, in our view, the Court of Appeal was wrong to conclude that the </w:t>
      </w:r>
      <w:proofErr w:type="spellStart"/>
      <w:r w:rsidRPr="00EF30BB">
        <w:rPr>
          <w:rFonts w:cs="Times New Roman"/>
        </w:rPr>
        <w:t>LFA</w:t>
      </w:r>
      <w:proofErr w:type="spellEnd"/>
      <w:r w:rsidRPr="00EF30BB">
        <w:rPr>
          <w:rFonts w:cs="Times New Roman"/>
        </w:rPr>
        <w:t xml:space="preserve"> was a plan of arrangement, and that </w:t>
      </w:r>
      <w:r w:rsidRPr="00EF30BB">
        <w:rPr>
          <w:rFonts w:cs="Times New Roman"/>
          <w:i/>
        </w:rPr>
        <w:t xml:space="preserve">Crystallex </w:t>
      </w:r>
      <w:r w:rsidRPr="00EF30BB">
        <w:rPr>
          <w:rFonts w:cs="Times New Roman"/>
        </w:rPr>
        <w:t xml:space="preserve">was distinguishable on its facts. The Court of Appeal held that the </w:t>
      </w:r>
      <w:proofErr w:type="spellStart"/>
      <w:r w:rsidRPr="00EF30BB">
        <w:rPr>
          <w:rFonts w:cs="Times New Roman"/>
        </w:rPr>
        <w:t>LFA</w:t>
      </w:r>
      <w:proofErr w:type="spellEnd"/>
      <w:r w:rsidRPr="00EF30BB">
        <w:rPr>
          <w:rFonts w:cs="Times New Roman"/>
        </w:rPr>
        <w:t xml:space="preserve"> and associated super-priority Litigation Financing Charge formed a plan because they subordinated the rights of </w:t>
      </w:r>
      <w:proofErr w:type="spellStart"/>
      <w:r w:rsidRPr="00EF30BB">
        <w:rPr>
          <w:rFonts w:cs="Times New Roman"/>
        </w:rPr>
        <w:t>Bluberi’s</w:t>
      </w:r>
      <w:proofErr w:type="spellEnd"/>
      <w:r w:rsidRPr="00EF30BB">
        <w:rPr>
          <w:rFonts w:cs="Times New Roman"/>
        </w:rPr>
        <w:t xml:space="preserve"> creditors to those of Bentham.</w:t>
      </w:r>
    </w:p>
    <w:p w:rsidR="006B1829" w:rsidRPr="00EF30BB" w:rsidRDefault="006B1829" w:rsidP="006B1829">
      <w:pPr>
        <w:pStyle w:val="ParaNoNdepar-AltN"/>
        <w:rPr>
          <w:rFonts w:cs="Times New Roman"/>
        </w:rPr>
      </w:pPr>
      <w:r w:rsidRPr="00EF30BB">
        <w:rPr>
          <w:rFonts w:cs="Times New Roman"/>
        </w:rPr>
        <w:t xml:space="preserve">We agree with the supervising judge that the </w:t>
      </w:r>
      <w:proofErr w:type="spellStart"/>
      <w:r w:rsidRPr="00EF30BB">
        <w:rPr>
          <w:rFonts w:cs="Times New Roman"/>
        </w:rPr>
        <w:t>LFA</w:t>
      </w:r>
      <w:proofErr w:type="spellEnd"/>
      <w:r w:rsidRPr="00EF30BB">
        <w:rPr>
          <w:rFonts w:cs="Times New Roman"/>
        </w:rPr>
        <w:t xml:space="preserve"> is not a plan of arrangement because it does not propose any compromise of the creditors’ rights. To borrow from the Court of Appeal in </w:t>
      </w:r>
      <w:r w:rsidRPr="00EF30BB">
        <w:rPr>
          <w:rFonts w:cs="Times New Roman"/>
          <w:i/>
        </w:rPr>
        <w:t>Crystallex</w:t>
      </w:r>
      <w:r w:rsidRPr="00EF30BB">
        <w:rPr>
          <w:rFonts w:cs="Times New Roman"/>
        </w:rPr>
        <w:t xml:space="preserve">, </w:t>
      </w:r>
      <w:proofErr w:type="spellStart"/>
      <w:r w:rsidRPr="00EF30BB">
        <w:rPr>
          <w:rFonts w:cs="Times New Roman"/>
        </w:rPr>
        <w:t>Bluberi’s</w:t>
      </w:r>
      <w:proofErr w:type="spellEnd"/>
      <w:r w:rsidRPr="00EF30BB">
        <w:rPr>
          <w:rFonts w:cs="Times New Roman"/>
        </w:rPr>
        <w:t xml:space="preserve"> litigation claim is akin to a “pot of gold” (para. 4). Plans of arrangement determine how to distribute that pot. They do not generally determine what a debtor company should do to fill it. The fact that the creditors may walk away with more or less money at the end of the day does not change the nature or existence of their rights to access the pot once it is filled, nor can it be said to “compromise” those rights. When the “pot of gold” is secure — that is, in the event </w:t>
      </w:r>
      <w:r w:rsidRPr="00EF30BB">
        <w:rPr>
          <w:rFonts w:cs="Times New Roman"/>
        </w:rPr>
        <w:lastRenderedPageBreak/>
        <w:t xml:space="preserve">of any litigation or settlement — the net funds will be distributed to the creditors. Here, if the Retained Claims generate funds in excess of </w:t>
      </w:r>
      <w:proofErr w:type="spellStart"/>
      <w:r w:rsidRPr="00EF30BB">
        <w:rPr>
          <w:rFonts w:cs="Times New Roman"/>
        </w:rPr>
        <w:t>Bluberi’s</w:t>
      </w:r>
      <w:proofErr w:type="spellEnd"/>
      <w:r w:rsidRPr="00EF30BB">
        <w:rPr>
          <w:rFonts w:cs="Times New Roman"/>
        </w:rPr>
        <w:t xml:space="preserve"> total liabilities, the creditors will be paid in full; if there is a shortfall, a plan of arrangement or compromise will determine how the funds are distributed. </w:t>
      </w:r>
      <w:proofErr w:type="spellStart"/>
      <w:r w:rsidRPr="00EF30BB">
        <w:rPr>
          <w:rFonts w:cs="Times New Roman"/>
        </w:rPr>
        <w:t>Bluberi</w:t>
      </w:r>
      <w:proofErr w:type="spellEnd"/>
      <w:r w:rsidRPr="00EF30BB">
        <w:rPr>
          <w:rFonts w:cs="Times New Roman"/>
        </w:rPr>
        <w:t xml:space="preserve"> has committed to proposing such a plan (see supervising judge’s reasons, at para. 68, distinguishing </w:t>
      </w:r>
      <w:r w:rsidRPr="00EF30BB">
        <w:rPr>
          <w:rFonts w:cs="Times New Roman"/>
          <w:i/>
        </w:rPr>
        <w:t xml:space="preserve">Cliffs Over Maple Bay Investments Ltd. v. </w:t>
      </w:r>
      <w:proofErr w:type="spellStart"/>
      <w:r w:rsidRPr="00EF30BB">
        <w:rPr>
          <w:rFonts w:cs="Times New Roman"/>
          <w:i/>
        </w:rPr>
        <w:t>Fisgard</w:t>
      </w:r>
      <w:proofErr w:type="spellEnd"/>
      <w:r w:rsidRPr="00EF30BB">
        <w:rPr>
          <w:rFonts w:cs="Times New Roman"/>
          <w:i/>
        </w:rPr>
        <w:t xml:space="preserve"> Capital Corp.</w:t>
      </w:r>
      <w:r w:rsidRPr="00EF30BB">
        <w:rPr>
          <w:rFonts w:cs="Times New Roman"/>
        </w:rPr>
        <w:t xml:space="preserve">, 2008 </w:t>
      </w:r>
      <w:proofErr w:type="spellStart"/>
      <w:r w:rsidRPr="00EF30BB">
        <w:rPr>
          <w:rFonts w:cs="Times New Roman"/>
        </w:rPr>
        <w:t>BCCA</w:t>
      </w:r>
      <w:proofErr w:type="spellEnd"/>
      <w:r w:rsidRPr="00EF30BB">
        <w:rPr>
          <w:rFonts w:cs="Times New Roman"/>
        </w:rPr>
        <w:t xml:space="preserve"> 327, 296 </w:t>
      </w:r>
      <w:proofErr w:type="spellStart"/>
      <w:r w:rsidRPr="00EF30BB">
        <w:rPr>
          <w:rFonts w:cs="Times New Roman"/>
        </w:rPr>
        <w:t>D.L.R</w:t>
      </w:r>
      <w:proofErr w:type="spellEnd"/>
      <w:r w:rsidRPr="00EF30BB">
        <w:rPr>
          <w:rFonts w:cs="Times New Roman"/>
        </w:rPr>
        <w:t>. (4th) 577).</w:t>
      </w:r>
    </w:p>
    <w:p w:rsidR="006B1829" w:rsidRPr="00EF30BB" w:rsidRDefault="006B1829" w:rsidP="00484F60">
      <w:pPr>
        <w:pStyle w:val="ParaNoNdepar-AltN"/>
        <w:spacing w:before="0"/>
        <w:rPr>
          <w:rFonts w:cs="Times New Roman"/>
        </w:rPr>
      </w:pPr>
      <w:r w:rsidRPr="00EF30BB">
        <w:rPr>
          <w:rFonts w:cs="Times New Roman"/>
        </w:rPr>
        <w:t xml:space="preserve">This is the very same conclusion that was reached in </w:t>
      </w:r>
      <w:r w:rsidRPr="00EF30BB">
        <w:rPr>
          <w:rFonts w:cs="Times New Roman"/>
          <w:i/>
        </w:rPr>
        <w:t>Crystallex</w:t>
      </w:r>
      <w:r w:rsidR="00C82FFA">
        <w:rPr>
          <w:rFonts w:cs="Times New Roman"/>
        </w:rPr>
        <w:t xml:space="preserve"> in similar circumstances:</w:t>
      </w:r>
    </w:p>
    <w:p w:rsidR="006B1829" w:rsidRPr="00EF30BB" w:rsidRDefault="006B1829" w:rsidP="00484F60">
      <w:pPr>
        <w:pStyle w:val="Citation-AltC"/>
        <w:spacing w:after="240"/>
        <w:ind w:firstLine="274"/>
        <w:contextualSpacing w:val="0"/>
      </w:pPr>
      <w:r w:rsidRPr="00EF30BB">
        <w:t>The facts of this case are unusual: there is a single “pot of gold” asset which, if realized, will provide significantly more than required to repay the creditors. The supervising judge was in the best position to balance the interests of all stakeholders. I am of the view that the supervising judge’s exercise of discretion in approving the Tenor DIP Loan was reasonable and appropriate, despite having the effect of constraining the negotiating position of the creditors.</w:t>
      </w:r>
    </w:p>
    <w:p w:rsidR="006B1829" w:rsidRPr="00EF30BB" w:rsidRDefault="00484F60" w:rsidP="00484F60">
      <w:pPr>
        <w:pStyle w:val="Citation-AltC"/>
        <w:spacing w:after="240"/>
        <w:ind w:left="4046" w:firstLine="274"/>
        <w:contextualSpacing w:val="0"/>
      </w:pPr>
      <w:r>
        <w:t>. . .</w:t>
      </w:r>
    </w:p>
    <w:p w:rsidR="006B1829" w:rsidRPr="00EF30BB" w:rsidRDefault="006B1829" w:rsidP="006B1829">
      <w:pPr>
        <w:pStyle w:val="Citation-AltC"/>
        <w:ind w:firstLine="274"/>
      </w:pPr>
      <w:r w:rsidRPr="00EF30BB">
        <w:t>. . . While the approval of the Tenor DIP Loan affected the Noteholders’ leverage in negotiating a plan, and has made the negotiation of a plan more complex, it did not compromise the terms of their indebtedness or take away any of their legal rights. It is accordingly not an arrangement, and a creditor vote was not required. [paras. 82 and 93]</w:t>
      </w:r>
    </w:p>
    <w:p w:rsidR="006B1829" w:rsidRPr="00EF30BB" w:rsidRDefault="006B1829" w:rsidP="006B1829">
      <w:pPr>
        <w:pStyle w:val="ParaNoNdepar-AltN"/>
        <w:rPr>
          <w:rFonts w:cs="Times New Roman"/>
        </w:rPr>
      </w:pPr>
      <w:r w:rsidRPr="00EF30BB">
        <w:rPr>
          <w:rFonts w:cs="Times New Roman"/>
        </w:rPr>
        <w:t xml:space="preserve">We disagree with the Court of Appeal that </w:t>
      </w:r>
      <w:r w:rsidRPr="00EF30BB">
        <w:rPr>
          <w:rFonts w:cs="Times New Roman"/>
          <w:i/>
        </w:rPr>
        <w:t xml:space="preserve">Crystallex </w:t>
      </w:r>
      <w:r w:rsidRPr="00EF30BB">
        <w:rPr>
          <w:rFonts w:cs="Times New Roman"/>
        </w:rPr>
        <w:t>should be distinguished on the basis that it</w:t>
      </w:r>
      <w:r w:rsidRPr="00EF30BB">
        <w:rPr>
          <w:rFonts w:cs="Times New Roman"/>
          <w:i/>
        </w:rPr>
        <w:t xml:space="preserve"> </w:t>
      </w:r>
      <w:r w:rsidRPr="00EF30BB">
        <w:rPr>
          <w:rFonts w:cs="Times New Roman"/>
        </w:rPr>
        <w:t xml:space="preserve">involved a single option for creditor recovery (i.e., the arbitration) while this case involves two (i.e., litigation of the Retained Claims and </w:t>
      </w:r>
      <w:proofErr w:type="spellStart"/>
      <w:r w:rsidRPr="00EF30BB">
        <w:rPr>
          <w:rFonts w:cs="Times New Roman"/>
        </w:rPr>
        <w:t>Callidus’s</w:t>
      </w:r>
      <w:proofErr w:type="spellEnd"/>
      <w:r w:rsidRPr="00EF30BB">
        <w:rPr>
          <w:rFonts w:cs="Times New Roman"/>
        </w:rPr>
        <w:t xml:space="preserve"> New Plan). Given the supervising judge’s conclusion that </w:t>
      </w:r>
      <w:proofErr w:type="spellStart"/>
      <w:r w:rsidRPr="00EF30BB">
        <w:rPr>
          <w:rFonts w:cs="Times New Roman"/>
        </w:rPr>
        <w:t>Callidus</w:t>
      </w:r>
      <w:proofErr w:type="spellEnd"/>
      <w:r w:rsidRPr="00EF30BB">
        <w:rPr>
          <w:rFonts w:cs="Times New Roman"/>
        </w:rPr>
        <w:t xml:space="preserve"> could not vote on the New Plan, that plan was not a viable alternative to the </w:t>
      </w:r>
      <w:proofErr w:type="spellStart"/>
      <w:r w:rsidRPr="00EF30BB">
        <w:rPr>
          <w:rFonts w:cs="Times New Roman"/>
        </w:rPr>
        <w:t>LFA</w:t>
      </w:r>
      <w:proofErr w:type="spellEnd"/>
      <w:r w:rsidRPr="00EF30BB">
        <w:rPr>
          <w:rFonts w:cs="Times New Roman"/>
        </w:rPr>
        <w:t xml:space="preserve">. This left the </w:t>
      </w:r>
      <w:proofErr w:type="spellStart"/>
      <w:r w:rsidRPr="00EF30BB">
        <w:rPr>
          <w:rFonts w:cs="Times New Roman"/>
        </w:rPr>
        <w:lastRenderedPageBreak/>
        <w:t>LFA</w:t>
      </w:r>
      <w:proofErr w:type="spellEnd"/>
      <w:r w:rsidRPr="00EF30BB">
        <w:rPr>
          <w:rFonts w:cs="Times New Roman"/>
        </w:rPr>
        <w:t xml:space="preserve"> and litigation of the Retained Claims as the “only potential recovery” for </w:t>
      </w:r>
      <w:proofErr w:type="spellStart"/>
      <w:r w:rsidRPr="00EF30BB">
        <w:rPr>
          <w:rFonts w:cs="Times New Roman"/>
        </w:rPr>
        <w:t>Bluberi’s</w:t>
      </w:r>
      <w:proofErr w:type="spellEnd"/>
      <w:r w:rsidRPr="00EF30BB">
        <w:rPr>
          <w:rFonts w:cs="Times New Roman"/>
        </w:rPr>
        <w:t xml:space="preserve"> creditors (supervising judge’s reasons, at para. 91). Perhaps more significantly, even if there were multiple options for creditor recovery in either </w:t>
      </w:r>
      <w:r w:rsidRPr="00EF30BB">
        <w:rPr>
          <w:rFonts w:cs="Times New Roman"/>
          <w:i/>
        </w:rPr>
        <w:t xml:space="preserve">Crystallex </w:t>
      </w:r>
      <w:r w:rsidRPr="00EF30BB">
        <w:rPr>
          <w:rFonts w:cs="Times New Roman"/>
        </w:rPr>
        <w:t>or this case, the mere presence of those options would not necessarily have changed the character of the third party litigation funding agreements at issue or converted them into plans of arrangement. The question for the supervising judge in each case is whether the agreement before them ought to be approved as interim financing. While other options for creditor recovery may be relevant to that discretionary decision, the</w:t>
      </w:r>
      <w:r w:rsidR="00C82FFA">
        <w:rPr>
          <w:rFonts w:cs="Times New Roman"/>
        </w:rPr>
        <w:t>y are not determinative.</w:t>
      </w:r>
    </w:p>
    <w:p w:rsidR="006B1829" w:rsidRPr="00EF30BB" w:rsidRDefault="006B1829" w:rsidP="006B1829">
      <w:pPr>
        <w:pStyle w:val="ParaNoNdepar-AltN"/>
        <w:rPr>
          <w:rFonts w:cs="Times New Roman"/>
        </w:rPr>
      </w:pPr>
      <w:r w:rsidRPr="00EF30BB">
        <w:rPr>
          <w:rFonts w:cs="Times New Roman"/>
        </w:rPr>
        <w:t xml:space="preserve">We add that the Litigation Financing Charge does not convert the </w:t>
      </w:r>
      <w:proofErr w:type="spellStart"/>
      <w:r w:rsidRPr="00EF30BB">
        <w:rPr>
          <w:rFonts w:cs="Times New Roman"/>
        </w:rPr>
        <w:t>LFA</w:t>
      </w:r>
      <w:proofErr w:type="spellEnd"/>
      <w:r w:rsidRPr="00EF30BB">
        <w:rPr>
          <w:rFonts w:cs="Times New Roman"/>
        </w:rPr>
        <w:t xml:space="preserve"> into a plan of arrangement by “</w:t>
      </w:r>
      <w:proofErr w:type="spellStart"/>
      <w:r w:rsidRPr="00EF30BB">
        <w:rPr>
          <w:rFonts w:cs="Times New Roman"/>
        </w:rPr>
        <w:t>subordinat</w:t>
      </w:r>
      <w:proofErr w:type="spellEnd"/>
      <w:r w:rsidRPr="00EF30BB">
        <w:rPr>
          <w:rFonts w:cs="Times New Roman"/>
        </w:rPr>
        <w:t>[</w:t>
      </w:r>
      <w:proofErr w:type="spellStart"/>
      <w:r w:rsidRPr="00EF30BB">
        <w:rPr>
          <w:rFonts w:cs="Times New Roman"/>
        </w:rPr>
        <w:t>ing</w:t>
      </w:r>
      <w:proofErr w:type="spellEnd"/>
      <w:r w:rsidRPr="00EF30BB">
        <w:rPr>
          <w:rFonts w:cs="Times New Roman"/>
        </w:rPr>
        <w:t xml:space="preserve">]” creditors’ rights (C.A. reasons, at para. 90). We accept that this charge would have the effect of placing secured creditors like </w:t>
      </w:r>
      <w:proofErr w:type="spellStart"/>
      <w:r w:rsidRPr="00EF30BB">
        <w:rPr>
          <w:rFonts w:cs="Times New Roman"/>
        </w:rPr>
        <w:t>Callidus</w:t>
      </w:r>
      <w:proofErr w:type="spellEnd"/>
      <w:r w:rsidRPr="00EF30BB">
        <w:rPr>
          <w:rFonts w:cs="Times New Roman"/>
        </w:rPr>
        <w:t xml:space="preserve"> behind in priority to Bentham. However, this result is expressly provided for in s. 11.2 of the </w:t>
      </w:r>
      <w:proofErr w:type="spellStart"/>
      <w:r w:rsidRPr="00EF30BB">
        <w:rPr>
          <w:rFonts w:cs="Times New Roman"/>
          <w:i/>
        </w:rPr>
        <w:t>CCAA</w:t>
      </w:r>
      <w:proofErr w:type="spellEnd"/>
      <w:r w:rsidRPr="00EF30BB">
        <w:rPr>
          <w:rFonts w:cs="Times New Roman"/>
        </w:rPr>
        <w:t>. This “subordination” does not convert statutorily authorized interim financing into a plan of arrangement. Accepting this interpretation would effectively extinguish the supervising judge’s authority to approve these charges without a creditors’ vote pursuant to s. 11.2(2).</w:t>
      </w:r>
    </w:p>
    <w:p w:rsidR="006B1829" w:rsidRPr="00EF30BB" w:rsidRDefault="006B1829" w:rsidP="006B1829">
      <w:pPr>
        <w:pStyle w:val="ParaNoNdepar-AltN"/>
        <w:rPr>
          <w:rFonts w:cs="Times New Roman"/>
        </w:rPr>
      </w:pPr>
      <w:r w:rsidRPr="00EF30BB">
        <w:rPr>
          <w:rFonts w:cs="Times New Roman"/>
        </w:rPr>
        <w:t xml:space="preserve">Third, we are of the view that the Court of Appeal was wrong to decide that the supervising judge should have submitted the </w:t>
      </w:r>
      <w:proofErr w:type="spellStart"/>
      <w:r w:rsidRPr="00EF30BB">
        <w:rPr>
          <w:rFonts w:cs="Times New Roman"/>
        </w:rPr>
        <w:t>LFA</w:t>
      </w:r>
      <w:proofErr w:type="spellEnd"/>
      <w:r w:rsidRPr="00EF30BB">
        <w:rPr>
          <w:rFonts w:cs="Times New Roman"/>
        </w:rPr>
        <w:t xml:space="preserve"> together with a plan to the creditors for their approval (para. 89). As we have indicated, whether to insist that a </w:t>
      </w:r>
      <w:r w:rsidRPr="00EF30BB">
        <w:rPr>
          <w:rFonts w:cs="Times New Roman"/>
        </w:rPr>
        <w:lastRenderedPageBreak/>
        <w:t>debtor package their third party litigation funding agreement with a plan is a discretionary decision for the supervising judge to make.</w:t>
      </w:r>
    </w:p>
    <w:p w:rsidR="006B1829" w:rsidRPr="00EF30BB" w:rsidRDefault="006B1829" w:rsidP="006B1829">
      <w:pPr>
        <w:pStyle w:val="ParaNoNdepar-AltN"/>
        <w:rPr>
          <w:rFonts w:cs="Times New Roman"/>
        </w:rPr>
      </w:pPr>
      <w:r w:rsidRPr="00EF30BB">
        <w:rPr>
          <w:rFonts w:cs="Times New Roman"/>
        </w:rPr>
        <w:t xml:space="preserve">Finally, at the appellants’ insistence, we point out that the Court of Appeal’s suggestion that the </w:t>
      </w:r>
      <w:proofErr w:type="spellStart"/>
      <w:r w:rsidRPr="00EF30BB">
        <w:rPr>
          <w:rFonts w:cs="Times New Roman"/>
        </w:rPr>
        <w:t>LFA</w:t>
      </w:r>
      <w:proofErr w:type="spellEnd"/>
      <w:r w:rsidRPr="00EF30BB">
        <w:rPr>
          <w:rFonts w:cs="Times New Roman"/>
        </w:rPr>
        <w:t xml:space="preserve"> is somehow “akin to an equity investment” was unhelpful and potentially confusing (para. 90). That said, this characterization was clearly </w:t>
      </w:r>
      <w:r w:rsidRPr="00EF30BB">
        <w:rPr>
          <w:rFonts w:cs="Times New Roman"/>
          <w:i/>
        </w:rPr>
        <w:t>obiter dictum</w:t>
      </w:r>
      <w:r w:rsidRPr="00EF30BB">
        <w:rPr>
          <w:rFonts w:cs="Times New Roman"/>
        </w:rPr>
        <w:t xml:space="preserve">. To the extent that the Court of Appeal relied on it as support for the conclusion that the </w:t>
      </w:r>
      <w:proofErr w:type="spellStart"/>
      <w:r w:rsidRPr="00EF30BB">
        <w:rPr>
          <w:rFonts w:cs="Times New Roman"/>
        </w:rPr>
        <w:t>LFA</w:t>
      </w:r>
      <w:proofErr w:type="spellEnd"/>
      <w:r w:rsidRPr="00EF30BB">
        <w:rPr>
          <w:rFonts w:cs="Times New Roman"/>
        </w:rPr>
        <w:t xml:space="preserve"> was a plan of arrangement, we have already explained why we believe the Court of App</w:t>
      </w:r>
      <w:r w:rsidR="00C82FFA">
        <w:rPr>
          <w:rFonts w:cs="Times New Roman"/>
        </w:rPr>
        <w:t>eal was mistaken on this point.</w:t>
      </w:r>
    </w:p>
    <w:p w:rsidR="006B1829" w:rsidRPr="00EF30BB" w:rsidRDefault="006B1829" w:rsidP="006B1829">
      <w:pPr>
        <w:pStyle w:val="Title1LevelTitre1Niveau-AltL"/>
        <w:keepNext/>
        <w:rPr>
          <w:rFonts w:cs="Times New Roman"/>
        </w:rPr>
      </w:pPr>
      <w:bookmarkStart w:id="51" w:name="_Toc33564181"/>
      <w:bookmarkStart w:id="52" w:name="_Toc33653922"/>
      <w:r w:rsidRPr="00EF30BB">
        <w:rPr>
          <w:rFonts w:cs="Times New Roman"/>
        </w:rPr>
        <w:t>C</w:t>
      </w:r>
      <w:bookmarkEnd w:id="51"/>
      <w:bookmarkEnd w:id="52"/>
      <w:r w:rsidRPr="00EF30BB">
        <w:rPr>
          <w:rFonts w:cs="Times New Roman"/>
        </w:rPr>
        <w:t>onclusion</w:t>
      </w:r>
    </w:p>
    <w:p w:rsidR="006B1829" w:rsidRPr="00EF30BB" w:rsidRDefault="006B1829" w:rsidP="008E2D8A">
      <w:pPr>
        <w:pStyle w:val="ParaNoNdepar-AltN"/>
        <w:keepNext/>
        <w:spacing w:before="0"/>
        <w:rPr>
          <w:rFonts w:cs="Times New Roman"/>
        </w:rPr>
      </w:pPr>
      <w:r w:rsidRPr="00EF30BB">
        <w:rPr>
          <w:rFonts w:cs="Times New Roman"/>
        </w:rPr>
        <w:t>For these reasons, at the conclusion of the hearing we allowed these appeals and reinstated the supervising judge’s order. Costs were awarded to the appellants in this</w:t>
      </w:r>
      <w:r w:rsidR="00C82FFA">
        <w:rPr>
          <w:rFonts w:cs="Times New Roman"/>
        </w:rPr>
        <w:t xml:space="preserve"> Court and the Court of Appeal.</w:t>
      </w:r>
    </w:p>
    <w:p w:rsidR="009B57B3" w:rsidRDefault="009B57B3" w:rsidP="00A46BE5">
      <w:pPr>
        <w:pStyle w:val="SCCNormalDoubleSpacing"/>
        <w:spacing w:after="480"/>
      </w:pPr>
      <w:r w:rsidRPr="001426A9">
        <w:tab/>
      </w:r>
      <w:r w:rsidR="00B30756" w:rsidRPr="00B30756">
        <w:rPr>
          <w:i/>
        </w:rPr>
        <w:t>Appeals allowed with costs in the Cou</w:t>
      </w:r>
      <w:r w:rsidR="00B30756">
        <w:rPr>
          <w:i/>
        </w:rPr>
        <w:t>rt and in the Court of Appeal.</w:t>
      </w:r>
    </w:p>
    <w:p w:rsidR="00261E19" w:rsidRPr="00C15673" w:rsidRDefault="00065661" w:rsidP="00A46BE5">
      <w:pPr>
        <w:pStyle w:val="SCCNormalDoubleSpacing"/>
        <w:spacing w:after="480"/>
        <w:rPr>
          <w:i/>
        </w:rPr>
      </w:pPr>
      <w:r w:rsidRPr="00C15673">
        <w:rPr>
          <w:i/>
        </w:rPr>
        <w:tab/>
        <w:t>S</w:t>
      </w:r>
      <w:r w:rsidR="00834C93" w:rsidRPr="00C15673">
        <w:rPr>
          <w:i/>
        </w:rPr>
        <w:t>olicitors for the appellants</w:t>
      </w:r>
      <w:r w:rsidR="00763CF0" w:rsidRPr="00C15673">
        <w:rPr>
          <w:i/>
        </w:rPr>
        <w:t>/interveners</w:t>
      </w:r>
      <w:r w:rsidR="00C15673" w:rsidRPr="00C15673">
        <w:rPr>
          <w:i/>
        </w:rPr>
        <w:t xml:space="preserve"> 9354</w:t>
      </w:r>
      <w:r w:rsidR="00C15673" w:rsidRPr="00C15673">
        <w:rPr>
          <w:i/>
        </w:rPr>
        <w:noBreakHyphen/>
      </w:r>
      <w:r w:rsidR="00834C93" w:rsidRPr="00C15673">
        <w:rPr>
          <w:i/>
        </w:rPr>
        <w:t xml:space="preserve">9186 Québec </w:t>
      </w:r>
      <w:proofErr w:type="spellStart"/>
      <w:r w:rsidR="00834C93" w:rsidRPr="00C15673">
        <w:rPr>
          <w:i/>
        </w:rPr>
        <w:t>inc.</w:t>
      </w:r>
      <w:proofErr w:type="spellEnd"/>
      <w:r w:rsidR="00C15673" w:rsidRPr="00C15673">
        <w:rPr>
          <w:i/>
        </w:rPr>
        <w:t xml:space="preserve"> and 9354</w:t>
      </w:r>
      <w:r w:rsidR="00C15673" w:rsidRPr="00C15673">
        <w:rPr>
          <w:i/>
        </w:rPr>
        <w:noBreakHyphen/>
      </w:r>
      <w:r w:rsidR="00834C93" w:rsidRPr="00C15673">
        <w:rPr>
          <w:i/>
        </w:rPr>
        <w:t xml:space="preserve">9178 Québec </w:t>
      </w:r>
      <w:proofErr w:type="spellStart"/>
      <w:r w:rsidR="00834C93" w:rsidRPr="00C15673">
        <w:rPr>
          <w:i/>
        </w:rPr>
        <w:t>inc.</w:t>
      </w:r>
      <w:proofErr w:type="spellEnd"/>
      <w:r w:rsidR="006112BE" w:rsidRPr="00C15673">
        <w:rPr>
          <w:i/>
        </w:rPr>
        <w:t>: </w:t>
      </w:r>
      <w:r w:rsidRPr="00C15673">
        <w:rPr>
          <w:i/>
        </w:rPr>
        <w:t>Dav</w:t>
      </w:r>
      <w:r w:rsidR="00834C93" w:rsidRPr="00C15673">
        <w:rPr>
          <w:i/>
        </w:rPr>
        <w:t>ies Ward Phillips &amp; Vineberg</w:t>
      </w:r>
      <w:r w:rsidRPr="00C15673">
        <w:rPr>
          <w:i/>
        </w:rPr>
        <w:t>, Montréal.</w:t>
      </w:r>
    </w:p>
    <w:p w:rsidR="00261E19" w:rsidRDefault="00834C93" w:rsidP="00A46BE5">
      <w:pPr>
        <w:pStyle w:val="SCCLawFirm"/>
        <w:spacing w:after="480"/>
      </w:pPr>
      <w:r>
        <w:tab/>
      </w:r>
      <w:r w:rsidRPr="00E04BEF">
        <w:t>Solicitors</w:t>
      </w:r>
      <w:r w:rsidR="00065661" w:rsidRPr="00E04BEF">
        <w:t xml:space="preserve"> for the appellant</w:t>
      </w:r>
      <w:r w:rsidRPr="00E04BEF">
        <w:t>s</w:t>
      </w:r>
      <w:r w:rsidR="00763CF0" w:rsidRPr="00E04BEF">
        <w:t>/interveners</w:t>
      </w:r>
      <w:r w:rsidRPr="00E04BEF">
        <w:t xml:space="preserve"> IMF Bentham Limited </w:t>
      </w:r>
      <w:r w:rsidR="009939F6" w:rsidRPr="00E04BEF">
        <w:t xml:space="preserve">(now known as Omni Bridgeway </w:t>
      </w:r>
      <w:proofErr w:type="gramStart"/>
      <w:r w:rsidR="009939F6" w:rsidRPr="00E04BEF">
        <w:t>Limited</w:t>
      </w:r>
      <w:proofErr w:type="gramEnd"/>
      <w:r w:rsidR="009939F6" w:rsidRPr="00E04BEF">
        <w:t xml:space="preserve">) </w:t>
      </w:r>
      <w:r w:rsidRPr="00E04BEF">
        <w:t>and Bentham IMF Capital Limited</w:t>
      </w:r>
      <w:r w:rsidR="009939F6" w:rsidRPr="00E04BEF">
        <w:t xml:space="preserve"> (now known as Omni Bridgeway Capital (Canada) Limited)</w:t>
      </w:r>
      <w:r w:rsidR="006112BE" w:rsidRPr="00E04BEF">
        <w:t>: </w:t>
      </w:r>
      <w:r w:rsidRPr="00E04BEF">
        <w:t>Woods</w:t>
      </w:r>
      <w:r w:rsidR="00065661" w:rsidRPr="00E04BEF">
        <w:t>, Montréal.</w:t>
      </w:r>
    </w:p>
    <w:p w:rsidR="00261E19" w:rsidRDefault="00CD6514" w:rsidP="00A46BE5">
      <w:pPr>
        <w:pStyle w:val="SCCLawFirm"/>
        <w:spacing w:after="480"/>
      </w:pPr>
      <w:r>
        <w:lastRenderedPageBreak/>
        <w:tab/>
        <w:t xml:space="preserve">Solicitors </w:t>
      </w:r>
      <w:r w:rsidR="00065661">
        <w:t>for the respondent</w:t>
      </w:r>
      <w:r>
        <w:t xml:space="preserve"> </w:t>
      </w:r>
      <w:proofErr w:type="spellStart"/>
      <w:r>
        <w:t>Callidus</w:t>
      </w:r>
      <w:proofErr w:type="spellEnd"/>
      <w:r>
        <w:t xml:space="preserve"> Capital Corporation</w:t>
      </w:r>
      <w:r w:rsidR="006112BE">
        <w:t>: </w:t>
      </w:r>
      <w:proofErr w:type="spellStart"/>
      <w:r>
        <w:t>Gowling</w:t>
      </w:r>
      <w:proofErr w:type="spellEnd"/>
      <w:r>
        <w:t xml:space="preserve"> </w:t>
      </w:r>
      <w:proofErr w:type="spellStart"/>
      <w:r>
        <w:t>WLG</w:t>
      </w:r>
      <w:proofErr w:type="spellEnd"/>
      <w:r>
        <w:t xml:space="preserve"> (Canada)</w:t>
      </w:r>
      <w:r w:rsidR="00065661">
        <w:t>, Montréal.</w:t>
      </w:r>
    </w:p>
    <w:p w:rsidR="00261E19" w:rsidRPr="00CD6514" w:rsidRDefault="00CD6514" w:rsidP="00A46BE5">
      <w:pPr>
        <w:pStyle w:val="SCCLawFirm"/>
        <w:spacing w:after="480"/>
        <w:rPr>
          <w:lang w:val="fr-CA"/>
        </w:rPr>
      </w:pPr>
      <w:r>
        <w:tab/>
      </w:r>
      <w:r w:rsidRPr="00CD6514">
        <w:rPr>
          <w:lang w:val="fr-CA"/>
        </w:rPr>
        <w:t xml:space="preserve">Solicitors </w:t>
      </w:r>
      <w:r w:rsidR="00065661" w:rsidRPr="00CD6514">
        <w:rPr>
          <w:lang w:val="fr-CA"/>
        </w:rPr>
        <w:t xml:space="preserve">for the </w:t>
      </w:r>
      <w:proofErr w:type="spellStart"/>
      <w:r w:rsidR="00065661" w:rsidRPr="00CD6514">
        <w:rPr>
          <w:lang w:val="fr-CA"/>
        </w:rPr>
        <w:t>respondent</w:t>
      </w:r>
      <w:r w:rsidRPr="00CD6514">
        <w:rPr>
          <w:lang w:val="fr-CA"/>
        </w:rPr>
        <w:t>s</w:t>
      </w:r>
      <w:proofErr w:type="spellEnd"/>
      <w:r w:rsidRPr="00CD6514">
        <w:rPr>
          <w:lang w:val="fr-CA"/>
        </w:rPr>
        <w:t xml:space="preserve"> International Game </w:t>
      </w:r>
      <w:proofErr w:type="spellStart"/>
      <w:r w:rsidRPr="00CD6514">
        <w:rPr>
          <w:lang w:val="fr-CA"/>
        </w:rPr>
        <w:t>Technology</w:t>
      </w:r>
      <w:proofErr w:type="spellEnd"/>
      <w:r w:rsidRPr="00CD6514">
        <w:rPr>
          <w:lang w:val="fr-CA"/>
        </w:rPr>
        <w:t>, Deloitte</w:t>
      </w:r>
      <w:r w:rsidR="00CC4936">
        <w:rPr>
          <w:lang w:val="fr-CA"/>
        </w:rPr>
        <w:t xml:space="preserve"> </w:t>
      </w:r>
      <w:proofErr w:type="spellStart"/>
      <w:r w:rsidR="00CC4936">
        <w:rPr>
          <w:lang w:val="fr-CA"/>
        </w:rPr>
        <w:t>LLP</w:t>
      </w:r>
      <w:proofErr w:type="spellEnd"/>
      <w:r w:rsidRPr="00CD6514">
        <w:rPr>
          <w:lang w:val="fr-CA"/>
        </w:rPr>
        <w:t>, Luc Carignan, François Vigneault, Ph</w:t>
      </w:r>
      <w:r w:rsidR="00065661">
        <w:rPr>
          <w:lang w:val="fr-CA"/>
        </w:rPr>
        <w:t xml:space="preserve">ilippe </w:t>
      </w:r>
      <w:proofErr w:type="spellStart"/>
      <w:r w:rsidR="00065661">
        <w:rPr>
          <w:lang w:val="fr-CA"/>
        </w:rPr>
        <w:t>Millette</w:t>
      </w:r>
      <w:proofErr w:type="spellEnd"/>
      <w:r w:rsidR="00065661">
        <w:rPr>
          <w:lang w:val="fr-CA"/>
        </w:rPr>
        <w:t>, Francis Proulx</w:t>
      </w:r>
      <w:r w:rsidRPr="00CD6514">
        <w:rPr>
          <w:lang w:val="fr-CA"/>
        </w:rPr>
        <w:t xml:space="preserve"> and François Pelletier</w:t>
      </w:r>
      <w:r w:rsidR="006112BE">
        <w:rPr>
          <w:lang w:val="fr-CA"/>
        </w:rPr>
        <w:t>: </w:t>
      </w:r>
      <w:r>
        <w:rPr>
          <w:lang w:val="fr-CA"/>
        </w:rPr>
        <w:t xml:space="preserve">McCarthy </w:t>
      </w:r>
      <w:proofErr w:type="spellStart"/>
      <w:r>
        <w:rPr>
          <w:lang w:val="fr-CA"/>
        </w:rPr>
        <w:t>Tétrault</w:t>
      </w:r>
      <w:proofErr w:type="spellEnd"/>
      <w:r w:rsidR="00065661" w:rsidRPr="00CD6514">
        <w:rPr>
          <w:lang w:val="fr-CA"/>
        </w:rPr>
        <w:t>, Montréal.</w:t>
      </w:r>
    </w:p>
    <w:p w:rsidR="00261E19" w:rsidRDefault="00065661" w:rsidP="00A46BE5">
      <w:pPr>
        <w:pStyle w:val="SCCLawFirm"/>
        <w:spacing w:after="480"/>
      </w:pPr>
      <w:r w:rsidRPr="00CD6514">
        <w:rPr>
          <w:lang w:val="fr-CA"/>
        </w:rPr>
        <w:tab/>
      </w:r>
      <w:r w:rsidR="00CD6514">
        <w:t xml:space="preserve">Solicitors </w:t>
      </w:r>
      <w:r>
        <w:t>for the</w:t>
      </w:r>
      <w:r w:rsidR="00CD6514">
        <w:t xml:space="preserve"> intervener Ernst &amp; Young Inc.</w:t>
      </w:r>
      <w:r w:rsidR="006112BE">
        <w:t>: </w:t>
      </w:r>
      <w:proofErr w:type="spellStart"/>
      <w:r w:rsidR="00CD6514">
        <w:t>Stikeman</w:t>
      </w:r>
      <w:proofErr w:type="spellEnd"/>
      <w:r w:rsidR="00CD6514">
        <w:t xml:space="preserve"> Elliott</w:t>
      </w:r>
      <w:r>
        <w:t>, Montréal.</w:t>
      </w:r>
    </w:p>
    <w:p w:rsidR="009B57B3" w:rsidRPr="00774A4B" w:rsidRDefault="00CD6514" w:rsidP="00774A4B">
      <w:pPr>
        <w:pStyle w:val="SCCLawFirm"/>
      </w:pPr>
      <w:r>
        <w:tab/>
        <w:t xml:space="preserve">Solicitors for the interveners the </w:t>
      </w:r>
      <w:r w:rsidR="00065661">
        <w:t xml:space="preserve">Insolvency Institute of Canada and </w:t>
      </w:r>
      <w:r>
        <w:t xml:space="preserve">the </w:t>
      </w:r>
      <w:r w:rsidR="00065661">
        <w:t>Canadian Association of Insolvency a</w:t>
      </w:r>
      <w:r>
        <w:t>nd Restructuring Professionals</w:t>
      </w:r>
      <w:r w:rsidR="006112BE">
        <w:t>: </w:t>
      </w:r>
      <w:r>
        <w:t>Norton Rose Fulbright Canada</w:t>
      </w:r>
      <w:r w:rsidR="00065661">
        <w:t>, Montréal.</w:t>
      </w:r>
    </w:p>
    <w:sectPr w:rsidR="009B57B3" w:rsidRPr="00774A4B" w:rsidSect="000648CC">
      <w:headerReference w:type="even" r:id="rId10"/>
      <w:headerReference w:type="default" r:id="rId11"/>
      <w:footerReference w:type="even" r:id="rId12"/>
      <w:footerReference w:type="default" r:id="rId13"/>
      <w:headerReference w:type="first" r:id="rId14"/>
      <w:footerReference w:type="first" r:id="rId15"/>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C3" w:rsidRDefault="00B551C3">
      <w:r>
        <w:separator/>
      </w:r>
    </w:p>
  </w:endnote>
  <w:endnote w:type="continuationSeparator" w:id="0">
    <w:p w:rsidR="00B551C3" w:rsidRDefault="00B5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77" w:rsidRDefault="00876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77" w:rsidRDefault="00876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77" w:rsidRDefault="00876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C3" w:rsidRDefault="00B551C3">
      <w:r>
        <w:separator/>
      </w:r>
    </w:p>
  </w:footnote>
  <w:footnote w:type="continuationSeparator" w:id="0">
    <w:p w:rsidR="00B551C3" w:rsidRDefault="00B551C3">
      <w:r>
        <w:continuationSeparator/>
      </w:r>
    </w:p>
  </w:footnote>
  <w:footnote w:id="1">
    <w:p w:rsidR="006B1829" w:rsidRPr="007A714C" w:rsidRDefault="006B1829" w:rsidP="006B1829">
      <w:pPr>
        <w:pStyle w:val="FootnoteText"/>
      </w:pPr>
      <w:r>
        <w:rPr>
          <w:rStyle w:val="FootnoteReference"/>
        </w:rPr>
        <w:footnoteRef/>
      </w:r>
      <w:r w:rsidR="009206B3" w:rsidRPr="009206B3">
        <w:rPr>
          <w:lang w:val="en-US"/>
        </w:rPr>
        <w:t>  </w:t>
      </w:r>
      <w:proofErr w:type="spellStart"/>
      <w:r>
        <w:t>Bluberi</w:t>
      </w:r>
      <w:proofErr w:type="spellEnd"/>
      <w:r>
        <w:t xml:space="preserve"> does not appear to have filed this claim yet (see 2018 </w:t>
      </w:r>
      <w:proofErr w:type="spellStart"/>
      <w:r>
        <w:t>QCCS</w:t>
      </w:r>
      <w:proofErr w:type="spellEnd"/>
      <w:r>
        <w:t xml:space="preserve"> 1040, at para. 10 (</w:t>
      </w:r>
      <w:proofErr w:type="spellStart"/>
      <w:r>
        <w:t>CanLII</w:t>
      </w:r>
      <w:proofErr w:type="spellEnd"/>
      <w:r>
        <w:t>)).</w:t>
      </w:r>
    </w:p>
  </w:footnote>
  <w:footnote w:id="2">
    <w:p w:rsidR="006B1829" w:rsidRPr="00C55B48" w:rsidRDefault="006B1829" w:rsidP="006C523E">
      <w:pPr>
        <w:pStyle w:val="FootnoteText"/>
        <w:keepLines/>
        <w:tabs>
          <w:tab w:val="clear" w:pos="180"/>
        </w:tabs>
        <w:ind w:left="173" w:hanging="173"/>
      </w:pPr>
      <w:r w:rsidRPr="00C55B48">
        <w:rPr>
          <w:rStyle w:val="FootnoteReference"/>
        </w:rPr>
        <w:footnoteRef/>
      </w:r>
      <w:r w:rsidR="009206B3" w:rsidRPr="009206B3">
        <w:rPr>
          <w:lang w:val="en-US"/>
        </w:rPr>
        <w:t>  </w:t>
      </w:r>
      <w:r w:rsidRPr="00C55B48">
        <w:t xml:space="preserve">Notably, the </w:t>
      </w:r>
      <w:r>
        <w:t>Creditors’ Group</w:t>
      </w:r>
      <w:r w:rsidRPr="00C55B48">
        <w:t xml:space="preserve"> advised </w:t>
      </w:r>
      <w:proofErr w:type="spellStart"/>
      <w:r w:rsidRPr="00C55B48">
        <w:t>Callidus</w:t>
      </w:r>
      <w:proofErr w:type="spellEnd"/>
      <w:r w:rsidRPr="00C55B48">
        <w:t xml:space="preserve"> that it would lend its s</w:t>
      </w:r>
      <w:r w:rsidR="0083513A">
        <w:t xml:space="preserve">upport to the New Plan. It also </w:t>
      </w:r>
      <w:r w:rsidRPr="00C55B48">
        <w:t xml:space="preserve">asked </w:t>
      </w:r>
      <w:proofErr w:type="spellStart"/>
      <w:r w:rsidRPr="00C55B48">
        <w:t>Callidus</w:t>
      </w:r>
      <w:proofErr w:type="spellEnd"/>
      <w:r w:rsidRPr="00C55B48">
        <w:t xml:space="preserve"> to reimburse any legal fees incurred in association with that support. At the same time, the </w:t>
      </w:r>
      <w:r>
        <w:t>Creditors’ Group</w:t>
      </w:r>
      <w:r w:rsidRPr="00C55B48">
        <w:t xml:space="preserve"> did not undertake to vote in any particular way, and confirmed that each of its members would assess all avail</w:t>
      </w:r>
      <w:r>
        <w:t>able alternatives individually.</w:t>
      </w:r>
    </w:p>
  </w:footnote>
  <w:footnote w:id="3">
    <w:p w:rsidR="006B1829" w:rsidRPr="00280639" w:rsidRDefault="006B1829" w:rsidP="00A9389D">
      <w:pPr>
        <w:pStyle w:val="FootnoteText"/>
        <w:tabs>
          <w:tab w:val="clear" w:pos="180"/>
        </w:tabs>
        <w:ind w:left="173" w:hanging="173"/>
      </w:pPr>
      <w:r>
        <w:rPr>
          <w:rStyle w:val="FootnoteReference"/>
        </w:rPr>
        <w:footnoteRef/>
      </w:r>
      <w:r w:rsidR="003B4F8A" w:rsidRPr="003B4F8A">
        <w:rPr>
          <w:lang w:val="en-US"/>
        </w:rPr>
        <w:t>  </w:t>
      </w:r>
      <w:r w:rsidRPr="00280639">
        <w:t xml:space="preserve">We note that while s. 36 now codifies the jurisdiction of a supervising court to grant a sale and vesting order, and enumerates factors to guide the court’s discretion to grant such an order, it is silent on when courts ought to approve a liquidation under the </w:t>
      </w:r>
      <w:proofErr w:type="spellStart"/>
      <w:r w:rsidRPr="00280639">
        <w:rPr>
          <w:i/>
        </w:rPr>
        <w:t>CCAA</w:t>
      </w:r>
      <w:proofErr w:type="spellEnd"/>
      <w:r w:rsidRPr="00280639">
        <w:t xml:space="preserve"> as opposed to requiring the parties to proceed to liquidation under a receivership or the </w:t>
      </w:r>
      <w:r w:rsidRPr="00280639">
        <w:rPr>
          <w:i/>
        </w:rPr>
        <w:t>BIA</w:t>
      </w:r>
      <w:r w:rsidRPr="00280639">
        <w:t xml:space="preserve"> regime (see </w:t>
      </w:r>
      <w:proofErr w:type="spellStart"/>
      <w:r w:rsidRPr="00280639">
        <w:t>Sarra</w:t>
      </w:r>
      <w:proofErr w:type="spellEnd"/>
      <w:r w:rsidRPr="00280639">
        <w:t xml:space="preserve">, </w:t>
      </w:r>
      <w:r w:rsidRPr="00280639">
        <w:rPr>
          <w:i/>
        </w:rPr>
        <w:t>Rescue!</w:t>
      </w:r>
      <w:r>
        <w:rPr>
          <w:i/>
        </w:rPr>
        <w:t xml:space="preserve"> </w:t>
      </w:r>
      <w:r w:rsidRPr="002D4284">
        <w:rPr>
          <w:i/>
        </w:rPr>
        <w:t>The Companies’ Creditors Arrangement Act</w:t>
      </w:r>
      <w:r w:rsidRPr="00280639">
        <w:t>,</w:t>
      </w:r>
      <w:r>
        <w:t xml:space="preserve"> at</w:t>
      </w:r>
      <w:r w:rsidRPr="00280639">
        <w:t xml:space="preserve"> pp. 167</w:t>
      </w:r>
      <w:r w:rsidR="00BC33B6">
        <w:t>-</w:t>
      </w:r>
      <w:r>
        <w:t>68; A.</w:t>
      </w:r>
      <w:r w:rsidRPr="00280639">
        <w:t xml:space="preserve"> </w:t>
      </w:r>
      <w:proofErr w:type="spellStart"/>
      <w:r w:rsidRPr="00280639">
        <w:t>Nocilla</w:t>
      </w:r>
      <w:proofErr w:type="spellEnd"/>
      <w:r>
        <w:t xml:space="preserve">, “Asset Sales </w:t>
      </w:r>
      <w:proofErr w:type="gramStart"/>
      <w:r>
        <w:t>U</w:t>
      </w:r>
      <w:r w:rsidRPr="00280639">
        <w:t>nder</w:t>
      </w:r>
      <w:proofErr w:type="gramEnd"/>
      <w:r w:rsidRPr="00280639">
        <w:t xml:space="preserve"> the Companies’ Creditors Arrangement Act and the Failure of Section 36” (2012) 52 </w:t>
      </w:r>
      <w:r w:rsidRPr="002D4284">
        <w:rPr>
          <w:i/>
        </w:rPr>
        <w:t xml:space="preserve">Can. Bus. </w:t>
      </w:r>
      <w:proofErr w:type="spellStart"/>
      <w:r w:rsidRPr="002D4284">
        <w:rPr>
          <w:i/>
        </w:rPr>
        <w:t>L.J</w:t>
      </w:r>
      <w:proofErr w:type="spellEnd"/>
      <w:r w:rsidRPr="002D4284">
        <w:rPr>
          <w:i/>
        </w:rPr>
        <w:t>.</w:t>
      </w:r>
      <w:r w:rsidRPr="00280639">
        <w:t xml:space="preserve"> 226</w:t>
      </w:r>
      <w:r>
        <w:t>,</w:t>
      </w:r>
      <w:r w:rsidRPr="00280639">
        <w:t xml:space="preserve"> at </w:t>
      </w:r>
      <w:r>
        <w:t xml:space="preserve">pp. </w:t>
      </w:r>
      <w:r w:rsidRPr="00280639">
        <w:t>243</w:t>
      </w:r>
      <w:r>
        <w:t xml:space="preserve">-44 and </w:t>
      </w:r>
      <w:r w:rsidRPr="00280639">
        <w:t>247). This issue remains an open question and was not put to th</w:t>
      </w:r>
      <w:r>
        <w:t>is</w:t>
      </w:r>
      <w:r w:rsidRPr="00280639">
        <w:t xml:space="preserve"> Court in either </w:t>
      </w:r>
      <w:proofErr w:type="spellStart"/>
      <w:r w:rsidRPr="00280639">
        <w:rPr>
          <w:i/>
        </w:rPr>
        <w:t>Indalex</w:t>
      </w:r>
      <w:proofErr w:type="spellEnd"/>
      <w:r w:rsidRPr="00280639">
        <w:rPr>
          <w:i/>
        </w:rPr>
        <w:t xml:space="preserve"> </w:t>
      </w:r>
      <w:r>
        <w:t>or these</w:t>
      </w:r>
      <w:r w:rsidRPr="00280639">
        <w:t xml:space="preserve"> appeal</w:t>
      </w:r>
      <w:r>
        <w:t>s</w:t>
      </w:r>
      <w:r w:rsidRPr="00280639">
        <w:t>.</w:t>
      </w:r>
    </w:p>
  </w:footnote>
  <w:footnote w:id="4">
    <w:p w:rsidR="006B1829" w:rsidRPr="00BB7974" w:rsidRDefault="006B1829" w:rsidP="0037474A">
      <w:pPr>
        <w:pStyle w:val="FootnoteText"/>
        <w:tabs>
          <w:tab w:val="clear" w:pos="180"/>
          <w:tab w:val="left" w:pos="0"/>
        </w:tabs>
        <w:ind w:left="173" w:hanging="173"/>
      </w:pPr>
      <w:r>
        <w:rPr>
          <w:rStyle w:val="FootnoteReference"/>
        </w:rPr>
        <w:footnoteRef/>
      </w:r>
      <w:r w:rsidR="00D818F6" w:rsidRPr="00D818F6">
        <w:rPr>
          <w:lang w:val="en-US"/>
        </w:rPr>
        <w:t>  </w:t>
      </w:r>
      <w:r>
        <w:t xml:space="preserve">It bears noting that the Monitor’s statement in this regard did not decide whether </w:t>
      </w:r>
      <w:proofErr w:type="spellStart"/>
      <w:r>
        <w:t>Callidus</w:t>
      </w:r>
      <w:proofErr w:type="spellEnd"/>
      <w:r>
        <w:t xml:space="preserve"> would ultimately have been entitled to vote on the First Plan. Because </w:t>
      </w:r>
      <w:proofErr w:type="spellStart"/>
      <w:r>
        <w:t>Callidus</w:t>
      </w:r>
      <w:proofErr w:type="spellEnd"/>
      <w:r>
        <w:t xml:space="preserve"> did not even attempt to vote on the First Plan, this question was never put to the supervising judge.</w:t>
      </w:r>
    </w:p>
  </w:footnote>
  <w:footnote w:id="5">
    <w:p w:rsidR="006B1829" w:rsidRPr="004F086E" w:rsidRDefault="006B1829" w:rsidP="00175C61">
      <w:pPr>
        <w:pStyle w:val="FootnoteText"/>
        <w:keepLines/>
        <w:tabs>
          <w:tab w:val="clear" w:pos="180"/>
        </w:tabs>
        <w:ind w:left="173" w:hanging="173"/>
        <w:rPr>
          <w:lang w:val="en-US"/>
        </w:rPr>
      </w:pPr>
      <w:r w:rsidRPr="004F086E">
        <w:rPr>
          <w:rStyle w:val="FootnoteReference"/>
        </w:rPr>
        <w:footnoteRef/>
      </w:r>
      <w:r w:rsidR="005E2482" w:rsidRPr="005E2482">
        <w:rPr>
          <w:lang w:val="en-US"/>
        </w:rPr>
        <w:t>  </w:t>
      </w:r>
      <w:r w:rsidRPr="004F086E">
        <w:t xml:space="preserve">A further exception has been codified in the 2019 amendments to the </w:t>
      </w:r>
      <w:proofErr w:type="spellStart"/>
      <w:r w:rsidRPr="004F086E">
        <w:rPr>
          <w:i/>
        </w:rPr>
        <w:t>CCAA</w:t>
      </w:r>
      <w:proofErr w:type="spellEnd"/>
      <w:r w:rsidRPr="004F086E">
        <w:t xml:space="preserve">, which create s. </w:t>
      </w:r>
      <w:r w:rsidRPr="00FA0404">
        <w:t>11.2(5)</w:t>
      </w:r>
      <w:r>
        <w:t xml:space="preserve"> (see </w:t>
      </w:r>
      <w:r>
        <w:rPr>
          <w:i/>
        </w:rPr>
        <w:t>Budget Implementation Act, 2019</w:t>
      </w:r>
      <w:r w:rsidRPr="00991298">
        <w:rPr>
          <w:i/>
        </w:rPr>
        <w:t xml:space="preserve">, </w:t>
      </w:r>
      <w:r w:rsidRPr="004959B7">
        <w:rPr>
          <w:i/>
        </w:rPr>
        <w:t>No. 1</w:t>
      </w:r>
      <w:r>
        <w:t>, s. 138)</w:t>
      </w:r>
      <w:r w:rsidRPr="004F086E">
        <w:t>. This sectio</w:t>
      </w:r>
      <w:r>
        <w:t>n provides that at the time an initial o</w:t>
      </w:r>
      <w:r w:rsidRPr="004F086E">
        <w:t>rder</w:t>
      </w:r>
      <w:r w:rsidRPr="004F086E">
        <w:rPr>
          <w:i/>
        </w:rPr>
        <w:t xml:space="preserve"> </w:t>
      </w:r>
      <w:r w:rsidRPr="004F086E">
        <w:t>is sought, “no order shall be made under subsection [</w:t>
      </w:r>
      <w:r w:rsidRPr="00FA0404">
        <w:t>11.2</w:t>
      </w:r>
      <w:r w:rsidRPr="004F086E">
        <w:t>](1) unless the court is also satisfied that the terms of the loan are limited to what is reasonably necessary for the continued operations of the debtor company in the ordinary course of business during that period”. This provisio</w:t>
      </w:r>
      <w:r>
        <w:t xml:space="preserve">n does not </w:t>
      </w:r>
      <w:r w:rsidRPr="004F086E">
        <w:t xml:space="preserve">apply in this case, and the parties have not relied on it. However, it may be that it restricts the ability of supervising judges to approve </w:t>
      </w:r>
      <w:proofErr w:type="spellStart"/>
      <w:r w:rsidRPr="004F086E">
        <w:t>LFAs</w:t>
      </w:r>
      <w:proofErr w:type="spellEnd"/>
      <w:r w:rsidRPr="004F086E">
        <w:t xml:space="preserve"> as interim financing at the time of </w:t>
      </w:r>
      <w:r>
        <w:t>granting an</w:t>
      </w:r>
      <w:r w:rsidRPr="004F086E">
        <w:t xml:space="preserve"> </w:t>
      </w:r>
      <w:r>
        <w:t>I</w:t>
      </w:r>
      <w:r w:rsidRPr="004F086E">
        <w:t xml:space="preserve">nitial </w:t>
      </w:r>
      <w:r>
        <w:t>O</w:t>
      </w:r>
      <w:r w:rsidR="00C82FFA">
        <w:t>rder.</w:t>
      </w:r>
    </w:p>
  </w:footnote>
  <w:footnote w:id="6">
    <w:p w:rsidR="006B1829" w:rsidRPr="00EF741A" w:rsidRDefault="006B1829" w:rsidP="00A91E74">
      <w:pPr>
        <w:pStyle w:val="FootnoteText"/>
        <w:tabs>
          <w:tab w:val="clear" w:pos="180"/>
        </w:tabs>
        <w:ind w:left="173" w:hanging="173"/>
        <w:rPr>
          <w:lang w:val="en-US"/>
        </w:rPr>
      </w:pPr>
      <w:r w:rsidRPr="00EF741A">
        <w:rPr>
          <w:rStyle w:val="FootnoteReference"/>
        </w:rPr>
        <w:footnoteRef/>
      </w:r>
      <w:r w:rsidR="005E2482" w:rsidRPr="005E2482">
        <w:rPr>
          <w:lang w:val="en-US"/>
        </w:rPr>
        <w:t>  </w:t>
      </w:r>
      <w:r w:rsidRPr="00EF741A">
        <w:t xml:space="preserve">The extent of this controversy varies by province. </w:t>
      </w:r>
      <w:r w:rsidRPr="00EF741A">
        <w:rPr>
          <w:lang w:val="en-US"/>
        </w:rPr>
        <w:t xml:space="preserve">In Ontario, </w:t>
      </w:r>
      <w:proofErr w:type="spellStart"/>
      <w:r w:rsidRPr="00EF741A">
        <w:rPr>
          <w:lang w:val="en-US"/>
        </w:rPr>
        <w:t>champertous</w:t>
      </w:r>
      <w:proofErr w:type="spellEnd"/>
      <w:r w:rsidRPr="00EF741A">
        <w:rPr>
          <w:lang w:val="en-US"/>
        </w:rPr>
        <w:t xml:space="preserve"> agree</w:t>
      </w:r>
      <w:r>
        <w:rPr>
          <w:lang w:val="en-US"/>
        </w:rPr>
        <w:t>ments are forbidden by statute (</w:t>
      </w:r>
      <w:r w:rsidRPr="00EF741A">
        <w:rPr>
          <w:lang w:val="en-US"/>
        </w:rPr>
        <w:t xml:space="preserve">see </w:t>
      </w:r>
      <w:r>
        <w:rPr>
          <w:i/>
          <w:lang w:val="en-US"/>
        </w:rPr>
        <w:t>An Act r</w:t>
      </w:r>
      <w:r w:rsidRPr="00EF741A">
        <w:rPr>
          <w:i/>
          <w:lang w:val="en-US"/>
        </w:rPr>
        <w:t xml:space="preserve">especting </w:t>
      </w:r>
      <w:proofErr w:type="spellStart"/>
      <w:r w:rsidRPr="00EF741A">
        <w:rPr>
          <w:i/>
          <w:lang w:val="en-US"/>
        </w:rPr>
        <w:t>Champerty</w:t>
      </w:r>
      <w:proofErr w:type="spellEnd"/>
      <w:r w:rsidRPr="00EF741A">
        <w:rPr>
          <w:lang w:val="en-US"/>
        </w:rPr>
        <w:t xml:space="preserve">, R.S.O. 1897, </w:t>
      </w:r>
      <w:proofErr w:type="gramStart"/>
      <w:r w:rsidRPr="00EF741A">
        <w:rPr>
          <w:lang w:val="en-US"/>
        </w:rPr>
        <w:t>c</w:t>
      </w:r>
      <w:proofErr w:type="gramEnd"/>
      <w:r w:rsidRPr="00EF741A">
        <w:rPr>
          <w:lang w:val="en-US"/>
        </w:rPr>
        <w:t>. 327</w:t>
      </w:r>
      <w:r>
        <w:rPr>
          <w:lang w:val="en-US"/>
        </w:rPr>
        <w:t>)</w:t>
      </w:r>
      <w:r w:rsidRPr="00EF741A">
        <w:rPr>
          <w:lang w:val="en-US"/>
        </w:rPr>
        <w:t xml:space="preserve">. In Quebec, concerns associated with </w:t>
      </w:r>
      <w:proofErr w:type="spellStart"/>
      <w:r w:rsidRPr="00EF741A">
        <w:rPr>
          <w:lang w:val="en-US"/>
        </w:rPr>
        <w:t>champerty</w:t>
      </w:r>
      <w:proofErr w:type="spellEnd"/>
      <w:r w:rsidRPr="00EF741A">
        <w:rPr>
          <w:lang w:val="en-US"/>
        </w:rPr>
        <w:t xml:space="preserve"> and maintenance do not </w:t>
      </w:r>
      <w:r w:rsidRPr="00EF741A">
        <w:t xml:space="preserve">arise as acutely because </w:t>
      </w:r>
      <w:proofErr w:type="spellStart"/>
      <w:r w:rsidRPr="00EF741A">
        <w:t>champerty</w:t>
      </w:r>
      <w:proofErr w:type="spellEnd"/>
      <w:r w:rsidRPr="00EF741A">
        <w:t xml:space="preserve"> and maintenance are not part of the law as such (see </w:t>
      </w:r>
      <w:proofErr w:type="spellStart"/>
      <w:r>
        <w:rPr>
          <w:i/>
        </w:rPr>
        <w:t>Montgrain</w:t>
      </w:r>
      <w:proofErr w:type="spellEnd"/>
      <w:r>
        <w:rPr>
          <w:i/>
        </w:rPr>
        <w:t xml:space="preserve"> v</w:t>
      </w:r>
      <w:r w:rsidRPr="00EF741A">
        <w:rPr>
          <w:i/>
        </w:rPr>
        <w:t xml:space="preserve">. </w:t>
      </w:r>
      <w:proofErr w:type="spellStart"/>
      <w:r w:rsidR="00D01332">
        <w:rPr>
          <w:i/>
        </w:rPr>
        <w:t>Banque</w:t>
      </w:r>
      <w:proofErr w:type="spellEnd"/>
      <w:r w:rsidR="00D01332">
        <w:rPr>
          <w:i/>
        </w:rPr>
        <w:t xml:space="preserve"> </w:t>
      </w:r>
      <w:proofErr w:type="spellStart"/>
      <w:r w:rsidR="00D01332">
        <w:rPr>
          <w:i/>
        </w:rPr>
        <w:t>nationale</w:t>
      </w:r>
      <w:proofErr w:type="spellEnd"/>
      <w:r w:rsidR="00D01332">
        <w:rPr>
          <w:i/>
        </w:rPr>
        <w:t xml:space="preserve"> du Canada</w:t>
      </w:r>
      <w:r w:rsidRPr="00EF741A">
        <w:t>, 2006 QCCA 557</w:t>
      </w:r>
      <w:r w:rsidR="00D01332">
        <w:t>,</w:t>
      </w:r>
      <w:r>
        <w:t xml:space="preserve"> </w:t>
      </w:r>
      <w:r>
        <w:rPr>
          <w:lang w:val="en-US"/>
        </w:rPr>
        <w:t xml:space="preserve">[2006] </w:t>
      </w:r>
      <w:proofErr w:type="spellStart"/>
      <w:r>
        <w:rPr>
          <w:lang w:val="en-US"/>
        </w:rPr>
        <w:t>R.J.Q</w:t>
      </w:r>
      <w:proofErr w:type="spellEnd"/>
      <w:r>
        <w:rPr>
          <w:lang w:val="en-US"/>
        </w:rPr>
        <w:t xml:space="preserve">. 1009; G. Michaud, </w:t>
      </w:r>
      <w:r w:rsidRPr="00EF741A">
        <w:t>“New Frontier: The Emergence of Litigation Funding in the Canadia</w:t>
      </w:r>
      <w:r>
        <w:t xml:space="preserve">n Insolvency Landscape” in J. P. </w:t>
      </w:r>
      <w:proofErr w:type="spellStart"/>
      <w:r>
        <w:t>Sarra</w:t>
      </w:r>
      <w:proofErr w:type="spellEnd"/>
      <w:r>
        <w:t xml:space="preserve"> et al.,</w:t>
      </w:r>
      <w:r w:rsidRPr="00EF741A">
        <w:t xml:space="preserve"> ed</w:t>
      </w:r>
      <w:r>
        <w:t>s</w:t>
      </w:r>
      <w:r w:rsidRPr="00EF741A">
        <w:t>., </w:t>
      </w:r>
      <w:r w:rsidRPr="00EF741A">
        <w:rPr>
          <w:i/>
          <w:iCs/>
        </w:rPr>
        <w:t xml:space="preserve">Annual Review of Insolvency Law 2018 </w:t>
      </w:r>
      <w:r w:rsidRPr="00941FC1">
        <w:rPr>
          <w:iCs/>
        </w:rPr>
        <w:t>(</w:t>
      </w:r>
      <w:r>
        <w:rPr>
          <w:iCs/>
        </w:rPr>
        <w:t>2</w:t>
      </w:r>
      <w:r w:rsidRPr="00EF741A">
        <w:rPr>
          <w:iCs/>
        </w:rPr>
        <w:t>01</w:t>
      </w:r>
      <w:r>
        <w:rPr>
          <w:iCs/>
        </w:rPr>
        <w:t>9</w:t>
      </w:r>
      <w:r w:rsidRPr="00EF741A">
        <w:rPr>
          <w:iCs/>
        </w:rPr>
        <w:t xml:space="preserve">), </w:t>
      </w:r>
      <w:r>
        <w:rPr>
          <w:iCs/>
        </w:rPr>
        <w:t xml:space="preserve">221, </w:t>
      </w:r>
      <w:r>
        <w:t>at p. 231</w:t>
      </w:r>
      <w:r w:rsidR="00C82FF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77" w:rsidRDefault="00876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52" w:rsidRPr="00450352" w:rsidRDefault="00450352"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77" w:rsidRDefault="00876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327F"/>
    <w:multiLevelType w:val="hybridMultilevel"/>
    <w:tmpl w:val="D0C4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603130A"/>
    <w:multiLevelType w:val="multilevel"/>
    <w:tmpl w:val="9D380B5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566"/>
        </w:tabs>
        <w:ind w:left="156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4"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5"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4283EE8"/>
    <w:multiLevelType w:val="multilevel"/>
    <w:tmpl w:val="C5EEBA14"/>
    <w:lvl w:ilvl="0">
      <w:start w:val="1"/>
      <w:numFmt w:val="decimal"/>
      <w:pStyle w:val="ParaNoNdepar-AltN"/>
      <w:lvlText w:val="[%1]"/>
      <w:lvlJc w:val="left"/>
      <w:pPr>
        <w:tabs>
          <w:tab w:val="num" w:pos="1152"/>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976883"/>
    <w:multiLevelType w:val="multilevel"/>
    <w:tmpl w:val="209C6F82"/>
    <w:lvl w:ilvl="0">
      <w:start w:val="1"/>
      <w:numFmt w:val="decimal"/>
      <w:lvlText w:val="[%1]"/>
      <w:lvlJc w:val="left"/>
      <w:pPr>
        <w:tabs>
          <w:tab w:val="num" w:pos="1602"/>
        </w:tabs>
        <w:ind w:left="450" w:firstLine="0"/>
      </w:pPr>
      <w:rPr>
        <w:rFonts w:ascii="Times New Roman" w:hAnsi="Times New Roman"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A72576"/>
    <w:multiLevelType w:val="hybridMultilevel"/>
    <w:tmpl w:val="A1A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4"/>
  </w:num>
  <w:num w:numId="5">
    <w:abstractNumId w:val="5"/>
  </w:num>
  <w:num w:numId="6">
    <w:abstractNumId w:val="6"/>
  </w:num>
  <w:num w:numId="7">
    <w:abstractNumId w:val="3"/>
  </w:num>
  <w:num w:numId="8">
    <w:abstractNumId w:val="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386"/>
          </w:tabs>
          <w:ind w:left="1386" w:hanging="576"/>
        </w:pPr>
        <w:rPr>
          <w:rFonts w:ascii="Times New Roman" w:hAnsi="Times New Roman" w:hint="default"/>
          <w:b w:val="0"/>
          <w:i w:val="0"/>
          <w:sz w:val="24"/>
          <w:lang w:val="en-US"/>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0">
    <w:abstractNumId w:val="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05A2"/>
    <w:rsid w:val="00025198"/>
    <w:rsid w:val="00025919"/>
    <w:rsid w:val="00035999"/>
    <w:rsid w:val="000578A3"/>
    <w:rsid w:val="0006448A"/>
    <w:rsid w:val="000648CC"/>
    <w:rsid w:val="00065661"/>
    <w:rsid w:val="00074864"/>
    <w:rsid w:val="000953CB"/>
    <w:rsid w:val="00095EAB"/>
    <w:rsid w:val="00097021"/>
    <w:rsid w:val="000A03C3"/>
    <w:rsid w:val="000A2DA9"/>
    <w:rsid w:val="000A5AC9"/>
    <w:rsid w:val="000B337B"/>
    <w:rsid w:val="000B4A57"/>
    <w:rsid w:val="000C0317"/>
    <w:rsid w:val="000C40A2"/>
    <w:rsid w:val="000C59B8"/>
    <w:rsid w:val="000C6AF0"/>
    <w:rsid w:val="000D31BB"/>
    <w:rsid w:val="000E1E7D"/>
    <w:rsid w:val="000F5A19"/>
    <w:rsid w:val="00104F33"/>
    <w:rsid w:val="00111DE2"/>
    <w:rsid w:val="0011296D"/>
    <w:rsid w:val="00116433"/>
    <w:rsid w:val="00116B38"/>
    <w:rsid w:val="001178E7"/>
    <w:rsid w:val="00117AA6"/>
    <w:rsid w:val="00126608"/>
    <w:rsid w:val="0013094C"/>
    <w:rsid w:val="00135406"/>
    <w:rsid w:val="00135972"/>
    <w:rsid w:val="001426A9"/>
    <w:rsid w:val="00145A56"/>
    <w:rsid w:val="00154D7C"/>
    <w:rsid w:val="001570B0"/>
    <w:rsid w:val="001570D4"/>
    <w:rsid w:val="0015752C"/>
    <w:rsid w:val="00157737"/>
    <w:rsid w:val="00164235"/>
    <w:rsid w:val="00164CAB"/>
    <w:rsid w:val="00165277"/>
    <w:rsid w:val="00170592"/>
    <w:rsid w:val="00174EAD"/>
    <w:rsid w:val="00175C61"/>
    <w:rsid w:val="0017702E"/>
    <w:rsid w:val="001830C8"/>
    <w:rsid w:val="001834D3"/>
    <w:rsid w:val="00186351"/>
    <w:rsid w:val="00192285"/>
    <w:rsid w:val="00192528"/>
    <w:rsid w:val="00195D83"/>
    <w:rsid w:val="001A00C1"/>
    <w:rsid w:val="001A3B76"/>
    <w:rsid w:val="001B01A8"/>
    <w:rsid w:val="001B1819"/>
    <w:rsid w:val="001B33E0"/>
    <w:rsid w:val="001B41C9"/>
    <w:rsid w:val="001B4573"/>
    <w:rsid w:val="001C779F"/>
    <w:rsid w:val="001D1849"/>
    <w:rsid w:val="001D2AC1"/>
    <w:rsid w:val="001D4E88"/>
    <w:rsid w:val="001D5E92"/>
    <w:rsid w:val="001E35B9"/>
    <w:rsid w:val="001E6C51"/>
    <w:rsid w:val="0020203D"/>
    <w:rsid w:val="002048C2"/>
    <w:rsid w:val="00204A56"/>
    <w:rsid w:val="00205510"/>
    <w:rsid w:val="00215404"/>
    <w:rsid w:val="00220FC2"/>
    <w:rsid w:val="002222F4"/>
    <w:rsid w:val="00224FC0"/>
    <w:rsid w:val="00225EA4"/>
    <w:rsid w:val="00226EAF"/>
    <w:rsid w:val="00231F3A"/>
    <w:rsid w:val="00234199"/>
    <w:rsid w:val="002406EE"/>
    <w:rsid w:val="00241DDD"/>
    <w:rsid w:val="00243947"/>
    <w:rsid w:val="00243EC8"/>
    <w:rsid w:val="00252999"/>
    <w:rsid w:val="00257B43"/>
    <w:rsid w:val="00261E19"/>
    <w:rsid w:val="00270D93"/>
    <w:rsid w:val="002745CC"/>
    <w:rsid w:val="00282560"/>
    <w:rsid w:val="00295B84"/>
    <w:rsid w:val="002A1D15"/>
    <w:rsid w:val="002A59C0"/>
    <w:rsid w:val="002B7924"/>
    <w:rsid w:val="002D0D89"/>
    <w:rsid w:val="002D28C3"/>
    <w:rsid w:val="002D39A4"/>
    <w:rsid w:val="002E6705"/>
    <w:rsid w:val="002F5FA0"/>
    <w:rsid w:val="00301D08"/>
    <w:rsid w:val="0030329A"/>
    <w:rsid w:val="00306A2D"/>
    <w:rsid w:val="0031086F"/>
    <w:rsid w:val="003125FA"/>
    <w:rsid w:val="00313F5D"/>
    <w:rsid w:val="0031414C"/>
    <w:rsid w:val="00314E01"/>
    <w:rsid w:val="0032089D"/>
    <w:rsid w:val="00324116"/>
    <w:rsid w:val="003310DE"/>
    <w:rsid w:val="003323B0"/>
    <w:rsid w:val="0035169A"/>
    <w:rsid w:val="00352077"/>
    <w:rsid w:val="0035259D"/>
    <w:rsid w:val="00364B18"/>
    <w:rsid w:val="00366283"/>
    <w:rsid w:val="00371065"/>
    <w:rsid w:val="0037474A"/>
    <w:rsid w:val="00376A0B"/>
    <w:rsid w:val="00382557"/>
    <w:rsid w:val="00392C77"/>
    <w:rsid w:val="003A125D"/>
    <w:rsid w:val="003A4C70"/>
    <w:rsid w:val="003B1CB9"/>
    <w:rsid w:val="003B215F"/>
    <w:rsid w:val="003B4F8A"/>
    <w:rsid w:val="003B64DA"/>
    <w:rsid w:val="003C799C"/>
    <w:rsid w:val="003D0399"/>
    <w:rsid w:val="003D2344"/>
    <w:rsid w:val="003E1C71"/>
    <w:rsid w:val="003E4895"/>
    <w:rsid w:val="003E6770"/>
    <w:rsid w:val="003F327B"/>
    <w:rsid w:val="003F35A6"/>
    <w:rsid w:val="0040252E"/>
    <w:rsid w:val="004053D7"/>
    <w:rsid w:val="00406166"/>
    <w:rsid w:val="0040704B"/>
    <w:rsid w:val="00410A55"/>
    <w:rsid w:val="00411300"/>
    <w:rsid w:val="00415417"/>
    <w:rsid w:val="00415E0C"/>
    <w:rsid w:val="00426659"/>
    <w:rsid w:val="00441039"/>
    <w:rsid w:val="0044584F"/>
    <w:rsid w:val="0044727E"/>
    <w:rsid w:val="00447950"/>
    <w:rsid w:val="00447BB9"/>
    <w:rsid w:val="00447D54"/>
    <w:rsid w:val="00450352"/>
    <w:rsid w:val="0045100C"/>
    <w:rsid w:val="004523EA"/>
    <w:rsid w:val="00454BDB"/>
    <w:rsid w:val="0045568F"/>
    <w:rsid w:val="00464800"/>
    <w:rsid w:val="00465132"/>
    <w:rsid w:val="00465CE8"/>
    <w:rsid w:val="0047750D"/>
    <w:rsid w:val="00480C90"/>
    <w:rsid w:val="0048396F"/>
    <w:rsid w:val="00484F60"/>
    <w:rsid w:val="00485A3C"/>
    <w:rsid w:val="00491618"/>
    <w:rsid w:val="00493C18"/>
    <w:rsid w:val="004963E3"/>
    <w:rsid w:val="004A3277"/>
    <w:rsid w:val="004A600C"/>
    <w:rsid w:val="004A6118"/>
    <w:rsid w:val="004C478D"/>
    <w:rsid w:val="004D2E81"/>
    <w:rsid w:val="004E2C26"/>
    <w:rsid w:val="004F0BC1"/>
    <w:rsid w:val="004F2501"/>
    <w:rsid w:val="004F36FF"/>
    <w:rsid w:val="005125A8"/>
    <w:rsid w:val="0051315B"/>
    <w:rsid w:val="00521AE8"/>
    <w:rsid w:val="00527180"/>
    <w:rsid w:val="0054201E"/>
    <w:rsid w:val="00555291"/>
    <w:rsid w:val="00555EC7"/>
    <w:rsid w:val="005622C6"/>
    <w:rsid w:val="00566AD1"/>
    <w:rsid w:val="005758CA"/>
    <w:rsid w:val="0058180B"/>
    <w:rsid w:val="005830DC"/>
    <w:rsid w:val="00583EDE"/>
    <w:rsid w:val="0058707A"/>
    <w:rsid w:val="005A6079"/>
    <w:rsid w:val="005E143A"/>
    <w:rsid w:val="005E2482"/>
    <w:rsid w:val="005E2E90"/>
    <w:rsid w:val="005E3239"/>
    <w:rsid w:val="005E4698"/>
    <w:rsid w:val="00610539"/>
    <w:rsid w:val="00610EB4"/>
    <w:rsid w:val="006112BE"/>
    <w:rsid w:val="00612AB0"/>
    <w:rsid w:val="00613969"/>
    <w:rsid w:val="00615BC1"/>
    <w:rsid w:val="00616C1A"/>
    <w:rsid w:val="006232E0"/>
    <w:rsid w:val="00625C35"/>
    <w:rsid w:val="006309DD"/>
    <w:rsid w:val="0063689A"/>
    <w:rsid w:val="00640031"/>
    <w:rsid w:val="006401F1"/>
    <w:rsid w:val="00653E3F"/>
    <w:rsid w:val="00656313"/>
    <w:rsid w:val="006565F4"/>
    <w:rsid w:val="00657784"/>
    <w:rsid w:val="006729F2"/>
    <w:rsid w:val="006836AF"/>
    <w:rsid w:val="00684EEA"/>
    <w:rsid w:val="00694920"/>
    <w:rsid w:val="0069689B"/>
    <w:rsid w:val="006A1551"/>
    <w:rsid w:val="006A6D86"/>
    <w:rsid w:val="006B064A"/>
    <w:rsid w:val="006B1829"/>
    <w:rsid w:val="006B2F45"/>
    <w:rsid w:val="006B5FF5"/>
    <w:rsid w:val="006C523E"/>
    <w:rsid w:val="006C797C"/>
    <w:rsid w:val="006D2C9F"/>
    <w:rsid w:val="006D3D84"/>
    <w:rsid w:val="006D422A"/>
    <w:rsid w:val="006E1C87"/>
    <w:rsid w:val="006E37B0"/>
    <w:rsid w:val="006F30AF"/>
    <w:rsid w:val="006F3F24"/>
    <w:rsid w:val="006F5B73"/>
    <w:rsid w:val="00701759"/>
    <w:rsid w:val="00705C15"/>
    <w:rsid w:val="0071600E"/>
    <w:rsid w:val="0072051C"/>
    <w:rsid w:val="007208D1"/>
    <w:rsid w:val="00730D99"/>
    <w:rsid w:val="00737AD4"/>
    <w:rsid w:val="00740E0F"/>
    <w:rsid w:val="00747288"/>
    <w:rsid w:val="00747DD3"/>
    <w:rsid w:val="007549C8"/>
    <w:rsid w:val="00754A0B"/>
    <w:rsid w:val="007561E4"/>
    <w:rsid w:val="0076023F"/>
    <w:rsid w:val="007603DF"/>
    <w:rsid w:val="00763CF0"/>
    <w:rsid w:val="0076476A"/>
    <w:rsid w:val="00766D14"/>
    <w:rsid w:val="00767A0F"/>
    <w:rsid w:val="0077008B"/>
    <w:rsid w:val="00774A4B"/>
    <w:rsid w:val="007922EF"/>
    <w:rsid w:val="007A05F6"/>
    <w:rsid w:val="007B067B"/>
    <w:rsid w:val="007B6F4A"/>
    <w:rsid w:val="007C7D17"/>
    <w:rsid w:val="007E1C47"/>
    <w:rsid w:val="007E337A"/>
    <w:rsid w:val="007E5C70"/>
    <w:rsid w:val="007F2FF5"/>
    <w:rsid w:val="007F3F08"/>
    <w:rsid w:val="007F7337"/>
    <w:rsid w:val="00800F9B"/>
    <w:rsid w:val="00804CC6"/>
    <w:rsid w:val="00817190"/>
    <w:rsid w:val="00820EE5"/>
    <w:rsid w:val="00821EFD"/>
    <w:rsid w:val="008260E2"/>
    <w:rsid w:val="008319F7"/>
    <w:rsid w:val="008322BD"/>
    <w:rsid w:val="00833E0A"/>
    <w:rsid w:val="00834C93"/>
    <w:rsid w:val="00834F73"/>
    <w:rsid w:val="0083513A"/>
    <w:rsid w:val="00847CD5"/>
    <w:rsid w:val="00854D6E"/>
    <w:rsid w:val="00855009"/>
    <w:rsid w:val="00864CF8"/>
    <w:rsid w:val="00872819"/>
    <w:rsid w:val="00874914"/>
    <w:rsid w:val="00876F77"/>
    <w:rsid w:val="00885292"/>
    <w:rsid w:val="00891422"/>
    <w:rsid w:val="00892E1A"/>
    <w:rsid w:val="008A3F29"/>
    <w:rsid w:val="008A62BC"/>
    <w:rsid w:val="008B024A"/>
    <w:rsid w:val="008B660A"/>
    <w:rsid w:val="008C00F3"/>
    <w:rsid w:val="008C01DA"/>
    <w:rsid w:val="008C5D0C"/>
    <w:rsid w:val="008C637B"/>
    <w:rsid w:val="008D0E14"/>
    <w:rsid w:val="008D2A18"/>
    <w:rsid w:val="008D535C"/>
    <w:rsid w:val="008E2D8A"/>
    <w:rsid w:val="008F3EC6"/>
    <w:rsid w:val="008F78E9"/>
    <w:rsid w:val="009056C2"/>
    <w:rsid w:val="00911989"/>
    <w:rsid w:val="00911A01"/>
    <w:rsid w:val="00916737"/>
    <w:rsid w:val="009179F9"/>
    <w:rsid w:val="009206B3"/>
    <w:rsid w:val="00933E5E"/>
    <w:rsid w:val="00934D21"/>
    <w:rsid w:val="00935218"/>
    <w:rsid w:val="00936F5B"/>
    <w:rsid w:val="009403F3"/>
    <w:rsid w:val="009555B7"/>
    <w:rsid w:val="00955CF0"/>
    <w:rsid w:val="00956176"/>
    <w:rsid w:val="009567AA"/>
    <w:rsid w:val="0096022B"/>
    <w:rsid w:val="009615F0"/>
    <w:rsid w:val="00965EE4"/>
    <w:rsid w:val="00967374"/>
    <w:rsid w:val="00972FD9"/>
    <w:rsid w:val="00973985"/>
    <w:rsid w:val="00981372"/>
    <w:rsid w:val="009939F6"/>
    <w:rsid w:val="00997FE6"/>
    <w:rsid w:val="009A194F"/>
    <w:rsid w:val="009A343A"/>
    <w:rsid w:val="009A7BDA"/>
    <w:rsid w:val="009B08D4"/>
    <w:rsid w:val="009B2128"/>
    <w:rsid w:val="009B2F23"/>
    <w:rsid w:val="009B57B3"/>
    <w:rsid w:val="009C5B92"/>
    <w:rsid w:val="009C5C72"/>
    <w:rsid w:val="009D2920"/>
    <w:rsid w:val="009D5909"/>
    <w:rsid w:val="009D5AEB"/>
    <w:rsid w:val="009E49F4"/>
    <w:rsid w:val="009E6220"/>
    <w:rsid w:val="009F0E33"/>
    <w:rsid w:val="009F3BD5"/>
    <w:rsid w:val="00A00E83"/>
    <w:rsid w:val="00A030CE"/>
    <w:rsid w:val="00A149DF"/>
    <w:rsid w:val="00A1755C"/>
    <w:rsid w:val="00A21B90"/>
    <w:rsid w:val="00A25AC7"/>
    <w:rsid w:val="00A32A0B"/>
    <w:rsid w:val="00A41805"/>
    <w:rsid w:val="00A42DCD"/>
    <w:rsid w:val="00A46BE5"/>
    <w:rsid w:val="00A50BFD"/>
    <w:rsid w:val="00A52AFB"/>
    <w:rsid w:val="00A548CB"/>
    <w:rsid w:val="00A5521C"/>
    <w:rsid w:val="00A643E7"/>
    <w:rsid w:val="00A65785"/>
    <w:rsid w:val="00A7024B"/>
    <w:rsid w:val="00A73C38"/>
    <w:rsid w:val="00A91E74"/>
    <w:rsid w:val="00A9389D"/>
    <w:rsid w:val="00A94FCC"/>
    <w:rsid w:val="00AA068D"/>
    <w:rsid w:val="00AA63B0"/>
    <w:rsid w:val="00AA76F0"/>
    <w:rsid w:val="00AB1AAF"/>
    <w:rsid w:val="00AB670D"/>
    <w:rsid w:val="00AC300A"/>
    <w:rsid w:val="00AD1ADB"/>
    <w:rsid w:val="00AE4535"/>
    <w:rsid w:val="00AF03C5"/>
    <w:rsid w:val="00AF3A75"/>
    <w:rsid w:val="00AF5AD9"/>
    <w:rsid w:val="00AF6F3D"/>
    <w:rsid w:val="00AF774F"/>
    <w:rsid w:val="00AF7964"/>
    <w:rsid w:val="00B000D8"/>
    <w:rsid w:val="00B00F75"/>
    <w:rsid w:val="00B044E8"/>
    <w:rsid w:val="00B07C48"/>
    <w:rsid w:val="00B13973"/>
    <w:rsid w:val="00B145B6"/>
    <w:rsid w:val="00B279EB"/>
    <w:rsid w:val="00B30756"/>
    <w:rsid w:val="00B32B4C"/>
    <w:rsid w:val="00B50C81"/>
    <w:rsid w:val="00B53866"/>
    <w:rsid w:val="00B551C3"/>
    <w:rsid w:val="00B557F8"/>
    <w:rsid w:val="00B63E7C"/>
    <w:rsid w:val="00B6781B"/>
    <w:rsid w:val="00B75032"/>
    <w:rsid w:val="00B815FC"/>
    <w:rsid w:val="00B82277"/>
    <w:rsid w:val="00B87514"/>
    <w:rsid w:val="00B91F19"/>
    <w:rsid w:val="00B93FBC"/>
    <w:rsid w:val="00B951FD"/>
    <w:rsid w:val="00B955D5"/>
    <w:rsid w:val="00BA1D27"/>
    <w:rsid w:val="00BA60BB"/>
    <w:rsid w:val="00BA7DA0"/>
    <w:rsid w:val="00BB0D17"/>
    <w:rsid w:val="00BB2EE4"/>
    <w:rsid w:val="00BC2108"/>
    <w:rsid w:val="00BC33B6"/>
    <w:rsid w:val="00BC4135"/>
    <w:rsid w:val="00BD0E9E"/>
    <w:rsid w:val="00BD1BEC"/>
    <w:rsid w:val="00BD32FF"/>
    <w:rsid w:val="00BD3F33"/>
    <w:rsid w:val="00BD7721"/>
    <w:rsid w:val="00BE74DE"/>
    <w:rsid w:val="00BE79B0"/>
    <w:rsid w:val="00BF2CD6"/>
    <w:rsid w:val="00BF60B3"/>
    <w:rsid w:val="00BF6F87"/>
    <w:rsid w:val="00C00648"/>
    <w:rsid w:val="00C02092"/>
    <w:rsid w:val="00C065FE"/>
    <w:rsid w:val="00C11716"/>
    <w:rsid w:val="00C15673"/>
    <w:rsid w:val="00C15A67"/>
    <w:rsid w:val="00C21B1C"/>
    <w:rsid w:val="00C22E00"/>
    <w:rsid w:val="00C239B0"/>
    <w:rsid w:val="00C24D91"/>
    <w:rsid w:val="00C402D4"/>
    <w:rsid w:val="00C53F14"/>
    <w:rsid w:val="00C5617E"/>
    <w:rsid w:val="00C600CF"/>
    <w:rsid w:val="00C6084F"/>
    <w:rsid w:val="00C627A2"/>
    <w:rsid w:val="00C62A66"/>
    <w:rsid w:val="00C71458"/>
    <w:rsid w:val="00C77613"/>
    <w:rsid w:val="00C828E7"/>
    <w:rsid w:val="00C82FFA"/>
    <w:rsid w:val="00C86719"/>
    <w:rsid w:val="00C921DD"/>
    <w:rsid w:val="00C94BCE"/>
    <w:rsid w:val="00CA5B99"/>
    <w:rsid w:val="00CA6391"/>
    <w:rsid w:val="00CC34BD"/>
    <w:rsid w:val="00CC47E8"/>
    <w:rsid w:val="00CC4936"/>
    <w:rsid w:val="00CD6514"/>
    <w:rsid w:val="00CE161A"/>
    <w:rsid w:val="00CE3171"/>
    <w:rsid w:val="00CE5644"/>
    <w:rsid w:val="00CE5CC6"/>
    <w:rsid w:val="00CE5F93"/>
    <w:rsid w:val="00CE5FA5"/>
    <w:rsid w:val="00CE7878"/>
    <w:rsid w:val="00CF1370"/>
    <w:rsid w:val="00CF1601"/>
    <w:rsid w:val="00D01332"/>
    <w:rsid w:val="00D0172F"/>
    <w:rsid w:val="00D068A7"/>
    <w:rsid w:val="00D14BB5"/>
    <w:rsid w:val="00D17476"/>
    <w:rsid w:val="00D21708"/>
    <w:rsid w:val="00D3065F"/>
    <w:rsid w:val="00D32086"/>
    <w:rsid w:val="00D3510F"/>
    <w:rsid w:val="00D37A3F"/>
    <w:rsid w:val="00D37C57"/>
    <w:rsid w:val="00D4431D"/>
    <w:rsid w:val="00D4667A"/>
    <w:rsid w:val="00D47674"/>
    <w:rsid w:val="00D560E5"/>
    <w:rsid w:val="00D63A1C"/>
    <w:rsid w:val="00D74B57"/>
    <w:rsid w:val="00D7516F"/>
    <w:rsid w:val="00D818F6"/>
    <w:rsid w:val="00D825CF"/>
    <w:rsid w:val="00D8579F"/>
    <w:rsid w:val="00D93336"/>
    <w:rsid w:val="00D95F8E"/>
    <w:rsid w:val="00DA0590"/>
    <w:rsid w:val="00DA15DE"/>
    <w:rsid w:val="00DA47D4"/>
    <w:rsid w:val="00DB2485"/>
    <w:rsid w:val="00DB7BEA"/>
    <w:rsid w:val="00DB7F42"/>
    <w:rsid w:val="00DC1739"/>
    <w:rsid w:val="00DC1788"/>
    <w:rsid w:val="00DD2666"/>
    <w:rsid w:val="00DD7F60"/>
    <w:rsid w:val="00DE319C"/>
    <w:rsid w:val="00DE4522"/>
    <w:rsid w:val="00DE7E9F"/>
    <w:rsid w:val="00DF0CA8"/>
    <w:rsid w:val="00DF2B48"/>
    <w:rsid w:val="00DF309C"/>
    <w:rsid w:val="00DF49A7"/>
    <w:rsid w:val="00E011AA"/>
    <w:rsid w:val="00E02EC4"/>
    <w:rsid w:val="00E04BEF"/>
    <w:rsid w:val="00E04EA4"/>
    <w:rsid w:val="00E051EC"/>
    <w:rsid w:val="00E07EE2"/>
    <w:rsid w:val="00E07FD1"/>
    <w:rsid w:val="00E1337F"/>
    <w:rsid w:val="00E176D8"/>
    <w:rsid w:val="00E24573"/>
    <w:rsid w:val="00E25E1E"/>
    <w:rsid w:val="00E27EE7"/>
    <w:rsid w:val="00E30AB4"/>
    <w:rsid w:val="00E35404"/>
    <w:rsid w:val="00E37DE6"/>
    <w:rsid w:val="00E45109"/>
    <w:rsid w:val="00E47B7A"/>
    <w:rsid w:val="00E514B6"/>
    <w:rsid w:val="00E56A44"/>
    <w:rsid w:val="00E60269"/>
    <w:rsid w:val="00E73CAD"/>
    <w:rsid w:val="00E77932"/>
    <w:rsid w:val="00E77CFF"/>
    <w:rsid w:val="00E827E6"/>
    <w:rsid w:val="00E97830"/>
    <w:rsid w:val="00EA50E3"/>
    <w:rsid w:val="00EA51BD"/>
    <w:rsid w:val="00ED2D5A"/>
    <w:rsid w:val="00ED6457"/>
    <w:rsid w:val="00ED741A"/>
    <w:rsid w:val="00EE643C"/>
    <w:rsid w:val="00EF0683"/>
    <w:rsid w:val="00EF22A4"/>
    <w:rsid w:val="00EF69D2"/>
    <w:rsid w:val="00EF766E"/>
    <w:rsid w:val="00F0070C"/>
    <w:rsid w:val="00F00EB7"/>
    <w:rsid w:val="00F20AEE"/>
    <w:rsid w:val="00F225D0"/>
    <w:rsid w:val="00F32EAB"/>
    <w:rsid w:val="00F3316D"/>
    <w:rsid w:val="00F36AB6"/>
    <w:rsid w:val="00F379F1"/>
    <w:rsid w:val="00F37A09"/>
    <w:rsid w:val="00F409CE"/>
    <w:rsid w:val="00F4379D"/>
    <w:rsid w:val="00F507CE"/>
    <w:rsid w:val="00F50D2D"/>
    <w:rsid w:val="00F56C8B"/>
    <w:rsid w:val="00F66810"/>
    <w:rsid w:val="00F67B3A"/>
    <w:rsid w:val="00F7397A"/>
    <w:rsid w:val="00F7517A"/>
    <w:rsid w:val="00F82E78"/>
    <w:rsid w:val="00F846D9"/>
    <w:rsid w:val="00F84DF4"/>
    <w:rsid w:val="00F85C97"/>
    <w:rsid w:val="00F93F24"/>
    <w:rsid w:val="00F95CE8"/>
    <w:rsid w:val="00FA08BD"/>
    <w:rsid w:val="00FA5013"/>
    <w:rsid w:val="00FB37D2"/>
    <w:rsid w:val="00FB40C1"/>
    <w:rsid w:val="00FC4EFB"/>
    <w:rsid w:val="00FD068D"/>
    <w:rsid w:val="00FD1D9E"/>
    <w:rsid w:val="00FD319E"/>
    <w:rsid w:val="00FD4F28"/>
    <w:rsid w:val="00FD5F31"/>
    <w:rsid w:val="00FE4462"/>
    <w:rsid w:val="00FE543B"/>
    <w:rsid w:val="00FE6784"/>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B0"/>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ListParagraph"/>
    <w:next w:val="Normal"/>
    <w:link w:val="Heading8Char"/>
    <w:uiPriority w:val="9"/>
    <w:unhideWhenUsed/>
    <w:qFormat/>
    <w:rsid w:val="006B1829"/>
    <w:pPr>
      <w:tabs>
        <w:tab w:val="left" w:pos="2340"/>
      </w:tabs>
      <w:ind w:left="2520" w:hanging="360"/>
      <w:jc w:val="both"/>
      <w:outlineLvl w:val="7"/>
    </w:pPr>
    <w:rPr>
      <w:rFonts w:eastAsiaTheme="minorHAnsi" w:cstheme="minorBidi"/>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customStyle="1" w:styleId="solexhl">
    <w:name w:val="solexhl"/>
    <w:basedOn w:val="DefaultParagraphFont"/>
    <w:rsid w:val="006D422A"/>
  </w:style>
  <w:style w:type="character" w:styleId="Hyperlink">
    <w:name w:val="Hyperlink"/>
    <w:basedOn w:val="DefaultParagraphFont"/>
    <w:uiPriority w:val="99"/>
    <w:unhideWhenUsed/>
    <w:rsid w:val="001B1819"/>
    <w:rPr>
      <w:color w:val="0000FF"/>
      <w:u w:val="single"/>
    </w:rPr>
  </w:style>
  <w:style w:type="character" w:styleId="CommentReference">
    <w:name w:val="annotation reference"/>
    <w:basedOn w:val="DefaultParagraphFont"/>
    <w:uiPriority w:val="99"/>
    <w:semiHidden/>
    <w:unhideWhenUsed/>
    <w:rsid w:val="00C627A2"/>
    <w:rPr>
      <w:sz w:val="16"/>
      <w:szCs w:val="16"/>
    </w:rPr>
  </w:style>
  <w:style w:type="paragraph" w:styleId="CommentText">
    <w:name w:val="annotation text"/>
    <w:basedOn w:val="Normal"/>
    <w:link w:val="CommentTextChar"/>
    <w:uiPriority w:val="99"/>
    <w:semiHidden/>
    <w:unhideWhenUsed/>
    <w:rsid w:val="00C627A2"/>
    <w:rPr>
      <w:sz w:val="20"/>
    </w:rPr>
  </w:style>
  <w:style w:type="character" w:customStyle="1" w:styleId="CommentTextChar">
    <w:name w:val="Comment Text Char"/>
    <w:basedOn w:val="DefaultParagraphFont"/>
    <w:link w:val="CommentText"/>
    <w:uiPriority w:val="99"/>
    <w:semiHidden/>
    <w:rsid w:val="00C627A2"/>
  </w:style>
  <w:style w:type="paragraph" w:styleId="CommentSubject">
    <w:name w:val="annotation subject"/>
    <w:basedOn w:val="CommentText"/>
    <w:next w:val="CommentText"/>
    <w:link w:val="CommentSubjectChar"/>
    <w:uiPriority w:val="99"/>
    <w:semiHidden/>
    <w:unhideWhenUsed/>
    <w:rsid w:val="00C627A2"/>
    <w:rPr>
      <w:b/>
      <w:bCs/>
    </w:rPr>
  </w:style>
  <w:style w:type="character" w:customStyle="1" w:styleId="CommentSubjectChar">
    <w:name w:val="Comment Subject Char"/>
    <w:basedOn w:val="CommentTextChar"/>
    <w:link w:val="CommentSubject"/>
    <w:uiPriority w:val="99"/>
    <w:semiHidden/>
    <w:rsid w:val="00C627A2"/>
    <w:rPr>
      <w:b/>
      <w:bCs/>
    </w:rPr>
  </w:style>
  <w:style w:type="character" w:customStyle="1" w:styleId="Heading8Char">
    <w:name w:val="Heading 8 Char"/>
    <w:basedOn w:val="DefaultParagraphFont"/>
    <w:link w:val="Heading8"/>
    <w:uiPriority w:val="9"/>
    <w:rsid w:val="006B1829"/>
    <w:rPr>
      <w:rFonts w:eastAsiaTheme="minorHAnsi" w:cstheme="minorBidi"/>
      <w:sz w:val="24"/>
      <w:szCs w:val="22"/>
      <w:lang w:val="en-US" w:eastAsia="en-US" w:bidi="en-US"/>
    </w:rPr>
  </w:style>
  <w:style w:type="paragraph" w:customStyle="1" w:styleId="SCCLsocOtherPartyRoleSeparator">
    <w:name w:val="SCC.Lsoc.OtherPartyRoleSeparator"/>
    <w:basedOn w:val="Normal"/>
    <w:next w:val="Normal"/>
    <w:link w:val="SCCLsocOtherPartyRoleSeparatorChar"/>
    <w:rsid w:val="006B1829"/>
    <w:pPr>
      <w:spacing w:after="480"/>
    </w:pPr>
    <w:rPr>
      <w:rFonts w:eastAsiaTheme="minorHAnsi" w:cstheme="minorBidi"/>
      <w:szCs w:val="22"/>
      <w:lang w:eastAsia="en-US"/>
    </w:rPr>
  </w:style>
  <w:style w:type="paragraph" w:customStyle="1" w:styleId="SCCCoram">
    <w:name w:val="SCC.Coram"/>
    <w:basedOn w:val="Normal"/>
    <w:next w:val="Normal"/>
    <w:link w:val="SCCCoramChar"/>
    <w:rsid w:val="006B1829"/>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6B1829"/>
    <w:rPr>
      <w:rFonts w:eastAsiaTheme="minorHAnsi" w:cstheme="minorBidi"/>
      <w:sz w:val="24"/>
      <w:szCs w:val="22"/>
      <w:lang w:eastAsia="en-US"/>
    </w:rPr>
  </w:style>
  <w:style w:type="character" w:customStyle="1" w:styleId="SCCLsocOtherPartyRoleSeparatorChar">
    <w:name w:val="SCC.Lsoc.OtherPartyRoleSeparator Char"/>
    <w:basedOn w:val="DefaultParagraphFont"/>
    <w:link w:val="SCCLsocOtherPartyRoleSeparator"/>
    <w:rsid w:val="006B1829"/>
    <w:rPr>
      <w:rFonts w:eastAsiaTheme="minorHAnsi" w:cstheme="minorBidi"/>
      <w:sz w:val="24"/>
      <w:szCs w:val="22"/>
      <w:lang w:eastAsia="en-US"/>
    </w:rPr>
  </w:style>
  <w:style w:type="character" w:customStyle="1" w:styleId="SCCBanSummaryChar">
    <w:name w:val="SCC.BanSummary Char"/>
    <w:basedOn w:val="DefaultParagraphFont"/>
    <w:link w:val="SCCBanSummary"/>
    <w:rsid w:val="006B1829"/>
    <w:rPr>
      <w:b/>
      <w:sz w:val="24"/>
    </w:rPr>
  </w:style>
  <w:style w:type="table" w:styleId="TableGrid">
    <w:name w:val="Table Grid"/>
    <w:basedOn w:val="TableNormal"/>
    <w:uiPriority w:val="59"/>
    <w:rsid w:val="006B182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6B1829"/>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6B1829"/>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6B1829"/>
    <w:pPr>
      <w:tabs>
        <w:tab w:val="left" w:pos="1166"/>
      </w:tabs>
      <w:spacing w:after="480" w:line="480" w:lineRule="auto"/>
    </w:pPr>
    <w:rPr>
      <w:smallCaps/>
      <w:sz w:val="24"/>
      <w:szCs w:val="24"/>
    </w:rPr>
  </w:style>
  <w:style w:type="paragraph" w:customStyle="1" w:styleId="ParaNoNdepar-AltN">
    <w:name w:val="Para. No. / Nº de par. - Alt N"/>
    <w:link w:val="ParaNoNdepar-AltNChar"/>
    <w:qFormat/>
    <w:rsid w:val="006B1829"/>
    <w:pPr>
      <w:numPr>
        <w:numId w:val="6"/>
      </w:numPr>
      <w:tabs>
        <w:tab w:val="clear" w:pos="1152"/>
        <w:tab w:val="left" w:pos="1166"/>
      </w:tabs>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6B1829"/>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6B1829"/>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6B1829"/>
    <w:pPr>
      <w:numPr>
        <w:ilvl w:val="2"/>
      </w:numPr>
      <w:outlineLvl w:val="2"/>
    </w:pPr>
  </w:style>
  <w:style w:type="paragraph" w:customStyle="1" w:styleId="Title4LevelTitre4Niveau">
    <w:name w:val="Title 4 Level / Titre 4 Niveau"/>
    <w:basedOn w:val="Title3LevelTitre3Niveau"/>
    <w:next w:val="ParaNoNdepar-AltN"/>
    <w:uiPriority w:val="4"/>
    <w:qFormat/>
    <w:rsid w:val="006B1829"/>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6B1829"/>
    <w:pPr>
      <w:numPr>
        <w:ilvl w:val="4"/>
      </w:numPr>
      <w:outlineLvl w:val="4"/>
    </w:pPr>
  </w:style>
  <w:style w:type="paragraph" w:styleId="TOC1">
    <w:name w:val="toc 1"/>
    <w:basedOn w:val="Normal"/>
    <w:next w:val="Normal"/>
    <w:autoRedefine/>
    <w:uiPriority w:val="39"/>
    <w:unhideWhenUsed/>
    <w:rsid w:val="006B1829"/>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6B1829"/>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6B1829"/>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6B1829"/>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6B1829"/>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6B1829"/>
    <w:pPr>
      <w:tabs>
        <w:tab w:val="left" w:pos="2160"/>
        <w:tab w:val="right" w:leader="dot" w:pos="8270"/>
      </w:tabs>
      <w:spacing w:after="100"/>
      <w:ind w:left="1800"/>
    </w:pPr>
    <w:rPr>
      <w:noProof/>
    </w:rPr>
  </w:style>
  <w:style w:type="table" w:customStyle="1" w:styleId="TableGrid1">
    <w:name w:val="Table Grid1"/>
    <w:basedOn w:val="TableNormal"/>
    <w:uiPriority w:val="59"/>
    <w:rsid w:val="006B1829"/>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6B1829"/>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6B1829"/>
    <w:pPr>
      <w:numPr>
        <w:ilvl w:val="5"/>
      </w:numPr>
      <w:outlineLvl w:val="5"/>
    </w:pPr>
    <w:rPr>
      <w:i/>
      <w:u w:val="none"/>
    </w:rPr>
  </w:style>
  <w:style w:type="paragraph" w:styleId="FootnoteText">
    <w:name w:val="footnote text"/>
    <w:basedOn w:val="Normal"/>
    <w:link w:val="FootnoteTextChar"/>
    <w:uiPriority w:val="99"/>
    <w:unhideWhenUsed/>
    <w:rsid w:val="006B1829"/>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6B1829"/>
  </w:style>
  <w:style w:type="character" w:styleId="FootnoteReference">
    <w:name w:val="footnote reference"/>
    <w:basedOn w:val="DefaultParagraphFont"/>
    <w:uiPriority w:val="99"/>
    <w:semiHidden/>
    <w:unhideWhenUsed/>
    <w:rsid w:val="006B1829"/>
    <w:rPr>
      <w:vertAlign w:val="superscript"/>
    </w:rPr>
  </w:style>
  <w:style w:type="character" w:customStyle="1" w:styleId="ParaNoNdepar-AltNChar">
    <w:name w:val="Para. No. / Nº de par. - Alt N Char"/>
    <w:basedOn w:val="DefaultParagraphFont"/>
    <w:link w:val="ParaNoNdepar-AltN"/>
    <w:rsid w:val="006B1829"/>
    <w:rPr>
      <w:rFonts w:eastAsiaTheme="minorEastAsia" w:cstheme="minorBidi"/>
      <w:sz w:val="24"/>
      <w:szCs w:val="22"/>
      <w:lang w:eastAsia="en-US"/>
    </w:rPr>
  </w:style>
  <w:style w:type="paragraph" w:customStyle="1" w:styleId="BlockQuote">
    <w:name w:val="Block Quote"/>
    <w:next w:val="Normal"/>
    <w:qFormat/>
    <w:rsid w:val="006B1829"/>
    <w:pPr>
      <w:spacing w:after="200" w:line="276" w:lineRule="auto"/>
      <w:ind w:left="720" w:right="720"/>
    </w:pPr>
    <w:rPr>
      <w:rFonts w:eastAsiaTheme="minorHAnsi" w:cstheme="minorBidi"/>
      <w:sz w:val="24"/>
      <w:szCs w:val="22"/>
      <w:lang w:eastAsia="en-US"/>
    </w:rPr>
  </w:style>
  <w:style w:type="paragraph" w:styleId="ListParagraph">
    <w:name w:val="List Paragraph"/>
    <w:basedOn w:val="Normal"/>
    <w:uiPriority w:val="1"/>
    <w:qFormat/>
    <w:rsid w:val="006B1829"/>
    <w:pPr>
      <w:ind w:left="720"/>
      <w:contextualSpacing/>
    </w:pPr>
    <w:rPr>
      <w:szCs w:val="24"/>
    </w:rPr>
  </w:style>
  <w:style w:type="character" w:customStyle="1" w:styleId="sectionlabel">
    <w:name w:val="sectionlabel"/>
    <w:basedOn w:val="DefaultParagraphFont"/>
    <w:rsid w:val="006B1829"/>
    <w:rPr>
      <w:b/>
      <w:bCs/>
    </w:rPr>
  </w:style>
  <w:style w:type="paragraph" w:customStyle="1" w:styleId="CITATION">
    <w:name w:val="CITATION"/>
    <w:basedOn w:val="Normal"/>
    <w:next w:val="Normal"/>
    <w:qFormat/>
    <w:rsid w:val="006B1829"/>
    <w:pPr>
      <w:ind w:left="720" w:right="720"/>
      <w:jc w:val="both"/>
    </w:pPr>
  </w:style>
  <w:style w:type="character" w:customStyle="1" w:styleId="lawlabel">
    <w:name w:val="lawlabel"/>
    <w:basedOn w:val="DefaultParagraphFont"/>
    <w:rsid w:val="006B1829"/>
    <w:rPr>
      <w:b/>
      <w:bCs/>
      <w:color w:val="000000"/>
    </w:rPr>
  </w:style>
  <w:style w:type="character" w:customStyle="1" w:styleId="canliisectionwithsubsection">
    <w:name w:val="canlii_section_with_subsection"/>
    <w:basedOn w:val="DefaultParagraphFont"/>
    <w:rsid w:val="006B1829"/>
  </w:style>
  <w:style w:type="character" w:customStyle="1" w:styleId="canliisubsection">
    <w:name w:val="canlii_subsection"/>
    <w:basedOn w:val="DefaultParagraphFont"/>
    <w:rsid w:val="006B1829"/>
  </w:style>
  <w:style w:type="paragraph" w:customStyle="1" w:styleId="mainparagraph">
    <w:name w:val="mainparagraph"/>
    <w:basedOn w:val="Normal"/>
    <w:rsid w:val="006B1829"/>
    <w:pPr>
      <w:spacing w:before="100" w:beforeAutospacing="1" w:after="100" w:afterAutospacing="1"/>
    </w:pPr>
    <w:rPr>
      <w:szCs w:val="24"/>
      <w:lang w:val="en-US" w:eastAsia="en-US"/>
    </w:rPr>
  </w:style>
  <w:style w:type="paragraph" w:customStyle="1" w:styleId="marginalnote">
    <w:name w:val="marginalnote"/>
    <w:basedOn w:val="Normal"/>
    <w:rsid w:val="006B1829"/>
    <w:pPr>
      <w:spacing w:before="100" w:beforeAutospacing="1" w:after="100" w:afterAutospacing="1"/>
    </w:pPr>
    <w:rPr>
      <w:szCs w:val="24"/>
      <w:lang w:val="en-US" w:eastAsia="en-US"/>
    </w:rPr>
  </w:style>
  <w:style w:type="paragraph" w:customStyle="1" w:styleId="section">
    <w:name w:val="section"/>
    <w:basedOn w:val="Normal"/>
    <w:rsid w:val="006B1829"/>
    <w:pPr>
      <w:spacing w:before="100" w:beforeAutospacing="1" w:after="100" w:afterAutospacing="1"/>
    </w:pPr>
    <w:rPr>
      <w:szCs w:val="24"/>
      <w:lang w:val="en-US" w:eastAsia="en-US"/>
    </w:rPr>
  </w:style>
  <w:style w:type="character" w:styleId="Emphasis">
    <w:name w:val="Emphasis"/>
    <w:basedOn w:val="DefaultParagraphFont"/>
    <w:uiPriority w:val="20"/>
    <w:qFormat/>
    <w:rsid w:val="006B1829"/>
    <w:rPr>
      <w:i/>
      <w:iCs/>
    </w:rPr>
  </w:style>
  <w:style w:type="character" w:customStyle="1" w:styleId="cohl">
    <w:name w:val="co_hl"/>
    <w:basedOn w:val="DefaultParagraphFont"/>
    <w:rsid w:val="006B1829"/>
  </w:style>
  <w:style w:type="paragraph" w:styleId="TOCHeading">
    <w:name w:val="TOC Heading"/>
    <w:basedOn w:val="Heading1"/>
    <w:next w:val="Normal"/>
    <w:uiPriority w:val="39"/>
    <w:unhideWhenUsed/>
    <w:qFormat/>
    <w:rsid w:val="006B1829"/>
    <w:pPr>
      <w:spacing w:before="240" w:after="0" w:line="259" w:lineRule="auto"/>
      <w:ind w:left="0" w:firstLine="0"/>
      <w:outlineLvl w:val="9"/>
    </w:pPr>
    <w:rPr>
      <w:b w:val="0"/>
      <w:bCs w:val="0"/>
      <w:sz w:val="32"/>
      <w:szCs w:val="32"/>
      <w:lang w:val="en-US" w:eastAsia="en-US"/>
    </w:rPr>
  </w:style>
  <w:style w:type="paragraph" w:styleId="Revision">
    <w:name w:val="Revision"/>
    <w:hidden/>
    <w:uiPriority w:val="99"/>
    <w:semiHidden/>
    <w:rsid w:val="006B1829"/>
    <w:rPr>
      <w:sz w:val="24"/>
      <w:szCs w:val="24"/>
    </w:rPr>
  </w:style>
  <w:style w:type="paragraph" w:styleId="NormalWeb">
    <w:name w:val="Normal (Web)"/>
    <w:basedOn w:val="Normal"/>
    <w:uiPriority w:val="99"/>
    <w:semiHidden/>
    <w:unhideWhenUsed/>
    <w:rsid w:val="006B1829"/>
    <w:pPr>
      <w:spacing w:before="100" w:beforeAutospacing="1" w:after="100" w:afterAutospacing="1"/>
    </w:pPr>
    <w:rPr>
      <w:szCs w:val="24"/>
      <w:lang w:val="en-US" w:eastAsia="en-US"/>
    </w:rPr>
  </w:style>
  <w:style w:type="character" w:customStyle="1" w:styleId="ssbf">
    <w:name w:val="ss_bf"/>
    <w:basedOn w:val="DefaultParagraphFont"/>
    <w:rsid w:val="006B1829"/>
  </w:style>
  <w:style w:type="character" w:customStyle="1" w:styleId="ssit">
    <w:name w:val="ss_it"/>
    <w:basedOn w:val="DefaultParagraphFont"/>
    <w:rsid w:val="006B1829"/>
  </w:style>
  <w:style w:type="table" w:customStyle="1" w:styleId="TableGrid2">
    <w:name w:val="Table Grid2"/>
    <w:basedOn w:val="TableNormal"/>
    <w:next w:val="TableGrid"/>
    <w:uiPriority w:val="59"/>
    <w:rsid w:val="006B1829"/>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1B41C9"/>
    <w:rPr>
      <w:lang w:val="en-CA"/>
    </w:rPr>
  </w:style>
  <w:style w:type="paragraph" w:customStyle="1" w:styleId="SCCLsocPrefix">
    <w:name w:val="SCC.Lsoc.Prefix"/>
    <w:basedOn w:val="Normal"/>
    <w:next w:val="Normal"/>
    <w:link w:val="SCCLsocPrefixChar"/>
    <w:rsid w:val="001B41C9"/>
    <w:rPr>
      <w:rFonts w:eastAsiaTheme="minorHAnsi" w:cstheme="minorBidi"/>
      <w:b/>
      <w:smallCaps/>
      <w:szCs w:val="24"/>
      <w:lang w:eastAsia="en-US"/>
    </w:rPr>
  </w:style>
  <w:style w:type="character" w:customStyle="1" w:styleId="SCCLsocPrefixChar">
    <w:name w:val="SCC.Lsoc.Prefix Char"/>
    <w:basedOn w:val="DefaultParagraphFont"/>
    <w:link w:val="SCCLsocPrefix"/>
    <w:rsid w:val="001B41C9"/>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38250">
      <w:bodyDiv w:val="1"/>
      <w:marLeft w:val="0"/>
      <w:marRight w:val="0"/>
      <w:marTop w:val="0"/>
      <w:marBottom w:val="0"/>
      <w:divBdr>
        <w:top w:val="none" w:sz="0" w:space="0" w:color="auto"/>
        <w:left w:val="none" w:sz="0" w:space="0" w:color="auto"/>
        <w:bottom w:val="none" w:sz="0" w:space="0" w:color="auto"/>
        <w:right w:val="none" w:sz="0" w:space="0" w:color="auto"/>
      </w:divBdr>
    </w:div>
    <w:div w:id="15150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1F2C-A3B1-47DA-8619-FE6FFB14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15954</Words>
  <Characters>87748</Characters>
  <Application>Microsoft Office Word</Application>
  <DocSecurity>0</DocSecurity>
  <Lines>731</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103496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2021-06-18T17:56:00Z</dcterms:created>
  <dcterms:modified xsi:type="dcterms:W3CDTF">2023-02-08T15:26:00Z</dcterms:modified>
</cp:coreProperties>
</file>