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3B" w:rsidRDefault="0041153B" w:rsidP="0041153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739453694" r:id="rId9"/>
        </w:object>
      </w:r>
      <w:r>
        <w:t xml:space="preserve"> </w:t>
      </w:r>
      <w:r>
        <w:ptab w:relativeTo="margin" w:alignment="right" w:leader="none"/>
      </w:r>
    </w:p>
    <w:p w:rsidR="0041153B" w:rsidRDefault="0041153B" w:rsidP="0041153B">
      <w:pPr>
        <w:pStyle w:val="Header"/>
      </w:pPr>
    </w:p>
    <w:p w:rsidR="0041153B" w:rsidRPr="006B210C" w:rsidRDefault="0041153B" w:rsidP="0041153B">
      <w:pPr>
        <w:jc w:val="center"/>
        <w:rPr>
          <w:b/>
        </w:rPr>
      </w:pPr>
      <w:r w:rsidRPr="006B210C">
        <w:rPr>
          <w:b/>
        </w:rPr>
        <w:t>SUPREME COURT OF CANADA</w:t>
      </w:r>
    </w:p>
    <w:p w:rsidR="0041153B" w:rsidRDefault="0041153B" w:rsidP="0041153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41153B" w:rsidRPr="006B210C" w:rsidTr="00960131">
        <w:trPr>
          <w:cantSplit/>
        </w:trPr>
        <w:tc>
          <w:tcPr>
            <w:tcW w:w="5580" w:type="dxa"/>
          </w:tcPr>
          <w:p w:rsidR="0041153B" w:rsidRPr="002C472C" w:rsidRDefault="0041153B" w:rsidP="00DD513E">
            <w:r w:rsidRPr="00C92168">
              <w:rPr>
                <w:b/>
                <w:smallCaps/>
              </w:rPr>
              <w:t>Citation:</w:t>
            </w:r>
            <w:r w:rsidRPr="00C92168">
              <w:t xml:space="preserve"> R. </w:t>
            </w:r>
            <w:r w:rsidRPr="00C92168">
              <w:rPr>
                <w:i/>
              </w:rPr>
              <w:t>v</w:t>
            </w:r>
            <w:r w:rsidRPr="00C92168">
              <w:t>. Ahmad, 2020</w:t>
            </w:r>
            <w:r w:rsidRPr="002C472C">
              <w:t xml:space="preserve"> SCC </w:t>
            </w:r>
            <w:r w:rsidRPr="00725063">
              <w:t>11</w:t>
            </w:r>
            <w:r>
              <w:t>,</w:t>
            </w:r>
            <w:r w:rsidR="00DD513E">
              <w:t xml:space="preserve"> [2020] 1</w:t>
            </w:r>
            <w:r w:rsidRPr="0041153B">
              <w:t xml:space="preserve"> S.C.R. </w:t>
            </w:r>
            <w:r w:rsidR="00DD513E">
              <w:t>577</w:t>
            </w:r>
          </w:p>
        </w:tc>
        <w:tc>
          <w:tcPr>
            <w:tcW w:w="3996" w:type="dxa"/>
          </w:tcPr>
          <w:p w:rsidR="0041153B" w:rsidRPr="00F10D7A" w:rsidRDefault="0041153B" w:rsidP="00960131">
            <w:r w:rsidRPr="00844956">
              <w:rPr>
                <w:b/>
                <w:smallCaps/>
              </w:rPr>
              <w:t>Appeals Heard:</w:t>
            </w:r>
            <w:r w:rsidRPr="00844956">
              <w:t xml:space="preserve"> October</w:t>
            </w:r>
            <w:r w:rsidRPr="00F10D7A">
              <w:t xml:space="preserve"> 11, 2019 </w:t>
            </w:r>
          </w:p>
          <w:p w:rsidR="0041153B" w:rsidRPr="002C472C" w:rsidRDefault="0041153B" w:rsidP="00960131">
            <w:pPr>
              <w:pStyle w:val="NoSpacing"/>
            </w:pPr>
            <w:r>
              <w:rPr>
                <w:b/>
                <w:smallCaps/>
              </w:rPr>
              <w:t>Judg</w:t>
            </w:r>
            <w:r w:rsidRPr="00581D64">
              <w:rPr>
                <w:b/>
                <w:smallCaps/>
              </w:rPr>
              <w:t xml:space="preserve">ment Rendered: </w:t>
            </w:r>
            <w:r w:rsidRPr="00EF2B64">
              <w:t>May</w:t>
            </w:r>
            <w:r>
              <w:t xml:space="preserve"> 29,</w:t>
            </w:r>
            <w:r w:rsidRPr="00EF2B64">
              <w:t xml:space="preserve"> 2020</w:t>
            </w:r>
          </w:p>
          <w:p w:rsidR="0041153B" w:rsidRPr="002C472C" w:rsidRDefault="0041153B" w:rsidP="00960131">
            <w:r w:rsidRPr="002C472C">
              <w:rPr>
                <w:b/>
                <w:smallCaps/>
              </w:rPr>
              <w:t>Dockets:</w:t>
            </w:r>
            <w:r w:rsidRPr="002C472C">
              <w:t xml:space="preserve"> 38165, 38304</w:t>
            </w:r>
          </w:p>
        </w:tc>
      </w:tr>
    </w:tbl>
    <w:p w:rsidR="0041153B" w:rsidRPr="006B210C" w:rsidRDefault="0041153B" w:rsidP="0041153B"/>
    <w:p w:rsidR="0041153B" w:rsidRDefault="0041153B" w:rsidP="0041153B">
      <w:pPr>
        <w:pStyle w:val="SCCLsocPrefix"/>
      </w:pPr>
      <w:r>
        <w:t>Between:</w:t>
      </w:r>
    </w:p>
    <w:p w:rsidR="0041153B" w:rsidRPr="001018B7" w:rsidRDefault="0041153B" w:rsidP="0041153B">
      <w:pPr>
        <w:pStyle w:val="SCCLsocParty"/>
        <w:jc w:val="center"/>
      </w:pPr>
      <w:r w:rsidRPr="001018B7">
        <w:t>Javid Ahmad</w:t>
      </w:r>
    </w:p>
    <w:p w:rsidR="0041153B" w:rsidRDefault="0041153B" w:rsidP="0041153B">
      <w:pPr>
        <w:jc w:val="center"/>
      </w:pPr>
      <w:r w:rsidRPr="001018B7">
        <w:t>Appellant</w:t>
      </w:r>
    </w:p>
    <w:p w:rsidR="0041153B" w:rsidRPr="006B27BE" w:rsidRDefault="0041153B" w:rsidP="0041153B"/>
    <w:p w:rsidR="0041153B" w:rsidRPr="0041153B" w:rsidRDefault="0041153B" w:rsidP="0041153B">
      <w:pPr>
        <w:pStyle w:val="SCCLsocVersus"/>
        <w:spacing w:after="0"/>
        <w:jc w:val="center"/>
        <w:rPr>
          <w:i w:val="0"/>
        </w:rPr>
      </w:pPr>
      <w:r w:rsidRPr="0041153B">
        <w:rPr>
          <w:i w:val="0"/>
        </w:rPr>
        <w:t>and</w:t>
      </w:r>
    </w:p>
    <w:p w:rsidR="0041153B" w:rsidRPr="006B27BE" w:rsidRDefault="0041153B" w:rsidP="0041153B"/>
    <w:p w:rsidR="0041153B" w:rsidRDefault="0041153B" w:rsidP="0041153B">
      <w:pPr>
        <w:pStyle w:val="SCCLsocParty"/>
        <w:jc w:val="center"/>
      </w:pPr>
      <w:r>
        <w:t>Her Majesty The Queen</w:t>
      </w:r>
    </w:p>
    <w:p w:rsidR="0041153B" w:rsidRDefault="0041153B" w:rsidP="0041153B">
      <w:pPr>
        <w:jc w:val="center"/>
      </w:pPr>
      <w:r>
        <w:t>Respondent</w:t>
      </w:r>
    </w:p>
    <w:p w:rsidR="0041153B" w:rsidRPr="006B27BE" w:rsidRDefault="0041153B" w:rsidP="0041153B"/>
    <w:p w:rsidR="0041153B" w:rsidRDefault="0041153B" w:rsidP="0041153B">
      <w:pPr>
        <w:pStyle w:val="SCCLsocOtherPartySeparator"/>
        <w:spacing w:after="0"/>
        <w:jc w:val="center"/>
      </w:pPr>
      <w:r>
        <w:t>- and -</w:t>
      </w:r>
    </w:p>
    <w:p w:rsidR="0041153B" w:rsidRDefault="0041153B" w:rsidP="0041153B">
      <w:pPr>
        <w:pStyle w:val="SCCLsocParty"/>
        <w:jc w:val="left"/>
      </w:pPr>
    </w:p>
    <w:p w:rsidR="0041153B" w:rsidRDefault="0041153B" w:rsidP="0041153B">
      <w:pPr>
        <w:pStyle w:val="SCCLsocParty"/>
        <w:jc w:val="center"/>
      </w:pPr>
      <w:r>
        <w:t xml:space="preserve">British Columbia Civil </w:t>
      </w:r>
      <w:r w:rsidRPr="001018B7">
        <w:t>Liberties Association, Criminal Lawyers’ Association of Ontario and Canadian Association of Chiefs of Police</w:t>
      </w:r>
    </w:p>
    <w:p w:rsidR="0041153B" w:rsidRPr="001018B7" w:rsidRDefault="0041153B" w:rsidP="0041153B">
      <w:pPr>
        <w:jc w:val="center"/>
      </w:pPr>
      <w:r>
        <w:t>Interveners</w:t>
      </w:r>
    </w:p>
    <w:p w:rsidR="0041153B" w:rsidRDefault="0041153B" w:rsidP="0041153B"/>
    <w:p w:rsidR="0041153B" w:rsidRDefault="0041153B" w:rsidP="0041153B"/>
    <w:p w:rsidR="0041153B" w:rsidRDefault="0041153B" w:rsidP="0041153B">
      <w:pPr>
        <w:pStyle w:val="SCCLsocPrefix"/>
      </w:pPr>
      <w:r>
        <w:t>And Between:</w:t>
      </w:r>
    </w:p>
    <w:p w:rsidR="0041153B" w:rsidRDefault="0041153B" w:rsidP="0041153B"/>
    <w:p w:rsidR="0041153B" w:rsidRPr="001018B7" w:rsidRDefault="0041153B" w:rsidP="0041153B">
      <w:pPr>
        <w:pStyle w:val="SCCLsocParty"/>
        <w:jc w:val="center"/>
      </w:pPr>
      <w:r w:rsidRPr="001018B7">
        <w:t>Landon Williams</w:t>
      </w:r>
    </w:p>
    <w:p w:rsidR="0041153B" w:rsidRDefault="0041153B" w:rsidP="0041153B">
      <w:pPr>
        <w:jc w:val="center"/>
      </w:pPr>
      <w:r w:rsidRPr="001018B7">
        <w:t>Appellant</w:t>
      </w:r>
    </w:p>
    <w:p w:rsidR="0041153B" w:rsidRPr="001018B7" w:rsidRDefault="0041153B" w:rsidP="0041153B"/>
    <w:p w:rsidR="0041153B" w:rsidRPr="0041153B" w:rsidRDefault="0041153B" w:rsidP="0041153B">
      <w:pPr>
        <w:pStyle w:val="SCCLsocVersus"/>
        <w:spacing w:after="0"/>
        <w:jc w:val="center"/>
        <w:rPr>
          <w:i w:val="0"/>
        </w:rPr>
      </w:pPr>
      <w:r w:rsidRPr="0041153B">
        <w:rPr>
          <w:i w:val="0"/>
        </w:rPr>
        <w:t>and</w:t>
      </w:r>
    </w:p>
    <w:p w:rsidR="0041153B" w:rsidRDefault="0041153B" w:rsidP="0041153B">
      <w:pPr>
        <w:pStyle w:val="SCCLsocParty"/>
      </w:pPr>
    </w:p>
    <w:p w:rsidR="0041153B" w:rsidRDefault="0041153B" w:rsidP="0041153B">
      <w:pPr>
        <w:pStyle w:val="SCCLsocParty"/>
        <w:jc w:val="center"/>
      </w:pPr>
      <w:r>
        <w:t>Her Majesty The Queen</w:t>
      </w:r>
    </w:p>
    <w:p w:rsidR="0041153B" w:rsidRDefault="0041153B" w:rsidP="0041153B">
      <w:pPr>
        <w:jc w:val="center"/>
      </w:pPr>
      <w:r>
        <w:t>Respondent</w:t>
      </w:r>
    </w:p>
    <w:p w:rsidR="0041153B" w:rsidRDefault="0041153B" w:rsidP="0041153B">
      <w:pPr>
        <w:pStyle w:val="SCCLsocOtherPartySeparator"/>
        <w:spacing w:after="0"/>
      </w:pPr>
    </w:p>
    <w:p w:rsidR="0041153B" w:rsidRDefault="0041153B" w:rsidP="0041153B">
      <w:pPr>
        <w:pStyle w:val="SCCLsocOtherPartySeparator"/>
        <w:spacing w:after="0"/>
        <w:jc w:val="center"/>
      </w:pPr>
      <w:r>
        <w:t>- and -</w:t>
      </w:r>
    </w:p>
    <w:p w:rsidR="0041153B" w:rsidRDefault="0041153B" w:rsidP="0041153B">
      <w:pPr>
        <w:pStyle w:val="SCCLsocParty"/>
      </w:pPr>
    </w:p>
    <w:p w:rsidR="0041153B" w:rsidRDefault="0041153B" w:rsidP="0041153B">
      <w:pPr>
        <w:pStyle w:val="SCCLsocParty"/>
        <w:jc w:val="center"/>
      </w:pPr>
      <w:r>
        <w:t xml:space="preserve">British Columbia Civil Liberties Association </w:t>
      </w:r>
      <w:r w:rsidRPr="001018B7">
        <w:t>and</w:t>
      </w:r>
      <w:r>
        <w:t xml:space="preserve"> Independent Criminal Defence Advocacy Society</w:t>
      </w:r>
    </w:p>
    <w:p w:rsidR="0041153B" w:rsidRDefault="0041153B" w:rsidP="0041153B">
      <w:pPr>
        <w:jc w:val="center"/>
      </w:pPr>
      <w:r>
        <w:t>Interveners</w:t>
      </w:r>
    </w:p>
    <w:p w:rsidR="0041153B" w:rsidRDefault="0041153B" w:rsidP="0041153B"/>
    <w:p w:rsidR="0041153B" w:rsidRPr="001018B7" w:rsidRDefault="0041153B" w:rsidP="0041153B"/>
    <w:p w:rsidR="0041153B" w:rsidRPr="006B210C" w:rsidRDefault="0041153B" w:rsidP="0041153B"/>
    <w:p w:rsidR="0041153B" w:rsidRPr="006B210C" w:rsidRDefault="0041153B" w:rsidP="0041153B">
      <w:r w:rsidRPr="006B210C">
        <w:rPr>
          <w:b/>
          <w:smallCaps/>
        </w:rPr>
        <w:t>Coram</w:t>
      </w:r>
      <w:r>
        <w:rPr>
          <w:b/>
          <w:smallCaps/>
        </w:rPr>
        <w:t>:</w:t>
      </w:r>
      <w:r w:rsidRPr="006B210C">
        <w:t xml:space="preserve"> </w:t>
      </w:r>
      <w:r>
        <w:t>Wagner C.J. and Abella, Moldaver, Karakatsanis, Côté, Brown, Rowe, Martin and Kasirer JJ.</w:t>
      </w:r>
    </w:p>
    <w:p w:rsidR="0041153B" w:rsidRPr="006B210C" w:rsidRDefault="0041153B" w:rsidP="0041153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1153B" w:rsidRPr="006B210C" w:rsidTr="00960131">
        <w:trPr>
          <w:cantSplit/>
        </w:trPr>
        <w:tc>
          <w:tcPr>
            <w:tcW w:w="3618" w:type="dxa"/>
          </w:tcPr>
          <w:p w:rsidR="0041153B" w:rsidRPr="00D301B8" w:rsidRDefault="0041153B" w:rsidP="00960131">
            <w:pPr>
              <w:rPr>
                <w:b/>
                <w:smallCaps/>
              </w:rPr>
            </w:pPr>
            <w:r w:rsidRPr="00D301B8">
              <w:rPr>
                <w:b/>
                <w:smallCaps/>
              </w:rPr>
              <w:lastRenderedPageBreak/>
              <w:t>Joint Reasons for Judgment:</w:t>
            </w:r>
          </w:p>
          <w:p w:rsidR="0041153B" w:rsidRPr="00D301B8" w:rsidRDefault="0041153B" w:rsidP="00960131">
            <w:pPr>
              <w:rPr>
                <w:b/>
                <w:smallCaps/>
              </w:rPr>
            </w:pPr>
            <w:r w:rsidRPr="00D301B8">
              <w:t>(paras. 1 to 85)</w:t>
            </w:r>
          </w:p>
          <w:p w:rsidR="0041153B" w:rsidRPr="00D301B8" w:rsidRDefault="0041153B" w:rsidP="00960131">
            <w:pPr>
              <w:rPr>
                <w:b/>
                <w:smallCaps/>
              </w:rPr>
            </w:pPr>
          </w:p>
          <w:p w:rsidR="0041153B" w:rsidRPr="00D301B8" w:rsidRDefault="0041153B" w:rsidP="00960131">
            <w:pPr>
              <w:rPr>
                <w:b/>
                <w:smallCaps/>
              </w:rPr>
            </w:pPr>
            <w:r w:rsidRPr="00D301B8">
              <w:rPr>
                <w:b/>
                <w:smallCaps/>
              </w:rPr>
              <w:t>Reasons Dissenting in Part:</w:t>
            </w:r>
          </w:p>
          <w:p w:rsidR="0041153B" w:rsidRDefault="0041153B" w:rsidP="00960131">
            <w:pPr>
              <w:rPr>
                <w:b/>
                <w:smallCaps/>
              </w:rPr>
            </w:pPr>
            <w:r w:rsidRPr="00D301B8">
              <w:t>(paras. 86 to 188)</w:t>
            </w:r>
          </w:p>
          <w:p w:rsidR="0041153B" w:rsidRPr="006B210C" w:rsidRDefault="0041153B" w:rsidP="00960131"/>
        </w:tc>
        <w:tc>
          <w:tcPr>
            <w:tcW w:w="5958" w:type="dxa"/>
          </w:tcPr>
          <w:p w:rsidR="0041153B" w:rsidRDefault="0041153B" w:rsidP="00960131">
            <w:r>
              <w:t>Karakatsanis, Brown and Martin JJ. (Abella and Kasirer JJ. concurring)</w:t>
            </w:r>
          </w:p>
          <w:p w:rsidR="0041153B" w:rsidRDefault="0041153B" w:rsidP="00960131"/>
          <w:p w:rsidR="0041153B" w:rsidRPr="006B210C" w:rsidRDefault="0041153B" w:rsidP="00960131">
            <w:r>
              <w:t>Moldaver J. (Wagner C.J. and Côté and Rowe JJ. concurring)</w:t>
            </w:r>
          </w:p>
        </w:tc>
      </w:tr>
    </w:tbl>
    <w:p w:rsidR="0041153B" w:rsidRPr="006B210C" w:rsidRDefault="0041153B" w:rsidP="0041153B"/>
    <w:p w:rsidR="0041153B" w:rsidRPr="006B210C" w:rsidRDefault="0041153B" w:rsidP="0041153B">
      <w:r>
        <w:rPr>
          <w:noProof/>
          <w:lang w:val="fr-CA" w:eastAsia="fr-CA"/>
        </w:rPr>
        <mc:AlternateContent>
          <mc:Choice Requires="wps">
            <w:drawing>
              <wp:anchor distT="0" distB="0" distL="114300" distR="114300" simplePos="0" relativeHeight="251659264" behindDoc="0" locked="0" layoutInCell="1" allowOverlap="1" wp14:anchorId="3D4A777C" wp14:editId="6CD69D2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FB3D9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1153B" w:rsidRDefault="0041153B" w:rsidP="00D84897">
      <w:pPr>
        <w:spacing w:after="720"/>
        <w:jc w:val="both"/>
        <w:rPr>
          <w:rStyle w:val="SCCRespondentForRunningHeadChar"/>
        </w:rPr>
      </w:pPr>
      <w:r>
        <w:rPr>
          <w:rStyle w:val="SCCRespondentForRunningHeadChar"/>
        </w:rPr>
        <w:br w:type="page"/>
      </w:r>
    </w:p>
    <w:p w:rsidR="00E24061" w:rsidRPr="003D1C8A" w:rsidRDefault="00FF71C3" w:rsidP="00D84897">
      <w:pPr>
        <w:pStyle w:val="SCCLsocLastPartyInRole"/>
      </w:pPr>
      <w:bookmarkStart w:id="0" w:name="_GoBack"/>
      <w:bookmarkEnd w:id="0"/>
      <w:r w:rsidRPr="003D1C8A">
        <w:t>Javid Ahmad</w:t>
      </w:r>
      <w:r w:rsidRPr="003D1C8A">
        <w:rPr>
          <w:rStyle w:val="SCCLsocPartyRole"/>
        </w:rPr>
        <w:tab/>
        <w:t>Appellant</w:t>
      </w:r>
    </w:p>
    <w:p w:rsidR="00E24061" w:rsidRPr="003D1C8A" w:rsidRDefault="00FF71C3" w:rsidP="00D84897">
      <w:pPr>
        <w:pStyle w:val="SCCLsocVersus"/>
      </w:pPr>
      <w:r w:rsidRPr="003D1C8A">
        <w:t>v.</w:t>
      </w:r>
    </w:p>
    <w:p w:rsidR="00E24061" w:rsidRPr="003D1C8A" w:rsidRDefault="00DB0D2E" w:rsidP="00D84897">
      <w:pPr>
        <w:pStyle w:val="SCCLsocLastPartyInRole"/>
      </w:pPr>
      <w:r w:rsidRPr="003D1C8A">
        <w:t>Her Majesty Th</w:t>
      </w:r>
      <w:r w:rsidR="00FF71C3" w:rsidRPr="003D1C8A">
        <w:t>e Queen</w:t>
      </w:r>
      <w:r w:rsidR="00FF71C3" w:rsidRPr="003D1C8A">
        <w:rPr>
          <w:rStyle w:val="SCCLsocPartyRole"/>
        </w:rPr>
        <w:tab/>
        <w:t>Respondent</w:t>
      </w:r>
    </w:p>
    <w:p w:rsidR="00E24061" w:rsidRPr="003D1C8A" w:rsidRDefault="00FF71C3" w:rsidP="00D84897">
      <w:pPr>
        <w:pStyle w:val="SCCLsocOtherPartySeparator"/>
      </w:pPr>
      <w:r w:rsidRPr="003D1C8A">
        <w:t>and</w:t>
      </w:r>
    </w:p>
    <w:p w:rsidR="00E24061" w:rsidRPr="003D1C8A" w:rsidRDefault="00FF71C3">
      <w:pPr>
        <w:pStyle w:val="SCCLsocParty"/>
      </w:pPr>
      <w:r w:rsidRPr="003D1C8A">
        <w:t>British Columbia Civil Liberties Association,</w:t>
      </w:r>
    </w:p>
    <w:p w:rsidR="00E24061" w:rsidRPr="003D1C8A" w:rsidRDefault="00FF71C3">
      <w:pPr>
        <w:pStyle w:val="SCCLsocParty"/>
      </w:pPr>
      <w:r w:rsidRPr="003D1C8A">
        <w:t xml:space="preserve">Criminal </w:t>
      </w:r>
      <w:r w:rsidR="00E5315C" w:rsidRPr="003D1C8A">
        <w:t>Lawyers</w:t>
      </w:r>
      <w:r w:rsidR="00CC04D3" w:rsidRPr="003D1C8A">
        <w:t>’</w:t>
      </w:r>
      <w:r w:rsidR="00E5315C" w:rsidRPr="003D1C8A">
        <w:t xml:space="preserve"> Association of Ontario and</w:t>
      </w:r>
    </w:p>
    <w:p w:rsidR="00E24061" w:rsidRPr="003D1C8A" w:rsidRDefault="00FF71C3" w:rsidP="00D84897">
      <w:pPr>
        <w:pStyle w:val="SCCLsocLastPartyInRole"/>
      </w:pPr>
      <w:r w:rsidRPr="003D1C8A">
        <w:t>Canadian Association of Chiefs of Police</w:t>
      </w:r>
      <w:r w:rsidRPr="003D1C8A">
        <w:rPr>
          <w:rStyle w:val="SCCLsocPartyRole"/>
        </w:rPr>
        <w:tab/>
        <w:t>Interveners</w:t>
      </w:r>
    </w:p>
    <w:p w:rsidR="00156799" w:rsidRPr="003D1C8A" w:rsidRDefault="003D1C8A" w:rsidP="00D84897">
      <w:pPr>
        <w:pStyle w:val="SCCLsocOtherPartySeparator"/>
      </w:pPr>
      <w:r w:rsidRPr="003D1C8A">
        <w:noBreakHyphen/>
      </w:r>
      <w:r w:rsidR="00156799" w:rsidRPr="003D1C8A">
        <w:t xml:space="preserve"> and </w:t>
      </w:r>
      <w:r w:rsidRPr="003D1C8A">
        <w:noBreakHyphen/>
      </w:r>
    </w:p>
    <w:p w:rsidR="00156799" w:rsidRPr="003D1C8A" w:rsidRDefault="00156799" w:rsidP="00D84897">
      <w:pPr>
        <w:pStyle w:val="SCCLsocLastPartyInRole"/>
      </w:pPr>
      <w:r w:rsidRPr="003D1C8A">
        <w:t>Landon Williams</w:t>
      </w:r>
      <w:r w:rsidRPr="003D1C8A">
        <w:rPr>
          <w:rStyle w:val="SCCLsocPartyRole"/>
        </w:rPr>
        <w:tab/>
        <w:t>Appellant</w:t>
      </w:r>
    </w:p>
    <w:p w:rsidR="00156799" w:rsidRPr="003D1C8A" w:rsidRDefault="00156799" w:rsidP="00D84897">
      <w:pPr>
        <w:pStyle w:val="SCCLsocVersus"/>
        <w:tabs>
          <w:tab w:val="left" w:pos="4755"/>
        </w:tabs>
      </w:pPr>
      <w:r w:rsidRPr="003D1C8A">
        <w:t>v.</w:t>
      </w:r>
    </w:p>
    <w:p w:rsidR="00156799" w:rsidRPr="003D1C8A" w:rsidRDefault="00DB0D2E" w:rsidP="00D84897">
      <w:pPr>
        <w:pStyle w:val="SCCLsocLastPartyInRole"/>
      </w:pPr>
      <w:r w:rsidRPr="003D1C8A">
        <w:t>Her Majesty T</w:t>
      </w:r>
      <w:r w:rsidR="00156799" w:rsidRPr="003D1C8A">
        <w:t>he Queen</w:t>
      </w:r>
      <w:r w:rsidR="00156799" w:rsidRPr="003D1C8A">
        <w:rPr>
          <w:rStyle w:val="SCCLsocPartyRole"/>
        </w:rPr>
        <w:tab/>
        <w:t>Respondent</w:t>
      </w:r>
    </w:p>
    <w:p w:rsidR="00156799" w:rsidRPr="003D1C8A" w:rsidRDefault="00156799" w:rsidP="00D84897">
      <w:pPr>
        <w:pStyle w:val="SCCLsocOtherPartySeparator"/>
      </w:pPr>
      <w:r w:rsidRPr="003D1C8A">
        <w:t>and</w:t>
      </w:r>
    </w:p>
    <w:p w:rsidR="00156799" w:rsidRPr="003D1C8A" w:rsidRDefault="00156799" w:rsidP="00156799">
      <w:pPr>
        <w:pStyle w:val="SCCLsocParty"/>
      </w:pPr>
      <w:r w:rsidRPr="003D1C8A">
        <w:t>British Colum</w:t>
      </w:r>
      <w:r w:rsidR="00E5315C" w:rsidRPr="003D1C8A">
        <w:t>bia Civil Liberties Association and</w:t>
      </w:r>
    </w:p>
    <w:p w:rsidR="00156799" w:rsidRPr="003D1C8A" w:rsidRDefault="00156799" w:rsidP="00D84897">
      <w:pPr>
        <w:pStyle w:val="SCCLsocLastPartyInRole"/>
      </w:pPr>
      <w:r w:rsidRPr="003D1C8A">
        <w:t>Independent Criminal Defence Advocacy Society</w:t>
      </w:r>
      <w:r w:rsidRPr="003D1C8A">
        <w:rPr>
          <w:rStyle w:val="SCCLsocPartyRole"/>
        </w:rPr>
        <w:tab/>
        <w:t>Interveners</w:t>
      </w:r>
    </w:p>
    <w:p w:rsidR="00426659" w:rsidRPr="003D1C8A" w:rsidRDefault="00426659" w:rsidP="00D84897">
      <w:pPr>
        <w:spacing w:after="720"/>
        <w:jc w:val="both"/>
        <w:rPr>
          <w:b/>
        </w:rPr>
      </w:pPr>
      <w:r w:rsidRPr="003D1C8A">
        <w:rPr>
          <w:b/>
        </w:rPr>
        <w:t xml:space="preserve">Indexed as: </w:t>
      </w:r>
      <w:r w:rsidR="00AC0A16" w:rsidRPr="003D1C8A">
        <w:rPr>
          <w:rStyle w:val="SCCRespondentForIndexChar"/>
        </w:rPr>
        <w:t xml:space="preserve">R. </w:t>
      </w:r>
      <w:r w:rsidR="00AC0A16" w:rsidRPr="003D1C8A">
        <w:rPr>
          <w:b/>
          <w:i/>
        </w:rPr>
        <w:t>v.</w:t>
      </w:r>
      <w:r w:rsidR="00AC0A16" w:rsidRPr="003D1C8A">
        <w:rPr>
          <w:b/>
        </w:rPr>
        <w:t xml:space="preserve"> </w:t>
      </w:r>
      <w:r w:rsidRPr="003D1C8A">
        <w:rPr>
          <w:rStyle w:val="SCCAppellantForIndexChar"/>
        </w:rPr>
        <w:t>Ahmad</w:t>
      </w:r>
    </w:p>
    <w:p w:rsidR="00426659" w:rsidRPr="003D1C8A" w:rsidRDefault="00AE4535" w:rsidP="00D84897">
      <w:pPr>
        <w:pStyle w:val="SCCSystemYear"/>
        <w:spacing w:after="720"/>
        <w:jc w:val="both"/>
      </w:pPr>
      <w:r w:rsidRPr="003D1C8A">
        <w:t>2020</w:t>
      </w:r>
      <w:r w:rsidR="003D0399" w:rsidRPr="003D1C8A">
        <w:t xml:space="preserve"> </w:t>
      </w:r>
      <w:r w:rsidR="00AC0A16" w:rsidRPr="003D1C8A">
        <w:t>SCC </w:t>
      </w:r>
      <w:r w:rsidR="00D36298" w:rsidRPr="003D1C8A">
        <w:t>11</w:t>
      </w:r>
    </w:p>
    <w:p w:rsidR="008322BD" w:rsidRPr="003D1C8A" w:rsidRDefault="00AC0A16" w:rsidP="00D84897">
      <w:pPr>
        <w:spacing w:after="720"/>
        <w:jc w:val="both"/>
      </w:pPr>
      <w:r w:rsidRPr="003D1C8A">
        <w:t>File No</w:t>
      </w:r>
      <w:r w:rsidR="00DF38EA" w:rsidRPr="003D1C8A">
        <w:t>s</w:t>
      </w:r>
      <w:r w:rsidRPr="003D1C8A">
        <w:t xml:space="preserve">.: </w:t>
      </w:r>
      <w:r w:rsidR="009B57B3" w:rsidRPr="003D1C8A">
        <w:t>38165</w:t>
      </w:r>
      <w:r w:rsidR="00156799" w:rsidRPr="003D1C8A">
        <w:t>, 38304.</w:t>
      </w:r>
    </w:p>
    <w:p w:rsidR="008322BD" w:rsidRPr="003D1C8A" w:rsidRDefault="00D84897" w:rsidP="00D84897">
      <w:pPr>
        <w:spacing w:after="720"/>
        <w:jc w:val="both"/>
      </w:pPr>
      <w:r w:rsidRPr="003D1C8A">
        <w:t>2019: </w:t>
      </w:r>
      <w:r w:rsidR="00AE4535" w:rsidRPr="003D1C8A">
        <w:t>October</w:t>
      </w:r>
      <w:r w:rsidRPr="003D1C8A">
        <w:t> </w:t>
      </w:r>
      <w:r w:rsidR="00AE4535" w:rsidRPr="003D1C8A">
        <w:t>11</w:t>
      </w:r>
      <w:r w:rsidR="009B57B3" w:rsidRPr="003D1C8A">
        <w:t xml:space="preserve">; </w:t>
      </w:r>
      <w:r w:rsidR="00BB3800" w:rsidRPr="003D1C8A">
        <w:t>2020: May </w:t>
      </w:r>
      <w:r w:rsidR="00DF38EA" w:rsidRPr="003D1C8A">
        <w:t>29</w:t>
      </w:r>
      <w:r w:rsidR="009B57B3" w:rsidRPr="003D1C8A">
        <w:t>.</w:t>
      </w:r>
    </w:p>
    <w:p w:rsidR="008322BD" w:rsidRPr="003D1C8A" w:rsidRDefault="009B57B3" w:rsidP="00D84897">
      <w:pPr>
        <w:spacing w:after="720"/>
        <w:jc w:val="both"/>
      </w:pPr>
      <w:r w:rsidRPr="003D1C8A">
        <w:t>Present:</w:t>
      </w:r>
      <w:r w:rsidR="00D84897" w:rsidRPr="003D1C8A">
        <w:t xml:space="preserve"> </w:t>
      </w:r>
      <w:r w:rsidRPr="003D1C8A">
        <w:t>Wagner C.J. and Abella, Moldaver, Karakatsanis, Côté, Brown, Rowe, Martin and Kasirer JJ.</w:t>
      </w:r>
    </w:p>
    <w:p w:rsidR="008322BD" w:rsidRPr="003D1C8A" w:rsidRDefault="00656313" w:rsidP="00D84897">
      <w:pPr>
        <w:pStyle w:val="SCCLowerCourtNameLowercase"/>
        <w:spacing w:after="720" w:line="240" w:lineRule="auto"/>
      </w:pPr>
      <w:r w:rsidRPr="003D1C8A">
        <w:t>o</w:t>
      </w:r>
      <w:r w:rsidR="00170592" w:rsidRPr="003D1C8A">
        <w:t>n</w:t>
      </w:r>
      <w:r w:rsidR="00224FC0" w:rsidRPr="003D1C8A">
        <w:t xml:space="preserve"> </w:t>
      </w:r>
      <w:r w:rsidRPr="003D1C8A">
        <w:t>a</w:t>
      </w:r>
      <w:r w:rsidR="00170592" w:rsidRPr="003D1C8A">
        <w:t>ppeal</w:t>
      </w:r>
      <w:r w:rsidR="00224FC0" w:rsidRPr="003D1C8A">
        <w:t xml:space="preserve"> </w:t>
      </w:r>
      <w:r w:rsidR="00170592" w:rsidRPr="003D1C8A">
        <w:t>from</w:t>
      </w:r>
      <w:r w:rsidR="009567AA" w:rsidRPr="003D1C8A">
        <w:t xml:space="preserve"> the</w:t>
      </w:r>
      <w:r w:rsidR="00224FC0" w:rsidRPr="003D1C8A">
        <w:t xml:space="preserve"> </w:t>
      </w:r>
      <w:r w:rsidR="009B57B3" w:rsidRPr="003D1C8A">
        <w:t>court of appeal for ontario</w:t>
      </w:r>
    </w:p>
    <w:p w:rsidR="009E2B0C" w:rsidRPr="003D1C8A" w:rsidRDefault="009B57B3" w:rsidP="003D1C8A">
      <w:pPr>
        <w:pStyle w:val="SCCNormalDoubleSpacing"/>
        <w:spacing w:after="480"/>
        <w:rPr>
          <w:i/>
          <w:szCs w:val="24"/>
        </w:rPr>
      </w:pPr>
      <w:r w:rsidRPr="003D1C8A">
        <w:tab/>
      </w:r>
      <w:r w:rsidR="009E2B0C" w:rsidRPr="003D1C8A">
        <w:rPr>
          <w:i/>
          <w:szCs w:val="24"/>
        </w:rPr>
        <w:t>Criminal law</w:t>
      </w:r>
      <w:r w:rsidR="003D1C8A" w:rsidRPr="003D1C8A">
        <w:rPr>
          <w:i/>
          <w:szCs w:val="24"/>
        </w:rPr>
        <w:t xml:space="preserve"> —</w:t>
      </w:r>
      <w:r w:rsidR="009E2B0C" w:rsidRPr="003D1C8A">
        <w:rPr>
          <w:i/>
          <w:szCs w:val="24"/>
        </w:rPr>
        <w:t xml:space="preserve"> Abuse of process</w:t>
      </w:r>
      <w:r w:rsidR="003D1C8A" w:rsidRPr="003D1C8A">
        <w:rPr>
          <w:i/>
          <w:szCs w:val="24"/>
        </w:rPr>
        <w:t xml:space="preserve"> —</w:t>
      </w:r>
      <w:r w:rsidR="009E2B0C" w:rsidRPr="003D1C8A">
        <w:rPr>
          <w:i/>
          <w:szCs w:val="24"/>
        </w:rPr>
        <w:t xml:space="preserve"> Entrapment</w:t>
      </w:r>
      <w:r w:rsidR="003D1C8A" w:rsidRPr="003D1C8A">
        <w:rPr>
          <w:i/>
          <w:szCs w:val="24"/>
        </w:rPr>
        <w:t xml:space="preserve"> —</w:t>
      </w:r>
      <w:r w:rsidR="009E2B0C" w:rsidRPr="003D1C8A">
        <w:rPr>
          <w:i/>
          <w:szCs w:val="24"/>
        </w:rPr>
        <w:t xml:space="preserve"> Dial</w:t>
      </w:r>
      <w:r w:rsidR="003D1C8A" w:rsidRPr="003D1C8A">
        <w:rPr>
          <w:i/>
          <w:szCs w:val="24"/>
        </w:rPr>
        <w:noBreakHyphen/>
      </w:r>
      <w:r w:rsidR="009E2B0C" w:rsidRPr="003D1C8A">
        <w:rPr>
          <w:i/>
          <w:szCs w:val="24"/>
        </w:rPr>
        <w:t>a</w:t>
      </w:r>
      <w:r w:rsidR="003D1C8A" w:rsidRPr="003D1C8A">
        <w:rPr>
          <w:i/>
          <w:szCs w:val="24"/>
        </w:rPr>
        <w:noBreakHyphen/>
      </w:r>
      <w:r w:rsidR="009E2B0C" w:rsidRPr="003D1C8A">
        <w:rPr>
          <w:i/>
          <w:szCs w:val="24"/>
        </w:rPr>
        <w:t>dope operations</w:t>
      </w:r>
      <w:r w:rsidR="003D1C8A" w:rsidRPr="003D1C8A">
        <w:rPr>
          <w:i/>
          <w:szCs w:val="24"/>
        </w:rPr>
        <w:t xml:space="preserve"> —</w:t>
      </w:r>
      <w:r w:rsidR="009E2B0C" w:rsidRPr="003D1C8A">
        <w:rPr>
          <w:i/>
          <w:szCs w:val="24"/>
        </w:rPr>
        <w:t xml:space="preserve"> Police receiving tip</w:t>
      </w:r>
      <w:r w:rsidR="00A15C47">
        <w:rPr>
          <w:i/>
          <w:szCs w:val="24"/>
        </w:rPr>
        <w:t>s</w:t>
      </w:r>
      <w:r w:rsidR="009E2B0C" w:rsidRPr="003D1C8A">
        <w:rPr>
          <w:i/>
          <w:szCs w:val="24"/>
        </w:rPr>
        <w:t xml:space="preserve"> of </w:t>
      </w:r>
      <w:r w:rsidR="009E2B0C" w:rsidRPr="003D1C8A">
        <w:rPr>
          <w:i/>
        </w:rPr>
        <w:t>unknown</w:t>
      </w:r>
      <w:r w:rsidR="009E2B0C" w:rsidRPr="003D1C8A">
        <w:rPr>
          <w:i/>
          <w:szCs w:val="24"/>
        </w:rPr>
        <w:t xml:space="preserve"> reliability that phone numbers of two accused associated with drug trafficking</w:t>
      </w:r>
      <w:r w:rsidR="003D1C8A" w:rsidRPr="003D1C8A">
        <w:rPr>
          <w:i/>
          <w:szCs w:val="24"/>
        </w:rPr>
        <w:t xml:space="preserve"> —</w:t>
      </w:r>
      <w:r w:rsidR="009E2B0C" w:rsidRPr="003D1C8A">
        <w:rPr>
          <w:i/>
          <w:szCs w:val="24"/>
        </w:rPr>
        <w:t xml:space="preserve"> Undercover officers phoning each accused and arranging for drug transactions</w:t>
      </w:r>
      <w:r w:rsidR="003D1C8A" w:rsidRPr="003D1C8A">
        <w:rPr>
          <w:i/>
          <w:szCs w:val="24"/>
        </w:rPr>
        <w:t xml:space="preserve"> —</w:t>
      </w:r>
      <w:r w:rsidR="009E2B0C" w:rsidRPr="003D1C8A">
        <w:rPr>
          <w:i/>
          <w:szCs w:val="24"/>
        </w:rPr>
        <w:t xml:space="preserve"> Accused arrested and charged with drug</w:t>
      </w:r>
      <w:r w:rsidR="003D1C8A" w:rsidRPr="003D1C8A">
        <w:rPr>
          <w:i/>
          <w:szCs w:val="24"/>
        </w:rPr>
        <w:noBreakHyphen/>
      </w:r>
      <w:r w:rsidR="009E2B0C" w:rsidRPr="003D1C8A">
        <w:rPr>
          <w:i/>
          <w:szCs w:val="24"/>
        </w:rPr>
        <w:t>related offences</w:t>
      </w:r>
      <w:r w:rsidR="003D1C8A" w:rsidRPr="003D1C8A">
        <w:rPr>
          <w:i/>
          <w:szCs w:val="24"/>
        </w:rPr>
        <w:t xml:space="preserve"> —</w:t>
      </w:r>
      <w:r w:rsidR="009E2B0C" w:rsidRPr="003D1C8A">
        <w:rPr>
          <w:i/>
          <w:szCs w:val="24"/>
        </w:rPr>
        <w:t xml:space="preserve"> Accused seeking stays of proceedings on basis of entrapment</w:t>
      </w:r>
      <w:r w:rsidR="003D1C8A" w:rsidRPr="003D1C8A">
        <w:rPr>
          <w:i/>
          <w:szCs w:val="24"/>
        </w:rPr>
        <w:t xml:space="preserve"> —</w:t>
      </w:r>
      <w:r w:rsidR="009E2B0C" w:rsidRPr="003D1C8A">
        <w:rPr>
          <w:i/>
          <w:szCs w:val="24"/>
        </w:rPr>
        <w:t xml:space="preserve"> Whether police had reasonable suspicion that accused or phone number</w:t>
      </w:r>
      <w:r w:rsidR="00296B6F" w:rsidRPr="003D1C8A">
        <w:rPr>
          <w:i/>
          <w:szCs w:val="24"/>
        </w:rPr>
        <w:t>s were</w:t>
      </w:r>
      <w:r w:rsidR="009E2B0C" w:rsidRPr="003D1C8A">
        <w:rPr>
          <w:i/>
          <w:szCs w:val="24"/>
        </w:rPr>
        <w:t xml:space="preserve"> engaged in drug trafficking at time police provided opportunity to commit offences</w:t>
      </w:r>
      <w:r w:rsidR="003D1C8A" w:rsidRPr="003D1C8A">
        <w:rPr>
          <w:i/>
          <w:szCs w:val="24"/>
        </w:rPr>
        <w:t xml:space="preserve"> —</w:t>
      </w:r>
      <w:r w:rsidR="009E2B0C" w:rsidRPr="003D1C8A">
        <w:rPr>
          <w:i/>
          <w:szCs w:val="24"/>
        </w:rPr>
        <w:t xml:space="preserve"> Application of entrapment framework to dial</w:t>
      </w:r>
      <w:r w:rsidR="003D1C8A" w:rsidRPr="003D1C8A">
        <w:rPr>
          <w:i/>
          <w:szCs w:val="24"/>
        </w:rPr>
        <w:noBreakHyphen/>
      </w:r>
      <w:r w:rsidR="009E2B0C" w:rsidRPr="003D1C8A">
        <w:rPr>
          <w:i/>
          <w:szCs w:val="24"/>
        </w:rPr>
        <w:t>a</w:t>
      </w:r>
      <w:r w:rsidR="003D1C8A" w:rsidRPr="003D1C8A">
        <w:rPr>
          <w:i/>
          <w:szCs w:val="24"/>
        </w:rPr>
        <w:noBreakHyphen/>
      </w:r>
      <w:r w:rsidR="009E2B0C" w:rsidRPr="003D1C8A">
        <w:rPr>
          <w:i/>
          <w:szCs w:val="24"/>
        </w:rPr>
        <w:t>dope investigations.</w:t>
      </w:r>
    </w:p>
    <w:p w:rsidR="009E2B0C" w:rsidRPr="003D1C8A" w:rsidRDefault="009E2B0C" w:rsidP="003D1C8A">
      <w:pPr>
        <w:pStyle w:val="SCCNormalDoubleSpacing"/>
        <w:spacing w:after="480"/>
        <w:rPr>
          <w:szCs w:val="24"/>
        </w:rPr>
      </w:pPr>
      <w:r w:rsidRPr="003D1C8A">
        <w:rPr>
          <w:szCs w:val="24"/>
        </w:rPr>
        <w:tab/>
        <w:t>In each appeal, the police received an unsubstantiated tip that a phone number was associated with a suspected dial</w:t>
      </w:r>
      <w:r w:rsidR="003D1C8A" w:rsidRPr="003D1C8A">
        <w:rPr>
          <w:szCs w:val="24"/>
        </w:rPr>
        <w:noBreakHyphen/>
      </w:r>
      <w:r w:rsidRPr="003D1C8A">
        <w:rPr>
          <w:szCs w:val="24"/>
        </w:rPr>
        <w:t>a</w:t>
      </w:r>
      <w:r w:rsidR="003D1C8A" w:rsidRPr="003D1C8A">
        <w:rPr>
          <w:szCs w:val="24"/>
        </w:rPr>
        <w:noBreakHyphen/>
      </w:r>
      <w:r w:rsidRPr="003D1C8A">
        <w:rPr>
          <w:szCs w:val="24"/>
        </w:rPr>
        <w:t xml:space="preserve">dope operation. In these operations, drug traffickers use cell phones to connect with their customers and sell them illicit drugs. Officers </w:t>
      </w:r>
      <w:r w:rsidRPr="003D1C8A">
        <w:t>called</w:t>
      </w:r>
      <w:r w:rsidRPr="003D1C8A">
        <w:rPr>
          <w:szCs w:val="24"/>
        </w:rPr>
        <w:t xml:space="preserve"> the numbers and, in brief conversations with the men who answered, requested drugs and arranged meetings to complete the transactions. A and W were subsequently arrested and charged with drug</w:t>
      </w:r>
      <w:r w:rsidR="003D1C8A" w:rsidRPr="003D1C8A">
        <w:rPr>
          <w:szCs w:val="24"/>
        </w:rPr>
        <w:noBreakHyphen/>
      </w:r>
      <w:r w:rsidRPr="003D1C8A">
        <w:rPr>
          <w:szCs w:val="24"/>
        </w:rPr>
        <w:t>related offences. At trial, each accused claimed that the proceedings should be stayed on the basis of entrapment</w:t>
      </w:r>
      <w:r w:rsidR="0019701C" w:rsidRPr="003D1C8A">
        <w:rPr>
          <w:szCs w:val="24"/>
        </w:rPr>
        <w:t xml:space="preserve">. </w:t>
      </w:r>
      <w:r w:rsidRPr="003D1C8A">
        <w:rPr>
          <w:szCs w:val="24"/>
        </w:rPr>
        <w:t>In A’s case, the trial judge entered convictions, concluding that the accused was not entrapped because the police had not offered him an opportunity to traffic drugs until they had sufficiently corroborated the tip in t</w:t>
      </w:r>
      <w:r w:rsidR="0019701C" w:rsidRPr="003D1C8A">
        <w:rPr>
          <w:szCs w:val="24"/>
        </w:rPr>
        <w:t xml:space="preserve">he course of the conversation. </w:t>
      </w:r>
      <w:r w:rsidRPr="003D1C8A">
        <w:rPr>
          <w:szCs w:val="24"/>
        </w:rPr>
        <w:t>In W’s case, the trial judge found that the accused was entrapped because the police provided him an opportunity to sell cocaine before forming a reasonable suspicion that he was engaged in drug trafficking. The Court of Appeal held that entrapment was n</w:t>
      </w:r>
      <w:r w:rsidR="0019701C" w:rsidRPr="003D1C8A">
        <w:rPr>
          <w:szCs w:val="24"/>
        </w:rPr>
        <w:t xml:space="preserve">ot made out for either A or W. </w:t>
      </w:r>
      <w:r w:rsidRPr="003D1C8A">
        <w:rPr>
          <w:szCs w:val="24"/>
        </w:rPr>
        <w:t>A majority of the court concluded that where reasonable suspicion relates to the phone number itself, the police can provide opportunities to commit offences to a person associated with that phone number, even if they do not also have a reasonable suspicion about the person who answers the phone. Accordingly, the Court of Appeal dismissed A’s appeal but allowed the Crown’s appeal in W’s case, entering convictions.</w:t>
      </w:r>
    </w:p>
    <w:p w:rsidR="009E2B0C" w:rsidRPr="003D1C8A" w:rsidRDefault="003D1C8A" w:rsidP="003D1C8A">
      <w:pPr>
        <w:pStyle w:val="SCCNormalDoubleSpacing"/>
        <w:spacing w:after="480"/>
        <w:rPr>
          <w:szCs w:val="24"/>
        </w:rPr>
      </w:pPr>
      <w:r w:rsidRPr="003D1C8A">
        <w:rPr>
          <w:i/>
          <w:szCs w:val="24"/>
        </w:rPr>
        <w:tab/>
      </w:r>
      <w:r w:rsidR="009E2B0C" w:rsidRPr="003D1C8A">
        <w:rPr>
          <w:i/>
          <w:szCs w:val="24"/>
        </w:rPr>
        <w:t>Held</w:t>
      </w:r>
      <w:r w:rsidR="009E2B0C" w:rsidRPr="003D1C8A">
        <w:rPr>
          <w:szCs w:val="24"/>
        </w:rPr>
        <w:t xml:space="preserve">: The appeal by A </w:t>
      </w:r>
      <w:r w:rsidR="009E2B0C" w:rsidRPr="003D1C8A">
        <w:t>should</w:t>
      </w:r>
      <w:r w:rsidR="009E2B0C" w:rsidRPr="003D1C8A">
        <w:rPr>
          <w:szCs w:val="24"/>
        </w:rPr>
        <w:t xml:space="preserve"> be dismissed.</w:t>
      </w:r>
    </w:p>
    <w:p w:rsidR="009E2B0C" w:rsidRPr="003D1C8A" w:rsidRDefault="003D1C8A" w:rsidP="003D1C8A">
      <w:pPr>
        <w:pStyle w:val="SCCNormalDoubleSpacing"/>
        <w:spacing w:after="480"/>
        <w:rPr>
          <w:szCs w:val="24"/>
        </w:rPr>
      </w:pPr>
      <w:r w:rsidRPr="003D1C8A">
        <w:rPr>
          <w:i/>
          <w:szCs w:val="24"/>
        </w:rPr>
        <w:tab/>
      </w:r>
      <w:r w:rsidR="009E2B0C" w:rsidRPr="003D1C8A">
        <w:rPr>
          <w:i/>
          <w:szCs w:val="24"/>
        </w:rPr>
        <w:t>Held</w:t>
      </w:r>
      <w:r w:rsidRPr="003D1C8A">
        <w:rPr>
          <w:szCs w:val="24"/>
        </w:rPr>
        <w:t xml:space="preserve"> (Wagner </w:t>
      </w:r>
      <w:r w:rsidR="009E2B0C" w:rsidRPr="003D1C8A">
        <w:rPr>
          <w:szCs w:val="24"/>
        </w:rPr>
        <w:t>C</w:t>
      </w:r>
      <w:r w:rsidRPr="003D1C8A">
        <w:rPr>
          <w:szCs w:val="24"/>
        </w:rPr>
        <w:t>.J. and Moldaver, Côté and Rowe </w:t>
      </w:r>
      <w:r w:rsidR="009E2B0C" w:rsidRPr="003D1C8A">
        <w:rPr>
          <w:szCs w:val="24"/>
        </w:rPr>
        <w:t xml:space="preserve">JJ. dissenting): The appeal by W </w:t>
      </w:r>
      <w:r w:rsidR="009E2B0C" w:rsidRPr="003D1C8A">
        <w:t>should</w:t>
      </w:r>
      <w:r w:rsidR="009E2B0C" w:rsidRPr="003D1C8A">
        <w:rPr>
          <w:szCs w:val="24"/>
        </w:rPr>
        <w:t xml:space="preserve"> be allowed, the convictions set aside, and the stay of proceedings reinstated.</w:t>
      </w:r>
    </w:p>
    <w:p w:rsidR="009E2B0C" w:rsidRPr="003D1C8A" w:rsidRDefault="003D1C8A" w:rsidP="003D1C8A">
      <w:pPr>
        <w:pStyle w:val="SCCNormalDoubleSpacing"/>
        <w:spacing w:after="480"/>
        <w:rPr>
          <w:szCs w:val="24"/>
        </w:rPr>
      </w:pPr>
      <w:r w:rsidRPr="003D1C8A">
        <w:rPr>
          <w:i/>
          <w:szCs w:val="24"/>
        </w:rPr>
        <w:tab/>
      </w:r>
      <w:r w:rsidR="009E2B0C" w:rsidRPr="003D1C8A">
        <w:rPr>
          <w:i/>
          <w:szCs w:val="24"/>
        </w:rPr>
        <w:t>Per</w:t>
      </w:r>
      <w:r w:rsidR="009E2B0C" w:rsidRPr="003D1C8A">
        <w:rPr>
          <w:szCs w:val="24"/>
        </w:rPr>
        <w:t xml:space="preserve"> Abella, </w:t>
      </w:r>
      <w:r w:rsidR="009E2B0C" w:rsidRPr="00B83962">
        <w:rPr>
          <w:szCs w:val="24"/>
        </w:rPr>
        <w:t>Karakatsanis, Brown, Martin</w:t>
      </w:r>
      <w:r w:rsidRPr="003D1C8A">
        <w:rPr>
          <w:szCs w:val="24"/>
        </w:rPr>
        <w:t xml:space="preserve"> and Kasirer </w:t>
      </w:r>
      <w:r w:rsidR="009E2B0C" w:rsidRPr="003D1C8A">
        <w:rPr>
          <w:szCs w:val="24"/>
        </w:rPr>
        <w:t xml:space="preserve">JJ.: The entrapment framework set out in </w:t>
      </w:r>
      <w:r w:rsidR="009E2B0C" w:rsidRPr="003D1C8A">
        <w:rPr>
          <w:i/>
          <w:szCs w:val="24"/>
        </w:rPr>
        <w:t>R. v. Mack</w:t>
      </w:r>
      <w:r w:rsidR="009E2B0C" w:rsidRPr="003D1C8A">
        <w:rPr>
          <w:szCs w:val="24"/>
        </w:rPr>
        <w:t xml:space="preserve">, [1988] 2 S.C.R. 903, and </w:t>
      </w:r>
      <w:r w:rsidR="009E2B0C" w:rsidRPr="003D1C8A">
        <w:rPr>
          <w:i/>
          <w:szCs w:val="24"/>
        </w:rPr>
        <w:t>R. v. Barnes</w:t>
      </w:r>
      <w:r w:rsidR="009E2B0C" w:rsidRPr="003D1C8A">
        <w:rPr>
          <w:szCs w:val="24"/>
        </w:rPr>
        <w:t xml:space="preserve">, [1991] 1 S.C.R. 449, has </w:t>
      </w:r>
      <w:r w:rsidR="009E2B0C" w:rsidRPr="003D1C8A">
        <w:t>proved</w:t>
      </w:r>
      <w:r w:rsidR="009E2B0C" w:rsidRPr="003D1C8A">
        <w:rPr>
          <w:szCs w:val="24"/>
        </w:rPr>
        <w:t xml:space="preserve"> workable for decades in a variety of contexts. It has stood the test of time, furnishing a principled, stable and generally applicable doctrine that is fully capable of adapting to a variety of circumstances and responding to the evolution of crime and police tactics. There is no reason to alter the carefully calibrated balance struck in these cases in investigations of suspected dial</w:t>
      </w:r>
      <w:r w:rsidRPr="003D1C8A">
        <w:rPr>
          <w:szCs w:val="24"/>
        </w:rPr>
        <w:noBreakHyphen/>
      </w:r>
      <w:r w:rsidR="009E2B0C" w:rsidRPr="003D1C8A">
        <w:rPr>
          <w:szCs w:val="24"/>
        </w:rPr>
        <w:t>a</w:t>
      </w:r>
      <w:r w:rsidRPr="003D1C8A">
        <w:rPr>
          <w:szCs w:val="24"/>
        </w:rPr>
        <w:noBreakHyphen/>
      </w:r>
      <w:r w:rsidR="009E2B0C" w:rsidRPr="003D1C8A">
        <w:rPr>
          <w:szCs w:val="24"/>
        </w:rPr>
        <w:t>dope operations. Applying the Court’s entrapment framework and in particular its reasonable suspicion standard, th</w:t>
      </w:r>
      <w:r w:rsidR="006E183B" w:rsidRPr="003D1C8A">
        <w:rPr>
          <w:szCs w:val="24"/>
        </w:rPr>
        <w:t xml:space="preserve">e decision of each trial judge </w:t>
      </w:r>
      <w:r w:rsidR="009E2B0C" w:rsidRPr="003D1C8A">
        <w:rPr>
          <w:szCs w:val="24"/>
        </w:rPr>
        <w:t>should be affirmed. While A was not entrapped, W was.</w:t>
      </w:r>
    </w:p>
    <w:p w:rsidR="009E2B0C" w:rsidRPr="003D1C8A" w:rsidRDefault="003D1C8A" w:rsidP="003D1C8A">
      <w:pPr>
        <w:pStyle w:val="SCCNormalDoubleSpacing"/>
        <w:spacing w:after="480"/>
        <w:rPr>
          <w:szCs w:val="24"/>
        </w:rPr>
      </w:pPr>
      <w:r w:rsidRPr="003D1C8A">
        <w:rPr>
          <w:szCs w:val="24"/>
        </w:rPr>
        <w:tab/>
      </w:r>
      <w:r w:rsidR="009E2B0C" w:rsidRPr="003D1C8A">
        <w:rPr>
          <w:szCs w:val="24"/>
        </w:rPr>
        <w:t xml:space="preserve">The Court’s decision in </w:t>
      </w:r>
      <w:r w:rsidR="009E2B0C" w:rsidRPr="003D1C8A">
        <w:rPr>
          <w:i/>
          <w:szCs w:val="24"/>
        </w:rPr>
        <w:t>Mack</w:t>
      </w:r>
      <w:r w:rsidR="009E2B0C" w:rsidRPr="003D1C8A">
        <w:rPr>
          <w:szCs w:val="24"/>
        </w:rPr>
        <w:t xml:space="preserve"> settled the law of entrapment in Canada. It set out two alternative branches, either of which is sufficient to ground an accused’s claim of entrapment and </w:t>
      </w:r>
      <w:r w:rsidR="0019701C" w:rsidRPr="003D1C8A">
        <w:rPr>
          <w:szCs w:val="24"/>
        </w:rPr>
        <w:t xml:space="preserve">justify a stay of proceedings. </w:t>
      </w:r>
      <w:r w:rsidR="009E2B0C" w:rsidRPr="003D1C8A">
        <w:rPr>
          <w:szCs w:val="24"/>
        </w:rPr>
        <w:t xml:space="preserve">On the first branch, at issue in these </w:t>
      </w:r>
      <w:r w:rsidR="009E2B0C" w:rsidRPr="003D1C8A">
        <w:t>appeals</w:t>
      </w:r>
      <w:r w:rsidR="009E2B0C" w:rsidRPr="003D1C8A">
        <w:rPr>
          <w:szCs w:val="24"/>
        </w:rPr>
        <w:t xml:space="preserve">, the police may present an opportunity to commit a crime only upon forming reasonable suspicion that either a specific person is engaged in criminal activity or people are carrying out criminal activity at a specific location, sometimes referred to as a </w:t>
      </w:r>
      <w:r w:rsidR="009E2B0C" w:rsidRPr="003D1C8A">
        <w:rPr>
          <w:i/>
          <w:szCs w:val="24"/>
        </w:rPr>
        <w:t>bona fide</w:t>
      </w:r>
      <w:r w:rsidR="009E2B0C" w:rsidRPr="003D1C8A">
        <w:rPr>
          <w:szCs w:val="24"/>
        </w:rPr>
        <w:t xml:space="preserve"> inquiry. The offer of an opportunity to commit a crime must always be based upon a reasonable suspicion of particular criminal activity, whether by a person, in a place defined with sufficient precision, or a combination of both. In every context, the reasonable suspicion standard ensures courts can conduct meaningful judicial review of what the police knew at the time the opportunity was provided. This standard requires the police to disclose the basis for their belief and to show they had legitimate reasons related to criminality for targeting an individual or the peo</w:t>
      </w:r>
      <w:r w:rsidR="00CC56E8">
        <w:rPr>
          <w:szCs w:val="24"/>
        </w:rPr>
        <w:t>ple associated with a location.</w:t>
      </w:r>
    </w:p>
    <w:p w:rsidR="009E2B0C" w:rsidRPr="003D1C8A" w:rsidRDefault="003D1C8A" w:rsidP="003D1C8A">
      <w:pPr>
        <w:pStyle w:val="SCCNormalDoubleSpacing"/>
        <w:spacing w:after="480"/>
        <w:rPr>
          <w:szCs w:val="24"/>
        </w:rPr>
      </w:pPr>
      <w:r w:rsidRPr="003D1C8A">
        <w:rPr>
          <w:szCs w:val="24"/>
        </w:rPr>
        <w:tab/>
      </w:r>
      <w:r w:rsidR="009E2B0C" w:rsidRPr="003D1C8A">
        <w:rPr>
          <w:szCs w:val="24"/>
        </w:rPr>
        <w:t>An individual phone number can qualify as a place over which police may form reasonable suspicion. However, a phone number is not the same as a public physical location. A phone is a means of private communication between persons, and calling a number, or exchanging text messages, is an inherently private activity. Accordingly, state surveillance over virtual spaces is of an entirely different qualitative order than sur</w:t>
      </w:r>
      <w:r w:rsidR="0019701C" w:rsidRPr="003D1C8A">
        <w:rPr>
          <w:szCs w:val="24"/>
        </w:rPr>
        <w:t xml:space="preserve">veillance over a public space. </w:t>
      </w:r>
      <w:r w:rsidR="009E2B0C" w:rsidRPr="003D1C8A">
        <w:rPr>
          <w:szCs w:val="24"/>
        </w:rPr>
        <w:t xml:space="preserve">Technology and remote communication </w:t>
      </w:r>
      <w:r w:rsidR="009E2B0C" w:rsidRPr="003D1C8A">
        <w:t>significantly</w:t>
      </w:r>
      <w:r w:rsidR="009E2B0C" w:rsidRPr="003D1C8A">
        <w:rPr>
          <w:szCs w:val="24"/>
        </w:rPr>
        <w:t xml:space="preserve"> increase the number of people to whom police investigators can provide opportunities, thereby heightening the risk that innocent people will be targeted. It is therefore important to carefully delineate and tightly circumscribe virtual locations in which police can provide the opportunity to commit a crime. The virtual space must be defined with sufficient precision in order to ground reasonable suspicion. Reviewing courts must scrutinize the evidence that prompted the inquiry to ensure the police have narrowed their scope so that the purview of their inquiry is no broader than the evidence allows.</w:t>
      </w:r>
    </w:p>
    <w:p w:rsidR="009E2B0C" w:rsidRPr="003D1C8A" w:rsidRDefault="003D1C8A" w:rsidP="003D1C8A">
      <w:pPr>
        <w:pStyle w:val="SCCNormalDoubleSpacing"/>
        <w:spacing w:after="480"/>
        <w:rPr>
          <w:szCs w:val="24"/>
        </w:rPr>
      </w:pPr>
      <w:r w:rsidRPr="003D1C8A">
        <w:rPr>
          <w:szCs w:val="24"/>
        </w:rPr>
        <w:tab/>
      </w:r>
      <w:r w:rsidR="009E2B0C" w:rsidRPr="003D1C8A">
        <w:rPr>
          <w:szCs w:val="24"/>
        </w:rPr>
        <w:t xml:space="preserve">Police cannot offer a person who answers the phone the opportunity to commit an offence without having formed reasonable suspicion that the person using that phone, or that phone number, is engaged in criminal activity. Whether the police are </w:t>
      </w:r>
      <w:r w:rsidR="009E2B0C" w:rsidRPr="003D1C8A">
        <w:t>targeting</w:t>
      </w:r>
      <w:r w:rsidR="009E2B0C" w:rsidRPr="003D1C8A">
        <w:rPr>
          <w:szCs w:val="24"/>
        </w:rPr>
        <w:t xml:space="preserve"> a person, place or phone number, the legal standard for entrapment is a uniform one, requiring reasonable suspicion in all cases where police provide an opportunity to commit a criminal offence. Reasonable suspicion is a familiar legal standard that provides courts with the necessary objective basis on which to determine whether the police have justified their actions. It protects individuals’ interests and preserves the rule of law by ensuring courts can meaningfully review police conduct. It requires that a constellation of objectively discernible facts give the officer reasonable cause to suspect that a certain kind of crime was being committed by a particular person or in a particular place. Reasonable suspicion is also individualized, in the sense that it picks an individual target </w:t>
      </w:r>
      <w:r w:rsidR="0019701C" w:rsidRPr="003D1C8A">
        <w:rPr>
          <w:szCs w:val="24"/>
        </w:rPr>
        <w:t>—</w:t>
      </w:r>
      <w:r w:rsidR="009E2B0C" w:rsidRPr="003D1C8A">
        <w:rPr>
          <w:szCs w:val="24"/>
        </w:rPr>
        <w:t xml:space="preserve"> whether a person, an intersection or a phone number </w:t>
      </w:r>
      <w:r w:rsidR="0019701C" w:rsidRPr="003D1C8A">
        <w:rPr>
          <w:szCs w:val="24"/>
        </w:rPr>
        <w:t>—</w:t>
      </w:r>
      <w:r w:rsidR="009E2B0C" w:rsidRPr="003D1C8A">
        <w:rPr>
          <w:szCs w:val="24"/>
        </w:rPr>
        <w:t xml:space="preserve"> out of a group of persons or places. When an objectively grounded suspicion attaches to a sufficiently particularized constellation of factors, like those relating to an individual phone number, concerns about the police intruding on the protected interests of all persons in broadly or poorly defined locations fall away.</w:t>
      </w:r>
    </w:p>
    <w:p w:rsidR="009E2B0C" w:rsidRPr="003D1C8A" w:rsidRDefault="003D1C8A" w:rsidP="003D1C8A">
      <w:pPr>
        <w:pStyle w:val="SCCNormalDoubleSpacing"/>
        <w:spacing w:after="480"/>
        <w:rPr>
          <w:szCs w:val="24"/>
        </w:rPr>
      </w:pPr>
      <w:r w:rsidRPr="003D1C8A">
        <w:rPr>
          <w:szCs w:val="24"/>
        </w:rPr>
        <w:tab/>
      </w:r>
      <w:r w:rsidR="009E2B0C" w:rsidRPr="003D1C8A">
        <w:rPr>
          <w:szCs w:val="24"/>
        </w:rPr>
        <w:t>A bare tip from an unverified source that someone is dealing drugs from a phone number cannot</w:t>
      </w:r>
      <w:r w:rsidR="009E2B0C" w:rsidRPr="003D1C8A">
        <w:t xml:space="preserve"> ground</w:t>
      </w:r>
      <w:r w:rsidR="009E2B0C" w:rsidRPr="003D1C8A">
        <w:rPr>
          <w:szCs w:val="24"/>
        </w:rPr>
        <w:t xml:space="preserve"> reasonable suspicion. However, it can be sufficiently corroborated such that the standard is met. Police practice itself shows that, whether the police are investigating an individual or a phone number, various steps can be taken upon receiving a tip associating a phone number with dial</w:t>
      </w:r>
      <w:r w:rsidRPr="003D1C8A">
        <w:rPr>
          <w:szCs w:val="24"/>
        </w:rPr>
        <w:noBreakHyphen/>
      </w:r>
      <w:r w:rsidR="009E2B0C" w:rsidRPr="003D1C8A">
        <w:rPr>
          <w:szCs w:val="24"/>
        </w:rPr>
        <w:t>a</w:t>
      </w:r>
      <w:r w:rsidRPr="003D1C8A">
        <w:rPr>
          <w:szCs w:val="24"/>
        </w:rPr>
        <w:noBreakHyphen/>
      </w:r>
      <w:r w:rsidR="009E2B0C" w:rsidRPr="003D1C8A">
        <w:rPr>
          <w:szCs w:val="24"/>
        </w:rPr>
        <w:t>dope activity before acting on it by calling the number. Although it would be prudent for police officers to investigate the reliability of the tip before placing the call where they are able to do so, it is also possible for the police to form reasonable suspicion in the course of a conversation with the target, but prior to presenting the opportunity to commit a crime. The target’s responsiveness to details in the tip, along with other factors, may tend to confirm the tip’s reliability. The target’s use of or response to language particular to the drug subculture properly forms part of the constellation of factors supporting reasonable suspicion. Whether or not responding to such terminology is neutral or adds to the weight of other factors will depend on the circumstances. There is no requirement that the police rule out innocent explanations for these responses.</w:t>
      </w:r>
    </w:p>
    <w:p w:rsidR="009E2B0C" w:rsidRPr="003D1C8A" w:rsidRDefault="003D1C8A" w:rsidP="003D1C8A">
      <w:pPr>
        <w:pStyle w:val="SCCNormalDoubleSpacing"/>
        <w:spacing w:after="480"/>
        <w:rPr>
          <w:szCs w:val="24"/>
        </w:rPr>
      </w:pPr>
      <w:r w:rsidRPr="003D1C8A">
        <w:rPr>
          <w:szCs w:val="24"/>
        </w:rPr>
        <w:tab/>
      </w:r>
      <w:r w:rsidR="009E2B0C" w:rsidRPr="003D1C8A">
        <w:rPr>
          <w:szCs w:val="24"/>
        </w:rPr>
        <w:t xml:space="preserve">Unless the police had formed reasonable suspicion before a phone call was made, </w:t>
      </w:r>
      <w:r w:rsidR="0019701C" w:rsidRPr="003D1C8A">
        <w:rPr>
          <w:szCs w:val="24"/>
        </w:rPr>
        <w:t>review of</w:t>
      </w:r>
      <w:r w:rsidR="009E2B0C" w:rsidRPr="003D1C8A">
        <w:rPr>
          <w:szCs w:val="24"/>
        </w:rPr>
        <w:t xml:space="preserve"> the words spoken during the call is unavoidable in order for the court to determine whether an accused was entrapped. Reviewing conversations between undercover officers and their targets in the dial</w:t>
      </w:r>
      <w:r w:rsidRPr="003D1C8A">
        <w:rPr>
          <w:szCs w:val="24"/>
        </w:rPr>
        <w:noBreakHyphen/>
      </w:r>
      <w:r w:rsidR="009E2B0C" w:rsidRPr="003D1C8A">
        <w:rPr>
          <w:szCs w:val="24"/>
        </w:rPr>
        <w:t>a</w:t>
      </w:r>
      <w:r w:rsidRPr="003D1C8A">
        <w:rPr>
          <w:szCs w:val="24"/>
        </w:rPr>
        <w:noBreakHyphen/>
      </w:r>
      <w:r w:rsidR="009E2B0C" w:rsidRPr="003D1C8A">
        <w:rPr>
          <w:szCs w:val="24"/>
        </w:rPr>
        <w:t xml:space="preserve">dope context is the inevitable </w:t>
      </w:r>
      <w:r w:rsidR="009E2B0C" w:rsidRPr="003D1C8A">
        <w:t>consequence</w:t>
      </w:r>
      <w:r w:rsidR="009E2B0C" w:rsidRPr="003D1C8A">
        <w:rPr>
          <w:szCs w:val="24"/>
        </w:rPr>
        <w:t xml:space="preserve"> of accepting that the police must have reasonable suspicion before offering an opportunity to commit an offence. Reasonable suspicion is not formed retroactively, but</w:t>
      </w:r>
      <w:r w:rsidR="0019701C" w:rsidRPr="003D1C8A">
        <w:rPr>
          <w:szCs w:val="24"/>
        </w:rPr>
        <w:t xml:space="preserve"> applied prospectively. </w:t>
      </w:r>
      <w:r w:rsidR="009E2B0C" w:rsidRPr="003D1C8A">
        <w:rPr>
          <w:szCs w:val="24"/>
        </w:rPr>
        <w:t>Reasonable suspicion can justify an action only on the basis of inform</w:t>
      </w:r>
      <w:r w:rsidR="0019701C" w:rsidRPr="003D1C8A">
        <w:rPr>
          <w:szCs w:val="24"/>
        </w:rPr>
        <w:t>ation already known to police.</w:t>
      </w:r>
      <w:r w:rsidR="009E2B0C" w:rsidRPr="003D1C8A">
        <w:rPr>
          <w:szCs w:val="24"/>
        </w:rPr>
        <w:t xml:space="preserve"> A court must examine all of the circumstances, and not merely the language used during the call, in order to determine whether police had formed reasonable suspicion by the tim</w:t>
      </w:r>
      <w:r w:rsidR="00673BCC">
        <w:rPr>
          <w:szCs w:val="24"/>
        </w:rPr>
        <w:t>e the opportunity was provided.</w:t>
      </w:r>
    </w:p>
    <w:p w:rsidR="009E2B0C" w:rsidRPr="003D1C8A" w:rsidRDefault="003D1C8A" w:rsidP="003D1C8A">
      <w:pPr>
        <w:pStyle w:val="SCCNormalDoubleSpacing"/>
        <w:spacing w:after="480"/>
        <w:rPr>
          <w:szCs w:val="24"/>
        </w:rPr>
      </w:pPr>
      <w:r w:rsidRPr="003D1C8A">
        <w:rPr>
          <w:szCs w:val="24"/>
        </w:rPr>
        <w:tab/>
      </w:r>
      <w:r w:rsidR="009E2B0C" w:rsidRPr="003D1C8A">
        <w:rPr>
          <w:szCs w:val="24"/>
        </w:rPr>
        <w:t>The determination of whether a police action constitutes an opportunity to commit an offence is informed both by the definition of the offence and the context in which the action occurred. The definition of drug trafficking includes not only selling, transporting and administering illegal drugs, but also making an offer to do so. In the dial</w:t>
      </w:r>
      <w:r w:rsidRPr="003D1C8A">
        <w:rPr>
          <w:szCs w:val="24"/>
        </w:rPr>
        <w:noBreakHyphen/>
      </w:r>
      <w:r w:rsidR="009E2B0C" w:rsidRPr="003D1C8A">
        <w:rPr>
          <w:szCs w:val="24"/>
        </w:rPr>
        <w:t>a</w:t>
      </w:r>
      <w:r w:rsidRPr="003D1C8A">
        <w:rPr>
          <w:szCs w:val="24"/>
        </w:rPr>
        <w:noBreakHyphen/>
      </w:r>
      <w:r w:rsidR="009E2B0C" w:rsidRPr="003D1C8A">
        <w:t>dope</w:t>
      </w:r>
      <w:r w:rsidR="009E2B0C" w:rsidRPr="003D1C8A">
        <w:rPr>
          <w:szCs w:val="24"/>
        </w:rPr>
        <w:t xml:space="preserve"> context, in which the initial interaction between the police and target occurs entirely over the phone, the exercise centres on determining whether words spoken by the police officer constitute an opportunity to commit drug trafficking. The inquiry is properly directed to how close the police conduct is to the commission of the offence. To allow the police sufficient flexibility to investigate crime, an officer’s action </w:t>
      </w:r>
      <w:r w:rsidR="0019701C" w:rsidRPr="003D1C8A">
        <w:rPr>
          <w:szCs w:val="24"/>
        </w:rPr>
        <w:t>—</w:t>
      </w:r>
      <w:r w:rsidR="009E2B0C" w:rsidRPr="003D1C8A">
        <w:rPr>
          <w:szCs w:val="24"/>
        </w:rPr>
        <w:t xml:space="preserve"> to constitute an offer of an opportunity to commit a crime </w:t>
      </w:r>
      <w:r w:rsidR="0019701C" w:rsidRPr="003D1C8A">
        <w:rPr>
          <w:szCs w:val="24"/>
        </w:rPr>
        <w:t xml:space="preserve">— </w:t>
      </w:r>
      <w:r w:rsidR="009E2B0C" w:rsidRPr="003D1C8A">
        <w:rPr>
          <w:szCs w:val="24"/>
        </w:rPr>
        <w:t>must be sufficiently proximate to conduct that would satisfy the eleme</w:t>
      </w:r>
      <w:r w:rsidR="0019701C" w:rsidRPr="003D1C8A">
        <w:rPr>
          <w:szCs w:val="24"/>
        </w:rPr>
        <w:t xml:space="preserve">nts of the offence. </w:t>
      </w:r>
      <w:r w:rsidR="009E2B0C" w:rsidRPr="003D1C8A">
        <w:rPr>
          <w:szCs w:val="24"/>
        </w:rPr>
        <w:t>In the particular context of drug trafficking, an opportunity to commit an offence is offered when the officer says something to which the accused can commit a</w:t>
      </w:r>
      <w:r w:rsidR="00895FBB">
        <w:rPr>
          <w:szCs w:val="24"/>
        </w:rPr>
        <w:t>n offence by simply answering “y</w:t>
      </w:r>
      <w:r w:rsidR="00CC56E8">
        <w:rPr>
          <w:szCs w:val="24"/>
        </w:rPr>
        <w:t>es</w:t>
      </w:r>
      <w:r w:rsidR="009E2B0C" w:rsidRPr="003D1C8A">
        <w:rPr>
          <w:szCs w:val="24"/>
        </w:rPr>
        <w:t>”</w:t>
      </w:r>
      <w:r w:rsidR="00CC56E8">
        <w:rPr>
          <w:szCs w:val="24"/>
        </w:rPr>
        <w:t>.</w:t>
      </w:r>
    </w:p>
    <w:p w:rsidR="009E2B0C" w:rsidRPr="003D1C8A" w:rsidRDefault="003D1C8A" w:rsidP="003D1C8A">
      <w:pPr>
        <w:pStyle w:val="SCCNormalDoubleSpacing"/>
        <w:spacing w:after="480"/>
        <w:rPr>
          <w:szCs w:val="24"/>
        </w:rPr>
      </w:pPr>
      <w:r w:rsidRPr="003D1C8A">
        <w:rPr>
          <w:szCs w:val="24"/>
        </w:rPr>
        <w:tab/>
      </w:r>
      <w:r w:rsidR="009E2B0C" w:rsidRPr="003D1C8A">
        <w:rPr>
          <w:szCs w:val="24"/>
        </w:rPr>
        <w:t xml:space="preserve">The facts of each of the two appeals </w:t>
      </w:r>
      <w:r w:rsidR="0019701C" w:rsidRPr="003D1C8A">
        <w:rPr>
          <w:szCs w:val="24"/>
        </w:rPr>
        <w:t xml:space="preserve">lead to different conclusions. </w:t>
      </w:r>
      <w:r w:rsidR="009E2B0C" w:rsidRPr="003D1C8A">
        <w:rPr>
          <w:szCs w:val="24"/>
        </w:rPr>
        <w:t>In A’s case, the police had a reasonable suspicion of drug trafficking before providing the opportunity to commit an offence</w:t>
      </w:r>
      <w:r w:rsidR="0019701C" w:rsidRPr="003D1C8A">
        <w:rPr>
          <w:szCs w:val="24"/>
        </w:rPr>
        <w:t xml:space="preserve"> </w:t>
      </w:r>
      <w:r w:rsidR="009E2B0C" w:rsidRPr="003D1C8A">
        <w:rPr>
          <w:szCs w:val="24"/>
        </w:rPr>
        <w:t>and therefore A was not entrapped. The officer had asked A if he went by the name provided in th</w:t>
      </w:r>
      <w:r w:rsidR="0019701C" w:rsidRPr="003D1C8A">
        <w:rPr>
          <w:szCs w:val="24"/>
        </w:rPr>
        <w:t xml:space="preserve">e tip, which he did not deny. </w:t>
      </w:r>
      <w:r w:rsidR="009E2B0C" w:rsidRPr="003D1C8A">
        <w:rPr>
          <w:szCs w:val="24"/>
        </w:rPr>
        <w:t>When the officer asked A, “You can help me out?”, A responded positively to this use of language particular to the drug subculture, asking t</w:t>
      </w:r>
      <w:r w:rsidR="00423A98">
        <w:rPr>
          <w:szCs w:val="24"/>
        </w:rPr>
        <w:t>he officer, “what do you need?”</w:t>
      </w:r>
      <w:r w:rsidR="009E2B0C" w:rsidRPr="003D1C8A">
        <w:rPr>
          <w:szCs w:val="24"/>
        </w:rPr>
        <w:t xml:space="preserve"> Having connected the tip to the person on the phone, the aspect of the tip that asserted illegality was corroborated by A’s understanding of drug</w:t>
      </w:r>
      <w:r w:rsidRPr="003D1C8A">
        <w:rPr>
          <w:szCs w:val="24"/>
        </w:rPr>
        <w:noBreakHyphen/>
      </w:r>
      <w:r w:rsidR="009E2B0C" w:rsidRPr="003D1C8A">
        <w:rPr>
          <w:szCs w:val="24"/>
        </w:rPr>
        <w:t xml:space="preserve">trafficking slang and </w:t>
      </w:r>
      <w:r w:rsidR="009E2B0C" w:rsidRPr="003D1C8A">
        <w:t>willingness</w:t>
      </w:r>
      <w:r w:rsidR="009E2B0C" w:rsidRPr="003D1C8A">
        <w:rPr>
          <w:szCs w:val="24"/>
        </w:rPr>
        <w:t xml:space="preserve"> to engage in it. In this context, these markers of reliability together sufficiently corroborated the initial tip to give rise to an objective possibility that A was involved in drug trafficking. Unlike in A’s case, there was nothing in W’s responses to suggest that the phone number was being used to sell drugs before the officer provided the opportunity to traffic. Therefore, W was entrapped. The police officer did not wait to see how W would respond to an investigative question that could have corroborated that W was engaged in criminal activity prior to providing the opportuni</w:t>
      </w:r>
      <w:r w:rsidR="0019701C" w:rsidRPr="003D1C8A">
        <w:rPr>
          <w:szCs w:val="24"/>
        </w:rPr>
        <w:t xml:space="preserve">ty to commit the crime. </w:t>
      </w:r>
      <w:r w:rsidR="009E2B0C" w:rsidRPr="003D1C8A">
        <w:rPr>
          <w:szCs w:val="24"/>
        </w:rPr>
        <w:t>Although W confirmed that he went by the name provided in the tip, he did not respond positively to slang particular to the drug subculture until after the opportunity had been provided. The corroboration of the name did not strengthen the reliability of the tip in its assertion of illegality. The police had no more than a bare tip that someone using a particular phone number was selling drugs and this did not ground reasonable suspicion.</w:t>
      </w:r>
    </w:p>
    <w:p w:rsidR="00650FEF" w:rsidRPr="003D1C8A" w:rsidRDefault="003D1C8A" w:rsidP="003D1C8A">
      <w:pPr>
        <w:pStyle w:val="SCCNormalDoubleSpacing"/>
        <w:spacing w:after="480"/>
        <w:rPr>
          <w:szCs w:val="24"/>
        </w:rPr>
      </w:pPr>
      <w:r w:rsidRPr="003D1C8A">
        <w:rPr>
          <w:i/>
          <w:szCs w:val="24"/>
        </w:rPr>
        <w:tab/>
      </w:r>
      <w:r w:rsidR="00650FEF" w:rsidRPr="003D1C8A">
        <w:rPr>
          <w:i/>
          <w:szCs w:val="24"/>
        </w:rPr>
        <w:t>Per</w:t>
      </w:r>
      <w:r w:rsidR="002B6C7A">
        <w:rPr>
          <w:szCs w:val="24"/>
        </w:rPr>
        <w:t xml:space="preserve"> Wagner </w:t>
      </w:r>
      <w:r w:rsidR="00650FEF" w:rsidRPr="003D1C8A">
        <w:rPr>
          <w:szCs w:val="24"/>
        </w:rPr>
        <w:t xml:space="preserve">C.J. and </w:t>
      </w:r>
      <w:r w:rsidR="00650FEF" w:rsidRPr="00CC56E8">
        <w:rPr>
          <w:szCs w:val="24"/>
        </w:rPr>
        <w:t>Moldaver</w:t>
      </w:r>
      <w:r w:rsidR="002B6C7A" w:rsidRPr="00CC56E8">
        <w:rPr>
          <w:szCs w:val="24"/>
        </w:rPr>
        <w:t>,</w:t>
      </w:r>
      <w:r w:rsidR="002B6C7A">
        <w:rPr>
          <w:szCs w:val="24"/>
        </w:rPr>
        <w:t xml:space="preserve"> Côté and Rowe </w:t>
      </w:r>
      <w:r w:rsidR="00650FEF" w:rsidRPr="003D1C8A">
        <w:rPr>
          <w:szCs w:val="24"/>
        </w:rPr>
        <w:t xml:space="preserve">JJ. (dissenting in part): Both appeals </w:t>
      </w:r>
      <w:r w:rsidR="00650FEF" w:rsidRPr="003D1C8A">
        <w:t>should</w:t>
      </w:r>
      <w:r w:rsidR="00650FEF" w:rsidRPr="003D1C8A">
        <w:rPr>
          <w:szCs w:val="24"/>
        </w:rPr>
        <w:t xml:space="preserve"> be dismissed. Attempting to apply the doctrine of entrapment as formulated in </w:t>
      </w:r>
      <w:r w:rsidR="00650FEF" w:rsidRPr="003D1C8A">
        <w:rPr>
          <w:i/>
          <w:szCs w:val="24"/>
        </w:rPr>
        <w:t>R. v. Mack</w:t>
      </w:r>
      <w:r w:rsidR="00650FEF" w:rsidRPr="003D1C8A">
        <w:rPr>
          <w:szCs w:val="24"/>
        </w:rPr>
        <w:t xml:space="preserve">, [1988] 2 S.C.R. 903, and </w:t>
      </w:r>
      <w:r w:rsidR="00650FEF" w:rsidRPr="003D1C8A">
        <w:rPr>
          <w:i/>
          <w:szCs w:val="24"/>
        </w:rPr>
        <w:t>R. v. Barnes</w:t>
      </w:r>
      <w:r w:rsidR="00650FEF" w:rsidRPr="003D1C8A">
        <w:rPr>
          <w:szCs w:val="24"/>
        </w:rPr>
        <w:t>, [1991] 1 S.C.R. 449, to present</w:t>
      </w:r>
      <w:r w:rsidRPr="003D1C8A">
        <w:rPr>
          <w:szCs w:val="24"/>
        </w:rPr>
        <w:noBreakHyphen/>
      </w:r>
      <w:r w:rsidR="00650FEF" w:rsidRPr="003D1C8A">
        <w:rPr>
          <w:szCs w:val="24"/>
        </w:rPr>
        <w:t>day dial</w:t>
      </w:r>
      <w:r w:rsidRPr="003D1C8A">
        <w:rPr>
          <w:szCs w:val="24"/>
        </w:rPr>
        <w:noBreakHyphen/>
      </w:r>
      <w:r w:rsidR="00650FEF" w:rsidRPr="003D1C8A">
        <w:rPr>
          <w:szCs w:val="24"/>
        </w:rPr>
        <w:t>a</w:t>
      </w:r>
      <w:r w:rsidRPr="003D1C8A">
        <w:rPr>
          <w:szCs w:val="24"/>
        </w:rPr>
        <w:noBreakHyphen/>
      </w:r>
      <w:r w:rsidR="00650FEF" w:rsidRPr="003D1C8A">
        <w:rPr>
          <w:szCs w:val="24"/>
        </w:rPr>
        <w:t>dope operations has revealed both doctrinal and policy concerns with how the first branch of the doctrine is currently formulated. Bo</w:t>
      </w:r>
      <w:r w:rsidR="00296B6F" w:rsidRPr="003D1C8A">
        <w:rPr>
          <w:szCs w:val="24"/>
        </w:rPr>
        <w:t>th the individualized suspicion</w:t>
      </w:r>
      <w:r w:rsidR="00650FEF" w:rsidRPr="003D1C8A">
        <w:rPr>
          <w:szCs w:val="24"/>
        </w:rPr>
        <w:t xml:space="preserve"> and the </w:t>
      </w:r>
      <w:r w:rsidR="00650FEF" w:rsidRPr="003D1C8A">
        <w:rPr>
          <w:i/>
          <w:szCs w:val="24"/>
        </w:rPr>
        <w:t>bona fide</w:t>
      </w:r>
      <w:r w:rsidR="00650FEF" w:rsidRPr="003D1C8A">
        <w:rPr>
          <w:szCs w:val="24"/>
        </w:rPr>
        <w:t xml:space="preserve"> inquiry prongs </w:t>
      </w:r>
      <w:r w:rsidR="00296B6F" w:rsidRPr="003D1C8A">
        <w:rPr>
          <w:szCs w:val="24"/>
        </w:rPr>
        <w:t xml:space="preserve">of </w:t>
      </w:r>
      <w:r w:rsidR="00650FEF" w:rsidRPr="003D1C8A">
        <w:rPr>
          <w:szCs w:val="24"/>
        </w:rPr>
        <w:t xml:space="preserve">this branch have failed to remain faithful to the balance struck in </w:t>
      </w:r>
      <w:r w:rsidR="00650FEF" w:rsidRPr="003D1C8A">
        <w:rPr>
          <w:i/>
          <w:szCs w:val="24"/>
        </w:rPr>
        <w:t>Mack</w:t>
      </w:r>
      <w:r w:rsidR="00650FEF" w:rsidRPr="003D1C8A">
        <w:rPr>
          <w:szCs w:val="24"/>
        </w:rPr>
        <w:t xml:space="preserve"> and </w:t>
      </w:r>
      <w:r w:rsidR="00650FEF" w:rsidRPr="003D1C8A">
        <w:rPr>
          <w:i/>
          <w:szCs w:val="24"/>
        </w:rPr>
        <w:t>Barnes</w:t>
      </w:r>
      <w:r w:rsidR="00650FEF" w:rsidRPr="003D1C8A">
        <w:rPr>
          <w:szCs w:val="24"/>
        </w:rPr>
        <w:t xml:space="preserve"> between protecting an individual’s legitimate interest in being left alone by the state and effective law enforcement. The </w:t>
      </w:r>
      <w:r w:rsidR="00650FEF" w:rsidRPr="003D1C8A">
        <w:rPr>
          <w:i/>
          <w:szCs w:val="24"/>
        </w:rPr>
        <w:t>bona fide</w:t>
      </w:r>
      <w:r w:rsidR="00650FEF" w:rsidRPr="003D1C8A">
        <w:rPr>
          <w:szCs w:val="24"/>
        </w:rPr>
        <w:t xml:space="preserve"> inquiry prong must be revised to preserve this fundamental balance, to rectify doctrinal issues within the prong itself, and to address policy concerns that have arisen with respe</w:t>
      </w:r>
      <w:r w:rsidR="0019701C" w:rsidRPr="003D1C8A">
        <w:rPr>
          <w:szCs w:val="24"/>
        </w:rPr>
        <w:t xml:space="preserve">ct to the prong’s application. </w:t>
      </w:r>
      <w:r w:rsidR="00650FEF" w:rsidRPr="003D1C8A">
        <w:rPr>
          <w:szCs w:val="24"/>
        </w:rPr>
        <w:t>The revised framework will ensure that only the clearest of cases of intolerable state conduct are captured by the doctrine of entrapment by refocusing the doctrine on its principled origin: abuse of proce</w:t>
      </w:r>
      <w:r w:rsidR="00673BCC">
        <w:rPr>
          <w:szCs w:val="24"/>
        </w:rPr>
        <w:t xml:space="preserve">ss. </w:t>
      </w:r>
      <w:r w:rsidR="00650FEF" w:rsidRPr="003D1C8A">
        <w:rPr>
          <w:szCs w:val="24"/>
        </w:rPr>
        <w:t xml:space="preserve">Applying the revised framework, the police were engaged in a </w:t>
      </w:r>
      <w:r w:rsidR="00650FEF" w:rsidRPr="003D1C8A">
        <w:rPr>
          <w:i/>
          <w:szCs w:val="24"/>
        </w:rPr>
        <w:t>bona fide</w:t>
      </w:r>
      <w:r w:rsidR="00650FEF" w:rsidRPr="003D1C8A">
        <w:rPr>
          <w:szCs w:val="24"/>
        </w:rPr>
        <w:t xml:space="preserve"> inquiry when they offered each A and W an opportunity to commit the offence of drug trafficking.</w:t>
      </w:r>
    </w:p>
    <w:p w:rsidR="002B6C7A" w:rsidRDefault="003D1C8A" w:rsidP="003D1C8A">
      <w:pPr>
        <w:pStyle w:val="SCCNormalDoubleSpacing"/>
        <w:spacing w:after="480"/>
        <w:rPr>
          <w:szCs w:val="24"/>
        </w:rPr>
      </w:pPr>
      <w:r w:rsidRPr="003D1C8A">
        <w:rPr>
          <w:szCs w:val="24"/>
        </w:rPr>
        <w:tab/>
      </w:r>
      <w:r w:rsidR="0019701C" w:rsidRPr="003D1C8A">
        <w:rPr>
          <w:szCs w:val="24"/>
        </w:rPr>
        <w:t>T</w:t>
      </w:r>
      <w:r w:rsidR="00650FEF" w:rsidRPr="003D1C8A">
        <w:rPr>
          <w:szCs w:val="24"/>
        </w:rPr>
        <w:t>he individualized suspicion prong of the doctrine of entrapment has come under fire for leading to anomalous results, particularly in dial</w:t>
      </w:r>
      <w:r w:rsidRPr="003D1C8A">
        <w:rPr>
          <w:szCs w:val="24"/>
        </w:rPr>
        <w:noBreakHyphen/>
      </w:r>
      <w:r w:rsidR="00650FEF" w:rsidRPr="003D1C8A">
        <w:rPr>
          <w:szCs w:val="24"/>
        </w:rPr>
        <w:t>a</w:t>
      </w:r>
      <w:r w:rsidRPr="003D1C8A">
        <w:rPr>
          <w:szCs w:val="24"/>
        </w:rPr>
        <w:noBreakHyphen/>
      </w:r>
      <w:r w:rsidR="00650FEF" w:rsidRPr="003D1C8A">
        <w:rPr>
          <w:szCs w:val="24"/>
        </w:rPr>
        <w:t xml:space="preserve">dope cases where police call alleged drug dealers based on minimal information. This prong permits the police to provide an individual with an opportunity to commit an offence if they reasonably </w:t>
      </w:r>
      <w:r w:rsidR="00650FEF" w:rsidRPr="003D1C8A">
        <w:t>suspect</w:t>
      </w:r>
      <w:r w:rsidR="00650FEF" w:rsidRPr="003D1C8A">
        <w:rPr>
          <w:szCs w:val="24"/>
        </w:rPr>
        <w:t xml:space="preserve"> that the targeted individual is already engaged in criminal activity of the same type. The concern expressed is that even though the investigating officer may not possess individualized reasonable suspicion at the time they offer an opportunity, the police conduct in a typical dial</w:t>
      </w:r>
      <w:r w:rsidRPr="003D1C8A">
        <w:rPr>
          <w:szCs w:val="24"/>
        </w:rPr>
        <w:noBreakHyphen/>
      </w:r>
      <w:r w:rsidR="00650FEF" w:rsidRPr="003D1C8A">
        <w:rPr>
          <w:szCs w:val="24"/>
        </w:rPr>
        <w:t>a</w:t>
      </w:r>
      <w:r w:rsidRPr="003D1C8A">
        <w:rPr>
          <w:szCs w:val="24"/>
        </w:rPr>
        <w:noBreakHyphen/>
      </w:r>
      <w:r w:rsidR="00650FEF" w:rsidRPr="003D1C8A">
        <w:rPr>
          <w:szCs w:val="24"/>
        </w:rPr>
        <w:t>dope case cannot be said to rise to the level of an abuse of process war</w:t>
      </w:r>
      <w:r w:rsidR="0019701C" w:rsidRPr="003D1C8A">
        <w:rPr>
          <w:szCs w:val="24"/>
        </w:rPr>
        <w:t>ranting a stay of proceedings.</w:t>
      </w:r>
      <w:r w:rsidR="00650FEF" w:rsidRPr="003D1C8A">
        <w:rPr>
          <w:szCs w:val="24"/>
        </w:rPr>
        <w:t xml:space="preserve"> In an attempt to both adhere to the formal requirement of reasonable suspicion and preserve the substantive abuse of process character of entrapment in dial</w:t>
      </w:r>
      <w:r w:rsidRPr="003D1C8A">
        <w:rPr>
          <w:szCs w:val="24"/>
        </w:rPr>
        <w:noBreakHyphen/>
      </w:r>
      <w:r w:rsidR="00650FEF" w:rsidRPr="003D1C8A">
        <w:rPr>
          <w:szCs w:val="24"/>
        </w:rPr>
        <w:t>a</w:t>
      </w:r>
      <w:r w:rsidRPr="003D1C8A">
        <w:rPr>
          <w:szCs w:val="24"/>
        </w:rPr>
        <w:noBreakHyphen/>
      </w:r>
      <w:r w:rsidR="00650FEF" w:rsidRPr="003D1C8A">
        <w:rPr>
          <w:szCs w:val="24"/>
        </w:rPr>
        <w:t>dope cases, some courts have drawn a distinction between taking an investigative step (which does not require reasonable suspicion) and presenting an opportunity to c</w:t>
      </w:r>
      <w:r w:rsidR="0019701C" w:rsidRPr="003D1C8A">
        <w:rPr>
          <w:szCs w:val="24"/>
        </w:rPr>
        <w:t>ommit an offence (which does).</w:t>
      </w:r>
      <w:r w:rsidR="00650FEF" w:rsidRPr="003D1C8A">
        <w:rPr>
          <w:szCs w:val="24"/>
        </w:rPr>
        <w:t xml:space="preserve"> The problem with the fine line distinction this approach draws is that it requires courts to closely parse undercover calls to determine whether an accused was entrapped. This approach creates artificial distinctions based on the specific words used by the undercover officer rather than focusing on whether society would view the officer’s conduct, considered in context, as simply intolerable. These distinctions are often difficult to draw, and promote an approach that is akin to dancing on the head of a pin.</w:t>
      </w:r>
    </w:p>
    <w:p w:rsidR="00650FEF" w:rsidRPr="003D1C8A" w:rsidRDefault="003D1C8A" w:rsidP="003D1C8A">
      <w:pPr>
        <w:pStyle w:val="SCCNormalDoubleSpacing"/>
        <w:spacing w:after="480"/>
        <w:rPr>
          <w:szCs w:val="24"/>
        </w:rPr>
      </w:pPr>
      <w:r w:rsidRPr="003D1C8A">
        <w:rPr>
          <w:szCs w:val="24"/>
        </w:rPr>
        <w:tab/>
      </w:r>
      <w:r w:rsidR="00650FEF" w:rsidRPr="003D1C8A">
        <w:rPr>
          <w:szCs w:val="24"/>
        </w:rPr>
        <w:t>The manner in which the majority proposes to dispose of the appeals provides a clear example of the dubious distinctions that flow from an applic</w:t>
      </w:r>
      <w:r w:rsidR="0019701C" w:rsidRPr="003D1C8A">
        <w:rPr>
          <w:szCs w:val="24"/>
        </w:rPr>
        <w:t xml:space="preserve">ation of the parsing </w:t>
      </w:r>
      <w:r w:rsidR="0019701C" w:rsidRPr="003D1C8A">
        <w:t>approa</w:t>
      </w:r>
      <w:r w:rsidR="00CC56E8">
        <w:t xml:space="preserve">ch. </w:t>
      </w:r>
      <w:r w:rsidR="00650FEF" w:rsidRPr="003D1C8A">
        <w:rPr>
          <w:szCs w:val="24"/>
        </w:rPr>
        <w:t>In both cases, an undercover officer made a call based on information from an anonymous or a confidential source. Each call was answered by a then</w:t>
      </w:r>
      <w:r w:rsidRPr="003D1C8A">
        <w:rPr>
          <w:szCs w:val="24"/>
        </w:rPr>
        <w:noBreakHyphen/>
      </w:r>
      <w:r w:rsidR="00650FEF" w:rsidRPr="003D1C8A">
        <w:rPr>
          <w:szCs w:val="24"/>
        </w:rPr>
        <w:t>unknown man. Seemingly without surprise, each man confirmed or did not deny that he went by a name that, based on the officer’s information, belonged to a drug dealer operating out of the phone line. The only distinction between the cases is that the undercover officer in W’s case used a drop name before asking for a specific quantity of cocaine, whereas the undercover officer in A’s case used a drop name and waited for A to say “what do you need?” before asking for a specific quantity of cocaine. The conduct of either undercover officer in these cases cannot be described as intolerable</w:t>
      </w:r>
      <w:r w:rsidRPr="003D1C8A">
        <w:rPr>
          <w:szCs w:val="24"/>
        </w:rPr>
        <w:t xml:space="preserve"> —</w:t>
      </w:r>
      <w:r w:rsidR="00650FEF" w:rsidRPr="003D1C8A">
        <w:rPr>
          <w:szCs w:val="24"/>
        </w:rPr>
        <w:t xml:space="preserve"> the officers were doing precisely what society would expect them to do upon receiving information about an </w:t>
      </w:r>
      <w:r w:rsidR="0019701C" w:rsidRPr="003D1C8A">
        <w:rPr>
          <w:szCs w:val="24"/>
        </w:rPr>
        <w:t>alleged dial</w:t>
      </w:r>
      <w:r w:rsidRPr="003D1C8A">
        <w:rPr>
          <w:szCs w:val="24"/>
        </w:rPr>
        <w:noBreakHyphen/>
      </w:r>
      <w:r w:rsidR="0019701C" w:rsidRPr="003D1C8A">
        <w:rPr>
          <w:szCs w:val="24"/>
        </w:rPr>
        <w:t>a</w:t>
      </w:r>
      <w:r w:rsidRPr="003D1C8A">
        <w:rPr>
          <w:szCs w:val="24"/>
        </w:rPr>
        <w:noBreakHyphen/>
      </w:r>
      <w:r w:rsidR="0019701C" w:rsidRPr="003D1C8A">
        <w:rPr>
          <w:szCs w:val="24"/>
        </w:rPr>
        <w:t>dope operation.</w:t>
      </w:r>
      <w:r w:rsidR="00650FEF" w:rsidRPr="003D1C8A">
        <w:rPr>
          <w:szCs w:val="24"/>
        </w:rPr>
        <w:t xml:space="preserve"> A reasonably informed observer in our society would be utterly bewildered by the majority’s conclusion that the conduct of the undercover officer in W’s case rises to the level of an abuse of process while the conduct of the undercover officer in A’s case is acceptable.</w:t>
      </w:r>
    </w:p>
    <w:p w:rsidR="00650FEF" w:rsidRPr="003D1C8A" w:rsidRDefault="003D1C8A" w:rsidP="003D1C8A">
      <w:pPr>
        <w:pStyle w:val="SCCNormalDoubleSpacing"/>
        <w:spacing w:after="480"/>
        <w:rPr>
          <w:szCs w:val="24"/>
        </w:rPr>
      </w:pPr>
      <w:r w:rsidRPr="003D1C8A">
        <w:rPr>
          <w:szCs w:val="24"/>
        </w:rPr>
        <w:tab/>
      </w:r>
      <w:r w:rsidR="00650FEF" w:rsidRPr="003D1C8A">
        <w:rPr>
          <w:szCs w:val="24"/>
        </w:rPr>
        <w:t xml:space="preserve">The problem in applying the </w:t>
      </w:r>
      <w:r w:rsidR="00650FEF" w:rsidRPr="003D1C8A">
        <w:rPr>
          <w:i/>
          <w:szCs w:val="24"/>
        </w:rPr>
        <w:t>bona fide</w:t>
      </w:r>
      <w:r w:rsidR="00650FEF" w:rsidRPr="003D1C8A">
        <w:rPr>
          <w:szCs w:val="24"/>
        </w:rPr>
        <w:t xml:space="preserve"> prong as defined in </w:t>
      </w:r>
      <w:r w:rsidR="00650FEF" w:rsidRPr="003D1C8A">
        <w:rPr>
          <w:i/>
          <w:szCs w:val="24"/>
        </w:rPr>
        <w:t xml:space="preserve">Mack </w:t>
      </w:r>
      <w:r w:rsidR="00650FEF" w:rsidRPr="003D1C8A">
        <w:rPr>
          <w:szCs w:val="24"/>
        </w:rPr>
        <w:t>and</w:t>
      </w:r>
      <w:r w:rsidR="00650FEF" w:rsidRPr="003D1C8A">
        <w:rPr>
          <w:i/>
          <w:szCs w:val="24"/>
        </w:rPr>
        <w:t xml:space="preserve"> Barnes </w:t>
      </w:r>
      <w:r w:rsidR="00650FEF" w:rsidRPr="003D1C8A">
        <w:rPr>
          <w:szCs w:val="24"/>
        </w:rPr>
        <w:t>to present</w:t>
      </w:r>
      <w:r w:rsidRPr="003D1C8A">
        <w:rPr>
          <w:szCs w:val="24"/>
        </w:rPr>
        <w:noBreakHyphen/>
      </w:r>
      <w:r w:rsidR="00650FEF" w:rsidRPr="003D1C8A">
        <w:rPr>
          <w:szCs w:val="24"/>
        </w:rPr>
        <w:t>day dial</w:t>
      </w:r>
      <w:r w:rsidRPr="003D1C8A">
        <w:rPr>
          <w:szCs w:val="24"/>
        </w:rPr>
        <w:noBreakHyphen/>
      </w:r>
      <w:r w:rsidR="00650FEF" w:rsidRPr="003D1C8A">
        <w:rPr>
          <w:szCs w:val="24"/>
        </w:rPr>
        <w:t>a</w:t>
      </w:r>
      <w:r w:rsidRPr="003D1C8A">
        <w:rPr>
          <w:szCs w:val="24"/>
        </w:rPr>
        <w:noBreakHyphen/>
      </w:r>
      <w:r w:rsidR="00650FEF" w:rsidRPr="003D1C8A">
        <w:rPr>
          <w:szCs w:val="24"/>
        </w:rPr>
        <w:t xml:space="preserve">dope investigations is that the reasonable suspicion standard has evolved since those cases were decided. The </w:t>
      </w:r>
      <w:r w:rsidR="00650FEF" w:rsidRPr="003D1C8A">
        <w:rPr>
          <w:i/>
          <w:szCs w:val="24"/>
        </w:rPr>
        <w:t xml:space="preserve">bona fide </w:t>
      </w:r>
      <w:r w:rsidR="00650FEF" w:rsidRPr="003D1C8A">
        <w:rPr>
          <w:szCs w:val="24"/>
        </w:rPr>
        <w:t xml:space="preserve">inquiry prong permits the police to randomly approach citizens and offer them opportunities to commit offences, so long as the area within which they are operating is defined with sufficient precision and </w:t>
      </w:r>
      <w:r w:rsidR="00650FEF" w:rsidRPr="003D1C8A">
        <w:t>they</w:t>
      </w:r>
      <w:r w:rsidR="00650FEF" w:rsidRPr="003D1C8A">
        <w:rPr>
          <w:szCs w:val="24"/>
        </w:rPr>
        <w:t xml:space="preserve"> reasonably suspect that that type of crime is occurring in the area. The incorporation of this type of generalized location</w:t>
      </w:r>
      <w:r w:rsidRPr="003D1C8A">
        <w:rPr>
          <w:szCs w:val="24"/>
        </w:rPr>
        <w:noBreakHyphen/>
      </w:r>
      <w:r w:rsidR="00650FEF" w:rsidRPr="003D1C8A">
        <w:rPr>
          <w:szCs w:val="24"/>
        </w:rPr>
        <w:t xml:space="preserve">based reasonable suspicion into the </w:t>
      </w:r>
      <w:r w:rsidR="00650FEF" w:rsidRPr="003D1C8A">
        <w:rPr>
          <w:i/>
          <w:szCs w:val="24"/>
        </w:rPr>
        <w:t xml:space="preserve">bona fide </w:t>
      </w:r>
      <w:r w:rsidR="00650FEF" w:rsidRPr="003D1C8A">
        <w:rPr>
          <w:szCs w:val="24"/>
        </w:rPr>
        <w:t xml:space="preserve">inquiry prong reflects the view that requiring the police to meet a more stringent standard, such as individualized reasonable suspicion, would unduly hinder law enforcement efforts and thereby fail to strike an appropriate balance between individual liberties and legitimate law enforcement. However, in </w:t>
      </w:r>
      <w:r w:rsidR="00650FEF" w:rsidRPr="003D1C8A">
        <w:rPr>
          <w:i/>
          <w:szCs w:val="24"/>
        </w:rPr>
        <w:t>R. v. Chehil</w:t>
      </w:r>
      <w:r w:rsidR="00650FEF" w:rsidRPr="003D1C8A">
        <w:rPr>
          <w:szCs w:val="24"/>
        </w:rPr>
        <w:t xml:space="preserve">, 2013 SCC 49, [2013] 3 S.C.R. 220, the notice that reasonable suspicion includes generalized suspicion that attaches to a particular activity or location rather than to a specific person was rejected. Put differently, since </w:t>
      </w:r>
      <w:r w:rsidR="00650FEF" w:rsidRPr="003D1C8A">
        <w:rPr>
          <w:i/>
          <w:szCs w:val="24"/>
        </w:rPr>
        <w:t xml:space="preserve">Mack </w:t>
      </w:r>
      <w:r w:rsidR="00650FEF" w:rsidRPr="003D1C8A">
        <w:rPr>
          <w:szCs w:val="24"/>
        </w:rPr>
        <w:t xml:space="preserve">and </w:t>
      </w:r>
      <w:r w:rsidR="00650FEF" w:rsidRPr="003D1C8A">
        <w:rPr>
          <w:i/>
          <w:szCs w:val="24"/>
        </w:rPr>
        <w:t xml:space="preserve">Barnes </w:t>
      </w:r>
      <w:r w:rsidR="00650FEF" w:rsidRPr="003D1C8A">
        <w:rPr>
          <w:szCs w:val="24"/>
        </w:rPr>
        <w:t xml:space="preserve">were decided, individualization has come to define the reasonable suspicion standard. In this way, the more restrictive meaning ascribed to reasonable suspicion in </w:t>
      </w:r>
      <w:r w:rsidR="00650FEF" w:rsidRPr="003D1C8A">
        <w:rPr>
          <w:i/>
          <w:szCs w:val="24"/>
        </w:rPr>
        <w:t xml:space="preserve">Chehil </w:t>
      </w:r>
      <w:r w:rsidR="00650FEF" w:rsidRPr="003D1C8A">
        <w:rPr>
          <w:szCs w:val="24"/>
        </w:rPr>
        <w:t xml:space="preserve">has rendered it incompatible with the balance between individual liberties and legitimate law enforcement struck by the </w:t>
      </w:r>
      <w:r w:rsidR="00650FEF" w:rsidRPr="003D1C8A">
        <w:rPr>
          <w:i/>
          <w:szCs w:val="24"/>
        </w:rPr>
        <w:t xml:space="preserve">bona fide </w:t>
      </w:r>
      <w:r w:rsidR="00650FEF" w:rsidRPr="003D1C8A">
        <w:rPr>
          <w:szCs w:val="24"/>
        </w:rPr>
        <w:t xml:space="preserve">inquiry prong in </w:t>
      </w:r>
      <w:r w:rsidR="00650FEF" w:rsidRPr="003D1C8A">
        <w:rPr>
          <w:i/>
          <w:szCs w:val="24"/>
        </w:rPr>
        <w:t>Barnes</w:t>
      </w:r>
      <w:r w:rsidR="00650FEF" w:rsidRPr="003D1C8A">
        <w:rPr>
          <w:szCs w:val="24"/>
        </w:rPr>
        <w:t>.</w:t>
      </w:r>
    </w:p>
    <w:p w:rsidR="00650FEF" w:rsidRPr="003D1C8A" w:rsidRDefault="003D1C8A" w:rsidP="003D1C8A">
      <w:pPr>
        <w:pStyle w:val="SCCNormalDoubleSpacing"/>
        <w:spacing w:after="480"/>
        <w:rPr>
          <w:szCs w:val="24"/>
        </w:rPr>
      </w:pPr>
      <w:r w:rsidRPr="003D1C8A">
        <w:rPr>
          <w:szCs w:val="24"/>
        </w:rPr>
        <w:tab/>
      </w:r>
      <w:r w:rsidR="00650FEF" w:rsidRPr="003D1C8A">
        <w:rPr>
          <w:szCs w:val="24"/>
        </w:rPr>
        <w:t>The solution to the doctrinal incoherence and policy concerns revealed by the dial</w:t>
      </w:r>
      <w:r w:rsidRPr="003D1C8A">
        <w:rPr>
          <w:szCs w:val="24"/>
        </w:rPr>
        <w:noBreakHyphen/>
      </w:r>
      <w:r w:rsidR="00650FEF" w:rsidRPr="003D1C8A">
        <w:rPr>
          <w:szCs w:val="24"/>
        </w:rPr>
        <w:t>a</w:t>
      </w:r>
      <w:r w:rsidRPr="003D1C8A">
        <w:rPr>
          <w:szCs w:val="24"/>
        </w:rPr>
        <w:noBreakHyphen/>
      </w:r>
      <w:r w:rsidR="00650FEF" w:rsidRPr="003D1C8A">
        <w:rPr>
          <w:szCs w:val="24"/>
        </w:rPr>
        <w:t xml:space="preserve">dope entrapment jurisprudence is to revise the </w:t>
      </w:r>
      <w:r w:rsidR="00650FEF" w:rsidRPr="003D1C8A">
        <w:rPr>
          <w:i/>
          <w:szCs w:val="24"/>
        </w:rPr>
        <w:t>bona fide</w:t>
      </w:r>
      <w:r w:rsidR="00650FEF" w:rsidRPr="003D1C8A">
        <w:rPr>
          <w:szCs w:val="24"/>
        </w:rPr>
        <w:t xml:space="preserve"> inquiry prong. The revised framework will refocus the </w:t>
      </w:r>
      <w:r w:rsidR="00650FEF" w:rsidRPr="003D1C8A">
        <w:rPr>
          <w:i/>
          <w:szCs w:val="24"/>
        </w:rPr>
        <w:t>bona fide</w:t>
      </w:r>
      <w:r w:rsidR="00650FEF" w:rsidRPr="003D1C8A">
        <w:rPr>
          <w:szCs w:val="24"/>
        </w:rPr>
        <w:t xml:space="preserve"> inquiry prong on its principled origin: abuse of proce</w:t>
      </w:r>
      <w:r w:rsidRPr="003D1C8A">
        <w:rPr>
          <w:szCs w:val="24"/>
        </w:rPr>
        <w:t>ss. </w:t>
      </w:r>
      <w:r w:rsidR="00650FEF" w:rsidRPr="003D1C8A">
        <w:rPr>
          <w:szCs w:val="24"/>
        </w:rPr>
        <w:t xml:space="preserve">Under the revised framework, the police should be found to be acting </w:t>
      </w:r>
      <w:r w:rsidR="00650FEF" w:rsidRPr="003D1C8A">
        <w:t>pursuant</w:t>
      </w:r>
      <w:r w:rsidR="00650FEF" w:rsidRPr="003D1C8A">
        <w:rPr>
          <w:szCs w:val="24"/>
        </w:rPr>
        <w:t xml:space="preserve"> to a </w:t>
      </w:r>
      <w:r w:rsidR="00650FEF" w:rsidRPr="003D1C8A">
        <w:rPr>
          <w:i/>
          <w:szCs w:val="24"/>
        </w:rPr>
        <w:t xml:space="preserve">bona fide </w:t>
      </w:r>
      <w:r w:rsidR="00650FEF" w:rsidRPr="003D1C8A">
        <w:rPr>
          <w:szCs w:val="24"/>
        </w:rPr>
        <w:t>inquiry where they meet three requirements. First, their investigation must have been motivated by genuine law enforcement purposes. Second, they must have had a factually</w:t>
      </w:r>
      <w:r w:rsidRPr="003D1C8A">
        <w:rPr>
          <w:szCs w:val="24"/>
        </w:rPr>
        <w:noBreakHyphen/>
      </w:r>
      <w:r w:rsidR="00650FEF" w:rsidRPr="003D1C8A">
        <w:rPr>
          <w:szCs w:val="24"/>
        </w:rPr>
        <w:t>grounded basis for their investigation. They need to be able to point to a specific reason for their investigation beyond a mere hun</w:t>
      </w:r>
      <w:r w:rsidRPr="003D1C8A">
        <w:rPr>
          <w:szCs w:val="24"/>
        </w:rPr>
        <w:t>ch. </w:t>
      </w:r>
      <w:r w:rsidR="00650FEF" w:rsidRPr="003D1C8A">
        <w:rPr>
          <w:szCs w:val="24"/>
        </w:rPr>
        <w:t>Third, their investigation must have been directed at investigating a specific type of crime within a tightly circumscribed location (whether physical or virtual). Whether the precision of the location meets this threshold should be determined by reference to the overarching question entrapment poses, that is, whether, in all the circumstances, society would view the inquiry as abusive. Inevitably, whether a particular type of location is sufficiently circumscribed for the purposes of a particular type of investigation will need to be considered on a location</w:t>
      </w:r>
      <w:r w:rsidRPr="003D1C8A">
        <w:rPr>
          <w:szCs w:val="24"/>
        </w:rPr>
        <w:noBreakHyphen/>
      </w:r>
      <w:r w:rsidR="00650FEF" w:rsidRPr="003D1C8A">
        <w:rPr>
          <w:szCs w:val="24"/>
        </w:rPr>
        <w:t>by</w:t>
      </w:r>
      <w:r w:rsidRPr="003D1C8A">
        <w:rPr>
          <w:szCs w:val="24"/>
        </w:rPr>
        <w:noBreakHyphen/>
      </w:r>
      <w:r w:rsidR="00650FEF" w:rsidRPr="003D1C8A">
        <w:rPr>
          <w:szCs w:val="24"/>
        </w:rPr>
        <w:t xml:space="preserve">location basis, until a jurisprudence develops. Some considerations may include: the nature and seriousness of the type of crime under investigation; the number of citizens that may be impacted by the investigation technique used by the police; the nature of the location under investigation; and the </w:t>
      </w:r>
      <w:r w:rsidR="00CC56E8">
        <w:rPr>
          <w:szCs w:val="24"/>
        </w:rPr>
        <w:t>intrusiveness of the technique.</w:t>
      </w:r>
    </w:p>
    <w:p w:rsidR="00650FEF" w:rsidRPr="003D1C8A" w:rsidRDefault="003D1C8A" w:rsidP="003D1C8A">
      <w:pPr>
        <w:pStyle w:val="SCCNormalDoubleSpacing"/>
        <w:spacing w:after="480"/>
        <w:rPr>
          <w:szCs w:val="24"/>
        </w:rPr>
      </w:pPr>
      <w:r w:rsidRPr="003D1C8A">
        <w:rPr>
          <w:szCs w:val="24"/>
        </w:rPr>
        <w:tab/>
      </w:r>
      <w:r w:rsidR="00650FEF" w:rsidRPr="003D1C8A">
        <w:rPr>
          <w:szCs w:val="24"/>
        </w:rPr>
        <w:t xml:space="preserve">The revised framework offers significant improvements to the </w:t>
      </w:r>
      <w:r w:rsidR="00650FEF" w:rsidRPr="003D1C8A">
        <w:rPr>
          <w:i/>
          <w:szCs w:val="24"/>
        </w:rPr>
        <w:t>bona fide</w:t>
      </w:r>
      <w:r w:rsidR="00650FEF" w:rsidRPr="003D1C8A">
        <w:rPr>
          <w:szCs w:val="24"/>
        </w:rPr>
        <w:t xml:space="preserve"> inquiry prong by bringing it in line with recent doctrinal developments, and by placing limitations on the scope of the location under investigation. These limitations </w:t>
      </w:r>
      <w:r w:rsidR="00650FEF" w:rsidRPr="003D1C8A">
        <w:t>mitigate</w:t>
      </w:r>
      <w:r w:rsidR="00650FEF" w:rsidRPr="003D1C8A">
        <w:rPr>
          <w:szCs w:val="24"/>
        </w:rPr>
        <w:t xml:space="preserve"> the risk that police may be able to indiscriminately offer opportunities within an expansive area (i.e., to conduct large</w:t>
      </w:r>
      <w:r w:rsidRPr="003D1C8A">
        <w:rPr>
          <w:szCs w:val="24"/>
        </w:rPr>
        <w:noBreakHyphen/>
      </w:r>
      <w:r w:rsidR="00650FEF" w:rsidRPr="003D1C8A">
        <w:rPr>
          <w:szCs w:val="24"/>
        </w:rPr>
        <w:t>scale random virtue testing) and</w:t>
      </w:r>
      <w:r w:rsidR="006F331B" w:rsidRPr="003D1C8A">
        <w:rPr>
          <w:szCs w:val="24"/>
        </w:rPr>
        <w:t xml:space="preserve"> e</w:t>
      </w:r>
      <w:r w:rsidR="00650FEF" w:rsidRPr="003D1C8A">
        <w:rPr>
          <w:szCs w:val="24"/>
        </w:rPr>
        <w:t xml:space="preserve">ffectively address the risk of police targeting the vulnerable and marginalized and engaging in racial profiling. If the police deliberately target the marginalized and vulnerable, it will amount to impermissible bad faith conduct. In addition, by considering the nature of the location under investigation and the number of citizens potentially impacted, together with other relevant factors, reviewing courts will be able to discern whether the risk of ensnaring the marginalized and vulnerable was so high in a given case that society would not tolerate that risk, notwithstanding the legitimate law </w:t>
      </w:r>
      <w:r w:rsidR="00CC56E8">
        <w:rPr>
          <w:szCs w:val="24"/>
        </w:rPr>
        <w:t>enforcement interests at stake.</w:t>
      </w:r>
    </w:p>
    <w:p w:rsidR="00650FEF" w:rsidRPr="003D1C8A" w:rsidRDefault="003D1C8A" w:rsidP="003D1C8A">
      <w:pPr>
        <w:pStyle w:val="SCCNormalDoubleSpacing"/>
        <w:spacing w:after="480"/>
        <w:rPr>
          <w:szCs w:val="24"/>
        </w:rPr>
      </w:pPr>
      <w:r w:rsidRPr="003D1C8A">
        <w:rPr>
          <w:szCs w:val="24"/>
        </w:rPr>
        <w:tab/>
      </w:r>
      <w:r w:rsidR="00650FEF" w:rsidRPr="003D1C8A">
        <w:rPr>
          <w:szCs w:val="24"/>
        </w:rPr>
        <w:t xml:space="preserve">Neither A nor W were entrapped. The police in both cases were acting in the course of </w:t>
      </w:r>
      <w:r w:rsidR="00650FEF" w:rsidRPr="003D1C8A">
        <w:rPr>
          <w:i/>
          <w:szCs w:val="24"/>
        </w:rPr>
        <w:t>bona fide</w:t>
      </w:r>
      <w:r w:rsidR="00650FEF" w:rsidRPr="003D1C8A">
        <w:rPr>
          <w:szCs w:val="24"/>
        </w:rPr>
        <w:t xml:space="preserve"> inquiries into the cell phone numbers in issue at the time they extended the respective opportunities to traffic in narcotics. Applying the new framework, there is no suggestion that the police were not motivated by genuine law enforcement purposes, nor is there any evidence of bad faith. Further, the police had a </w:t>
      </w:r>
      <w:r w:rsidR="00650FEF" w:rsidRPr="003D1C8A">
        <w:t>factually</w:t>
      </w:r>
      <w:r w:rsidRPr="003D1C8A">
        <w:rPr>
          <w:szCs w:val="24"/>
        </w:rPr>
        <w:noBreakHyphen/>
      </w:r>
      <w:r w:rsidR="00650FEF" w:rsidRPr="003D1C8A">
        <w:rPr>
          <w:szCs w:val="24"/>
        </w:rPr>
        <w:t>grounded basis for their investigations, having received information containing the names and phone number of alleged drug dealers. Finally, their inquiry was sufficiently tightly circumscribed. Drug trafficking is a serious crime and the number of individuals potentially impacted by the police conduct here is extremely low</w:t>
      </w:r>
      <w:r w:rsidR="002449B1" w:rsidRPr="003D1C8A">
        <w:rPr>
          <w:szCs w:val="24"/>
        </w:rPr>
        <w:t>.</w:t>
      </w:r>
      <w:r w:rsidR="00650FEF" w:rsidRPr="003D1C8A">
        <w:rPr>
          <w:szCs w:val="24"/>
        </w:rPr>
        <w:t xml:space="preserve"> The locations under investigation were phone numbers and, as a result, any concerns that racial profiling or other unconscious biases may have played a role in the investigations are highly attenuated. Notably, the investigatory technique did not involve accessing any of the information on either A’s or W’s cell phone. On this point, there is disagreement with the majority that a call to a potential dial</w:t>
      </w:r>
      <w:r w:rsidRPr="003D1C8A">
        <w:rPr>
          <w:szCs w:val="24"/>
        </w:rPr>
        <w:noBreakHyphen/>
      </w:r>
      <w:r w:rsidR="00650FEF" w:rsidRPr="003D1C8A">
        <w:rPr>
          <w:szCs w:val="24"/>
        </w:rPr>
        <w:t>a</w:t>
      </w:r>
      <w:r w:rsidRPr="003D1C8A">
        <w:rPr>
          <w:szCs w:val="24"/>
        </w:rPr>
        <w:noBreakHyphen/>
      </w:r>
      <w:r w:rsidR="00650FEF" w:rsidRPr="003D1C8A">
        <w:rPr>
          <w:szCs w:val="24"/>
        </w:rPr>
        <w:t>dope line engages the informational privacy interest protected by s.</w:t>
      </w:r>
      <w:r w:rsidR="006F331B" w:rsidRPr="003D1C8A">
        <w:rPr>
          <w:szCs w:val="24"/>
        </w:rPr>
        <w:t> </w:t>
      </w:r>
      <w:r w:rsidR="00650FEF" w:rsidRPr="003D1C8A">
        <w:rPr>
          <w:szCs w:val="24"/>
        </w:rPr>
        <w:t xml:space="preserve">8 of </w:t>
      </w:r>
      <w:r w:rsidR="00650FEF" w:rsidRPr="003D1C8A">
        <w:rPr>
          <w:i/>
          <w:szCs w:val="24"/>
        </w:rPr>
        <w:t>Canadian Charter of Rights and Freedoms</w:t>
      </w:r>
      <w:r w:rsidR="00650FEF" w:rsidRPr="003D1C8A">
        <w:rPr>
          <w:szCs w:val="24"/>
        </w:rPr>
        <w:t xml:space="preserve"> and accordingly does demand the imposition of a standard as robust as the individualized reasonable suspicion standard developed in s.</w:t>
      </w:r>
      <w:r w:rsidR="006F331B" w:rsidRPr="003D1C8A">
        <w:rPr>
          <w:szCs w:val="24"/>
        </w:rPr>
        <w:t> </w:t>
      </w:r>
      <w:r w:rsidR="00650FEF" w:rsidRPr="003D1C8A">
        <w:rPr>
          <w:szCs w:val="24"/>
        </w:rPr>
        <w:t>8 jurisprudence. Dial</w:t>
      </w:r>
      <w:r w:rsidRPr="003D1C8A">
        <w:rPr>
          <w:szCs w:val="24"/>
        </w:rPr>
        <w:noBreakHyphen/>
      </w:r>
      <w:r w:rsidR="00650FEF" w:rsidRPr="003D1C8A">
        <w:rPr>
          <w:szCs w:val="24"/>
        </w:rPr>
        <w:t>a</w:t>
      </w:r>
      <w:r w:rsidRPr="003D1C8A">
        <w:rPr>
          <w:szCs w:val="24"/>
        </w:rPr>
        <w:noBreakHyphen/>
      </w:r>
      <w:r w:rsidR="00650FEF" w:rsidRPr="003D1C8A">
        <w:rPr>
          <w:szCs w:val="24"/>
        </w:rPr>
        <w:t>dope investigations do not involve search or seizure of the person’s phone, or any of the information it contains. All that dial</w:t>
      </w:r>
      <w:r w:rsidRPr="003D1C8A">
        <w:rPr>
          <w:szCs w:val="24"/>
        </w:rPr>
        <w:noBreakHyphen/>
      </w:r>
      <w:r w:rsidR="00650FEF" w:rsidRPr="003D1C8A">
        <w:rPr>
          <w:szCs w:val="24"/>
        </w:rPr>
        <w:t>a</w:t>
      </w:r>
      <w:r w:rsidRPr="003D1C8A">
        <w:rPr>
          <w:szCs w:val="24"/>
        </w:rPr>
        <w:noBreakHyphen/>
      </w:r>
      <w:r w:rsidR="00650FEF" w:rsidRPr="003D1C8A">
        <w:rPr>
          <w:szCs w:val="24"/>
        </w:rPr>
        <w:t>dope investigations involve is a conversation between an undercover officer and the person on the other end of the line. The majority’s acceptance that the police may phone an individual and engage them in potentially extensive conversation without first holding reasonable suspicion belies its contention that a typical dial</w:t>
      </w:r>
      <w:r w:rsidRPr="003D1C8A">
        <w:rPr>
          <w:szCs w:val="24"/>
        </w:rPr>
        <w:noBreakHyphen/>
      </w:r>
      <w:r w:rsidR="00650FEF" w:rsidRPr="003D1C8A">
        <w:rPr>
          <w:szCs w:val="24"/>
        </w:rPr>
        <w:t>a</w:t>
      </w:r>
      <w:r w:rsidRPr="003D1C8A">
        <w:rPr>
          <w:szCs w:val="24"/>
        </w:rPr>
        <w:noBreakHyphen/>
      </w:r>
      <w:r w:rsidR="00650FEF" w:rsidRPr="003D1C8A">
        <w:rPr>
          <w:szCs w:val="24"/>
        </w:rPr>
        <w:t>dope investigation engages the privacy interest that s.</w:t>
      </w:r>
      <w:r w:rsidR="006F331B" w:rsidRPr="003D1C8A">
        <w:rPr>
          <w:szCs w:val="24"/>
        </w:rPr>
        <w:t> </w:t>
      </w:r>
      <w:r w:rsidR="00650FEF" w:rsidRPr="003D1C8A">
        <w:rPr>
          <w:szCs w:val="24"/>
        </w:rPr>
        <w:t xml:space="preserve">8 of the </w:t>
      </w:r>
      <w:r w:rsidR="00650FEF" w:rsidRPr="003D1C8A">
        <w:rPr>
          <w:i/>
          <w:szCs w:val="24"/>
        </w:rPr>
        <w:t>Charter</w:t>
      </w:r>
      <w:r w:rsidR="006F331B" w:rsidRPr="003D1C8A">
        <w:rPr>
          <w:szCs w:val="24"/>
        </w:rPr>
        <w:t xml:space="preserve"> protects. </w:t>
      </w:r>
      <w:r w:rsidR="00650FEF" w:rsidRPr="003D1C8A">
        <w:rPr>
          <w:szCs w:val="24"/>
        </w:rPr>
        <w:t>The nature of the individual privacy interests at play here are limited to individuals’ interest in being left alone by the state. It is difficult to imagine a less intrusive technique than those used in typical dial</w:t>
      </w:r>
      <w:r w:rsidRPr="003D1C8A">
        <w:rPr>
          <w:szCs w:val="24"/>
        </w:rPr>
        <w:noBreakHyphen/>
      </w:r>
      <w:r w:rsidR="00650FEF" w:rsidRPr="003D1C8A">
        <w:rPr>
          <w:szCs w:val="24"/>
        </w:rPr>
        <w:t>a</w:t>
      </w:r>
      <w:r w:rsidRPr="003D1C8A">
        <w:rPr>
          <w:szCs w:val="24"/>
        </w:rPr>
        <w:noBreakHyphen/>
      </w:r>
      <w:r w:rsidR="00650FEF" w:rsidRPr="003D1C8A">
        <w:rPr>
          <w:szCs w:val="24"/>
        </w:rPr>
        <w:t>dope cases like these ones. In sum, the police conduct here cannot be said to be conduct that society would find intolerable.</w:t>
      </w:r>
    </w:p>
    <w:p w:rsidR="007E1C47" w:rsidRPr="003D1C8A" w:rsidRDefault="002E6705" w:rsidP="009E2B0C">
      <w:pPr>
        <w:pStyle w:val="SCCNormalDoubleSpacing"/>
        <w:spacing w:after="480"/>
        <w:rPr>
          <w:b/>
        </w:rPr>
      </w:pPr>
      <w:r w:rsidRPr="003D1C8A">
        <w:rPr>
          <w:b/>
        </w:rPr>
        <w:t>Cases Cited</w:t>
      </w:r>
    </w:p>
    <w:p w:rsidR="00075A98" w:rsidRPr="003D1C8A" w:rsidRDefault="00075A98" w:rsidP="00D84897">
      <w:pPr>
        <w:pStyle w:val="SCCNormalDoubleSpacing"/>
        <w:spacing w:after="720" w:line="240" w:lineRule="auto"/>
      </w:pPr>
      <w:r w:rsidRPr="003D1C8A">
        <w:t>By</w:t>
      </w:r>
      <w:r w:rsidR="00D84897" w:rsidRPr="003D1C8A">
        <w:t xml:space="preserve"> Karakatsanis, Brown and Martin </w:t>
      </w:r>
      <w:r w:rsidRPr="003D1C8A">
        <w:t>JJ.</w:t>
      </w:r>
    </w:p>
    <w:p w:rsidR="00075A98" w:rsidRPr="003D1C8A" w:rsidRDefault="00C8432C" w:rsidP="00D84897">
      <w:pPr>
        <w:pStyle w:val="SCCNormalDoubleSpacing"/>
        <w:spacing w:after="480"/>
        <w:rPr>
          <w:lang w:val="en-US" w:bidi="en-US"/>
        </w:rPr>
      </w:pPr>
      <w:r w:rsidRPr="003D1C8A">
        <w:tab/>
      </w:r>
      <w:r w:rsidR="00242C7D" w:rsidRPr="003D1C8A">
        <w:rPr>
          <w:b/>
        </w:rPr>
        <w:t xml:space="preserve">Applied: </w:t>
      </w:r>
      <w:r w:rsidR="00242C7D" w:rsidRPr="003D1C8A">
        <w:rPr>
          <w:i/>
        </w:rPr>
        <w:t>R. v. Mack</w:t>
      </w:r>
      <w:r w:rsidR="00242C7D" w:rsidRPr="003D1C8A">
        <w:t xml:space="preserve">, [1988] 2 S.C.R. 903; </w:t>
      </w:r>
      <w:r w:rsidR="00242C7D" w:rsidRPr="003D1C8A">
        <w:rPr>
          <w:i/>
        </w:rPr>
        <w:t>R. v. Barnes</w:t>
      </w:r>
      <w:r w:rsidR="00242C7D" w:rsidRPr="003D1C8A">
        <w:t>, [1991] 1 S.C.R. 449;</w:t>
      </w:r>
      <w:r w:rsidR="00242C7D" w:rsidRPr="003D1C8A">
        <w:rPr>
          <w:b/>
        </w:rPr>
        <w:t xml:space="preserve"> r</w:t>
      </w:r>
      <w:r w:rsidR="00075A98" w:rsidRPr="003D1C8A">
        <w:rPr>
          <w:b/>
        </w:rPr>
        <w:t>eferred to:</w:t>
      </w:r>
      <w:r w:rsidR="00075A98" w:rsidRPr="003D1C8A">
        <w:t xml:space="preserve"> </w:t>
      </w:r>
      <w:r w:rsidR="00D51F8D" w:rsidRPr="003D1C8A">
        <w:rPr>
          <w:i/>
        </w:rPr>
        <w:t>R. v. Jewitt</w:t>
      </w:r>
      <w:r w:rsidR="00D51F8D" w:rsidRPr="003D1C8A">
        <w:t>, [1985] 2 S.C.R. 128;</w:t>
      </w:r>
      <w:r w:rsidR="00BF78AE" w:rsidRPr="003D1C8A">
        <w:rPr>
          <w:i/>
        </w:rPr>
        <w:t xml:space="preserve"> Amato v. The Queen</w:t>
      </w:r>
      <w:r w:rsidR="00BF78AE" w:rsidRPr="003D1C8A">
        <w:t>, [1982] 2 S.C.R. 418;</w:t>
      </w:r>
      <w:r w:rsidR="00F76284" w:rsidRPr="003D1C8A">
        <w:rPr>
          <w:i/>
        </w:rPr>
        <w:t xml:space="preserve"> </w:t>
      </w:r>
      <w:r w:rsidR="009A676F" w:rsidRPr="003D1C8A">
        <w:rPr>
          <w:i/>
        </w:rPr>
        <w:t>R. v. Campbell</w:t>
      </w:r>
      <w:r w:rsidR="009A676F" w:rsidRPr="003D1C8A">
        <w:t xml:space="preserve">, [1999] 1 S.C.R. 565; </w:t>
      </w:r>
      <w:r w:rsidR="009A676F" w:rsidRPr="003D1C8A">
        <w:rPr>
          <w:i/>
        </w:rPr>
        <w:t>R. v. Nuttall</w:t>
      </w:r>
      <w:r w:rsidR="009A676F" w:rsidRPr="003D1C8A">
        <w:t xml:space="preserve">, 2018 BCCA 479, 368 C.C.C. (3d) 1; </w:t>
      </w:r>
      <w:r w:rsidR="009A676F" w:rsidRPr="003D1C8A">
        <w:rPr>
          <w:i/>
        </w:rPr>
        <w:t>R. v. Bayat</w:t>
      </w:r>
      <w:r w:rsidR="009A676F" w:rsidRPr="003D1C8A">
        <w:t xml:space="preserve">, </w:t>
      </w:r>
      <w:r w:rsidR="00AD5F17" w:rsidRPr="003D1C8A">
        <w:t>2011 ONCA 778, 280 C.C.C. (3d) 36</w:t>
      </w:r>
      <w:r w:rsidR="009A676F" w:rsidRPr="003D1C8A">
        <w:t>;</w:t>
      </w:r>
      <w:r w:rsidR="00922BAC" w:rsidRPr="003D1C8A">
        <w:rPr>
          <w:i/>
        </w:rPr>
        <w:t xml:space="preserve"> R. v. Chehil</w:t>
      </w:r>
      <w:r w:rsidR="00922BAC" w:rsidRPr="003D1C8A">
        <w:t xml:space="preserve">, 2013 SCC 49, [2013] 3 S.C.R. 220; </w:t>
      </w:r>
      <w:r w:rsidR="00922BAC" w:rsidRPr="003D1C8A">
        <w:rPr>
          <w:i/>
        </w:rPr>
        <w:t>R. v. MacKenzie</w:t>
      </w:r>
      <w:r w:rsidR="00922BAC" w:rsidRPr="003D1C8A">
        <w:t>, 2013 SCC 50, [2013] 3 S.C.R. 250;</w:t>
      </w:r>
      <w:r w:rsidR="00D45652" w:rsidRPr="003D1C8A">
        <w:t xml:space="preserve"> </w:t>
      </w:r>
      <w:r w:rsidR="00D45652" w:rsidRPr="003D1C8A">
        <w:rPr>
          <w:i/>
        </w:rPr>
        <w:t>R. v. Simpson</w:t>
      </w:r>
      <w:r w:rsidR="00D45652" w:rsidRPr="003D1C8A">
        <w:t xml:space="preserve"> (1993), 79 C.C.C. (3d) 482;</w:t>
      </w:r>
      <w:r w:rsidR="006959AB" w:rsidRPr="003D1C8A">
        <w:rPr>
          <w:i/>
        </w:rPr>
        <w:t xml:space="preserve"> R. v. Kang</w:t>
      </w:r>
      <w:r w:rsidR="003D1C8A" w:rsidRPr="003D1C8A">
        <w:rPr>
          <w:i/>
        </w:rPr>
        <w:noBreakHyphen/>
      </w:r>
      <w:r w:rsidR="006959AB" w:rsidRPr="003D1C8A">
        <w:rPr>
          <w:i/>
        </w:rPr>
        <w:t>Brown</w:t>
      </w:r>
      <w:r w:rsidR="006959AB" w:rsidRPr="003D1C8A">
        <w:t>, 2008 SCC 18, [2008] 1 S.C.R. 456;</w:t>
      </w:r>
      <w:r w:rsidR="00CC56E8">
        <w:rPr>
          <w:i/>
        </w:rPr>
        <w:t xml:space="preserve"> R. v. Faqi</w:t>
      </w:r>
      <w:r w:rsidR="00D578F6" w:rsidRPr="003D1C8A">
        <w:t>, 2010 ABPC 157, 491 A.R. 194;</w:t>
      </w:r>
      <w:r w:rsidR="002D6A80" w:rsidRPr="003D1C8A">
        <w:rPr>
          <w:i/>
        </w:rPr>
        <w:t xml:space="preserve"> R. v. Looseley</w:t>
      </w:r>
      <w:r w:rsidR="002D6A80" w:rsidRPr="003D1C8A">
        <w:t>, [2001] UKHL 53, [2001] 4 All E.R. 897;</w:t>
      </w:r>
      <w:r w:rsidR="00786201" w:rsidRPr="003D1C8A">
        <w:rPr>
          <w:i/>
        </w:rPr>
        <w:t xml:space="preserve"> Beck v. State of Ohio</w:t>
      </w:r>
      <w:r w:rsidR="00786201" w:rsidRPr="003D1C8A">
        <w:t>, 85 S.Ct. 223 (1964);</w:t>
      </w:r>
      <w:r w:rsidR="005F5469" w:rsidRPr="003D1C8A">
        <w:rPr>
          <w:i/>
          <w:lang w:val="en"/>
        </w:rPr>
        <w:t xml:space="preserve"> R. v.</w:t>
      </w:r>
      <w:r w:rsidR="005F5469" w:rsidRPr="003D1C8A">
        <w:rPr>
          <w:lang w:val="en"/>
        </w:rPr>
        <w:t xml:space="preserve"> </w:t>
      </w:r>
      <w:r w:rsidR="005F5469" w:rsidRPr="003D1C8A">
        <w:rPr>
          <w:i/>
          <w:lang w:val="en"/>
        </w:rPr>
        <w:t>Swan</w:t>
      </w:r>
      <w:r w:rsidR="005F5469" w:rsidRPr="003D1C8A">
        <w:rPr>
          <w:lang w:val="en"/>
        </w:rPr>
        <w:t xml:space="preserve">, 2009 BCCA 142, </w:t>
      </w:r>
      <w:r w:rsidR="005F5469" w:rsidRPr="003D1C8A">
        <w:t>244 C.C.C. (3d) 108;</w:t>
      </w:r>
      <w:r w:rsidR="005F5469" w:rsidRPr="003D1C8A">
        <w:rPr>
          <w:i/>
        </w:rPr>
        <w:t xml:space="preserve"> R. v. McMahon</w:t>
      </w:r>
      <w:r w:rsidR="005F5469" w:rsidRPr="003D1C8A">
        <w:t>, 2018 SKCA 26, 361 C.C.C. (3d) 429;</w:t>
      </w:r>
      <w:r w:rsidR="000171CF" w:rsidRPr="003D1C8A">
        <w:rPr>
          <w:i/>
        </w:rPr>
        <w:t xml:space="preserve"> R. v. Jir</w:t>
      </w:r>
      <w:r w:rsidR="000171CF" w:rsidRPr="003D1C8A">
        <w:t>, 2010 BCCA 497, 264 C.C.C. (3d) 64;</w:t>
      </w:r>
      <w:r w:rsidR="003B5D8E" w:rsidRPr="003D1C8A">
        <w:rPr>
          <w:i/>
        </w:rPr>
        <w:t xml:space="preserve"> R. v. Whyte</w:t>
      </w:r>
      <w:r w:rsidR="003B5D8E" w:rsidRPr="003D1C8A">
        <w:t>, 2011 ONCA 24, 266 C.C.C. (3d) 5, aff’d 2011 SCC 49, [2011] 3 S.C.R. 364;</w:t>
      </w:r>
      <w:r w:rsidR="00681473" w:rsidRPr="003D1C8A">
        <w:rPr>
          <w:i/>
        </w:rPr>
        <w:t xml:space="preserve"> R. v. Marakah</w:t>
      </w:r>
      <w:r w:rsidR="00681473" w:rsidRPr="003D1C8A">
        <w:t>, 2017 SCC 59, [2017] 2 S.C.R. 608;</w:t>
      </w:r>
      <w:r w:rsidR="00236A92" w:rsidRPr="003D1C8A">
        <w:rPr>
          <w:i/>
        </w:rPr>
        <w:t xml:space="preserve"> R. v. Edwards</w:t>
      </w:r>
      <w:r w:rsidR="00236A92" w:rsidRPr="003D1C8A">
        <w:t>, [1996] 1 S.C.R. 128;</w:t>
      </w:r>
      <w:r w:rsidR="00F51FF8" w:rsidRPr="003D1C8A">
        <w:rPr>
          <w:i/>
        </w:rPr>
        <w:t xml:space="preserve"> R. v. Wong</w:t>
      </w:r>
      <w:r w:rsidR="00F51FF8" w:rsidRPr="003D1C8A">
        <w:t>, [1990] 3 S.C.R. 36;</w:t>
      </w:r>
      <w:r w:rsidR="007368C8" w:rsidRPr="003D1C8A">
        <w:rPr>
          <w:i/>
        </w:rPr>
        <w:t xml:space="preserve"> R. v. Dyment</w:t>
      </w:r>
      <w:r w:rsidR="007368C8" w:rsidRPr="003D1C8A">
        <w:t>, [1988] 2 S.C.R. 417;</w:t>
      </w:r>
      <w:r w:rsidR="00F443A4" w:rsidRPr="003D1C8A">
        <w:rPr>
          <w:i/>
        </w:rPr>
        <w:t xml:space="preserve"> R. v. Fearon</w:t>
      </w:r>
      <w:r w:rsidR="00F443A4" w:rsidRPr="003D1C8A">
        <w:t>, 2014 SCC 77, [2014] 3 S.C.R. 621;</w:t>
      </w:r>
      <w:r w:rsidR="00AE7698" w:rsidRPr="003D1C8A">
        <w:rPr>
          <w:i/>
        </w:rPr>
        <w:t xml:space="preserve"> R. v. Mills</w:t>
      </w:r>
      <w:r w:rsidR="00AE7698" w:rsidRPr="003D1C8A">
        <w:t>, 2019 SCC 22</w:t>
      </w:r>
      <w:r w:rsidR="00960131">
        <w:t>, [2019] 2 S.C.R. 320</w:t>
      </w:r>
      <w:r w:rsidR="00AE7698" w:rsidRPr="003D1C8A">
        <w:t>;</w:t>
      </w:r>
      <w:r w:rsidR="000557E1" w:rsidRPr="003D1C8A">
        <w:rPr>
          <w:i/>
        </w:rPr>
        <w:t xml:space="preserve"> R. v. Wilson</w:t>
      </w:r>
      <w:r w:rsidR="000557E1" w:rsidRPr="003D1C8A">
        <w:t>, [1990] 1 S.C.R. 1291;</w:t>
      </w:r>
      <w:r w:rsidR="00B117E2" w:rsidRPr="003D1C8A">
        <w:rPr>
          <w:i/>
        </w:rPr>
        <w:t xml:space="preserve"> R. v. Jacques</w:t>
      </w:r>
      <w:r w:rsidR="00B117E2" w:rsidRPr="003D1C8A">
        <w:t>, [1996] 3 S.C.R. 312;</w:t>
      </w:r>
      <w:r w:rsidR="00250B5B" w:rsidRPr="003D1C8A">
        <w:rPr>
          <w:i/>
          <w:iCs/>
        </w:rPr>
        <w:t xml:space="preserve"> United States v. Gooding</w:t>
      </w:r>
      <w:r w:rsidR="00250B5B" w:rsidRPr="003D1C8A">
        <w:t>, 695 F.2d 78 (1982);</w:t>
      </w:r>
      <w:r w:rsidR="004F52F3" w:rsidRPr="003D1C8A">
        <w:rPr>
          <w:i/>
        </w:rPr>
        <w:t xml:space="preserve"> Florida v. J. L.</w:t>
      </w:r>
      <w:r w:rsidR="004F52F3" w:rsidRPr="003D1C8A">
        <w:t>, 529 U.S. 266 (2000);</w:t>
      </w:r>
      <w:r w:rsidR="005C00DF" w:rsidRPr="003D1C8A">
        <w:rPr>
          <w:i/>
        </w:rPr>
        <w:t xml:space="preserve"> R. v. Olazo</w:t>
      </w:r>
      <w:r w:rsidR="005C00DF" w:rsidRPr="003D1C8A">
        <w:t>, 2012 BCCA 59, 287 C.C.C. (3d) 379;</w:t>
      </w:r>
      <w:r w:rsidR="00E958E7" w:rsidRPr="003D1C8A">
        <w:rPr>
          <w:i/>
        </w:rPr>
        <w:t xml:space="preserve"> R. v. Lal</w:t>
      </w:r>
      <w:r w:rsidR="00E958E7" w:rsidRPr="003D1C8A">
        <w:t xml:space="preserve"> (1998), 130 C.C.C. (3d) 413;</w:t>
      </w:r>
      <w:r w:rsidR="003D2CB3" w:rsidRPr="003D1C8A">
        <w:rPr>
          <w:i/>
        </w:rPr>
        <w:t xml:space="preserve"> R. v. Townsend</w:t>
      </w:r>
      <w:r w:rsidR="003D2CB3" w:rsidRPr="003D1C8A">
        <w:t xml:space="preserve">, [1997] O.J. </w:t>
      </w:r>
      <w:r w:rsidR="003D1C8A" w:rsidRPr="003D1C8A">
        <w:t>No. </w:t>
      </w:r>
      <w:r w:rsidR="003D2CB3" w:rsidRPr="003D1C8A">
        <w:t>6516 (QL);</w:t>
      </w:r>
      <w:r w:rsidR="00F15345" w:rsidRPr="003D1C8A">
        <w:rPr>
          <w:i/>
        </w:rPr>
        <w:t xml:space="preserve"> R. v. Williams</w:t>
      </w:r>
      <w:r w:rsidR="00F15345" w:rsidRPr="003D1C8A">
        <w:t>, 2010 ONSC 1698;</w:t>
      </w:r>
      <w:r w:rsidR="003A0BD0" w:rsidRPr="003D1C8A">
        <w:rPr>
          <w:i/>
        </w:rPr>
        <w:t xml:space="preserve"> R. v. Sawh</w:t>
      </w:r>
      <w:r w:rsidR="003A0BD0" w:rsidRPr="003D1C8A">
        <w:t>, 2016 ONSC 2776;</w:t>
      </w:r>
      <w:r w:rsidR="00AE435C" w:rsidRPr="003D1C8A">
        <w:rPr>
          <w:i/>
        </w:rPr>
        <w:t xml:space="preserve"> R. v. Pucci</w:t>
      </w:r>
      <w:r w:rsidR="00AE435C" w:rsidRPr="003D1C8A">
        <w:t>, 2018 ABCA 149, 359 C.C.C. (3d) 343;</w:t>
      </w:r>
      <w:r w:rsidR="00357E31" w:rsidRPr="003D1C8A">
        <w:rPr>
          <w:i/>
        </w:rPr>
        <w:t xml:space="preserve"> R. v. Clarke</w:t>
      </w:r>
      <w:r w:rsidR="00357E31" w:rsidRPr="003D1C8A">
        <w:t>, 2018 ONCJ 263;</w:t>
      </w:r>
      <w:r w:rsidR="00831C3D" w:rsidRPr="003D1C8A">
        <w:rPr>
          <w:i/>
        </w:rPr>
        <w:t xml:space="preserve"> R. v. Li</w:t>
      </w:r>
      <w:r w:rsidR="00831C3D" w:rsidRPr="003D1C8A">
        <w:t>, 2019 BCCA 344, 381 C.C.C. (3d) 363;</w:t>
      </w:r>
      <w:r w:rsidR="006E68D4" w:rsidRPr="003D1C8A">
        <w:rPr>
          <w:i/>
        </w:rPr>
        <w:t xml:space="preserve"> R. v. Arriagada</w:t>
      </w:r>
      <w:r w:rsidR="006E68D4" w:rsidRPr="003D1C8A">
        <w:t xml:space="preserve">, [2008] O.J. </w:t>
      </w:r>
      <w:r w:rsidR="003D1C8A" w:rsidRPr="003D1C8A">
        <w:t>No. </w:t>
      </w:r>
      <w:r w:rsidR="006E68D4" w:rsidRPr="003D1C8A">
        <w:t>5791 (QL);</w:t>
      </w:r>
      <w:r w:rsidR="00ED1337" w:rsidRPr="003D1C8A">
        <w:rPr>
          <w:i/>
        </w:rPr>
        <w:t xml:space="preserve"> R. v. Debot</w:t>
      </w:r>
      <w:r w:rsidR="00ED1337" w:rsidRPr="003D1C8A">
        <w:t>, [1989] 2 S.C.R. 1140;</w:t>
      </w:r>
      <w:r w:rsidR="00C37AE9" w:rsidRPr="003D1C8A">
        <w:rPr>
          <w:i/>
        </w:rPr>
        <w:t xml:space="preserve"> R. v. Saeed</w:t>
      </w:r>
      <w:r w:rsidR="00C37AE9" w:rsidRPr="003D1C8A">
        <w:t>, 2016 SCC 24, [2016] 1 S.C.R. 518;</w:t>
      </w:r>
      <w:r w:rsidR="006105A4" w:rsidRPr="003D1C8A">
        <w:rPr>
          <w:i/>
        </w:rPr>
        <w:t xml:space="preserve"> R. v. Mann</w:t>
      </w:r>
      <w:r w:rsidR="006105A4" w:rsidRPr="003D1C8A">
        <w:t>, 2004 SCC 52, [2004] 3 S.C.R. 59;</w:t>
      </w:r>
      <w:r w:rsidR="006105A4" w:rsidRPr="003D1C8A">
        <w:rPr>
          <w:i/>
        </w:rPr>
        <w:t xml:space="preserve"> R. v. MacDonald</w:t>
      </w:r>
      <w:r w:rsidR="006105A4" w:rsidRPr="003D1C8A">
        <w:t>, 2014 SCC 3, [2014] 1 S.C.R. 37;</w:t>
      </w:r>
      <w:r w:rsidR="00CC56E8">
        <w:rPr>
          <w:i/>
        </w:rPr>
        <w:t xml:space="preserve"> R. v. Vezina</w:t>
      </w:r>
      <w:r w:rsidR="00E748AD" w:rsidRPr="003D1C8A">
        <w:t>, 2014 CMAC 3, 461 N.R. 286;</w:t>
      </w:r>
      <w:r w:rsidR="00AE3860" w:rsidRPr="003D1C8A">
        <w:rPr>
          <w:i/>
        </w:rPr>
        <w:t xml:space="preserve"> R. v. Murdock </w:t>
      </w:r>
      <w:r w:rsidR="00AE3860" w:rsidRPr="003D1C8A">
        <w:t>(2003), 176 C.C.C. (3d) 232;</w:t>
      </w:r>
      <w:r w:rsidR="00CC56E8">
        <w:rPr>
          <w:i/>
        </w:rPr>
        <w:t xml:space="preserve"> R. v. Ralph</w:t>
      </w:r>
      <w:r w:rsidR="0012692E" w:rsidRPr="003D1C8A">
        <w:t>, 2014 ONCA 3, 313 O.A.C. 384;</w:t>
      </w:r>
      <w:r w:rsidR="007136EC" w:rsidRPr="003D1C8A">
        <w:rPr>
          <w:i/>
          <w:lang w:val="en-US"/>
        </w:rPr>
        <w:t xml:space="preserve"> R. v. Imoro</w:t>
      </w:r>
      <w:r w:rsidR="007136EC" w:rsidRPr="003D1C8A">
        <w:rPr>
          <w:lang w:val="en-US"/>
        </w:rPr>
        <w:t>, 2010 ONCA 122, 251 C.C.C. (3d) 131</w:t>
      </w:r>
      <w:r w:rsidR="00FC00D9" w:rsidRPr="003D1C8A">
        <w:rPr>
          <w:lang w:val="en-US"/>
        </w:rPr>
        <w:t xml:space="preserve">, aff’d 2010 SCC 50, </w:t>
      </w:r>
      <w:r w:rsidR="00FC00D9" w:rsidRPr="003D1C8A">
        <w:t>[2010] 3 S.C.R. 62</w:t>
      </w:r>
      <w:r w:rsidR="007136EC" w:rsidRPr="003D1C8A">
        <w:rPr>
          <w:lang w:val="en-US"/>
        </w:rPr>
        <w:t>;</w:t>
      </w:r>
      <w:r w:rsidR="00970B72" w:rsidRPr="003D1C8A">
        <w:rPr>
          <w:i/>
        </w:rPr>
        <w:t xml:space="preserve"> R. v. Gould</w:t>
      </w:r>
      <w:r w:rsidR="00970B72" w:rsidRPr="003D1C8A">
        <w:t>, 2016 ONSC 4069;</w:t>
      </w:r>
      <w:r w:rsidR="003824B4" w:rsidRPr="003D1C8A">
        <w:rPr>
          <w:i/>
        </w:rPr>
        <w:t xml:space="preserve"> R. v. Marino</w:t>
      </w:r>
      <w:r w:rsidR="003D1C8A" w:rsidRPr="003D1C8A">
        <w:rPr>
          <w:i/>
        </w:rPr>
        <w:noBreakHyphen/>
      </w:r>
      <w:r w:rsidR="003824B4" w:rsidRPr="003D1C8A">
        <w:rPr>
          <w:i/>
        </w:rPr>
        <w:t>Montero</w:t>
      </w:r>
      <w:r w:rsidR="003824B4" w:rsidRPr="003D1C8A">
        <w:t xml:space="preserve">, [2012] O.J. </w:t>
      </w:r>
      <w:r w:rsidR="003D1C8A" w:rsidRPr="003D1C8A">
        <w:t>No. </w:t>
      </w:r>
      <w:r w:rsidR="003824B4" w:rsidRPr="003D1C8A">
        <w:t>1287 (QL);</w:t>
      </w:r>
      <w:r w:rsidR="001C22F5" w:rsidRPr="003D1C8A">
        <w:rPr>
          <w:i/>
        </w:rPr>
        <w:t xml:space="preserve"> R. v. Izzard</w:t>
      </w:r>
      <w:r w:rsidR="001C22F5" w:rsidRPr="003D1C8A">
        <w:t xml:space="preserve">, [2012] O.J. </w:t>
      </w:r>
      <w:r w:rsidR="003D1C8A" w:rsidRPr="003D1C8A">
        <w:t>No. </w:t>
      </w:r>
      <w:r w:rsidR="001C22F5" w:rsidRPr="003D1C8A">
        <w:t>2516 (QL);</w:t>
      </w:r>
      <w:r w:rsidR="006C2DE3" w:rsidRPr="003D1C8A">
        <w:rPr>
          <w:i/>
          <w:lang w:val="en-US" w:bidi="en-US"/>
        </w:rPr>
        <w:t xml:space="preserve"> R. v. Gladue</w:t>
      </w:r>
      <w:r w:rsidR="006C2DE3" w:rsidRPr="003D1C8A">
        <w:rPr>
          <w:lang w:val="en-US" w:bidi="en-US"/>
        </w:rPr>
        <w:t>, 2012 ABCA 143, 285 C.C.C. (3d) 154;</w:t>
      </w:r>
      <w:r w:rsidR="00BD5FE7" w:rsidRPr="003D1C8A">
        <w:rPr>
          <w:i/>
          <w:lang w:val="en-US" w:bidi="en-US"/>
        </w:rPr>
        <w:t xml:space="preserve"> R. v. Stubbs</w:t>
      </w:r>
      <w:r w:rsidR="00BD5FE7" w:rsidRPr="003D1C8A">
        <w:rPr>
          <w:lang w:val="en-US" w:bidi="en-US"/>
        </w:rPr>
        <w:t>, 2012 ONSC 1882;</w:t>
      </w:r>
      <w:r w:rsidR="00C113EA" w:rsidRPr="003D1C8A">
        <w:t xml:space="preserve"> </w:t>
      </w:r>
      <w:r w:rsidR="00C113EA" w:rsidRPr="003D1C8A">
        <w:rPr>
          <w:i/>
          <w:lang w:val="en-US" w:bidi="en-US"/>
        </w:rPr>
        <w:t>R. v. Gladue</w:t>
      </w:r>
      <w:r w:rsidR="00C113EA" w:rsidRPr="003D1C8A">
        <w:rPr>
          <w:lang w:val="en-US" w:bidi="en-US"/>
        </w:rPr>
        <w:t>, 2011 ABQB 194, 54 Alta. L.R. (5th) 84;</w:t>
      </w:r>
      <w:r w:rsidR="00C60362" w:rsidRPr="003D1C8A">
        <w:t xml:space="preserve"> </w:t>
      </w:r>
      <w:r w:rsidR="00C60362" w:rsidRPr="003D1C8A">
        <w:rPr>
          <w:i/>
          <w:lang w:val="en-US" w:bidi="en-US"/>
        </w:rPr>
        <w:t>R. v. Coutre</w:t>
      </w:r>
      <w:r w:rsidR="00C60362" w:rsidRPr="003D1C8A">
        <w:rPr>
          <w:lang w:val="en-US" w:bidi="en-US"/>
        </w:rPr>
        <w:t>, 2013 ABQB 258, 557 A.R. 144</w:t>
      </w:r>
      <w:r w:rsidR="001E2DDF" w:rsidRPr="003D1C8A">
        <w:rPr>
          <w:lang w:val="en-US" w:bidi="en-US"/>
        </w:rPr>
        <w:t>.</w:t>
      </w:r>
    </w:p>
    <w:p w:rsidR="00DE1B35" w:rsidRPr="003D1C8A" w:rsidRDefault="00DE1B35" w:rsidP="00D84897">
      <w:pPr>
        <w:pStyle w:val="SCCNormalDoubleSpacing"/>
        <w:spacing w:after="720" w:line="240" w:lineRule="auto"/>
      </w:pPr>
      <w:r w:rsidRPr="003D1C8A">
        <w:t>By Moldaver</w:t>
      </w:r>
      <w:r w:rsidR="00D84897" w:rsidRPr="003D1C8A">
        <w:t> </w:t>
      </w:r>
      <w:r w:rsidRPr="003D1C8A">
        <w:t xml:space="preserve">J. </w:t>
      </w:r>
      <w:r w:rsidR="00E40B8E" w:rsidRPr="003D1C8A">
        <w:t>(dissenting in part)</w:t>
      </w:r>
    </w:p>
    <w:p w:rsidR="00DE1B35" w:rsidRPr="003D1C8A" w:rsidRDefault="00DE1B35" w:rsidP="00D84897">
      <w:pPr>
        <w:pStyle w:val="SCCNormalDoubleSpacing"/>
        <w:spacing w:after="480"/>
      </w:pPr>
      <w:r w:rsidRPr="003D1C8A">
        <w:rPr>
          <w:b/>
        </w:rPr>
        <w:tab/>
      </w:r>
      <w:r w:rsidRPr="003D1C8A">
        <w:rPr>
          <w:i/>
        </w:rPr>
        <w:t>R. v. Mack</w:t>
      </w:r>
      <w:r w:rsidRPr="003D1C8A">
        <w:t xml:space="preserve">, [1988] 2 S.C.R. 903; </w:t>
      </w:r>
      <w:r w:rsidRPr="003D1C8A">
        <w:rPr>
          <w:i/>
        </w:rPr>
        <w:t>R. v. Barnes</w:t>
      </w:r>
      <w:r w:rsidRPr="003D1C8A">
        <w:t xml:space="preserve">, [1991] 1 S.C.R. 449; </w:t>
      </w:r>
      <w:r w:rsidRPr="003D1C8A">
        <w:rPr>
          <w:i/>
        </w:rPr>
        <w:t>R. v. Campbell</w:t>
      </w:r>
      <w:r w:rsidRPr="003D1C8A">
        <w:t xml:space="preserve">, [1999] 1 S.C.R. 565; </w:t>
      </w:r>
      <w:r w:rsidRPr="003D1C8A">
        <w:rPr>
          <w:i/>
        </w:rPr>
        <w:t>R. v. Ahluwalia</w:t>
      </w:r>
      <w:r w:rsidRPr="003D1C8A">
        <w:t xml:space="preserve"> (2000), 149 C.C.C. (3d) 193; </w:t>
      </w:r>
      <w:r w:rsidRPr="003D1C8A">
        <w:rPr>
          <w:i/>
        </w:rPr>
        <w:t>R. v. Babos</w:t>
      </w:r>
      <w:r w:rsidRPr="003D1C8A">
        <w:t xml:space="preserve">, 2014 SCC 16, [2014] 1 S.C.R. 309; </w:t>
      </w:r>
      <w:r w:rsidRPr="003D1C8A">
        <w:rPr>
          <w:i/>
        </w:rPr>
        <w:t>R. v. Le</w:t>
      </w:r>
      <w:r w:rsidRPr="003D1C8A">
        <w:t xml:space="preserve">, 2016 BCCA 155, 28 C.R. (7th) 187; </w:t>
      </w:r>
      <w:r w:rsidRPr="003D1C8A">
        <w:rPr>
          <w:i/>
        </w:rPr>
        <w:t>R. v. Chehil</w:t>
      </w:r>
      <w:r w:rsidRPr="003D1C8A">
        <w:t xml:space="preserve">, 2013 SCC 49, [2013] 3 S.C.R. 220; </w:t>
      </w:r>
      <w:r w:rsidRPr="003D1C8A">
        <w:rPr>
          <w:i/>
        </w:rPr>
        <w:t>R. v. Kang</w:t>
      </w:r>
      <w:r w:rsidR="003D1C8A" w:rsidRPr="003D1C8A">
        <w:rPr>
          <w:i/>
        </w:rPr>
        <w:noBreakHyphen/>
      </w:r>
      <w:r w:rsidRPr="003D1C8A">
        <w:rPr>
          <w:i/>
        </w:rPr>
        <w:t>Brown</w:t>
      </w:r>
      <w:r w:rsidRPr="003D1C8A">
        <w:t xml:space="preserve">, 2008 SCC 18, [2008] 1 S.C.R. 456; </w:t>
      </w:r>
      <w:r w:rsidRPr="003D1C8A">
        <w:rPr>
          <w:i/>
        </w:rPr>
        <w:t>R. v. Henneh</w:t>
      </w:r>
      <w:r w:rsidRPr="003D1C8A">
        <w:t>, 2017 ONSC 4835</w:t>
      </w:r>
      <w:r w:rsidR="00D2269B" w:rsidRPr="003D1C8A">
        <w:t xml:space="preserve">, [2017] O.J. </w:t>
      </w:r>
      <w:r w:rsidR="003D1C8A" w:rsidRPr="003D1C8A">
        <w:t>No. </w:t>
      </w:r>
      <w:r w:rsidR="00D2269B" w:rsidRPr="003D1C8A">
        <w:t>7173</w:t>
      </w:r>
      <w:r w:rsidR="00960131">
        <w:t xml:space="preserve"> (QL);</w:t>
      </w:r>
      <w:r w:rsidRPr="003D1C8A">
        <w:t xml:space="preserve"> </w:t>
      </w:r>
      <w:r w:rsidRPr="003D1C8A">
        <w:rPr>
          <w:i/>
          <w:lang w:val="en-US"/>
        </w:rPr>
        <w:t>R. v. MacKenzie</w:t>
      </w:r>
      <w:r w:rsidRPr="003D1C8A">
        <w:rPr>
          <w:lang w:val="en-US"/>
        </w:rPr>
        <w:t xml:space="preserve">, 2013 SCC 50, [2013] 3 S.C.R. 250; </w:t>
      </w:r>
      <w:r w:rsidRPr="003D1C8A">
        <w:rPr>
          <w:i/>
        </w:rPr>
        <w:t>R. v. A.M.</w:t>
      </w:r>
      <w:r w:rsidRPr="003D1C8A">
        <w:t xml:space="preserve">, 2008 SCC 19, [2008] 1 S.C.R. 569; </w:t>
      </w:r>
      <w:r w:rsidRPr="003D1C8A">
        <w:rPr>
          <w:i/>
        </w:rPr>
        <w:t>R. v. Looseley</w:t>
      </w:r>
      <w:r w:rsidRPr="003D1C8A">
        <w:t xml:space="preserve">, [2001] UKHL 53, [2001] 4 All E.R. 897; </w:t>
      </w:r>
      <w:r w:rsidRPr="003D1C8A">
        <w:rPr>
          <w:i/>
        </w:rPr>
        <w:t>R. v. Dudhi</w:t>
      </w:r>
      <w:r w:rsidRPr="003D1C8A">
        <w:t xml:space="preserve">, 2019 ONCA 665, 147 O.R. (3d) 546; </w:t>
      </w:r>
      <w:r w:rsidRPr="003D1C8A">
        <w:rPr>
          <w:i/>
        </w:rPr>
        <w:t>Peart v. Peel Regional Police Services Board</w:t>
      </w:r>
      <w:r w:rsidRPr="003D1C8A">
        <w:t xml:space="preserve"> (2006), 43 C.R. (6th) 175; </w:t>
      </w:r>
      <w:r w:rsidRPr="003D1C8A">
        <w:rPr>
          <w:i/>
        </w:rPr>
        <w:t>R. v. Marakah</w:t>
      </w:r>
      <w:r w:rsidRPr="003D1C8A">
        <w:t xml:space="preserve">, 2017 SCC 59, [2017] 2 S.C.R. 608; </w:t>
      </w:r>
      <w:r w:rsidRPr="003D1C8A">
        <w:rPr>
          <w:i/>
        </w:rPr>
        <w:t>R. v. Fearon</w:t>
      </w:r>
      <w:r w:rsidRPr="003D1C8A">
        <w:t xml:space="preserve">, 2014 SCC 77, [2014] 3 S.C.R. 621; </w:t>
      </w:r>
      <w:r w:rsidRPr="003D1C8A">
        <w:rPr>
          <w:i/>
        </w:rPr>
        <w:t>R. v. Spencer</w:t>
      </w:r>
      <w:r w:rsidRPr="003D1C8A">
        <w:t xml:space="preserve">, 2014 SCC 43, [2014] 2 S.C.R. 212; </w:t>
      </w:r>
      <w:r w:rsidRPr="003D1C8A">
        <w:rPr>
          <w:i/>
        </w:rPr>
        <w:t>R. v. Plant</w:t>
      </w:r>
      <w:r w:rsidRPr="003D1C8A">
        <w:t>, [1993] 3 S.C.R. 281.</w:t>
      </w:r>
    </w:p>
    <w:p w:rsidR="003B215F" w:rsidRPr="003D1C8A" w:rsidRDefault="002E6705" w:rsidP="00D84897">
      <w:pPr>
        <w:pStyle w:val="SCCNormalDoubleSpacing"/>
        <w:spacing w:after="720" w:line="240" w:lineRule="auto"/>
      </w:pPr>
      <w:r w:rsidRPr="003D1C8A">
        <w:rPr>
          <w:b/>
        </w:rPr>
        <w:t>Statutes and Regulations Cite</w:t>
      </w:r>
      <w:r w:rsidR="00A41805" w:rsidRPr="003D1C8A">
        <w:rPr>
          <w:b/>
        </w:rPr>
        <w:t>d</w:t>
      </w:r>
    </w:p>
    <w:p w:rsidR="00A149DF" w:rsidRPr="003D1C8A" w:rsidRDefault="00BE2075" w:rsidP="00D84897">
      <w:pPr>
        <w:pStyle w:val="SCCNormalDoubleSpacing"/>
        <w:spacing w:after="240" w:line="240" w:lineRule="auto"/>
        <w:ind w:left="539" w:hanging="539"/>
      </w:pPr>
      <w:r w:rsidRPr="003D1C8A">
        <w:rPr>
          <w:i/>
        </w:rPr>
        <w:t>Canadian</w:t>
      </w:r>
      <w:r w:rsidR="007E4BB8" w:rsidRPr="003D1C8A">
        <w:rPr>
          <w:i/>
        </w:rPr>
        <w:t xml:space="preserve"> Charter of Rights and Freedoms</w:t>
      </w:r>
      <w:r w:rsidR="007E4BB8" w:rsidRPr="003D1C8A">
        <w:t>, s.</w:t>
      </w:r>
      <w:r w:rsidR="00F50C6D" w:rsidRPr="003D1C8A">
        <w:t> </w:t>
      </w:r>
      <w:r w:rsidR="007E4BB8" w:rsidRPr="003D1C8A">
        <w:t>8.</w:t>
      </w:r>
    </w:p>
    <w:p w:rsidR="00897242" w:rsidRPr="003D1C8A" w:rsidRDefault="00897242" w:rsidP="00D84897">
      <w:pPr>
        <w:pStyle w:val="SCCNormalDoubleSpacing"/>
        <w:spacing w:after="720" w:line="240" w:lineRule="auto"/>
        <w:ind w:left="540" w:hanging="540"/>
      </w:pPr>
      <w:r w:rsidRPr="003D1C8A">
        <w:rPr>
          <w:i/>
        </w:rPr>
        <w:t>Controlled Drugs and Substances Act</w:t>
      </w:r>
      <w:r w:rsidR="00F50C6D" w:rsidRPr="003D1C8A">
        <w:t>, S.C. 1996, c. </w:t>
      </w:r>
      <w:r w:rsidRPr="003D1C8A">
        <w:t xml:space="preserve">19, </w:t>
      </w:r>
      <w:r w:rsidR="003D1C8A" w:rsidRPr="003D1C8A">
        <w:t>ss. </w:t>
      </w:r>
      <w:r w:rsidR="00E876DE" w:rsidRPr="003D1C8A">
        <w:t>2</w:t>
      </w:r>
      <w:r w:rsidR="00F11A53" w:rsidRPr="003D1C8A">
        <w:t>(1)</w:t>
      </w:r>
      <w:r w:rsidR="00BF5217" w:rsidRPr="003D1C8A">
        <w:t xml:space="preserve"> “traffic”</w:t>
      </w:r>
      <w:r w:rsidR="00E876DE" w:rsidRPr="003D1C8A">
        <w:t>, 5(1).</w:t>
      </w:r>
    </w:p>
    <w:p w:rsidR="002E6705" w:rsidRPr="003D1C8A" w:rsidRDefault="002E6705" w:rsidP="00D84897">
      <w:pPr>
        <w:pStyle w:val="SCCNormalDoubleSpacing"/>
        <w:spacing w:after="720" w:line="240" w:lineRule="auto"/>
        <w:rPr>
          <w:b/>
        </w:rPr>
      </w:pPr>
      <w:r w:rsidRPr="003D1C8A">
        <w:rPr>
          <w:b/>
        </w:rPr>
        <w:t>Authors Cited</w:t>
      </w:r>
    </w:p>
    <w:p w:rsidR="00C337F7" w:rsidRPr="003D1C8A" w:rsidRDefault="00C337F7" w:rsidP="00D84897">
      <w:pPr>
        <w:pStyle w:val="SCCNormalDoubleSpacing"/>
        <w:spacing w:after="240" w:line="240" w:lineRule="auto"/>
        <w:ind w:left="539" w:hanging="539"/>
      </w:pPr>
      <w:r w:rsidRPr="003D1C8A">
        <w:t>Ashworth, Andrew. “Wh</w:t>
      </w:r>
      <w:r w:rsidR="00B42F3E" w:rsidRPr="003D1C8A">
        <w:t>at is Wrong with Entrapment?”</w:t>
      </w:r>
      <w:r w:rsidR="0055766E" w:rsidRPr="003D1C8A">
        <w:t>,</w:t>
      </w:r>
      <w:r w:rsidR="00B42F3E" w:rsidRPr="003D1C8A">
        <w:t xml:space="preserve"> [1999]</w:t>
      </w:r>
      <w:r w:rsidRPr="003D1C8A">
        <w:t xml:space="preserve"> </w:t>
      </w:r>
      <w:r w:rsidRPr="003D1C8A">
        <w:rPr>
          <w:i/>
        </w:rPr>
        <w:t xml:space="preserve">Sing. J.L.S. </w:t>
      </w:r>
      <w:r w:rsidRPr="003D1C8A">
        <w:t>293.</w:t>
      </w:r>
    </w:p>
    <w:p w:rsidR="00D44C8A" w:rsidRPr="003D1C8A" w:rsidRDefault="00D44C8A" w:rsidP="00D84897">
      <w:pPr>
        <w:pStyle w:val="SCCNormalDoubleSpacing"/>
        <w:spacing w:after="240" w:line="240" w:lineRule="auto"/>
        <w:ind w:left="539" w:hanging="539"/>
      </w:pPr>
      <w:r w:rsidRPr="003D1C8A">
        <w:t xml:space="preserve">Bronitt, Simon. “Sang is Dead, Loosely Speaking”, [2002] </w:t>
      </w:r>
      <w:r w:rsidRPr="003D1C8A">
        <w:rPr>
          <w:i/>
        </w:rPr>
        <w:t>Sing. J.L.S.</w:t>
      </w:r>
      <w:r w:rsidRPr="003D1C8A">
        <w:t xml:space="preserve"> 374.</w:t>
      </w:r>
    </w:p>
    <w:p w:rsidR="00C37457" w:rsidRPr="003D1C8A" w:rsidRDefault="00C37457" w:rsidP="00D84897">
      <w:pPr>
        <w:pStyle w:val="SCCNormalDoubleSpacing"/>
        <w:spacing w:after="240" w:line="240" w:lineRule="auto"/>
        <w:ind w:left="539" w:hanging="539"/>
      </w:pPr>
      <w:r w:rsidRPr="003D1C8A">
        <w:t xml:space="preserve">Bronitt, Simon. “The Law in Undercover Policing: A Comparative Study of Entrapment and Covert Interviewing in Australia, Canada and Europe” (2004), 33 </w:t>
      </w:r>
      <w:r w:rsidRPr="003D1C8A">
        <w:rPr>
          <w:i/>
        </w:rPr>
        <w:t>Comm. L. World Rev.</w:t>
      </w:r>
      <w:r w:rsidRPr="003D1C8A">
        <w:t xml:space="preserve"> 35.</w:t>
      </w:r>
    </w:p>
    <w:p w:rsidR="00B0348A" w:rsidRPr="003D1C8A" w:rsidRDefault="00B0348A" w:rsidP="00D84897">
      <w:pPr>
        <w:pStyle w:val="SCCNormalDoubleSpacing"/>
        <w:spacing w:after="240" w:line="240" w:lineRule="auto"/>
        <w:ind w:left="539" w:hanging="539"/>
      </w:pPr>
      <w:r w:rsidRPr="003D1C8A">
        <w:t>De Sa, Chris. “Entrapment: Clearly Misunderstood in the Dial</w:t>
      </w:r>
      <w:r w:rsidR="003D1C8A" w:rsidRPr="003D1C8A">
        <w:noBreakHyphen/>
      </w:r>
      <w:r w:rsidRPr="003D1C8A">
        <w:t>a</w:t>
      </w:r>
      <w:r w:rsidR="003D1C8A" w:rsidRPr="003D1C8A">
        <w:noBreakHyphen/>
      </w:r>
      <w:r w:rsidRPr="003D1C8A">
        <w:t xml:space="preserve">Dope Context” (2015), 62 </w:t>
      </w:r>
      <w:r w:rsidRPr="003D1C8A">
        <w:rPr>
          <w:i/>
        </w:rPr>
        <w:t>Crim</w:t>
      </w:r>
      <w:r w:rsidR="00D61615" w:rsidRPr="003D1C8A">
        <w:rPr>
          <w:i/>
        </w:rPr>
        <w:t>.</w:t>
      </w:r>
      <w:r w:rsidRPr="003D1C8A">
        <w:rPr>
          <w:i/>
        </w:rPr>
        <w:t xml:space="preserve"> L.Q.</w:t>
      </w:r>
      <w:r w:rsidRPr="003D1C8A">
        <w:t xml:space="preserve"> 200.</w:t>
      </w:r>
    </w:p>
    <w:p w:rsidR="0025529A" w:rsidRPr="003D1C8A" w:rsidRDefault="0025529A" w:rsidP="00D84897">
      <w:pPr>
        <w:pStyle w:val="SCCNormalDoubleSpacing"/>
        <w:spacing w:after="240" w:line="240" w:lineRule="auto"/>
        <w:ind w:left="539" w:hanging="539"/>
      </w:pPr>
      <w:r w:rsidRPr="003D1C8A">
        <w:rPr>
          <w:lang w:val="en-US"/>
        </w:rPr>
        <w:t xml:space="preserve">MacFarlane, </w:t>
      </w:r>
      <w:r w:rsidR="003B6A36" w:rsidRPr="003D1C8A">
        <w:rPr>
          <w:lang w:val="en-US"/>
        </w:rPr>
        <w:t>Bruce A., Robert </w:t>
      </w:r>
      <w:r w:rsidRPr="003D1C8A">
        <w:rPr>
          <w:lang w:val="en-US"/>
        </w:rPr>
        <w:t xml:space="preserve">J. Frater and Croft Michaelson. </w:t>
      </w:r>
      <w:r w:rsidRPr="003D1C8A">
        <w:rPr>
          <w:i/>
          <w:lang w:val="en-US"/>
        </w:rPr>
        <w:t>Drug Offences in Canada</w:t>
      </w:r>
      <w:r w:rsidRPr="003D1C8A">
        <w:rPr>
          <w:lang w:val="en-US"/>
        </w:rPr>
        <w:t xml:space="preserve">, 4th ed. Toronto: Thomson Reuters, 2019 </w:t>
      </w:r>
      <w:r w:rsidRPr="003D1C8A">
        <w:t>(loose</w:t>
      </w:r>
      <w:r w:rsidR="003D1C8A" w:rsidRPr="003D1C8A">
        <w:noBreakHyphen/>
      </w:r>
      <w:r w:rsidRPr="003D1C8A">
        <w:t>leaf updated December 2019, release 6).</w:t>
      </w:r>
    </w:p>
    <w:p w:rsidR="00A47672" w:rsidRPr="003D1C8A" w:rsidRDefault="00A47672" w:rsidP="00D84897">
      <w:pPr>
        <w:pStyle w:val="SCCNormalDoubleSpacing"/>
        <w:spacing w:after="240" w:line="240" w:lineRule="auto"/>
        <w:ind w:left="539" w:hanging="539"/>
      </w:pPr>
      <w:r w:rsidRPr="003D1C8A">
        <w:t xml:space="preserve">McLachlin, Beverley. “Courts, Transparency and Public Confidence — To the Better Administration of Justice” (2003), 8 </w:t>
      </w:r>
      <w:r w:rsidRPr="003D1C8A">
        <w:rPr>
          <w:i/>
        </w:rPr>
        <w:t>Deakin L. Rev.</w:t>
      </w:r>
      <w:r w:rsidRPr="003D1C8A">
        <w:t xml:space="preserve"> 1.</w:t>
      </w:r>
    </w:p>
    <w:p w:rsidR="004F0994" w:rsidRPr="003D1C8A" w:rsidRDefault="004F0994" w:rsidP="00D84897">
      <w:pPr>
        <w:pStyle w:val="SCCNormalDoubleSpacing"/>
        <w:spacing w:after="240" w:line="240" w:lineRule="auto"/>
        <w:ind w:left="539" w:hanging="539"/>
      </w:pPr>
      <w:r w:rsidRPr="003D1C8A">
        <w:t xml:space="preserve">Murphy, Brendon, and John Anderson. “After the Serpent Beguiled Me: Entrapment and Sentencing in Australia and Canada” (2014), 39 </w:t>
      </w:r>
      <w:r w:rsidRPr="003D1C8A">
        <w:rPr>
          <w:i/>
        </w:rPr>
        <w:t>Queen’s L.J.</w:t>
      </w:r>
      <w:r w:rsidRPr="003D1C8A">
        <w:t xml:space="preserve"> 621.</w:t>
      </w:r>
    </w:p>
    <w:p w:rsidR="00C9584E" w:rsidRPr="003D1C8A" w:rsidRDefault="00C9584E" w:rsidP="00D84897">
      <w:pPr>
        <w:pStyle w:val="SCCNormalDoubleSpacing"/>
        <w:spacing w:after="240" w:line="240" w:lineRule="auto"/>
        <w:ind w:left="539" w:hanging="539"/>
      </w:pPr>
      <w:r w:rsidRPr="003D1C8A">
        <w:t>Murphy, Brendon, and John Anderson. “‘Mates, Mr Big and the Unwary’: Ongoing Supply and its Relationship to Entrapment</w:t>
      </w:r>
      <w:r w:rsidR="009E396A" w:rsidRPr="003D1C8A">
        <w:t>”</w:t>
      </w:r>
      <w:r w:rsidRPr="003D1C8A">
        <w:t xml:space="preserve"> (2007), 19 </w:t>
      </w:r>
      <w:r w:rsidR="008D33D0" w:rsidRPr="003D1C8A">
        <w:rPr>
          <w:i/>
        </w:rPr>
        <w:t>C.I.C.J.</w:t>
      </w:r>
      <w:r w:rsidRPr="003D1C8A">
        <w:t xml:space="preserve"> 5.</w:t>
      </w:r>
    </w:p>
    <w:p w:rsidR="00611F52" w:rsidRPr="003D1C8A" w:rsidRDefault="00611F52" w:rsidP="00D84897">
      <w:pPr>
        <w:pStyle w:val="SCCNormalDoubleSpacing"/>
        <w:spacing w:after="240" w:line="240" w:lineRule="auto"/>
        <w:ind w:left="539" w:hanging="539"/>
      </w:pPr>
      <w:r w:rsidRPr="003D1C8A">
        <w:t xml:space="preserve">Ormerod, David, and Andrew Roberts. “The trouble with </w:t>
      </w:r>
      <w:r w:rsidRPr="003D1C8A">
        <w:rPr>
          <w:i/>
        </w:rPr>
        <w:t>Teixeira</w:t>
      </w:r>
      <w:r w:rsidRPr="003D1C8A">
        <w:t xml:space="preserve">: Developing a principled approach to entrapment” (2002), 6 </w:t>
      </w:r>
      <w:r w:rsidRPr="003D1C8A">
        <w:rPr>
          <w:i/>
        </w:rPr>
        <w:t>Int’l J. Evidence &amp; Proof</w:t>
      </w:r>
      <w:r w:rsidRPr="003D1C8A">
        <w:t xml:space="preserve"> 38.</w:t>
      </w:r>
    </w:p>
    <w:p w:rsidR="004F0994" w:rsidRPr="003D1C8A" w:rsidRDefault="004F0994" w:rsidP="00D84897">
      <w:pPr>
        <w:pStyle w:val="SCCNormalDoubleSpacing"/>
        <w:spacing w:after="240" w:line="240" w:lineRule="auto"/>
        <w:ind w:left="539" w:hanging="539"/>
      </w:pPr>
      <w:r w:rsidRPr="003D1C8A">
        <w:t xml:space="preserve">Penney, Steven. “Entrapment Minimalism: Shedding the ‘No Reasonable Suspicion or Bona Fide Inquiry’ Test” (2019), 44 </w:t>
      </w:r>
      <w:r w:rsidRPr="003D1C8A">
        <w:rPr>
          <w:i/>
        </w:rPr>
        <w:t>Queen’s L.J.</w:t>
      </w:r>
      <w:r w:rsidRPr="003D1C8A">
        <w:t xml:space="preserve"> 356.</w:t>
      </w:r>
    </w:p>
    <w:p w:rsidR="007E0E00" w:rsidRPr="003D1C8A" w:rsidRDefault="00237F52" w:rsidP="00D84897">
      <w:pPr>
        <w:pStyle w:val="SCCNormalDoubleSpacing"/>
        <w:spacing w:after="240" w:line="240" w:lineRule="auto"/>
        <w:ind w:left="539" w:hanging="539"/>
      </w:pPr>
      <w:r w:rsidRPr="003D1C8A">
        <w:t xml:space="preserve">Penney, Steven. “Standards of Suspicion” (2018), 65 </w:t>
      </w:r>
      <w:r w:rsidRPr="003D1C8A">
        <w:rPr>
          <w:i/>
        </w:rPr>
        <w:t>Crim. L.Q.</w:t>
      </w:r>
      <w:r w:rsidRPr="003D1C8A">
        <w:t xml:space="preserve"> 23.</w:t>
      </w:r>
    </w:p>
    <w:p w:rsidR="009A2698" w:rsidRPr="003D1C8A" w:rsidRDefault="00056DA3" w:rsidP="00D84897">
      <w:pPr>
        <w:pStyle w:val="SCCNormalDoubleSpacing"/>
        <w:spacing w:after="240" w:line="240" w:lineRule="auto"/>
        <w:ind w:left="539" w:hanging="539"/>
      </w:pPr>
      <w:r w:rsidRPr="003D1C8A">
        <w:t>Quigley, Ti</w:t>
      </w:r>
      <w:r w:rsidR="009A2698" w:rsidRPr="003D1C8A">
        <w:t xml:space="preserve">m. Annotation to </w:t>
      </w:r>
      <w:r w:rsidRPr="003D1C8A">
        <w:rPr>
          <w:i/>
        </w:rPr>
        <w:t>R. v. Sterling</w:t>
      </w:r>
      <w:r w:rsidRPr="003D1C8A">
        <w:t xml:space="preserve"> (2004), 23 C.R. (6th) 54.</w:t>
      </w:r>
    </w:p>
    <w:p w:rsidR="00A149DF" w:rsidRPr="003D1C8A" w:rsidRDefault="00C86840" w:rsidP="00D84897">
      <w:pPr>
        <w:pStyle w:val="SCCNormalDoubleSpacing"/>
        <w:spacing w:after="240" w:line="240" w:lineRule="auto"/>
        <w:ind w:left="539" w:hanging="539"/>
      </w:pPr>
      <w:r w:rsidRPr="003D1C8A">
        <w:t xml:space="preserve">Roach, Kent. “Entrapment and Equality in Terrorism Prosecutions: A Comparative Examination of North American and European </w:t>
      </w:r>
      <w:r w:rsidR="00817AF2" w:rsidRPr="003D1C8A">
        <w:t>Approaches</w:t>
      </w:r>
      <w:r w:rsidRPr="003D1C8A">
        <w:t xml:space="preserve">” (2011), 80 </w:t>
      </w:r>
      <w:r w:rsidRPr="003D1C8A">
        <w:rPr>
          <w:i/>
        </w:rPr>
        <w:t>Mi</w:t>
      </w:r>
      <w:r w:rsidR="003D1C8A" w:rsidRPr="003D1C8A">
        <w:rPr>
          <w:i/>
        </w:rPr>
        <w:t>ss. </w:t>
      </w:r>
      <w:r w:rsidRPr="003D1C8A">
        <w:rPr>
          <w:i/>
        </w:rPr>
        <w:t>L.J.</w:t>
      </w:r>
      <w:r w:rsidRPr="003D1C8A">
        <w:t xml:space="preserve"> 1455.</w:t>
      </w:r>
    </w:p>
    <w:p w:rsidR="00C86840" w:rsidRPr="003D1C8A" w:rsidRDefault="00E1702F" w:rsidP="00D84897">
      <w:pPr>
        <w:pStyle w:val="SCCNormalDoubleSpacing"/>
        <w:spacing w:after="240" w:line="240" w:lineRule="auto"/>
        <w:ind w:left="539" w:hanging="539"/>
      </w:pPr>
      <w:r w:rsidRPr="003D1C8A">
        <w:t>Sankoff, Peter, and S</w:t>
      </w:r>
      <w:r w:rsidRPr="003D1C8A">
        <w:rPr>
          <w:lang w:val="en-US"/>
        </w:rPr>
        <w:t xml:space="preserve">téphane </w:t>
      </w:r>
      <w:r w:rsidRPr="003D1C8A">
        <w:t>Perrault. “Suspicious Searches: What’s so Reasonable About Them?” (1999), 24 C.R. (5th) 123.</w:t>
      </w:r>
    </w:p>
    <w:p w:rsidR="007E4BB8" w:rsidRPr="003D1C8A" w:rsidRDefault="007E4BB8" w:rsidP="00D84897">
      <w:pPr>
        <w:pStyle w:val="SCCNormalDoubleSpacing"/>
        <w:spacing w:after="240" w:line="240" w:lineRule="auto"/>
        <w:ind w:left="539" w:hanging="539"/>
      </w:pPr>
      <w:r w:rsidRPr="003D1C8A">
        <w:t xml:space="preserve">Stuart, Don. </w:t>
      </w:r>
      <w:r w:rsidRPr="003D1C8A">
        <w:rPr>
          <w:i/>
        </w:rPr>
        <w:t>Canadian Criminal Law: A Treatise</w:t>
      </w:r>
      <w:r w:rsidRPr="003D1C8A">
        <w:t>, 7th ed. Toronto: Carswell, 2014.</w:t>
      </w:r>
    </w:p>
    <w:p w:rsidR="009A2698" w:rsidRPr="003D1C8A" w:rsidRDefault="003B6A36" w:rsidP="00D84897">
      <w:pPr>
        <w:pStyle w:val="SCCNormalDoubleSpacing"/>
        <w:spacing w:after="720" w:line="240" w:lineRule="auto"/>
        <w:ind w:left="540" w:hanging="540"/>
      </w:pPr>
      <w:r w:rsidRPr="003D1C8A">
        <w:t>Tanovich, David </w:t>
      </w:r>
      <w:r w:rsidR="00963EE1" w:rsidRPr="003D1C8A">
        <w:t xml:space="preserve">M. “Rethinking the </w:t>
      </w:r>
      <w:r w:rsidR="00963EE1" w:rsidRPr="003D1C8A">
        <w:rPr>
          <w:i/>
        </w:rPr>
        <w:t>Bona Fides</w:t>
      </w:r>
      <w:r w:rsidR="00963EE1" w:rsidRPr="003D1C8A">
        <w:t xml:space="preserve"> of Entrapment” (2011), 43 </w:t>
      </w:r>
      <w:r w:rsidR="00963EE1" w:rsidRPr="003D1C8A">
        <w:rPr>
          <w:i/>
        </w:rPr>
        <w:t>U.B.C. L. Rev.</w:t>
      </w:r>
      <w:r w:rsidR="00963EE1" w:rsidRPr="003D1C8A">
        <w:t xml:space="preserve"> 417.</w:t>
      </w:r>
    </w:p>
    <w:p w:rsidR="00656313" w:rsidRPr="003D1C8A" w:rsidRDefault="009B57B3" w:rsidP="00D84897">
      <w:pPr>
        <w:pStyle w:val="SCCNormalDoubleSpacing"/>
        <w:spacing w:after="480"/>
      </w:pPr>
      <w:r w:rsidRPr="003D1C8A">
        <w:tab/>
        <w:t>APPEAL</w:t>
      </w:r>
      <w:r w:rsidR="00A46F31" w:rsidRPr="003D1C8A">
        <w:t xml:space="preserve"> by </w:t>
      </w:r>
      <w:r w:rsidR="00DC07CB">
        <w:t xml:space="preserve">Javid </w:t>
      </w:r>
      <w:r w:rsidR="00A46F31" w:rsidRPr="003D1C8A">
        <w:t>Ahmad</w:t>
      </w:r>
      <w:r w:rsidRPr="003D1C8A">
        <w:t xml:space="preserve"> from a judgment of the </w:t>
      </w:r>
      <w:r w:rsidR="007427BE" w:rsidRPr="003D1C8A">
        <w:t xml:space="preserve">Ontario Court of Appeal </w:t>
      </w:r>
      <w:r w:rsidR="009E572F" w:rsidRPr="003D1C8A">
        <w:t>(Hourigan and</w:t>
      </w:r>
      <w:r w:rsidR="00697BBA" w:rsidRPr="003D1C8A">
        <w:t xml:space="preserve"> Brown</w:t>
      </w:r>
      <w:r w:rsidR="009E572F" w:rsidRPr="003D1C8A">
        <w:t xml:space="preserve"> JJ.A.</w:t>
      </w:r>
      <w:r w:rsidR="00697BBA" w:rsidRPr="003D1C8A">
        <w:t xml:space="preserve"> and Himel</w:t>
      </w:r>
      <w:r w:rsidR="009E572F" w:rsidRPr="003D1C8A">
        <w:t xml:space="preserve"> J. (</w:t>
      </w:r>
      <w:r w:rsidR="009E572F" w:rsidRPr="003D1C8A">
        <w:rPr>
          <w:i/>
        </w:rPr>
        <w:t>ad hoc</w:t>
      </w:r>
      <w:r w:rsidR="009E572F" w:rsidRPr="003D1C8A">
        <w:t>)</w:t>
      </w:r>
      <w:r w:rsidR="00697BBA" w:rsidRPr="003D1C8A">
        <w:t>)</w:t>
      </w:r>
      <w:r w:rsidR="009E572F" w:rsidRPr="003D1C8A">
        <w:t xml:space="preserve">, </w:t>
      </w:r>
      <w:r w:rsidR="00327D74" w:rsidRPr="003D1C8A">
        <w:t xml:space="preserve">2018 ONCA 534, 141 O.R. (3d) 241, 362 C.C.C. (3d) 36, [2018] O.J. </w:t>
      </w:r>
      <w:r w:rsidR="003D1C8A" w:rsidRPr="003D1C8A">
        <w:t>No. </w:t>
      </w:r>
      <w:r w:rsidR="00327D74" w:rsidRPr="003D1C8A">
        <w:t>3091 (QL), 2018 CarswellOnt 9268 (WL Can.)</w:t>
      </w:r>
      <w:r w:rsidR="00A46F31" w:rsidRPr="003D1C8A">
        <w:t>, affirming the conviction entered by Allen J., 2014 ONSC 3818</w:t>
      </w:r>
      <w:r w:rsidR="007427BE" w:rsidRPr="003D1C8A">
        <w:t xml:space="preserve">, [2014] O.J. </w:t>
      </w:r>
      <w:r w:rsidR="003D1C8A" w:rsidRPr="003D1C8A">
        <w:t>No. </w:t>
      </w:r>
      <w:r w:rsidR="007427BE" w:rsidRPr="003D1C8A">
        <w:t>3152 (QL), 2014 CarswellOnt 9012 (WL Can.),</w:t>
      </w:r>
      <w:r w:rsidR="00A46F31" w:rsidRPr="003D1C8A">
        <w:t xml:space="preserve"> and the dismissal of</w:t>
      </w:r>
      <w:r w:rsidR="00E66621">
        <w:t xml:space="preserve"> the</w:t>
      </w:r>
      <w:r w:rsidR="00A46F31" w:rsidRPr="003D1C8A">
        <w:t xml:space="preserve"> </w:t>
      </w:r>
      <w:r w:rsidR="00E66621">
        <w:t xml:space="preserve">application for a </w:t>
      </w:r>
      <w:r w:rsidR="00A46F31" w:rsidRPr="003D1C8A">
        <w:t xml:space="preserve">stay of proceedings, 2015 ONSC 652, [2015] O.J. </w:t>
      </w:r>
      <w:r w:rsidR="003D1C8A" w:rsidRPr="003D1C8A">
        <w:t>No. </w:t>
      </w:r>
      <w:r w:rsidR="00A46F31" w:rsidRPr="003D1C8A">
        <w:t>1519</w:t>
      </w:r>
      <w:r w:rsidR="007427BE" w:rsidRPr="003D1C8A">
        <w:t xml:space="preserve"> (QL)</w:t>
      </w:r>
      <w:r w:rsidR="00A46F31" w:rsidRPr="003D1C8A">
        <w:t>, 2015 CarswellOnt 4286 (WL Can.). Appeal dismissed.</w:t>
      </w:r>
    </w:p>
    <w:p w:rsidR="00A46F31" w:rsidRPr="003D1C8A" w:rsidRDefault="00A46F31" w:rsidP="00D84897">
      <w:pPr>
        <w:pStyle w:val="SCCNormalDoubleSpacing"/>
        <w:spacing w:after="480"/>
      </w:pPr>
      <w:r w:rsidRPr="003D1C8A">
        <w:tab/>
        <w:t xml:space="preserve">APPEAL by </w:t>
      </w:r>
      <w:r w:rsidR="00DC07CB">
        <w:t xml:space="preserve">Landon </w:t>
      </w:r>
      <w:r w:rsidRPr="003D1C8A">
        <w:t xml:space="preserve">Williams from a judgment of the </w:t>
      </w:r>
      <w:r w:rsidR="00AD5CB3" w:rsidRPr="003D1C8A">
        <w:t xml:space="preserve">Ontario </w:t>
      </w:r>
      <w:r w:rsidRPr="003D1C8A">
        <w:t xml:space="preserve">Court of </w:t>
      </w:r>
      <w:r w:rsidR="00AD5CB3" w:rsidRPr="003D1C8A">
        <w:t xml:space="preserve">Appeal </w:t>
      </w:r>
      <w:r w:rsidRPr="003D1C8A">
        <w:t>(Hourigan and Brown JJ.A. and Himel J. (</w:t>
      </w:r>
      <w:r w:rsidRPr="003D1C8A">
        <w:rPr>
          <w:i/>
        </w:rPr>
        <w:t>ad hoc</w:t>
      </w:r>
      <w:r w:rsidRPr="003D1C8A">
        <w:t xml:space="preserve">)), 2018 ONCA 534, 141 O.R. (3d) 241, 362 C.C.C. (3d) 36, [2018] O.J. </w:t>
      </w:r>
      <w:r w:rsidR="003D1C8A" w:rsidRPr="003D1C8A">
        <w:t>No. </w:t>
      </w:r>
      <w:r w:rsidRPr="003D1C8A">
        <w:t xml:space="preserve">3091 (QL), 2018 CarswellOnt 9268 (WL Can.), setting aside the stay of proceedings entered by Trotter J., 2014 ONSC 2370, 11 C.R. (7th) 110, [2014] O.J. </w:t>
      </w:r>
      <w:r w:rsidR="003D1C8A" w:rsidRPr="003D1C8A">
        <w:t>No. </w:t>
      </w:r>
      <w:r w:rsidRPr="003D1C8A">
        <w:t>1840</w:t>
      </w:r>
      <w:r w:rsidR="00AD5CB3" w:rsidRPr="003D1C8A">
        <w:t xml:space="preserve"> (QL)</w:t>
      </w:r>
      <w:r w:rsidRPr="003D1C8A">
        <w:t>, 20</w:t>
      </w:r>
      <w:r w:rsidR="008E426A" w:rsidRPr="003D1C8A">
        <w:t xml:space="preserve">14 CarswellOnt 5005 (WL Can.). </w:t>
      </w:r>
      <w:r w:rsidRPr="003D1C8A">
        <w:t xml:space="preserve">Appeal allowed, Wagner C.J. and Moldaver, </w:t>
      </w:r>
      <w:r w:rsidR="00FC406F" w:rsidRPr="003D1C8A">
        <w:t>Côté</w:t>
      </w:r>
      <w:r w:rsidRPr="003D1C8A">
        <w:t xml:space="preserve"> and Rowe JJ. dissenting.</w:t>
      </w:r>
    </w:p>
    <w:p w:rsidR="00E24061" w:rsidRPr="003D1C8A" w:rsidRDefault="00FF71C3" w:rsidP="00D84897">
      <w:pPr>
        <w:pStyle w:val="SCCNormalDoubleSpacing"/>
        <w:spacing w:after="480"/>
        <w:rPr>
          <w:rStyle w:val="SCCCounselPartyRoleChar"/>
        </w:rPr>
      </w:pPr>
      <w:r w:rsidRPr="003D1C8A">
        <w:rPr>
          <w:rStyle w:val="SCCCounselNameChar"/>
        </w:rPr>
        <w:tab/>
        <w:t>Michael</w:t>
      </w:r>
      <w:r w:rsidR="003B6A36" w:rsidRPr="003D1C8A">
        <w:rPr>
          <w:rStyle w:val="SCCCounselNameChar"/>
        </w:rPr>
        <w:t> </w:t>
      </w:r>
      <w:r w:rsidRPr="003D1C8A">
        <w:rPr>
          <w:rStyle w:val="SCCCounselNameChar"/>
        </w:rPr>
        <w:t>W. Lacy</w:t>
      </w:r>
      <w:r w:rsidRPr="003D1C8A">
        <w:rPr>
          <w:rStyle w:val="SCCCounselSeparatorChar"/>
        </w:rPr>
        <w:t xml:space="preserve"> and </w:t>
      </w:r>
      <w:r w:rsidRPr="003D1C8A">
        <w:rPr>
          <w:rStyle w:val="SCCCounselNameChar"/>
        </w:rPr>
        <w:t>Bryan Badali</w:t>
      </w:r>
      <w:r w:rsidRPr="003D1C8A">
        <w:rPr>
          <w:rStyle w:val="SCCCounselPartyRoleChar"/>
        </w:rPr>
        <w:t>, for the appellant</w:t>
      </w:r>
      <w:r w:rsidR="00D00E43" w:rsidRPr="003D1C8A">
        <w:rPr>
          <w:rStyle w:val="SCCCounselPartyRoleChar"/>
        </w:rPr>
        <w:t xml:space="preserve"> </w:t>
      </w:r>
      <w:r w:rsidR="00D00E43" w:rsidRPr="003D1C8A">
        <w:t>Javid Ahmad</w:t>
      </w:r>
      <w:r w:rsidRPr="003D1C8A">
        <w:rPr>
          <w:rStyle w:val="SCCCounselPartyRoleChar"/>
        </w:rPr>
        <w:t>.</w:t>
      </w:r>
    </w:p>
    <w:p w:rsidR="00D00E43" w:rsidRPr="003D1C8A" w:rsidRDefault="00D00E43" w:rsidP="00D84897">
      <w:pPr>
        <w:pStyle w:val="SCCNormalDoubleSpacing"/>
        <w:spacing w:after="480"/>
      </w:pPr>
      <w:r w:rsidRPr="003D1C8A">
        <w:rPr>
          <w:rStyle w:val="SCCCounselNameChar"/>
        </w:rPr>
        <w:tab/>
        <w:t>Owen Goddard</w:t>
      </w:r>
      <w:r w:rsidRPr="003D1C8A">
        <w:rPr>
          <w:rStyle w:val="SCCCounselSeparatorChar"/>
        </w:rPr>
        <w:t xml:space="preserve"> and </w:t>
      </w:r>
      <w:r w:rsidRPr="003D1C8A">
        <w:rPr>
          <w:rStyle w:val="SCCCounselNameChar"/>
        </w:rPr>
        <w:t>Janani Shanmuganathan</w:t>
      </w:r>
      <w:r w:rsidRPr="003D1C8A">
        <w:rPr>
          <w:rStyle w:val="SCCCounselPartyRoleChar"/>
        </w:rPr>
        <w:t xml:space="preserve">, for the appellant </w:t>
      </w:r>
      <w:r w:rsidRPr="003D1C8A">
        <w:t>Landon Williams</w:t>
      </w:r>
      <w:r w:rsidRPr="003D1C8A">
        <w:rPr>
          <w:rStyle w:val="SCCCounselPartyRoleChar"/>
        </w:rPr>
        <w:t>.</w:t>
      </w:r>
    </w:p>
    <w:p w:rsidR="00E24061" w:rsidRPr="003D1C8A" w:rsidRDefault="00F54989" w:rsidP="00D84897">
      <w:pPr>
        <w:pStyle w:val="SCCNormalDoubleSpacing"/>
        <w:spacing w:after="480"/>
      </w:pPr>
      <w:r w:rsidRPr="003D1C8A">
        <w:rPr>
          <w:rStyle w:val="SCCCounselNameChar"/>
        </w:rPr>
        <w:tab/>
        <w:t>Chris</w:t>
      </w:r>
      <w:r w:rsidR="00FF71C3" w:rsidRPr="003D1C8A">
        <w:rPr>
          <w:rStyle w:val="SCCCounselNameChar"/>
        </w:rPr>
        <w:t xml:space="preserve"> Greenwood</w:t>
      </w:r>
      <w:r w:rsidR="00FF71C3" w:rsidRPr="003D1C8A">
        <w:rPr>
          <w:rStyle w:val="SCCCounselSeparatorChar"/>
        </w:rPr>
        <w:t xml:space="preserve"> and </w:t>
      </w:r>
      <w:r w:rsidR="00FF71C3" w:rsidRPr="003D1C8A">
        <w:rPr>
          <w:rStyle w:val="SCCCounselNameChar"/>
        </w:rPr>
        <w:t>David Quayat</w:t>
      </w:r>
      <w:r w:rsidR="00FF71C3" w:rsidRPr="003D1C8A">
        <w:rPr>
          <w:rStyle w:val="SCCCounselPartyRoleChar"/>
        </w:rPr>
        <w:t>, for the respondent.</w:t>
      </w:r>
    </w:p>
    <w:p w:rsidR="00E24061" w:rsidRPr="003D1C8A" w:rsidRDefault="00FF71C3" w:rsidP="00D84897">
      <w:pPr>
        <w:pStyle w:val="SCCNormalDoubleSpacing"/>
        <w:spacing w:after="480"/>
      </w:pPr>
      <w:r w:rsidRPr="003D1C8A">
        <w:rPr>
          <w:rStyle w:val="SCCCounselNameChar"/>
        </w:rPr>
        <w:tab/>
        <w:t>Marilyn</w:t>
      </w:r>
      <w:r w:rsidR="003B6A36" w:rsidRPr="003D1C8A">
        <w:rPr>
          <w:rStyle w:val="SCCCounselNameChar"/>
        </w:rPr>
        <w:t> </w:t>
      </w:r>
      <w:r w:rsidRPr="003D1C8A">
        <w:rPr>
          <w:rStyle w:val="SCCCounselNameChar"/>
        </w:rPr>
        <w:t>E. Sandford</w:t>
      </w:r>
      <w:r w:rsidRPr="003D1C8A">
        <w:rPr>
          <w:rStyle w:val="SCCCounselNameChar"/>
          <w:i w:val="0"/>
        </w:rPr>
        <w:t>,</w:t>
      </w:r>
      <w:r w:rsidRPr="003D1C8A">
        <w:rPr>
          <w:rStyle w:val="SCCCounselNameChar"/>
        </w:rPr>
        <w:t xml:space="preserve"> Q.C.</w:t>
      </w:r>
      <w:r w:rsidR="00ED259D" w:rsidRPr="003D1C8A">
        <w:rPr>
          <w:rStyle w:val="SCCCounselNameChar"/>
          <w:i w:val="0"/>
        </w:rPr>
        <w:t xml:space="preserve">, </w:t>
      </w:r>
      <w:r w:rsidR="00ED259D" w:rsidRPr="003D1C8A">
        <w:rPr>
          <w:rStyle w:val="SCCCounselNameChar"/>
        </w:rPr>
        <w:t>Michael Sobkin</w:t>
      </w:r>
      <w:r w:rsidRPr="003D1C8A">
        <w:rPr>
          <w:rStyle w:val="SCCCounselSeparatorChar"/>
        </w:rPr>
        <w:t xml:space="preserve"> and </w:t>
      </w:r>
      <w:r w:rsidRPr="003D1C8A">
        <w:rPr>
          <w:rStyle w:val="SCCCounselNameChar"/>
        </w:rPr>
        <w:t>Kate Oja</w:t>
      </w:r>
      <w:r w:rsidRPr="003D1C8A">
        <w:rPr>
          <w:rStyle w:val="SCCCounselPartyRoleChar"/>
        </w:rPr>
        <w:t xml:space="preserve">, for the intervener </w:t>
      </w:r>
      <w:r w:rsidR="00E11E44" w:rsidRPr="003D1C8A">
        <w:rPr>
          <w:rStyle w:val="SCCCounselPartyRoleChar"/>
        </w:rPr>
        <w:t xml:space="preserve">the </w:t>
      </w:r>
      <w:r w:rsidRPr="003D1C8A">
        <w:rPr>
          <w:rStyle w:val="SCCCounselPartyRoleChar"/>
        </w:rPr>
        <w:t>British Columbia Civil Liberties Association.</w:t>
      </w:r>
    </w:p>
    <w:p w:rsidR="00E24061" w:rsidRPr="003D1C8A" w:rsidRDefault="00FF71C3" w:rsidP="00D84897">
      <w:pPr>
        <w:pStyle w:val="SCCNormalDoubleSpacing"/>
        <w:spacing w:after="480"/>
      </w:pPr>
      <w:r w:rsidRPr="003D1C8A">
        <w:rPr>
          <w:rStyle w:val="SCCCounselNameChar"/>
        </w:rPr>
        <w:tab/>
        <w:t>Ingrid Grant</w:t>
      </w:r>
      <w:r w:rsidRPr="003D1C8A">
        <w:rPr>
          <w:rStyle w:val="SCCCounselSeparatorChar"/>
        </w:rPr>
        <w:t xml:space="preserve"> and </w:t>
      </w:r>
      <w:r w:rsidRPr="003D1C8A">
        <w:rPr>
          <w:rStyle w:val="SCCCounselNameChar"/>
        </w:rPr>
        <w:t>Daniel Goldbloom</w:t>
      </w:r>
      <w:r w:rsidRPr="003D1C8A">
        <w:rPr>
          <w:rStyle w:val="SCCCounselPartyRoleChar"/>
        </w:rPr>
        <w:t xml:space="preserve">, for the intervener </w:t>
      </w:r>
      <w:r w:rsidR="00CC04D3" w:rsidRPr="003D1C8A">
        <w:rPr>
          <w:rStyle w:val="SCCCounselPartyRoleChar"/>
        </w:rPr>
        <w:t xml:space="preserve">the </w:t>
      </w:r>
      <w:r w:rsidRPr="003D1C8A">
        <w:rPr>
          <w:rStyle w:val="SCCCounselPartyRoleChar"/>
        </w:rPr>
        <w:t>Criminal Lawyers</w:t>
      </w:r>
      <w:r w:rsidR="00CC04D3" w:rsidRPr="003D1C8A">
        <w:rPr>
          <w:rStyle w:val="SCCCounselPartyRoleChar"/>
        </w:rPr>
        <w:t>’</w:t>
      </w:r>
      <w:r w:rsidRPr="003D1C8A">
        <w:rPr>
          <w:rStyle w:val="SCCCounselPartyRoleChar"/>
        </w:rPr>
        <w:t xml:space="preserve"> Association of Ontario.</w:t>
      </w:r>
    </w:p>
    <w:p w:rsidR="00E24061" w:rsidRPr="003D1C8A" w:rsidRDefault="00FF71C3" w:rsidP="00D84897">
      <w:pPr>
        <w:pStyle w:val="SCCNormalDoubleSpacing"/>
        <w:spacing w:after="480"/>
        <w:rPr>
          <w:rStyle w:val="SCCCounselPartyRoleChar"/>
        </w:rPr>
      </w:pPr>
      <w:r w:rsidRPr="003D1C8A">
        <w:rPr>
          <w:rStyle w:val="SCCCounselNameChar"/>
        </w:rPr>
        <w:tab/>
        <w:t>Martine Sallaberry</w:t>
      </w:r>
      <w:r w:rsidR="00CC04D3" w:rsidRPr="003D1C8A">
        <w:rPr>
          <w:rStyle w:val="SCCCounselNameChar"/>
        </w:rPr>
        <w:t xml:space="preserve"> </w:t>
      </w:r>
      <w:r w:rsidR="00CC04D3" w:rsidRPr="003D1C8A">
        <w:rPr>
          <w:rStyle w:val="SCCCounselNameChar"/>
          <w:i w:val="0"/>
        </w:rPr>
        <w:t xml:space="preserve">and </w:t>
      </w:r>
      <w:r w:rsidR="00CC04D3" w:rsidRPr="003D1C8A">
        <w:rPr>
          <w:rStyle w:val="SCCCounselNameChar"/>
        </w:rPr>
        <w:t>Norm Lipinski</w:t>
      </w:r>
      <w:r w:rsidRPr="003D1C8A">
        <w:rPr>
          <w:rStyle w:val="SCCCounselPartyRoleChar"/>
        </w:rPr>
        <w:t xml:space="preserve">, for the intervener </w:t>
      </w:r>
      <w:r w:rsidR="00CC04D3" w:rsidRPr="003D1C8A">
        <w:rPr>
          <w:rStyle w:val="SCCCounselPartyRoleChar"/>
        </w:rPr>
        <w:t xml:space="preserve">the </w:t>
      </w:r>
      <w:r w:rsidRPr="003D1C8A">
        <w:rPr>
          <w:rStyle w:val="SCCCounselPartyRoleChar"/>
        </w:rPr>
        <w:t>Canadian Association of Chiefs of Police.</w:t>
      </w:r>
    </w:p>
    <w:p w:rsidR="00E24061" w:rsidRPr="003D1C8A" w:rsidRDefault="00EB5EC8" w:rsidP="00E20D31">
      <w:pPr>
        <w:pStyle w:val="SCCNormalDoubleSpacing"/>
        <w:spacing w:after="480"/>
      </w:pPr>
      <w:r w:rsidRPr="003D1C8A">
        <w:rPr>
          <w:rStyle w:val="SCCCounselNameChar"/>
        </w:rPr>
        <w:tab/>
        <w:t>Alison M. Latimer</w:t>
      </w:r>
      <w:r w:rsidRPr="003D1C8A">
        <w:rPr>
          <w:rStyle w:val="SCCCounselPartyRoleChar"/>
        </w:rPr>
        <w:t>, for the intervener the Independent Cr</w:t>
      </w:r>
      <w:r w:rsidR="00E20D31">
        <w:rPr>
          <w:rStyle w:val="SCCCounselPartyRoleChar"/>
        </w:rPr>
        <w:t>iminal Defence Advocacy Society.</w:t>
      </w:r>
    </w:p>
    <w:p w:rsidR="00E53404" w:rsidRDefault="00E53404" w:rsidP="00E20D31">
      <w:pPr>
        <w:spacing w:after="480" w:line="480" w:lineRule="auto"/>
        <w:ind w:firstLine="720"/>
      </w:pPr>
      <w:r w:rsidRPr="00173A02">
        <w:t xml:space="preserve">The judgment of </w:t>
      </w:r>
      <w:r>
        <w:t xml:space="preserve">Abella, </w:t>
      </w:r>
      <w:r w:rsidRPr="00153552">
        <w:t>Karakatsanis, Brown, Martin and Kasirer</w:t>
      </w:r>
      <w:r>
        <w:t xml:space="preserve"> JJ. </w:t>
      </w:r>
      <w:r w:rsidRPr="00173A02">
        <w:t>was delivered by</w:t>
      </w:r>
    </w:p>
    <w:p w:rsidR="00E53404" w:rsidRPr="00FE777D" w:rsidRDefault="00E53404" w:rsidP="00E53404">
      <w:pPr>
        <w:pStyle w:val="JudgeJuge"/>
      </w:pPr>
      <w:r w:rsidRPr="00FE777D">
        <w:tab/>
        <w:t>Karakatsanis, Brown and Martin JJ.</w:t>
      </w:r>
      <w:r w:rsidR="00723F5D">
        <w:t xml:space="preserve"> </w:t>
      </w:r>
      <w:r w:rsidRPr="00FE777D">
        <w:t>—</w:t>
      </w:r>
    </w:p>
    <w:p w:rsidR="00E53404" w:rsidRPr="00FE777D" w:rsidRDefault="00E53404" w:rsidP="00E53404">
      <w:pPr>
        <w:pStyle w:val="Title1LevelTitre1Niveau-AltL"/>
        <w:numPr>
          <w:ilvl w:val="0"/>
          <w:numId w:val="8"/>
        </w:numPr>
        <w:rPr>
          <w:rFonts w:cs="Times New Roman"/>
        </w:rPr>
      </w:pPr>
      <w:r w:rsidRPr="00FE777D">
        <w:rPr>
          <w:rFonts w:cs="Times New Roman"/>
        </w:rPr>
        <w:t>Introduction</w:t>
      </w:r>
    </w:p>
    <w:p w:rsidR="00E53404" w:rsidRPr="00FE777D" w:rsidRDefault="00E53404" w:rsidP="00E53404">
      <w:pPr>
        <w:pStyle w:val="ParaNoNdepar-AltN"/>
        <w:rPr>
          <w:rFonts w:cs="Times New Roman"/>
        </w:rPr>
      </w:pPr>
      <w:r w:rsidRPr="00FE777D">
        <w:rPr>
          <w:rFonts w:cs="Times New Roman"/>
        </w:rPr>
        <w:t>As state actors, police must respect the rights and freedoms of all Canadians and be accountable to the public they serve and protect. At the same time, police require various investigative techniques to enforce the criminal law. While giving wide latitude to police to investigate crime in the public interest, the law also imposes constraints on certain police methods.</w:t>
      </w:r>
    </w:p>
    <w:p w:rsidR="00E53404" w:rsidRPr="00FE777D" w:rsidRDefault="00E53404" w:rsidP="00E53404">
      <w:pPr>
        <w:pStyle w:val="ParaNoNdepar-AltN"/>
        <w:rPr>
          <w:rFonts w:cs="Times New Roman"/>
        </w:rPr>
      </w:pPr>
      <w:r w:rsidRPr="00FE777D">
        <w:rPr>
          <w:rFonts w:cs="Times New Roman"/>
        </w:rPr>
        <w:t xml:space="preserve">For that reason, this Court in </w:t>
      </w:r>
      <w:r w:rsidRPr="00FE777D">
        <w:rPr>
          <w:rFonts w:cs="Times New Roman"/>
          <w:i/>
        </w:rPr>
        <w:t>R. v. Mack</w:t>
      </w:r>
      <w:r w:rsidRPr="00FE777D">
        <w:rPr>
          <w:rFonts w:cs="Times New Roman"/>
        </w:rPr>
        <w:t>, [1988] 2 S.C.R. 903, sanctioned, but narrowly confined, the power of police to step beyond their normal investigative role and tempt people into committing criminal offences. Where they do so without reasonable suspicion, or where they go further and induce the commission of a criminal offence, they commit entrapment. Without a requirement of reasonable suspicion, the police could target individuals at random, thereby invading people’s privacy, exposing them to temptation and generating crimes that would not otherwise have occurred. Such conduct threatens the rule of law, undermines society’s sense of decency, justice and fair play, and amounts to an abuse of the legal process of such significance that, where it is shown to have occurred, a stay of proceedings is required.</w:t>
      </w:r>
    </w:p>
    <w:p w:rsidR="00E53404" w:rsidRPr="00FE777D" w:rsidRDefault="00E53404" w:rsidP="00E53404">
      <w:pPr>
        <w:pStyle w:val="ParaNoNdepar-AltN"/>
        <w:rPr>
          <w:rFonts w:cs="Times New Roman"/>
        </w:rPr>
      </w:pPr>
      <w:r w:rsidRPr="00FE777D">
        <w:rPr>
          <w:rFonts w:cs="Times New Roman"/>
        </w:rPr>
        <w:t>These appeals concern the application of this settled doctrine to investigations of suspected dial</w:t>
      </w:r>
      <w:r w:rsidRPr="00FE777D">
        <w:rPr>
          <w:rFonts w:cs="Times New Roman"/>
        </w:rPr>
        <w:noBreakHyphen/>
        <w:t>a</w:t>
      </w:r>
      <w:r w:rsidRPr="00FE777D">
        <w:rPr>
          <w:rFonts w:cs="Times New Roman"/>
        </w:rPr>
        <w:noBreakHyphen/>
        <w:t>dope operations, in which drug traffickers use cell phones to connect with their customers and sell them illicit drugs. Specifically, we are asked to determine when and how reasonable suspicion is established when an officer receives a tip or information that a phone number may be used for drug dealing.</w:t>
      </w:r>
    </w:p>
    <w:p w:rsidR="00E53404" w:rsidRPr="00FE777D" w:rsidRDefault="00E53404" w:rsidP="00E53404">
      <w:pPr>
        <w:pStyle w:val="ParaNoNdepar-AltN"/>
        <w:rPr>
          <w:rFonts w:cs="Times New Roman"/>
        </w:rPr>
      </w:pPr>
      <w:r w:rsidRPr="00FE777D">
        <w:rPr>
          <w:rFonts w:cs="Times New Roman"/>
        </w:rPr>
        <w:t xml:space="preserve">We say our jurisprudence affirms that police cannot offer a person who answers a cell phone the opportunity to commit an offence without having formed reasonable suspicion that the person using that phone, or that phone number, is engaged in criminal activity. Whether the police are targeting a person, place or phone number, the legal standard for entrapment is a uniform one, requiring reasonable suspicion in </w:t>
      </w:r>
      <w:r w:rsidRPr="00FE777D">
        <w:rPr>
          <w:rFonts w:cs="Times New Roman"/>
          <w:i/>
        </w:rPr>
        <w:t>all</w:t>
      </w:r>
      <w:r w:rsidRPr="00FE777D">
        <w:rPr>
          <w:rFonts w:cs="Times New Roman"/>
        </w:rPr>
        <w:t xml:space="preserve"> cases where police provide an opportunity to commit a criminal offence. Reasonable suspicion is a familiar legal standard that provides courts with the necessary objective basis on which to determine whether the police have justified their actions. A bare tip from an unverified source that someone is dealing drugs from a phone number cannot ground reasonable suspicion.</w:t>
      </w:r>
    </w:p>
    <w:p w:rsidR="00E53404" w:rsidRPr="00FE777D" w:rsidRDefault="00E53404" w:rsidP="00E53404">
      <w:pPr>
        <w:pStyle w:val="ParaNoNdepar-AltN"/>
        <w:rPr>
          <w:rFonts w:cs="Times New Roman"/>
        </w:rPr>
      </w:pPr>
      <w:r w:rsidRPr="00FE777D">
        <w:rPr>
          <w:rFonts w:cs="Times New Roman"/>
        </w:rPr>
        <w:t>In each of these two appeals, the police received an unsubstantiated tip that a phone number was associated with drug dealing. An officer called the number and, after a brief conversation, requested drugs. In Javid Ahmad’s case, the trial judge, Allen J., concluded that Ahmad was not entrapped because the police did not offer him an opportunity to traffic drugs until they had sufficiently corroborated the tip in the course of the conversation (2015 ONSC 652). In Landon Williams’ case, Trotter J. found that Williams was entrapped because the police provided him an opportunity to sell cocaine before forming a reasonable suspicion that he was engaged in drug trafficking (20</w:t>
      </w:r>
      <w:r w:rsidR="00CC56E8">
        <w:rPr>
          <w:rFonts w:cs="Times New Roman"/>
        </w:rPr>
        <w:t>14 ONSC 2370, 11 C.R. (7th)</w:t>
      </w:r>
      <w:r w:rsidR="003874D1">
        <w:rPr>
          <w:rFonts w:cs="Times New Roman"/>
        </w:rPr>
        <w:t xml:space="preserve"> 110</w:t>
      </w:r>
      <w:r w:rsidRPr="00FE777D">
        <w:rPr>
          <w:rFonts w:cs="Times New Roman"/>
        </w:rPr>
        <w:t>). The Court of Appeal dismissed Ahmad’s appeal and allowed the Crown appeal in Williams’ case (2018 ONCA 534, 141 O.R. (3d) 241).</w:t>
      </w:r>
    </w:p>
    <w:p w:rsidR="00E53404" w:rsidRPr="00FE777D" w:rsidRDefault="00E53404" w:rsidP="00E53404">
      <w:pPr>
        <w:pStyle w:val="ParaNoNdepar-AltN"/>
        <w:rPr>
          <w:rFonts w:cs="Times New Roman"/>
        </w:rPr>
      </w:pPr>
      <w:r w:rsidRPr="00FE777D">
        <w:rPr>
          <w:rFonts w:cs="Times New Roman"/>
        </w:rPr>
        <w:t xml:space="preserve">Applying </w:t>
      </w:r>
      <w:r w:rsidRPr="00FE777D">
        <w:rPr>
          <w:rFonts w:cs="Times New Roman"/>
          <w:i/>
        </w:rPr>
        <w:t>Mack</w:t>
      </w:r>
      <w:r w:rsidRPr="00FE777D">
        <w:rPr>
          <w:rFonts w:cs="Times New Roman"/>
        </w:rPr>
        <w:t>, we agree with both trial judges. Ahmad was not entrapped, but Williams was. We would therefore dismiss Ahmad’s appeal but allow Williams’ appeal.</w:t>
      </w:r>
    </w:p>
    <w:p w:rsidR="00E53404" w:rsidRPr="00FE777D" w:rsidRDefault="00E53404" w:rsidP="00E53404">
      <w:pPr>
        <w:pStyle w:val="Title1LevelTitre1Niveau-AltL"/>
        <w:numPr>
          <w:ilvl w:val="0"/>
          <w:numId w:val="8"/>
        </w:numPr>
        <w:rPr>
          <w:rFonts w:cs="Times New Roman"/>
        </w:rPr>
      </w:pPr>
      <w:r w:rsidRPr="00FE777D">
        <w:rPr>
          <w:rFonts w:cs="Times New Roman"/>
        </w:rPr>
        <w:t>Background</w:t>
      </w:r>
    </w:p>
    <w:p w:rsidR="00E53404" w:rsidRPr="00FE777D" w:rsidRDefault="00E53404" w:rsidP="00E53404">
      <w:pPr>
        <w:pStyle w:val="Title2LevelTitre2Niveau"/>
        <w:numPr>
          <w:ilvl w:val="1"/>
          <w:numId w:val="8"/>
        </w:numPr>
        <w:rPr>
          <w:rFonts w:cs="Times New Roman"/>
        </w:rPr>
      </w:pPr>
      <w:r w:rsidRPr="00FE777D">
        <w:rPr>
          <w:rFonts w:cs="Times New Roman"/>
        </w:rPr>
        <w:t>Ahmad</w:t>
      </w:r>
    </w:p>
    <w:p w:rsidR="00E53404" w:rsidRPr="00FE777D" w:rsidRDefault="00E53404" w:rsidP="00E53404">
      <w:pPr>
        <w:pStyle w:val="ParaNoNdepar-AltN"/>
        <w:rPr>
          <w:rFonts w:cs="Times New Roman"/>
          <w:lang w:val="en-US"/>
        </w:rPr>
      </w:pPr>
      <w:r w:rsidRPr="00FE777D">
        <w:rPr>
          <w:rFonts w:cs="Times New Roman"/>
          <w:lang w:val="en-US"/>
        </w:rPr>
        <w:t>Detective Constable Michael Limsiaco received information from another officer that a person named “Romeo” was selling drugs using a specified phone number. D.C. Limsiaco called the number without investigating the reliability of the information or how the other officer had procured it. D.C. Limsiaco’s understanding was that the other officer had received the tip from a confidential source.</w:t>
      </w:r>
    </w:p>
    <w:p w:rsidR="00E53404" w:rsidRPr="00FE777D" w:rsidRDefault="00E53404" w:rsidP="00E53404">
      <w:pPr>
        <w:pStyle w:val="ParaNoNdepar-AltN"/>
        <w:rPr>
          <w:rFonts w:cs="Times New Roman"/>
          <w:lang w:val="en-US"/>
        </w:rPr>
      </w:pPr>
      <w:r w:rsidRPr="00FE777D">
        <w:rPr>
          <w:rFonts w:cs="Times New Roman"/>
          <w:lang w:val="en-US"/>
        </w:rPr>
        <w:t>After a brief conversation</w:t>
      </w:r>
      <w:r w:rsidR="00CC56E8">
        <w:rPr>
          <w:rFonts w:cs="Times New Roman"/>
          <w:lang w:val="en-US"/>
        </w:rPr>
        <w:t>, the officer asked for “2 soft</w:t>
      </w:r>
      <w:r w:rsidRPr="00FE777D">
        <w:rPr>
          <w:rFonts w:cs="Times New Roman"/>
          <w:lang w:val="en-US"/>
        </w:rPr>
        <w:t>”</w:t>
      </w:r>
      <w:r w:rsidR="00CC56E8">
        <w:rPr>
          <w:rFonts w:cs="Times New Roman"/>
          <w:lang w:val="en-US"/>
        </w:rPr>
        <w:t>,</w:t>
      </w:r>
      <w:r w:rsidRPr="00FE777D">
        <w:rPr>
          <w:rFonts w:cs="Times New Roman"/>
          <w:lang w:val="en-US"/>
        </w:rPr>
        <w:t xml:space="preserve"> meaning two grams of powder cocaine. The man on the line subsequently agreed to meet to effect the sale. The officer went to the meeting place, called the number again, met the man who answered the phone, and exchanged $140 for two small plastic bags of cocaine. Police arrested and searched the man, later revealed to be Ahmad. On his person, police found an envelope with the handwritten word “Romeo” on it containing cash, the $140, the cell phone that had been used to set up the transaction, and two small bags of powder cocaine. In Ahmad’s backpack, the police found a large quantity of cocaine and three envelopes containing cash.</w:t>
      </w:r>
    </w:p>
    <w:p w:rsidR="00E53404" w:rsidRPr="00FE777D" w:rsidRDefault="00E53404" w:rsidP="00E53404">
      <w:pPr>
        <w:pStyle w:val="ParaNoNdepar-AltN"/>
        <w:rPr>
          <w:rFonts w:cs="Times New Roman"/>
          <w:lang w:val="en-US"/>
        </w:rPr>
      </w:pPr>
      <w:r w:rsidRPr="00FE777D">
        <w:rPr>
          <w:rFonts w:cs="Times New Roman"/>
          <w:lang w:val="en-US"/>
        </w:rPr>
        <w:t>Allen J. concluded that Ahmad was not entrapped. Ahmad was convicted of one count of possession of cocaine for the purpose of trafficking, and two counts of possession of the proceeds of crime.</w:t>
      </w:r>
    </w:p>
    <w:p w:rsidR="00E53404" w:rsidRPr="00FE777D" w:rsidRDefault="00E53404" w:rsidP="00E53404">
      <w:pPr>
        <w:pStyle w:val="Title2LevelTitre2Niveau"/>
        <w:numPr>
          <w:ilvl w:val="1"/>
          <w:numId w:val="8"/>
        </w:numPr>
        <w:rPr>
          <w:rFonts w:cs="Times New Roman"/>
        </w:rPr>
      </w:pPr>
      <w:r w:rsidRPr="00FE777D">
        <w:rPr>
          <w:rFonts w:cs="Times New Roman"/>
        </w:rPr>
        <w:t>Williams</w:t>
      </w:r>
    </w:p>
    <w:p w:rsidR="00E53404" w:rsidRPr="00FE777D" w:rsidRDefault="00E53404" w:rsidP="00E53404">
      <w:pPr>
        <w:pStyle w:val="ParaNoNdepar-AltN"/>
        <w:rPr>
          <w:rFonts w:cs="Times New Roman"/>
          <w:lang w:val="en-US"/>
        </w:rPr>
      </w:pPr>
      <w:r w:rsidRPr="00FE777D">
        <w:rPr>
          <w:rFonts w:cs="Times New Roman"/>
          <w:lang w:val="en-US"/>
        </w:rPr>
        <w:t xml:space="preserve">Detective Constable Brooke Hewson, a member of the drug squad, received an information package </w:t>
      </w:r>
      <w:r w:rsidR="002B3749">
        <w:rPr>
          <w:rFonts w:cs="Times New Roman"/>
          <w:lang w:val="en-US"/>
        </w:rPr>
        <w:t>from another officer about “Jay</w:t>
      </w:r>
      <w:r w:rsidRPr="00FE777D">
        <w:rPr>
          <w:rFonts w:cs="Times New Roman"/>
          <w:lang w:val="en-US"/>
        </w:rPr>
        <w:t>”</w:t>
      </w:r>
      <w:r w:rsidR="002B3749">
        <w:rPr>
          <w:rFonts w:cs="Times New Roman"/>
          <w:lang w:val="en-US"/>
        </w:rPr>
        <w:t>,</w:t>
      </w:r>
      <w:r w:rsidRPr="00FE777D">
        <w:rPr>
          <w:rFonts w:cs="Times New Roman"/>
          <w:lang w:val="en-US"/>
        </w:rPr>
        <w:t xml:space="preserve"> who was alleged to be selling cocaine in a certain area in Toronto. The package identified “Jay” as Landon Williams and included a collection of information about him, including that, according to a tip, he was a “cocaine dealer” who worked in a certain area. The record discloses that the tip was from a confidential source of unknown reliability but not what the tip actually said, how Williams</w:t>
      </w:r>
      <w:r w:rsidR="002B3749">
        <w:rPr>
          <w:rFonts w:cs="Times New Roman"/>
          <w:lang w:val="en-US"/>
        </w:rPr>
        <w:t xml:space="preserve"> was connected to the name “Jay</w:t>
      </w:r>
      <w:r w:rsidRPr="00FE777D">
        <w:rPr>
          <w:rFonts w:cs="Times New Roman"/>
          <w:lang w:val="en-US"/>
        </w:rPr>
        <w:t>”</w:t>
      </w:r>
      <w:r w:rsidR="002B3749">
        <w:rPr>
          <w:rFonts w:cs="Times New Roman"/>
          <w:lang w:val="en-US"/>
        </w:rPr>
        <w:t>,</w:t>
      </w:r>
      <w:r w:rsidRPr="00FE777D">
        <w:rPr>
          <w:rFonts w:cs="Times New Roman"/>
          <w:lang w:val="en-US"/>
        </w:rPr>
        <w:t xml:space="preserve"> or the currency of the information.</w:t>
      </w:r>
    </w:p>
    <w:p w:rsidR="00E53404" w:rsidRPr="00FE777D" w:rsidRDefault="00E53404" w:rsidP="00E53404">
      <w:pPr>
        <w:pStyle w:val="ParaNoNdepar-AltN"/>
        <w:rPr>
          <w:rFonts w:cs="Times New Roman"/>
          <w:lang w:val="en-US"/>
        </w:rPr>
      </w:pPr>
      <w:r w:rsidRPr="00FE777D">
        <w:rPr>
          <w:rFonts w:cs="Times New Roman"/>
          <w:lang w:val="en-US"/>
        </w:rPr>
        <w:t>D.C. Hewson did not ask about the reliability of the source or the currency of the information. She had been involved in Williams’ arrest 20 months earlier for trafficking cocaine, although Williams ultimately pleaded guilty to simple possession. She had not</w:t>
      </w:r>
      <w:r w:rsidR="002B3749">
        <w:rPr>
          <w:rFonts w:cs="Times New Roman"/>
          <w:lang w:val="en-US"/>
        </w:rPr>
        <w:t xml:space="preserve"> known him to use the name “Jay</w:t>
      </w:r>
      <w:r w:rsidRPr="00FE777D">
        <w:rPr>
          <w:rFonts w:cs="Times New Roman"/>
          <w:lang w:val="en-US"/>
        </w:rPr>
        <w:t>”</w:t>
      </w:r>
      <w:r w:rsidR="002B3749">
        <w:rPr>
          <w:rFonts w:cs="Times New Roman"/>
          <w:lang w:val="en-US"/>
        </w:rPr>
        <w:t>.</w:t>
      </w:r>
    </w:p>
    <w:p w:rsidR="00E53404" w:rsidRPr="00FE777D" w:rsidRDefault="00E53404" w:rsidP="00E53404">
      <w:pPr>
        <w:pStyle w:val="ParaNoNdepar-AltN"/>
        <w:rPr>
          <w:rFonts w:cs="Times New Roman"/>
          <w:lang w:val="en-US"/>
        </w:rPr>
      </w:pPr>
      <w:r w:rsidRPr="00FE777D">
        <w:rPr>
          <w:rFonts w:cs="Times New Roman"/>
          <w:lang w:val="en-US"/>
        </w:rPr>
        <w:t>Detective Constable Tony Canepa was given some of this information and called the number. The man who answered the ph</w:t>
      </w:r>
      <w:r w:rsidR="002B3749">
        <w:rPr>
          <w:rFonts w:cs="Times New Roman"/>
          <w:lang w:val="en-US"/>
        </w:rPr>
        <w:t>one confirmed his name was “Jay</w:t>
      </w:r>
      <w:r w:rsidRPr="00FE777D">
        <w:rPr>
          <w:rFonts w:cs="Times New Roman"/>
          <w:lang w:val="en-US"/>
        </w:rPr>
        <w:t>”</w:t>
      </w:r>
      <w:r w:rsidR="002B3749">
        <w:rPr>
          <w:rFonts w:cs="Times New Roman"/>
          <w:lang w:val="en-US"/>
        </w:rPr>
        <w:t>.</w:t>
      </w:r>
      <w:r w:rsidRPr="00FE777D">
        <w:rPr>
          <w:rFonts w:cs="Times New Roman"/>
          <w:lang w:val="en-US"/>
        </w:rPr>
        <w:t xml:space="preserve"> The officer said </w:t>
      </w:r>
      <w:r w:rsidR="00DB01B4">
        <w:rPr>
          <w:rFonts w:cs="Times New Roman"/>
          <w:lang w:val="en-US"/>
        </w:rPr>
        <w:t>that he needed “80 . . . </w:t>
      </w:r>
      <w:r w:rsidR="002B3749">
        <w:rPr>
          <w:rFonts w:cs="Times New Roman"/>
          <w:lang w:val="en-US"/>
        </w:rPr>
        <w:t>[h]ard</w:t>
      </w:r>
      <w:r w:rsidRPr="00FE777D">
        <w:rPr>
          <w:rFonts w:cs="Times New Roman"/>
          <w:lang w:val="en-US"/>
        </w:rPr>
        <w:t>”</w:t>
      </w:r>
      <w:r w:rsidR="002B3749">
        <w:rPr>
          <w:rFonts w:cs="Times New Roman"/>
          <w:lang w:val="en-US"/>
        </w:rPr>
        <w:t>,</w:t>
      </w:r>
      <w:r w:rsidRPr="00FE777D">
        <w:rPr>
          <w:rFonts w:cs="Times New Roman"/>
          <w:lang w:val="en-US"/>
        </w:rPr>
        <w:t xml:space="preserve"> meaning $80 worth of crack cocaine, and the man replied that they should meet at a particular intersection. The officer met the man, later revealed to be Williams, and exchanged $80 for the crack cocaine. Eleven days later, he arranged a second transaction and made the same purchase. The next month, police arrested Williams.</w:t>
      </w:r>
    </w:p>
    <w:p w:rsidR="00E53404" w:rsidRPr="00FE777D" w:rsidRDefault="00E53404" w:rsidP="00E53404">
      <w:pPr>
        <w:pStyle w:val="ParaNoNdepar-AltN"/>
        <w:rPr>
          <w:rStyle w:val="CommentReference"/>
          <w:rFonts w:cs="Times New Roman"/>
          <w:lang w:val="en-US" w:bidi="en-US"/>
        </w:rPr>
      </w:pPr>
      <w:r w:rsidRPr="00FE777D">
        <w:rPr>
          <w:rFonts w:cs="Times New Roman"/>
          <w:lang w:val="en-US"/>
        </w:rPr>
        <w:t>At the end of the Crown’s case, Williams acknowledged that the evidence established his guilt on two counts of trafficking cocaine and two counts of possession of the proceeds of crime. Trotter J. found there was no reasonable suspicion before the officer provided the opportunity to commit a crime and entered a stay.</w:t>
      </w:r>
    </w:p>
    <w:p w:rsidR="00E53404" w:rsidRPr="00FE777D" w:rsidRDefault="00E53404" w:rsidP="00E53404">
      <w:pPr>
        <w:pStyle w:val="Title2LevelTitre2Niveau"/>
        <w:numPr>
          <w:ilvl w:val="1"/>
          <w:numId w:val="8"/>
        </w:numPr>
        <w:rPr>
          <w:rFonts w:cs="Times New Roman"/>
        </w:rPr>
      </w:pPr>
      <w:r w:rsidRPr="00FE777D">
        <w:rPr>
          <w:rFonts w:cs="Times New Roman"/>
        </w:rPr>
        <w:t>Court of Appeal Decision</w:t>
      </w:r>
    </w:p>
    <w:p w:rsidR="00E53404" w:rsidRPr="00FE777D" w:rsidRDefault="00E53404" w:rsidP="00E53404">
      <w:pPr>
        <w:pStyle w:val="ParaNoNdepar-AltN"/>
        <w:rPr>
          <w:rFonts w:cs="Times New Roman"/>
          <w:lang w:val="en-US"/>
        </w:rPr>
      </w:pPr>
      <w:r w:rsidRPr="00FE777D">
        <w:rPr>
          <w:rFonts w:cs="Times New Roman"/>
          <w:lang w:val="en-US"/>
        </w:rPr>
        <w:t>The Crown appeal from the stay in Williams’ case and the defence appeal from the conviction in Ahmad’s case were heard together. Hourigan J.A., writing for himself and Brown J.A., held that entrapment was not made out for either Ahmad or Williams. He concluded that where reasonable</w:t>
      </w:r>
      <w:r w:rsidRPr="00FE777D">
        <w:rPr>
          <w:rFonts w:cs="Times New Roman"/>
        </w:rPr>
        <w:t xml:space="preserve"> suspicion relates to the phone number itself, the police can provide opportunities to commit offences to a person associated with that phone number, even if they do not also have a reasonable suspicion about the person who answers the phone. </w:t>
      </w:r>
      <w:r w:rsidRPr="00FE777D">
        <w:rPr>
          <w:rFonts w:cs="Times New Roman"/>
          <w:lang w:val="en-US"/>
        </w:rPr>
        <w:t>Himel J. (</w:t>
      </w:r>
      <w:r w:rsidRPr="00FE777D">
        <w:rPr>
          <w:rFonts w:cs="Times New Roman"/>
          <w:i/>
          <w:lang w:val="en-US"/>
        </w:rPr>
        <w:t>ad hoc</w:t>
      </w:r>
      <w:r w:rsidRPr="00FE777D">
        <w:rPr>
          <w:rFonts w:cs="Times New Roman"/>
          <w:lang w:val="en-US"/>
        </w:rPr>
        <w:t>) concurred in the result, but disagreed with the majority’s differentiation between reasonable suspicion over a phone number and reasonable suspicion over the individual who answers that phone.</w:t>
      </w:r>
    </w:p>
    <w:p w:rsidR="00E53404" w:rsidRPr="00FE777D" w:rsidRDefault="00E53404" w:rsidP="00E53404">
      <w:pPr>
        <w:pStyle w:val="Title1LevelTitre1Niveau-AltL"/>
        <w:numPr>
          <w:ilvl w:val="0"/>
          <w:numId w:val="8"/>
        </w:numPr>
        <w:rPr>
          <w:rFonts w:cs="Times New Roman"/>
        </w:rPr>
      </w:pPr>
      <w:r w:rsidRPr="00FE777D">
        <w:rPr>
          <w:rFonts w:cs="Times New Roman"/>
        </w:rPr>
        <w:t>The Entrapment Doctrine</w:t>
      </w:r>
    </w:p>
    <w:p w:rsidR="00E53404" w:rsidRPr="00FE777D" w:rsidRDefault="00E53404" w:rsidP="00E53404">
      <w:pPr>
        <w:pStyle w:val="Title2LevelTitre2Niveau"/>
        <w:numPr>
          <w:ilvl w:val="1"/>
          <w:numId w:val="8"/>
        </w:numPr>
        <w:rPr>
          <w:rFonts w:cs="Times New Roman"/>
        </w:rPr>
      </w:pPr>
      <w:r w:rsidRPr="00FE777D">
        <w:rPr>
          <w:rFonts w:cs="Times New Roman"/>
        </w:rPr>
        <w:t>The Principles of the Entrapment Doctrine in Mack and Barnes</w:t>
      </w:r>
    </w:p>
    <w:p w:rsidR="00E53404" w:rsidRPr="00FE777D" w:rsidRDefault="00E53404" w:rsidP="00E53404">
      <w:pPr>
        <w:pStyle w:val="ParaNoNdepar-AltN"/>
        <w:rPr>
          <w:rFonts w:cs="Times New Roman"/>
        </w:rPr>
      </w:pPr>
      <w:r w:rsidRPr="00FE777D">
        <w:rPr>
          <w:rFonts w:cs="Times New Roman"/>
        </w:rPr>
        <w:t xml:space="preserve">Over 30 years ago, this Court’s decision in </w:t>
      </w:r>
      <w:r w:rsidRPr="00FE777D">
        <w:rPr>
          <w:rFonts w:cs="Times New Roman"/>
          <w:i/>
        </w:rPr>
        <w:t>Mack</w:t>
      </w:r>
      <w:r w:rsidRPr="00FE777D">
        <w:rPr>
          <w:rFonts w:cs="Times New Roman"/>
        </w:rPr>
        <w:t xml:space="preserve"> settled the law of entrapment in Canada. It set out two alternative branches, either of which is sufficient to ground an accused’s claim of entrapment and justify a stay of proceedings:</w:t>
      </w:r>
    </w:p>
    <w:p w:rsidR="00E53404" w:rsidRPr="00FE777D" w:rsidRDefault="00E53404" w:rsidP="00E53404">
      <w:pPr>
        <w:pStyle w:val="Citation-AltC"/>
        <w:ind w:left="1168" w:firstLine="720"/>
      </w:pPr>
      <w:r w:rsidRPr="00FE777D">
        <w:t xml:space="preserve">There is, therefore, entrapment when: (a) the authorities provide an opportunity to persons to commit an offence without reasonable suspicion or acting </w:t>
      </w:r>
      <w:r w:rsidRPr="00FE777D">
        <w:rPr>
          <w:i/>
        </w:rPr>
        <w:t>mala fides</w:t>
      </w:r>
      <w:r w:rsidRPr="00FE777D">
        <w:t xml:space="preserve"> . . . or, (b) having a reasonable suspicion or acting in the course of a </w:t>
      </w:r>
      <w:r w:rsidRPr="00FE777D">
        <w:rPr>
          <w:i/>
        </w:rPr>
        <w:t>bona fide</w:t>
      </w:r>
      <w:r w:rsidRPr="00FE777D">
        <w:t xml:space="preserve"> inquiry, they go beyond providing an opportunity and induce the commission of an offence. [p. 959]</w:t>
      </w:r>
    </w:p>
    <w:p w:rsidR="00E53404" w:rsidRPr="00FE777D" w:rsidRDefault="00E53404" w:rsidP="00E53404">
      <w:pPr>
        <w:pStyle w:val="ParaNoNdepar-AltN"/>
        <w:rPr>
          <w:rFonts w:cs="Times New Roman"/>
        </w:rPr>
      </w:pPr>
      <w:r w:rsidRPr="00FE777D">
        <w:rPr>
          <w:rFonts w:cs="Times New Roman"/>
        </w:rPr>
        <w:t xml:space="preserve">At the most general level, the doctrine exists because “[i]t is a </w:t>
      </w:r>
      <w:r w:rsidRPr="00FE777D">
        <w:rPr>
          <w:rFonts w:cs="Times New Roman"/>
          <w:spacing w:val="-3"/>
          <w:shd w:val="clear" w:color="auto" w:fill="FFFFFF"/>
        </w:rPr>
        <w:t>deeply ingrained value in our democratic system that the ends do not justify the means” (</w:t>
      </w:r>
      <w:r w:rsidRPr="00FE777D">
        <w:rPr>
          <w:rFonts w:cs="Times New Roman"/>
          <w:i/>
          <w:spacing w:val="-3"/>
          <w:shd w:val="clear" w:color="auto" w:fill="FFFFFF"/>
        </w:rPr>
        <w:t>Mack</w:t>
      </w:r>
      <w:r w:rsidRPr="00FE777D">
        <w:rPr>
          <w:rFonts w:cs="Times New Roman"/>
          <w:spacing w:val="-3"/>
          <w:shd w:val="clear" w:color="auto" w:fill="FFFFFF"/>
        </w:rPr>
        <w:t xml:space="preserve">, at p. 938). Some of those means are unacceptable in a free society with strong notions of fairness, decency, and privacy. </w:t>
      </w:r>
      <w:r w:rsidRPr="00FE777D">
        <w:rPr>
          <w:rFonts w:cs="Times New Roman"/>
        </w:rPr>
        <w:t>Although police must be afforded latitude, entrapment is a species of abuse of process because police involvement in the commission of a crime can bring the administration of justice into disrepute.</w:t>
      </w:r>
    </w:p>
    <w:p w:rsidR="00E53404" w:rsidRPr="00FE777D" w:rsidRDefault="00E53404" w:rsidP="00E53404">
      <w:pPr>
        <w:pStyle w:val="ParaNoNdepar-AltN"/>
        <w:rPr>
          <w:rFonts w:cs="Times New Roman"/>
        </w:rPr>
      </w:pPr>
      <w:r w:rsidRPr="00FE777D">
        <w:rPr>
          <w:rFonts w:cs="Times New Roman"/>
          <w:i/>
        </w:rPr>
        <w:t>Mack</w:t>
      </w:r>
      <w:r w:rsidRPr="00FE777D">
        <w:rPr>
          <w:rFonts w:cs="Times New Roman"/>
        </w:rPr>
        <w:t xml:space="preserve"> determined that the purpose and rationale of the entrapment doctrine lies in a court’s inherent jurisdiction to prevent an abuse of its own processes. Entrapment is not a substantive defence leading to an acquittal, because in most cases the essential elements of the offence will be satisfied, even where entrapment occurred. Rather, the appropriate remedy is a stay of proceedings because “while on the merits the accused may not deserve an acquittal, the Crown by its abuse of process is disentitled to a conviction” and a conviction would therefore bring the administration of justice into disrepute (</w:t>
      </w:r>
      <w:r w:rsidRPr="00FE777D">
        <w:rPr>
          <w:rFonts w:cs="Times New Roman"/>
          <w:i/>
        </w:rPr>
        <w:t>Mack</w:t>
      </w:r>
      <w:r w:rsidRPr="00FE777D">
        <w:rPr>
          <w:rFonts w:cs="Times New Roman"/>
        </w:rPr>
        <w:t xml:space="preserve">, at p. 944 (emphasis deleted), citing </w:t>
      </w:r>
      <w:r w:rsidRPr="00FE777D">
        <w:rPr>
          <w:rFonts w:cs="Times New Roman"/>
          <w:i/>
        </w:rPr>
        <w:t>R. v. Jewitt</w:t>
      </w:r>
      <w:r w:rsidRPr="00FE777D">
        <w:rPr>
          <w:rFonts w:cs="Times New Roman"/>
        </w:rPr>
        <w:t>, [1985] 2 S.C.R. 128, at p. 148).</w:t>
      </w:r>
      <w:r w:rsidRPr="00FE777D">
        <w:rPr>
          <w:rFonts w:eastAsia="Times New Roman" w:cs="Times New Roman"/>
          <w:szCs w:val="24"/>
          <w:lang w:eastAsia="en-CA"/>
        </w:rPr>
        <w:t xml:space="preserve"> Such a remedy also affirms the primacy of personal freedom: the st</w:t>
      </w:r>
      <w:r w:rsidRPr="00FE777D">
        <w:rPr>
          <w:rFonts w:cs="Times New Roman"/>
        </w:rPr>
        <w:t>ate simply has no business unjustifiably intruding into individuals’ private lives, randomly testing their virtue, and manufacturing crime (</w:t>
      </w:r>
      <w:r w:rsidRPr="00FE777D">
        <w:rPr>
          <w:rFonts w:cs="Times New Roman"/>
          <w:i/>
        </w:rPr>
        <w:t>Mack</w:t>
      </w:r>
      <w:r w:rsidRPr="00FE777D">
        <w:rPr>
          <w:rFonts w:cs="Times New Roman"/>
        </w:rPr>
        <w:t>, at p. 941).</w:t>
      </w:r>
    </w:p>
    <w:p w:rsidR="00E53404" w:rsidRPr="00FE777D" w:rsidRDefault="00E53404" w:rsidP="00E53404">
      <w:pPr>
        <w:pStyle w:val="ParaNoNdepar-AltN"/>
        <w:rPr>
          <w:rFonts w:cs="Times New Roman"/>
        </w:rPr>
      </w:pPr>
      <w:r w:rsidRPr="00FE777D">
        <w:rPr>
          <w:rFonts w:cs="Times New Roman"/>
        </w:rPr>
        <w:t>Some crimes, however, are particularly difficult to investigate because they are “consensual” (such as drug trafficking), victimize those who are reluctant or unable to report them (such as child luring), or lead to such great harm that they must be actively prevented (such as terrorism) (</w:t>
      </w:r>
      <w:r w:rsidRPr="00FE777D">
        <w:rPr>
          <w:rFonts w:cs="Times New Roman"/>
          <w:i/>
        </w:rPr>
        <w:t>Mack</w:t>
      </w:r>
      <w:r w:rsidRPr="00FE777D">
        <w:rPr>
          <w:rFonts w:cs="Times New Roman"/>
        </w:rPr>
        <w:t xml:space="preserve">, at p. 916; </w:t>
      </w:r>
      <w:r w:rsidRPr="00FE777D">
        <w:rPr>
          <w:rFonts w:cs="Times New Roman"/>
          <w:i/>
        </w:rPr>
        <w:t>Amato v. The Queen</w:t>
      </w:r>
      <w:r w:rsidRPr="00FE777D">
        <w:rPr>
          <w:rFonts w:cs="Times New Roman"/>
        </w:rPr>
        <w:t xml:space="preserve">, </w:t>
      </w:r>
      <w:r w:rsidRPr="00FE777D">
        <w:rPr>
          <w:rFonts w:cs="Times New Roman"/>
          <w:lang w:val="en-US"/>
        </w:rPr>
        <w:t>[1982] 2 S.C.R. 418</w:t>
      </w:r>
      <w:r w:rsidRPr="00FE777D">
        <w:rPr>
          <w:rFonts w:cs="Times New Roman"/>
        </w:rPr>
        <w:t xml:space="preserve">, at p. 457, per Estey J., dissenting; A. Ashworth, “What is Wrong with Entrapment?”, [1999] </w:t>
      </w:r>
      <w:r w:rsidRPr="00FE777D">
        <w:rPr>
          <w:rFonts w:cs="Times New Roman"/>
          <w:i/>
        </w:rPr>
        <w:t>Sing. J.L.S.</w:t>
      </w:r>
      <w:r w:rsidRPr="00FE777D">
        <w:rPr>
          <w:rFonts w:cs="Times New Roman"/>
        </w:rPr>
        <w:t xml:space="preserve"> 293, at pp. 293-94). It is therefore in the public interest to allow police the flexibility to develop effective, proactive law</w:t>
      </w:r>
      <w:r w:rsidRPr="00FE777D">
        <w:rPr>
          <w:rFonts w:cs="Times New Roman"/>
        </w:rPr>
        <w:noBreakHyphen/>
        <w:t>enforcement measures to suppress crime.</w:t>
      </w:r>
    </w:p>
    <w:p w:rsidR="00E53404" w:rsidRPr="00FE777D" w:rsidRDefault="00E53404" w:rsidP="00E53404">
      <w:pPr>
        <w:pStyle w:val="ParaNoNdepar-AltN"/>
        <w:rPr>
          <w:rFonts w:cs="Times New Roman"/>
        </w:rPr>
      </w:pPr>
      <w:r w:rsidRPr="00FE777D">
        <w:rPr>
          <w:rFonts w:cs="Times New Roman"/>
        </w:rPr>
        <w:t xml:space="preserve">To reconcile these competing imperatives, the Court imposed a safeguard against opportunity-based entrapment. On the first branch in </w:t>
      </w:r>
      <w:r w:rsidRPr="00FE777D">
        <w:rPr>
          <w:rFonts w:cs="Times New Roman"/>
          <w:i/>
        </w:rPr>
        <w:t>Mack</w:t>
      </w:r>
      <w:r w:rsidRPr="00FE777D">
        <w:rPr>
          <w:rFonts w:cs="Times New Roman"/>
        </w:rPr>
        <w:t xml:space="preserve">, at issue in these appeals, police may present an opportunity to commit a crime only upon forming reasonable suspicion that either: (1) a specific person is engaged in criminal activity; or (2) people are carrying out criminal activity at a specific location, sometimes referred to as a </w:t>
      </w:r>
      <w:r w:rsidRPr="00FE777D">
        <w:rPr>
          <w:rFonts w:cs="Times New Roman"/>
          <w:i/>
        </w:rPr>
        <w:t>bona fide</w:t>
      </w:r>
      <w:r w:rsidRPr="00FE777D">
        <w:rPr>
          <w:rFonts w:cs="Times New Roman"/>
        </w:rPr>
        <w:t xml:space="preserve"> inquiry (</w:t>
      </w:r>
      <w:r w:rsidRPr="00FE777D">
        <w:rPr>
          <w:rFonts w:cs="Times New Roman"/>
          <w:i/>
        </w:rPr>
        <w:t>Mack</w:t>
      </w:r>
      <w:r w:rsidRPr="00FE777D">
        <w:rPr>
          <w:rFonts w:cs="Times New Roman"/>
        </w:rPr>
        <w:t xml:space="preserve">, at pp. 956 and 959; confirmed in </w:t>
      </w:r>
      <w:r w:rsidRPr="00FE777D">
        <w:rPr>
          <w:rFonts w:cs="Times New Roman"/>
          <w:i/>
        </w:rPr>
        <w:t>R. v. Barnes</w:t>
      </w:r>
      <w:r w:rsidRPr="00FE777D">
        <w:rPr>
          <w:rFonts w:cs="Times New Roman"/>
        </w:rPr>
        <w:t xml:space="preserve">, </w:t>
      </w:r>
      <w:r w:rsidRPr="00FE777D">
        <w:rPr>
          <w:rFonts w:cs="Times New Roman"/>
          <w:lang w:val="en-GB"/>
        </w:rPr>
        <w:t>[1991] 1 S.C.R. 449,</w:t>
      </w:r>
      <w:r w:rsidRPr="00FE777D">
        <w:rPr>
          <w:rFonts w:cs="Times New Roman"/>
        </w:rPr>
        <w:t xml:space="preserve"> at p. 463).</w:t>
      </w:r>
    </w:p>
    <w:p w:rsidR="00E53404" w:rsidRPr="00FE777D" w:rsidRDefault="00E53404" w:rsidP="00E53404">
      <w:pPr>
        <w:pStyle w:val="ParaNoNdepar-AltN"/>
        <w:rPr>
          <w:rFonts w:cs="Times New Roman"/>
        </w:rPr>
      </w:pPr>
      <w:r w:rsidRPr="00FE777D">
        <w:rPr>
          <w:rFonts w:cs="Times New Roman"/>
        </w:rPr>
        <w:t xml:space="preserve">The reasons in </w:t>
      </w:r>
      <w:r w:rsidRPr="00FE777D">
        <w:rPr>
          <w:rFonts w:cs="Times New Roman"/>
          <w:i/>
        </w:rPr>
        <w:t>Mack</w:t>
      </w:r>
      <w:r w:rsidRPr="00FE777D">
        <w:rPr>
          <w:rFonts w:cs="Times New Roman"/>
        </w:rPr>
        <w:t xml:space="preserve"> make clear that a </w:t>
      </w:r>
      <w:r w:rsidRPr="00FE777D">
        <w:rPr>
          <w:rFonts w:cs="Times New Roman"/>
          <w:i/>
        </w:rPr>
        <w:t xml:space="preserve">bona fide </w:t>
      </w:r>
      <w:r w:rsidRPr="00FE777D">
        <w:rPr>
          <w:rFonts w:cs="Times New Roman"/>
        </w:rPr>
        <w:t>inquiry into a location is premised upon and tethered to reasonable suspicion. An investigation is “</w:t>
      </w:r>
      <w:r w:rsidRPr="00FE777D">
        <w:rPr>
          <w:rFonts w:cs="Times New Roman"/>
          <w:i/>
        </w:rPr>
        <w:t>bona fide</w:t>
      </w:r>
      <w:r w:rsidRPr="00FE777D">
        <w:rPr>
          <w:rFonts w:cs="Times New Roman"/>
        </w:rPr>
        <w:t xml:space="preserve">” where the police have a reasonable suspicion over a location or area, as well as a genuine purpose of investigating and repressing crime. A </w:t>
      </w:r>
      <w:r w:rsidRPr="00FE777D">
        <w:rPr>
          <w:rFonts w:cs="Times New Roman"/>
          <w:i/>
        </w:rPr>
        <w:t>bona fide</w:t>
      </w:r>
      <w:r w:rsidRPr="00FE777D">
        <w:rPr>
          <w:rFonts w:cs="Times New Roman"/>
        </w:rPr>
        <w:t xml:space="preserve"> investigation is not a separate and freestanding way for police to entrap an individual, but a means of expressing the threshold of reasonable suspicion in a location. The offer of an opportunity to commit a crime must always be based upon a reasonable suspicion of particular criminal activity, whether by a person, in a place defined with sufficient precision, or a combination of both.</w:t>
      </w:r>
    </w:p>
    <w:p w:rsidR="00E53404" w:rsidRPr="00FE777D" w:rsidRDefault="00E53404" w:rsidP="00E53404">
      <w:pPr>
        <w:pStyle w:val="ParaNoNdepar-AltN"/>
        <w:rPr>
          <w:rFonts w:cs="Times New Roman"/>
        </w:rPr>
      </w:pPr>
      <w:r w:rsidRPr="00FE777D">
        <w:rPr>
          <w:rFonts w:eastAsia="Times New Roman" w:cs="Times New Roman"/>
        </w:rPr>
        <w:t xml:space="preserve">The Court affirmed these principles in </w:t>
      </w:r>
      <w:r w:rsidRPr="00FE777D">
        <w:rPr>
          <w:rFonts w:eastAsia="Times New Roman" w:cs="Times New Roman"/>
          <w:i/>
        </w:rPr>
        <w:t>Barnes</w:t>
      </w:r>
      <w:r w:rsidRPr="00FE777D">
        <w:rPr>
          <w:rFonts w:eastAsia="Times New Roman" w:cs="Times New Roman"/>
        </w:rPr>
        <w:t>. There, the Court found the</w:t>
      </w:r>
      <w:r w:rsidRPr="00FE777D">
        <w:rPr>
          <w:rFonts w:eastAsia="Times New Roman" w:cs="Times New Roman"/>
          <w:i/>
        </w:rPr>
        <w:t xml:space="preserve"> </w:t>
      </w:r>
      <w:r w:rsidRPr="00FE777D">
        <w:rPr>
          <w:rFonts w:eastAsia="Times New Roman" w:cs="Times New Roman"/>
        </w:rPr>
        <w:t xml:space="preserve">police had engaged in </w:t>
      </w:r>
      <w:r w:rsidRPr="00FE777D">
        <w:rPr>
          <w:rFonts w:cs="Times New Roman"/>
        </w:rPr>
        <w:t xml:space="preserve">a </w:t>
      </w:r>
      <w:r w:rsidRPr="00FE777D">
        <w:rPr>
          <w:rFonts w:cs="Times New Roman"/>
          <w:i/>
        </w:rPr>
        <w:t xml:space="preserve">bona fide </w:t>
      </w:r>
      <w:r w:rsidRPr="00FE777D">
        <w:rPr>
          <w:rFonts w:cs="Times New Roman"/>
        </w:rPr>
        <w:t>inquiry by providing people within an area of the Granville Mall in Vancouver the opportunity to sell drugs. Their reasonable suspicion, the Court held, was grounded on objective extrinsic evidence that showed significant drug dealing activity in the area (</w:t>
      </w:r>
      <w:r w:rsidRPr="00FE777D">
        <w:rPr>
          <w:rFonts w:cs="Times New Roman"/>
          <w:i/>
        </w:rPr>
        <w:t>Barnes</w:t>
      </w:r>
      <w:r w:rsidRPr="00FE777D">
        <w:rPr>
          <w:rFonts w:cs="Times New Roman"/>
        </w:rPr>
        <w:t>, at pp. 460-62). This provided an explanation, which a court could meaningfully review, for why people were being targeted in that area.</w:t>
      </w:r>
    </w:p>
    <w:p w:rsidR="00E53404" w:rsidRPr="00FE777D" w:rsidRDefault="00E53404" w:rsidP="00E53404">
      <w:pPr>
        <w:pStyle w:val="ParaNoNdepar-AltN"/>
        <w:rPr>
          <w:rFonts w:cs="Times New Roman"/>
        </w:rPr>
      </w:pPr>
      <w:r w:rsidRPr="00FE777D">
        <w:rPr>
          <w:rFonts w:cs="Times New Roman"/>
        </w:rPr>
        <w:t xml:space="preserve">This framework balances and reconciles important public interests. The rule of law, and the need to protect privacy interests and personal freedom from state overreach are balanced against the state’s legitimate interest in investigating and prosecuting crime by permitting </w:t>
      </w:r>
      <w:r w:rsidRPr="00FE777D">
        <w:rPr>
          <w:rFonts w:cs="Times New Roman"/>
          <w:i/>
        </w:rPr>
        <w:t>but also constraining</w:t>
      </w:r>
      <w:r w:rsidRPr="00FE777D">
        <w:rPr>
          <w:rFonts w:cs="Times New Roman"/>
        </w:rPr>
        <w:t xml:space="preserve"> entrapment techniques (</w:t>
      </w:r>
      <w:r w:rsidRPr="00FE777D">
        <w:rPr>
          <w:rFonts w:cs="Times New Roman"/>
          <w:i/>
        </w:rPr>
        <w:t>Mack</w:t>
      </w:r>
      <w:r w:rsidRPr="00FE777D">
        <w:rPr>
          <w:rFonts w:cs="Times New Roman"/>
        </w:rPr>
        <w:t>, at pp. 941-42).</w:t>
      </w:r>
    </w:p>
    <w:p w:rsidR="00E53404" w:rsidRPr="00FE777D" w:rsidRDefault="00E53404" w:rsidP="00E53404">
      <w:pPr>
        <w:pStyle w:val="ParaNoNdepar-AltN"/>
        <w:rPr>
          <w:rFonts w:cs="Times New Roman"/>
        </w:rPr>
      </w:pPr>
      <w:r w:rsidRPr="00FE777D">
        <w:rPr>
          <w:rFonts w:cs="Times New Roman"/>
        </w:rPr>
        <w:t xml:space="preserve">We see no reason to alter this carefully calibrated balance struck in </w:t>
      </w:r>
      <w:r w:rsidRPr="00FE777D">
        <w:rPr>
          <w:rFonts w:cs="Times New Roman"/>
          <w:i/>
        </w:rPr>
        <w:t>Mack</w:t>
      </w:r>
      <w:r w:rsidRPr="00FE777D">
        <w:rPr>
          <w:rFonts w:cs="Times New Roman"/>
        </w:rPr>
        <w:t xml:space="preserve"> and affirmed in </w:t>
      </w:r>
      <w:r w:rsidRPr="00FE777D">
        <w:rPr>
          <w:rFonts w:cs="Times New Roman"/>
          <w:i/>
        </w:rPr>
        <w:t>Barnes</w:t>
      </w:r>
      <w:r w:rsidRPr="00FE777D">
        <w:rPr>
          <w:rFonts w:cs="Times New Roman"/>
        </w:rPr>
        <w:t>. The entrapment framework has proved workable for decades in a variety of contexts, including drug trafficking (</w:t>
      </w:r>
      <w:r w:rsidRPr="00FE777D">
        <w:rPr>
          <w:rFonts w:cs="Times New Roman"/>
          <w:i/>
        </w:rPr>
        <w:t>R. v. Campbell</w:t>
      </w:r>
      <w:r w:rsidRPr="00FE777D">
        <w:rPr>
          <w:rFonts w:cs="Times New Roman"/>
        </w:rPr>
        <w:t>, [1999] 1 S.C.R. 565, at para. 21), terrorism (</w:t>
      </w:r>
      <w:r w:rsidRPr="00FE777D">
        <w:rPr>
          <w:rFonts w:cs="Times New Roman"/>
          <w:i/>
        </w:rPr>
        <w:t>R. v. Nuttall</w:t>
      </w:r>
      <w:r w:rsidRPr="00FE777D">
        <w:rPr>
          <w:rFonts w:cs="Times New Roman"/>
        </w:rPr>
        <w:t>, 2018 BCCA 479, 368 C.C.C. (3d) 1, at paras. 417-43), and child luring (</w:t>
      </w:r>
      <w:r w:rsidRPr="00FE777D">
        <w:rPr>
          <w:rFonts w:cs="Times New Roman"/>
          <w:i/>
        </w:rPr>
        <w:t>R. v. Bayat</w:t>
      </w:r>
      <w:r w:rsidRPr="00FE777D">
        <w:rPr>
          <w:rFonts w:cs="Times New Roman"/>
        </w:rPr>
        <w:t>, 2011 ONCA 778, 280 C.C.C. (3d) 36, at paras. 15-23). It has stood the test of time, furnishing</w:t>
      </w:r>
      <w:r w:rsidRPr="00FE777D">
        <w:rPr>
          <w:rFonts w:cs="Times New Roman"/>
          <w:lang w:bidi="en-US"/>
        </w:rPr>
        <w:t xml:space="preserve"> a principled, stable and generally applicable doctrine that is fully capable of adapting to a variety of circumstances and responding to the evolution of crime and police tactics</w:t>
      </w:r>
      <w:r w:rsidRPr="00FE777D">
        <w:rPr>
          <w:rFonts w:cs="Times New Roman"/>
        </w:rPr>
        <w:t>. No principled reason supports departing from it.</w:t>
      </w:r>
    </w:p>
    <w:p w:rsidR="00E53404" w:rsidRPr="00FE777D" w:rsidRDefault="00E53404" w:rsidP="00E53404">
      <w:pPr>
        <w:pStyle w:val="Title2LevelTitre2Niveau"/>
        <w:numPr>
          <w:ilvl w:val="1"/>
          <w:numId w:val="8"/>
        </w:numPr>
        <w:jc w:val="both"/>
        <w:rPr>
          <w:rFonts w:cs="Times New Roman"/>
        </w:rPr>
      </w:pPr>
      <w:r w:rsidRPr="00FE777D">
        <w:rPr>
          <w:rFonts w:cs="Times New Roman"/>
        </w:rPr>
        <w:t>Objective Reasonable Suspicion Ensures Judicial Oversight Over Police Conduct</w:t>
      </w:r>
    </w:p>
    <w:p w:rsidR="00E53404" w:rsidRPr="00FE777D" w:rsidRDefault="00E53404" w:rsidP="00E53404">
      <w:pPr>
        <w:pStyle w:val="ParaNoNdepar-AltN"/>
        <w:rPr>
          <w:rFonts w:cs="Times New Roman"/>
        </w:rPr>
      </w:pPr>
      <w:r w:rsidRPr="00FE777D">
        <w:rPr>
          <w:rFonts w:cs="Times New Roman"/>
        </w:rPr>
        <w:t xml:space="preserve">In every context, the reasonable suspicion standard ensures courts can conduct </w:t>
      </w:r>
      <w:r w:rsidRPr="00FE777D">
        <w:rPr>
          <w:rFonts w:cs="Times New Roman"/>
          <w:i/>
        </w:rPr>
        <w:t xml:space="preserve">meaningful </w:t>
      </w:r>
      <w:r w:rsidRPr="00FE777D">
        <w:rPr>
          <w:rFonts w:cs="Times New Roman"/>
        </w:rPr>
        <w:t>judicial review of what the police knew at the time the opportunity was provided (</w:t>
      </w:r>
      <w:r w:rsidRPr="00FE777D">
        <w:rPr>
          <w:rFonts w:cs="Times New Roman"/>
          <w:i/>
        </w:rPr>
        <w:t>R. v.</w:t>
      </w:r>
      <w:r w:rsidRPr="00FE777D">
        <w:rPr>
          <w:rFonts w:cs="Times New Roman"/>
        </w:rPr>
        <w:t xml:space="preserve"> </w:t>
      </w:r>
      <w:r w:rsidRPr="00FE777D">
        <w:rPr>
          <w:rFonts w:cs="Times New Roman"/>
          <w:i/>
        </w:rPr>
        <w:t>Chehil</w:t>
      </w:r>
      <w:r w:rsidRPr="00FE777D">
        <w:rPr>
          <w:rFonts w:cs="Times New Roman"/>
        </w:rPr>
        <w:t xml:space="preserve">, 2013 SCC 49, [2013] 3 S.C.R. 220, at paras. 26 and 58; </w:t>
      </w:r>
      <w:r w:rsidRPr="00FE777D">
        <w:rPr>
          <w:rFonts w:cs="Times New Roman"/>
          <w:i/>
        </w:rPr>
        <w:t>R. v. MacKenzie</w:t>
      </w:r>
      <w:r w:rsidRPr="00FE777D">
        <w:rPr>
          <w:rFonts w:cs="Times New Roman"/>
        </w:rPr>
        <w:t xml:space="preserve">, 2013 SCC 50, [2013] 3 S.C.R. 250, at para. 41). This standard requires the police to disclose the basis for their belief and to show that they had legitimate reasons related to criminality for targeting an individual or the people associated with a location (K. Roach, “Entrapment and Equality in Terrorism Prosecutions: A Comparative Examination of North American and European Approaches” (2011), 80 </w:t>
      </w:r>
      <w:r w:rsidRPr="00FE777D">
        <w:rPr>
          <w:rFonts w:cs="Times New Roman"/>
          <w:i/>
        </w:rPr>
        <w:t>Miss. L.J.</w:t>
      </w:r>
      <w:r w:rsidRPr="00FE777D">
        <w:rPr>
          <w:rFonts w:cs="Times New Roman"/>
        </w:rPr>
        <w:t xml:space="preserve"> 1455, at pp. 1472-73; Ashworth, at pp. 304-5). </w:t>
      </w:r>
      <w:r w:rsidRPr="00FE777D">
        <w:rPr>
          <w:rFonts w:cs="Times New Roman"/>
          <w:lang w:bidi="en-US"/>
        </w:rPr>
        <w:t xml:space="preserve">An objective standard like reasonable suspicion allows for exacting curial scrutiny of police conduct for conformance to the </w:t>
      </w:r>
      <w:r w:rsidRPr="00FE777D">
        <w:rPr>
          <w:rFonts w:cs="Times New Roman"/>
          <w:i/>
          <w:lang w:bidi="en-US"/>
        </w:rPr>
        <w:t>Canadian</w:t>
      </w:r>
      <w:r w:rsidRPr="00FE777D">
        <w:rPr>
          <w:rFonts w:cs="Times New Roman"/>
          <w:lang w:bidi="en-US"/>
        </w:rPr>
        <w:t xml:space="preserve"> </w:t>
      </w:r>
      <w:r w:rsidRPr="00FE777D">
        <w:rPr>
          <w:rFonts w:cs="Times New Roman"/>
          <w:i/>
          <w:lang w:bidi="en-US"/>
        </w:rPr>
        <w:t>Charter of Rights and Freedoms</w:t>
      </w:r>
      <w:r w:rsidRPr="00FE777D">
        <w:rPr>
          <w:rFonts w:cs="Times New Roman"/>
          <w:lang w:bidi="en-US"/>
        </w:rPr>
        <w:t xml:space="preserve"> and society’s sense of decency, justice, and fair play because it requires objectively discernible facts. As is the case with warrantless searches, “the trial judge [must be] . . . in a position to ascertain [these objective facts], </w:t>
      </w:r>
      <w:r w:rsidRPr="00FE777D">
        <w:rPr>
          <w:rFonts w:cs="Times New Roman"/>
          <w:u w:val="single"/>
          <w:lang w:bidi="en-US"/>
        </w:rPr>
        <w:t>and not bound by the personal conclusions of the officer who conducted the [investigation]</w:t>
      </w:r>
      <w:r w:rsidRPr="00FE777D">
        <w:rPr>
          <w:rFonts w:cs="Times New Roman"/>
          <w:lang w:bidi="en-US"/>
        </w:rPr>
        <w:t>” (P. Sankoff and S. Perrault, “Suspicious Searches: What’s so Reasonable About Them?” (1999), 24 C.R</w:t>
      </w:r>
      <w:r w:rsidRPr="00FE777D">
        <w:rPr>
          <w:rFonts w:cs="Times New Roman"/>
          <w:i/>
          <w:lang w:bidi="en-US"/>
        </w:rPr>
        <w:t>.</w:t>
      </w:r>
      <w:r w:rsidRPr="00FE777D">
        <w:rPr>
          <w:rFonts w:cs="Times New Roman"/>
          <w:lang w:bidi="en-US"/>
        </w:rPr>
        <w:t xml:space="preserve"> (5th) 123, at p. 126 (emphasis added)). </w:t>
      </w:r>
      <w:r w:rsidRPr="00FE777D">
        <w:rPr>
          <w:rFonts w:cs="Times New Roman"/>
        </w:rPr>
        <w:t>This is essential to upholding the rule of law and preventing the state from arbitrarily infringing individuals’ privacy interests and personal freedoms (</w:t>
      </w:r>
      <w:r w:rsidRPr="00FE777D">
        <w:rPr>
          <w:rFonts w:cs="Times New Roman"/>
          <w:i/>
        </w:rPr>
        <w:t>Chehil</w:t>
      </w:r>
      <w:r w:rsidRPr="00FE777D">
        <w:rPr>
          <w:rFonts w:cs="Times New Roman"/>
        </w:rPr>
        <w:t>,</w:t>
      </w:r>
      <w:r w:rsidRPr="00FE777D">
        <w:rPr>
          <w:rFonts w:cs="Times New Roman"/>
          <w:i/>
        </w:rPr>
        <w:t xml:space="preserve"> </w:t>
      </w:r>
      <w:r w:rsidRPr="00FE777D">
        <w:rPr>
          <w:rFonts w:cs="Times New Roman"/>
        </w:rPr>
        <w:t>at para. 45).</w:t>
      </w:r>
    </w:p>
    <w:p w:rsidR="00E53404" w:rsidRPr="00FE777D" w:rsidRDefault="00E53404" w:rsidP="00E53404">
      <w:pPr>
        <w:pStyle w:val="ParaNoNdepar-AltN"/>
        <w:rPr>
          <w:rFonts w:cs="Times New Roman"/>
        </w:rPr>
      </w:pPr>
      <w:r w:rsidRPr="00FE777D">
        <w:rPr>
          <w:rFonts w:cs="Times New Roman"/>
        </w:rPr>
        <w:t xml:space="preserve">Doherty J.A., in </w:t>
      </w:r>
      <w:r w:rsidRPr="00FE777D">
        <w:rPr>
          <w:rFonts w:cs="Times New Roman"/>
          <w:i/>
        </w:rPr>
        <w:t>R. v. Simpson</w:t>
      </w:r>
      <w:r w:rsidRPr="00FE777D">
        <w:rPr>
          <w:rFonts w:cs="Times New Roman"/>
        </w:rPr>
        <w:t xml:space="preserve"> (1993), 79 C.C.C. (3d) 482 (Ont. C.A.),</w:t>
      </w:r>
      <w:r w:rsidRPr="00FE777D">
        <w:rPr>
          <w:rFonts w:cs="Times New Roman"/>
          <w:i/>
        </w:rPr>
        <w:t xml:space="preserve"> </w:t>
      </w:r>
      <w:r w:rsidRPr="00FE777D">
        <w:rPr>
          <w:rFonts w:cs="Times New Roman"/>
        </w:rPr>
        <w:t>at pp. 502-3, makes the point compellingly: a reasonable suspicion standard is necessary where there is the fundamental need to balance society’s interest in the detection and punishment of crime with its interest in maintaining individual freedoms. A careful balancing of interests is as relevant in entrapment as it is in warrantless searches and detention. In each case, the reasonable suspicion standard is uniquely “designed to avoid indiscriminate and discriminatory” police conduct (</w:t>
      </w:r>
      <w:r w:rsidRPr="00FE777D">
        <w:rPr>
          <w:rFonts w:cs="Times New Roman"/>
          <w:i/>
        </w:rPr>
        <w:t>Chehil</w:t>
      </w:r>
      <w:r w:rsidRPr="00FE777D">
        <w:rPr>
          <w:rFonts w:cs="Times New Roman"/>
        </w:rPr>
        <w:t xml:space="preserve">, at para. 30; see also paras. 3, 26 and 47; </w:t>
      </w:r>
      <w:r w:rsidRPr="00FE777D">
        <w:rPr>
          <w:rFonts w:cs="Times New Roman"/>
          <w:i/>
        </w:rPr>
        <w:t>R. v. Kang-Brown</w:t>
      </w:r>
      <w:r w:rsidRPr="00FE777D">
        <w:rPr>
          <w:rFonts w:cs="Times New Roman"/>
        </w:rPr>
        <w:t>, 2008 SCC 18, [2008] 1 S.C.R. 456, at paras. 75</w:t>
      </w:r>
      <w:r w:rsidRPr="00FE777D">
        <w:rPr>
          <w:rFonts w:cs="Times New Roman"/>
        </w:rPr>
        <w:noBreakHyphen/>
        <w:t xml:space="preserve">77 and 165; </w:t>
      </w:r>
      <w:r w:rsidRPr="00FE777D">
        <w:rPr>
          <w:rFonts w:cs="Times New Roman"/>
          <w:i/>
        </w:rPr>
        <w:t>Simpson</w:t>
      </w:r>
      <w:r w:rsidRPr="00FE777D">
        <w:rPr>
          <w:rFonts w:cs="Times New Roman"/>
        </w:rPr>
        <w:t>,</w:t>
      </w:r>
      <w:r w:rsidRPr="00FE777D">
        <w:rPr>
          <w:rFonts w:cs="Times New Roman"/>
          <w:i/>
        </w:rPr>
        <w:t xml:space="preserve"> </w:t>
      </w:r>
      <w:r w:rsidRPr="00FE777D">
        <w:rPr>
          <w:rFonts w:cs="Times New Roman"/>
        </w:rPr>
        <w:t xml:space="preserve">at p. 502). This is particularly critical in cases of entrapment, since entrapment is a “breeding ground for racial profiling” (D. M. Tanovich, “Rethinking the </w:t>
      </w:r>
      <w:r w:rsidRPr="00FE777D">
        <w:rPr>
          <w:rFonts w:cs="Times New Roman"/>
          <w:i/>
        </w:rPr>
        <w:t xml:space="preserve">Bona Fides </w:t>
      </w:r>
      <w:r w:rsidRPr="00FE777D">
        <w:rPr>
          <w:rFonts w:cs="Times New Roman"/>
        </w:rPr>
        <w:t xml:space="preserve">of Entrapment” (2011), 43 </w:t>
      </w:r>
      <w:r w:rsidRPr="00FE777D">
        <w:rPr>
          <w:rFonts w:cs="Times New Roman"/>
          <w:i/>
        </w:rPr>
        <w:t xml:space="preserve">U.B.C.L. Rev. </w:t>
      </w:r>
      <w:r w:rsidRPr="00FE777D">
        <w:rPr>
          <w:rFonts w:cs="Times New Roman"/>
        </w:rPr>
        <w:t>417, at p. 432), and has “a disproportionate impact on poor and racialized communities” (pp. 417</w:t>
      </w:r>
      <w:r w:rsidRPr="00FE777D">
        <w:rPr>
          <w:rFonts w:cs="Times New Roman"/>
        </w:rPr>
        <w:noBreakHyphen/>
        <w:t xml:space="preserve">18). Courts must be able to assess the extent to which the police, in seeking to form reasonable suspicion over a person or a place, rely upon overtly discriminatory or stereotypical thinking, or upon “intuition” or “hunches” that easily disguise unconscious racism and stereotyping (T. Quigley, Annotation to </w:t>
      </w:r>
      <w:r w:rsidRPr="00FE777D">
        <w:rPr>
          <w:rFonts w:cs="Times New Roman"/>
          <w:i/>
        </w:rPr>
        <w:t>R. v. Sterling</w:t>
      </w:r>
      <w:r w:rsidRPr="00FE777D">
        <w:rPr>
          <w:rFonts w:cs="Times New Roman"/>
        </w:rPr>
        <w:t xml:space="preserve"> (2004), 23 C.R. (6th) 54, at p. 55; </w:t>
      </w:r>
      <w:r w:rsidR="007D1D5A">
        <w:rPr>
          <w:rFonts w:cs="Times New Roman"/>
          <w:i/>
        </w:rPr>
        <w:t>R. v. Faqi</w:t>
      </w:r>
      <w:r w:rsidRPr="00FE777D">
        <w:rPr>
          <w:rFonts w:cs="Times New Roman"/>
        </w:rPr>
        <w:t>, 2010 ABPC 157, 491 A.R. 194,</w:t>
      </w:r>
      <w:r w:rsidRPr="00FE777D">
        <w:rPr>
          <w:rFonts w:cs="Times New Roman"/>
          <w:i/>
        </w:rPr>
        <w:t xml:space="preserve"> </w:t>
      </w:r>
      <w:r w:rsidRPr="00FE777D">
        <w:rPr>
          <w:rFonts w:cs="Times New Roman"/>
        </w:rPr>
        <w:t xml:space="preserve">at para. 14; Tanovich, at pp. 437-38; </w:t>
      </w:r>
      <w:r w:rsidRPr="00FE777D">
        <w:rPr>
          <w:rFonts w:cs="Times New Roman"/>
          <w:i/>
        </w:rPr>
        <w:t>MacKenzie</w:t>
      </w:r>
      <w:r w:rsidRPr="00FE777D">
        <w:rPr>
          <w:rFonts w:cs="Times New Roman"/>
        </w:rPr>
        <w:t>,</w:t>
      </w:r>
      <w:r w:rsidRPr="00FE777D">
        <w:rPr>
          <w:rFonts w:cs="Times New Roman"/>
          <w:i/>
        </w:rPr>
        <w:t xml:space="preserve"> </w:t>
      </w:r>
      <w:r w:rsidRPr="00FE777D">
        <w:rPr>
          <w:rFonts w:cs="Times New Roman"/>
        </w:rPr>
        <w:t>at paras. 64-65).</w:t>
      </w:r>
    </w:p>
    <w:p w:rsidR="00E53404" w:rsidRPr="00FE777D" w:rsidRDefault="00E53404" w:rsidP="00E53404">
      <w:pPr>
        <w:pStyle w:val="ParaNoNdepar-AltN"/>
        <w:rPr>
          <w:rFonts w:cs="Times New Roman"/>
        </w:rPr>
      </w:pPr>
      <w:r w:rsidRPr="00FE777D">
        <w:rPr>
          <w:rFonts w:cs="Times New Roman"/>
          <w:lang w:bidi="en-US"/>
        </w:rPr>
        <w:t xml:space="preserve">Requiring reasonable suspicion before tempting individuals into committing crimes also reflects Canadian law’s cautious approach to the expansion of police powers. </w:t>
      </w:r>
      <w:r w:rsidRPr="00FE777D">
        <w:rPr>
          <w:rFonts w:cs="Times New Roman"/>
        </w:rPr>
        <w:t>As a significant instance of that approach, our law does not consider whether the targeted accused was predisposed to commit the crime (</w:t>
      </w:r>
      <w:r w:rsidRPr="00FE777D">
        <w:rPr>
          <w:rFonts w:cs="Times New Roman"/>
          <w:i/>
        </w:rPr>
        <w:t>Mack</w:t>
      </w:r>
      <w:r w:rsidRPr="00FE777D">
        <w:rPr>
          <w:rFonts w:cs="Times New Roman"/>
        </w:rPr>
        <w:t>, at pp. 924 and 951-56). Allowing objectively improper police conduct to be justified by reference to the predisposition of the accused would “permit unequal treatment” (</w:t>
      </w:r>
      <w:r w:rsidRPr="00FE777D">
        <w:rPr>
          <w:rFonts w:cs="Times New Roman"/>
          <w:i/>
        </w:rPr>
        <w:t>Mack</w:t>
      </w:r>
      <w:r w:rsidRPr="00FE777D">
        <w:rPr>
          <w:rFonts w:cs="Times New Roman"/>
        </w:rPr>
        <w:t>, at p. 955), and risks imprisoning people even when their fundamental rights and procedural guarantees have been disregarded. There is a “fundamental inequality inherent in an approach that measures the permissibility of entrapment by reference to the predisposition of the accused” (</w:t>
      </w:r>
      <w:r w:rsidRPr="00FE777D">
        <w:rPr>
          <w:rFonts w:cs="Times New Roman"/>
          <w:i/>
        </w:rPr>
        <w:t>Mack</w:t>
      </w:r>
      <w:r w:rsidRPr="00FE777D">
        <w:rPr>
          <w:rFonts w:cs="Times New Roman"/>
        </w:rPr>
        <w:t>,</w:t>
      </w:r>
      <w:r w:rsidRPr="00FE777D">
        <w:rPr>
          <w:rFonts w:cs="Times New Roman"/>
          <w:i/>
        </w:rPr>
        <w:t xml:space="preserve"> </w:t>
      </w:r>
      <w:r w:rsidRPr="00FE777D">
        <w:rPr>
          <w:rFonts w:cs="Times New Roman"/>
        </w:rPr>
        <w:t>at p. 955).</w:t>
      </w:r>
    </w:p>
    <w:p w:rsidR="00E53404" w:rsidRPr="00FE777D" w:rsidRDefault="00E53404" w:rsidP="00E53404">
      <w:pPr>
        <w:pStyle w:val="ParaNoNdepar-AltN"/>
        <w:rPr>
          <w:rFonts w:cs="Times New Roman"/>
          <w:lang w:bidi="en-US"/>
        </w:rPr>
      </w:pPr>
      <w:r w:rsidRPr="00FE777D">
        <w:rPr>
          <w:rFonts w:cs="Times New Roman"/>
        </w:rPr>
        <w:t xml:space="preserve">People are not protected against random virtue testing if we assume that entrapment occurs only when virtuous people would be tempted to commit crimes. The opportunity-based branch of the </w:t>
      </w:r>
      <w:r w:rsidRPr="00FE777D">
        <w:rPr>
          <w:rFonts w:cs="Times New Roman"/>
          <w:i/>
        </w:rPr>
        <w:t xml:space="preserve">Mack </w:t>
      </w:r>
      <w:r w:rsidRPr="00FE777D">
        <w:rPr>
          <w:rFonts w:cs="Times New Roman"/>
        </w:rPr>
        <w:t xml:space="preserve">test therefore establishes that police cannot subject </w:t>
      </w:r>
      <w:r w:rsidRPr="00FE777D">
        <w:rPr>
          <w:rFonts w:cs="Times New Roman"/>
          <w:i/>
        </w:rPr>
        <w:t>anyone</w:t>
      </w:r>
      <w:r w:rsidRPr="00FE777D">
        <w:rPr>
          <w:rFonts w:cs="Times New Roman"/>
        </w:rPr>
        <w:t xml:space="preserve"> to random virtue testing — virtuous or non-virtuous, predisposed or non-predisposed — without reasonable suspicion. Many commentators support the test established in </w:t>
      </w:r>
      <w:r w:rsidRPr="00FE777D">
        <w:rPr>
          <w:rFonts w:cs="Times New Roman"/>
          <w:i/>
        </w:rPr>
        <w:t>Mack</w:t>
      </w:r>
      <w:r w:rsidRPr="00FE777D">
        <w:rPr>
          <w:rFonts w:cs="Times New Roman"/>
        </w:rPr>
        <w:t xml:space="preserve"> for this very reason — that is, because its objective threshold protects </w:t>
      </w:r>
      <w:r w:rsidRPr="00FE777D">
        <w:rPr>
          <w:rFonts w:cs="Times New Roman"/>
          <w:i/>
        </w:rPr>
        <w:t>everyone</w:t>
      </w:r>
      <w:r w:rsidRPr="00FE777D">
        <w:rPr>
          <w:rFonts w:cs="Times New Roman"/>
        </w:rPr>
        <w:t xml:space="preserve"> from random testing </w:t>
      </w:r>
      <w:r w:rsidRPr="00FE777D">
        <w:rPr>
          <w:rFonts w:cs="Times New Roman"/>
          <w:lang w:bidi="en-US"/>
        </w:rPr>
        <w:t xml:space="preserve">(Ashworth, at p. 305; D. Ormerod and A. Roberts, “The trouble with </w:t>
      </w:r>
      <w:r w:rsidRPr="00FE777D">
        <w:rPr>
          <w:rFonts w:cs="Times New Roman"/>
          <w:i/>
          <w:lang w:bidi="en-US"/>
        </w:rPr>
        <w:t>Teixeira</w:t>
      </w:r>
      <w:r w:rsidRPr="00FE777D">
        <w:rPr>
          <w:rFonts w:cs="Times New Roman"/>
          <w:lang w:bidi="en-US"/>
        </w:rPr>
        <w:t xml:space="preserve">: Developing a principled approach to entrapment” (2002), 6 </w:t>
      </w:r>
      <w:r w:rsidRPr="00FE777D">
        <w:rPr>
          <w:rFonts w:cs="Times New Roman"/>
          <w:i/>
          <w:lang w:bidi="en-US"/>
        </w:rPr>
        <w:t>Int’l J. of Evidence &amp; Proof</w:t>
      </w:r>
      <w:r w:rsidRPr="00FE777D">
        <w:rPr>
          <w:rFonts w:cs="Times New Roman"/>
          <w:lang w:bidi="en-US"/>
        </w:rPr>
        <w:t xml:space="preserve"> 38, at pp. 46-48; S. Bronitt, “The Law in Undercover Policing: A Comparative Study of Entrapment and Covert Interviewing in Australia, Canada and Europe” (2004), 33 </w:t>
      </w:r>
      <w:r w:rsidRPr="00FE777D">
        <w:rPr>
          <w:rFonts w:cs="Times New Roman"/>
          <w:i/>
          <w:lang w:bidi="en-US"/>
        </w:rPr>
        <w:t>Comm. L. World Rev.</w:t>
      </w:r>
      <w:r w:rsidRPr="00FE777D">
        <w:rPr>
          <w:rFonts w:cs="Times New Roman"/>
          <w:lang w:bidi="en-US"/>
        </w:rPr>
        <w:t xml:space="preserve"> 35, at p. 78; Roach, at p. 1462; D. Stuart, </w:t>
      </w:r>
      <w:r w:rsidRPr="00FE777D">
        <w:rPr>
          <w:rFonts w:cs="Times New Roman"/>
          <w:i/>
          <w:lang w:bidi="en-US"/>
        </w:rPr>
        <w:t>Canadian Criminal Law: A Treatise</w:t>
      </w:r>
      <w:r w:rsidRPr="00FE777D">
        <w:rPr>
          <w:rFonts w:cs="Times New Roman"/>
          <w:lang w:bidi="en-US"/>
        </w:rPr>
        <w:t xml:space="preserve"> (7th ed. 2014), at p. 653).</w:t>
      </w:r>
    </w:p>
    <w:p w:rsidR="00E53404" w:rsidRPr="00FE777D" w:rsidRDefault="00E53404" w:rsidP="00E53404">
      <w:pPr>
        <w:pStyle w:val="ParaNoNdepar-AltN"/>
        <w:rPr>
          <w:rFonts w:cs="Times New Roman"/>
        </w:rPr>
      </w:pPr>
      <w:r w:rsidRPr="00FE777D">
        <w:rPr>
          <w:rFonts w:cs="Times New Roman"/>
        </w:rPr>
        <w:t>Providing individuals the opportunity to commit offences without the foundation of a reasonable suspicion also unacceptably increases the likelihood that people will commit crimes when they otherwise would not have. The risk is at its highest when the person given the opportunity is comparatively vulnerable or otherwise marginalized. Random virtue testing therefore violates the principle that it is wrong for the police to manufacture crime because it “prey[s] on the weakness of human nature” to entice individuals into offending (</w:t>
      </w:r>
      <w:r w:rsidRPr="00FE777D">
        <w:rPr>
          <w:rFonts w:cs="Times New Roman"/>
          <w:i/>
        </w:rPr>
        <w:t>R. v. Looseley</w:t>
      </w:r>
      <w:r w:rsidRPr="00FE777D">
        <w:rPr>
          <w:rFonts w:cs="Times New Roman"/>
        </w:rPr>
        <w:t xml:space="preserve">, [2001] UKHL 53, </w:t>
      </w:r>
      <w:r w:rsidRPr="00FE777D">
        <w:rPr>
          <w:rFonts w:cs="Times New Roman"/>
          <w:lang w:val="en-US"/>
        </w:rPr>
        <w:t>[2001] 4 All E.R. 897,</w:t>
      </w:r>
      <w:r w:rsidRPr="00FE777D">
        <w:rPr>
          <w:rFonts w:cs="Times New Roman"/>
        </w:rPr>
        <w:t xml:space="preserve"> at para. 58, per Lord Hoffmann). Marginalized people, with the limited resources they possess, will rarely, if ever, be able to meet the high burden of proving bad faith. There will rarely be evidence of intentional racial profiling or targeting of the vulnerable. Conversely, the test in </w:t>
      </w:r>
      <w:r w:rsidRPr="00FE777D">
        <w:rPr>
          <w:rFonts w:cs="Times New Roman"/>
          <w:i/>
        </w:rPr>
        <w:t>Mack</w:t>
      </w:r>
      <w:r w:rsidRPr="00FE777D">
        <w:rPr>
          <w:rFonts w:cs="Times New Roman"/>
        </w:rPr>
        <w:t xml:space="preserve"> — grounded in reasonable suspicion — is attainable for everyone, designed as it is to accommodate the “qualities of humanness which all of us share” (</w:t>
      </w:r>
      <w:r w:rsidRPr="00FE777D">
        <w:rPr>
          <w:rFonts w:cs="Times New Roman"/>
          <w:i/>
        </w:rPr>
        <w:t>Mack</w:t>
      </w:r>
      <w:r w:rsidRPr="00FE777D">
        <w:rPr>
          <w:rFonts w:cs="Times New Roman"/>
        </w:rPr>
        <w:t xml:space="preserve">, at p. 940). It seeks to protect the justice system and preserve the rule of law by ensuring that </w:t>
      </w:r>
      <w:r w:rsidRPr="00FE777D">
        <w:rPr>
          <w:rFonts w:cs="Times New Roman"/>
          <w:i/>
        </w:rPr>
        <w:t>all</w:t>
      </w:r>
      <w:r w:rsidRPr="00FE777D">
        <w:rPr>
          <w:rFonts w:cs="Times New Roman"/>
        </w:rPr>
        <w:t xml:space="preserve"> individuals, predisposed or not, are protected from improper police conduct (</w:t>
      </w:r>
      <w:r w:rsidRPr="00FE777D">
        <w:rPr>
          <w:rFonts w:cs="Times New Roman"/>
          <w:i/>
        </w:rPr>
        <w:t>Mack</w:t>
      </w:r>
      <w:r w:rsidRPr="00FE777D">
        <w:rPr>
          <w:rFonts w:cs="Times New Roman"/>
        </w:rPr>
        <w:t>, at p. 961).</w:t>
      </w:r>
    </w:p>
    <w:p w:rsidR="00E53404" w:rsidRPr="00FE777D" w:rsidRDefault="00E53404" w:rsidP="00E53404">
      <w:pPr>
        <w:pStyle w:val="ParaNoNdepar-AltN"/>
        <w:rPr>
          <w:rFonts w:cs="Times New Roman"/>
        </w:rPr>
      </w:pPr>
      <w:r w:rsidRPr="00FE777D">
        <w:rPr>
          <w:rFonts w:cs="Times New Roman"/>
        </w:rPr>
        <w:t xml:space="preserve">A standard of “bad faith” police conduct in this branch of the entrapment doctrine is no substitute for the objective standard of reasonable suspicion, which is reviewable by an independent assessor. A test of “bad faith” cedes primacy to the police’s own assertions. Reasonable suspicion insists on an objective assessment of the information the police actually had. Reasonable suspicion thus shifts the protection of the public against unreasonable intrusions from the shadows of police discretion to the light of curial scrutiny. As described in the context of warrantless arrests by the Supreme Court of the United States in </w:t>
      </w:r>
      <w:r w:rsidRPr="00FE777D">
        <w:rPr>
          <w:rFonts w:cs="Times New Roman"/>
          <w:i/>
        </w:rPr>
        <w:t>Beck v. State of Ohio</w:t>
      </w:r>
      <w:r w:rsidR="00960131">
        <w:rPr>
          <w:rFonts w:cs="Times New Roman"/>
        </w:rPr>
        <w:t>, 85 S.</w:t>
      </w:r>
      <w:r w:rsidRPr="00FE777D">
        <w:rPr>
          <w:rFonts w:cs="Times New Roman"/>
        </w:rPr>
        <w:t>Ct. 223 (1964), at p. 229:</w:t>
      </w:r>
    </w:p>
    <w:p w:rsidR="00E53404" w:rsidRPr="00FE777D" w:rsidRDefault="00E53404" w:rsidP="00E53404">
      <w:pPr>
        <w:pStyle w:val="Citation-AltC"/>
      </w:pPr>
      <w:r w:rsidRPr="00FE777D">
        <w:t>We may assume that the officers acted in good faith in arresting the petitioner. But “good faith on the part of the a</w:t>
      </w:r>
      <w:r w:rsidR="00625008">
        <w:t>rresting officers is not enough</w:t>
      </w:r>
      <w:r w:rsidRPr="00FE777D">
        <w:t>”</w:t>
      </w:r>
      <w:r w:rsidR="00625008">
        <w:t>.</w:t>
      </w:r>
      <w:r w:rsidRPr="00FE777D">
        <w:t xml:space="preserve"> If subjective good faith alone were the test, the protections of the Fourth Amendment would evaporate, and the people would be “secure in their persons, houses, papers, and effects,” only in the discretion of the police. [Citation omitted.]</w:t>
      </w:r>
    </w:p>
    <w:p w:rsidR="00E53404" w:rsidRPr="00FE777D" w:rsidRDefault="00E53404" w:rsidP="00E53404">
      <w:pPr>
        <w:pStyle w:val="ParaNoNdepar-AltN"/>
        <w:rPr>
          <w:rFonts w:cs="Times New Roman"/>
        </w:rPr>
      </w:pPr>
      <w:r w:rsidRPr="00FE777D">
        <w:rPr>
          <w:rFonts w:cs="Times New Roman"/>
        </w:rPr>
        <w:t xml:space="preserve">Further, and unlike reasonable suspicion, a standard of bad faith fails to give meaningful guidance to police officers called upon to determine whether they can offer an opportunity to commit a crime. Reasonable suspicion is an </w:t>
      </w:r>
      <w:r w:rsidRPr="00FE777D">
        <w:rPr>
          <w:rFonts w:cs="Times New Roman"/>
          <w:i/>
        </w:rPr>
        <w:t>ex ante</w:t>
      </w:r>
      <w:r w:rsidRPr="00FE777D">
        <w:rPr>
          <w:rFonts w:cs="Times New Roman"/>
        </w:rPr>
        <w:t xml:space="preserve"> standard that has stood the test of time, is “readily applicable in pra</w:t>
      </w:r>
      <w:r w:rsidR="00625008">
        <w:rPr>
          <w:rFonts w:cs="Times New Roman"/>
        </w:rPr>
        <w:t>ctice</w:t>
      </w:r>
      <w:r w:rsidRPr="00FE777D">
        <w:rPr>
          <w:rFonts w:cs="Times New Roman"/>
        </w:rPr>
        <w:t>”</w:t>
      </w:r>
      <w:r w:rsidR="00625008">
        <w:rPr>
          <w:rFonts w:cs="Times New Roman"/>
        </w:rPr>
        <w:t>,</w:t>
      </w:r>
      <w:r w:rsidRPr="00FE777D">
        <w:rPr>
          <w:rFonts w:cs="Times New Roman"/>
        </w:rPr>
        <w:t xml:space="preserve"> and is familiar and “meaningful to the police and trial judges” (</w:t>
      </w:r>
      <w:r w:rsidRPr="00FE777D">
        <w:rPr>
          <w:rFonts w:cs="Times New Roman"/>
          <w:i/>
        </w:rPr>
        <w:t>Kang</w:t>
      </w:r>
      <w:r w:rsidRPr="00FE777D">
        <w:rPr>
          <w:rFonts w:cs="Times New Roman"/>
          <w:i/>
        </w:rPr>
        <w:noBreakHyphen/>
        <w:t>Brown</w:t>
      </w:r>
      <w:r w:rsidRPr="00FE777D">
        <w:rPr>
          <w:rFonts w:cs="Times New Roman"/>
        </w:rPr>
        <w:t xml:space="preserve">, at para. 164, per Deschamps J., dissenting but not on this point). It fosters in police officers a sense of the importance of obtaining objective evidence of criminal activity </w:t>
      </w:r>
      <w:r w:rsidRPr="00FE777D">
        <w:rPr>
          <w:rFonts w:cs="Times New Roman"/>
          <w:i/>
        </w:rPr>
        <w:t>before</w:t>
      </w:r>
      <w:r w:rsidRPr="00FE777D">
        <w:rPr>
          <w:rFonts w:cs="Times New Roman"/>
        </w:rPr>
        <w:t xml:space="preserve"> offering an opportunity to commit a crime, and of being alive to indicators that suggest that their intuitions or hunches may be wrong (</w:t>
      </w:r>
      <w:r w:rsidRPr="00FE777D">
        <w:rPr>
          <w:rFonts w:cs="Times New Roman"/>
          <w:i/>
        </w:rPr>
        <w:t>Chehil</w:t>
      </w:r>
      <w:r w:rsidRPr="00FE777D">
        <w:rPr>
          <w:rFonts w:cs="Times New Roman"/>
        </w:rPr>
        <w:t>, at paras. 33-34). And it compels police to disclose objective evidence that is amenable to exacting review, precluding them from relying on peremptory assertions of suspicion.</w:t>
      </w:r>
    </w:p>
    <w:p w:rsidR="00E53404" w:rsidRPr="00FE777D" w:rsidRDefault="00E53404" w:rsidP="00E53404">
      <w:pPr>
        <w:pStyle w:val="ParaNoNdepar-AltN"/>
        <w:rPr>
          <w:rFonts w:cs="Times New Roman"/>
        </w:rPr>
      </w:pPr>
      <w:r w:rsidRPr="00FE777D">
        <w:rPr>
          <w:rFonts w:cs="Times New Roman"/>
        </w:rPr>
        <w:t>Any lower bar — and certainly any bar that would allow the police to respond to bare tips by immediately offering an opportunity to commit a crime — would effectively be no bar at all.</w:t>
      </w:r>
    </w:p>
    <w:p w:rsidR="00E53404" w:rsidRPr="00FE777D" w:rsidRDefault="00E53404" w:rsidP="00E53404">
      <w:pPr>
        <w:pStyle w:val="ParaNoNdepar-AltN"/>
        <w:rPr>
          <w:rFonts w:cs="Times New Roman"/>
        </w:rPr>
      </w:pPr>
      <w:r w:rsidRPr="00FE777D">
        <w:rPr>
          <w:rFonts w:cs="Times New Roman"/>
        </w:rPr>
        <w:t xml:space="preserve">That this is so is made plain by asking the following question: if a name and number were sufficient to allow police to intrude on protected interests, what </w:t>
      </w:r>
      <w:r w:rsidRPr="00FE777D">
        <w:rPr>
          <w:rFonts w:cs="Times New Roman"/>
          <w:i/>
        </w:rPr>
        <w:t>less</w:t>
      </w:r>
      <w:r w:rsidRPr="00FE777D">
        <w:rPr>
          <w:rFonts w:cs="Times New Roman"/>
        </w:rPr>
        <w:t xml:space="preserve"> could </w:t>
      </w:r>
      <w:r w:rsidRPr="00FE777D">
        <w:rPr>
          <w:rFonts w:cs="Times New Roman"/>
          <w:i/>
        </w:rPr>
        <w:t>possibly</w:t>
      </w:r>
      <w:r w:rsidRPr="00FE777D">
        <w:rPr>
          <w:rFonts w:cs="Times New Roman"/>
        </w:rPr>
        <w:t xml:space="preserve"> be required? The police need </w:t>
      </w:r>
      <w:r w:rsidRPr="00FE777D">
        <w:rPr>
          <w:rFonts w:cs="Times New Roman"/>
          <w:i/>
        </w:rPr>
        <w:t>at least</w:t>
      </w:r>
      <w:r w:rsidRPr="00FE777D">
        <w:rPr>
          <w:rFonts w:cs="Times New Roman"/>
        </w:rPr>
        <w:t xml:space="preserve"> a number to make the phone call. Such a low bar would do nothing to protect people from random virtue testing: being called by police and invited to commit an offence based on malice, rumour or gossip. The reasonably informed observer would be dismayed to learn that police are permitted to act on this information in this way simply by virtue of having received it. Just as the hunch or “mere suspicion” of one police officer cannot become something more simply because it was shared with other officers (</w:t>
      </w:r>
      <w:r w:rsidRPr="00FE777D">
        <w:rPr>
          <w:rFonts w:cs="Times New Roman"/>
          <w:i/>
          <w:lang w:val="en"/>
        </w:rPr>
        <w:t>R. v.</w:t>
      </w:r>
      <w:r w:rsidRPr="00FE777D">
        <w:rPr>
          <w:rFonts w:cs="Times New Roman"/>
          <w:lang w:val="en"/>
        </w:rPr>
        <w:t xml:space="preserve"> </w:t>
      </w:r>
      <w:r w:rsidRPr="00FE777D">
        <w:rPr>
          <w:rFonts w:cs="Times New Roman"/>
          <w:i/>
          <w:lang w:val="en"/>
        </w:rPr>
        <w:t>Swan</w:t>
      </w:r>
      <w:r w:rsidRPr="00FE777D">
        <w:rPr>
          <w:rFonts w:cs="Times New Roman"/>
          <w:lang w:val="en"/>
        </w:rPr>
        <w:t xml:space="preserve">, 2009 BCCA 142, </w:t>
      </w:r>
      <w:r w:rsidRPr="00FE777D">
        <w:rPr>
          <w:rFonts w:cs="Times New Roman"/>
        </w:rPr>
        <w:t xml:space="preserve">244 C.C.C. (3d) 108, </w:t>
      </w:r>
      <w:r w:rsidRPr="00FE777D">
        <w:rPr>
          <w:rFonts w:cs="Times New Roman"/>
          <w:lang w:val="en"/>
        </w:rPr>
        <w:t>at para. 23),</w:t>
      </w:r>
      <w:r w:rsidRPr="00FE777D">
        <w:rPr>
          <w:rFonts w:cs="Times New Roman"/>
        </w:rPr>
        <w:t xml:space="preserve"> a source’s hunch does not transform into something more once placed into the hands of the police (</w:t>
      </w:r>
      <w:r w:rsidRPr="00FE777D">
        <w:rPr>
          <w:rFonts w:cs="Times New Roman"/>
          <w:i/>
        </w:rPr>
        <w:t>R. v. McMahon</w:t>
      </w:r>
      <w:r w:rsidRPr="00FE777D">
        <w:rPr>
          <w:rFonts w:cs="Times New Roman"/>
        </w:rPr>
        <w:t xml:space="preserve">, 2018 SKCA 26, 361 C.C.C. (3d) 429, at paras. 60 and 62; </w:t>
      </w:r>
      <w:r w:rsidRPr="00FE777D">
        <w:rPr>
          <w:rFonts w:cs="Times New Roman"/>
          <w:i/>
        </w:rPr>
        <w:t>R. v. Jir</w:t>
      </w:r>
      <w:r w:rsidRPr="00FE777D">
        <w:rPr>
          <w:rFonts w:cs="Times New Roman"/>
        </w:rPr>
        <w:t xml:space="preserve">, 2010 BCCA 497, 264 C.C.C. (3d) 64, at para. 46, per Groberman J.A., concurring; </w:t>
      </w:r>
      <w:r w:rsidRPr="00FE777D">
        <w:rPr>
          <w:rFonts w:cs="Times New Roman"/>
          <w:i/>
        </w:rPr>
        <w:t>R. v. Whyte</w:t>
      </w:r>
      <w:r w:rsidRPr="00FE777D">
        <w:rPr>
          <w:rFonts w:cs="Times New Roman"/>
        </w:rPr>
        <w:t>, 2011 ONCA 24, 266 C.C.C. (3d) 5, at para. 17, aff’d 2011 SCC 49, [2011] 3 S.C.R. 364). We see no basis — in this Court’s jurisprudence or elsewhere — for abandoning the reasonable suspicion standard and granting police unrestricted licence to offer people the opportunity to commit crimes, free from independent and meaningful judicial oversight.</w:t>
      </w:r>
    </w:p>
    <w:p w:rsidR="00E53404" w:rsidRPr="00FE777D" w:rsidRDefault="00E53404" w:rsidP="00E53404">
      <w:pPr>
        <w:pStyle w:val="Title1LevelTitre1Niveau-AltL"/>
        <w:numPr>
          <w:ilvl w:val="0"/>
          <w:numId w:val="8"/>
        </w:numPr>
        <w:rPr>
          <w:rFonts w:cs="Times New Roman"/>
        </w:rPr>
      </w:pPr>
      <w:r w:rsidRPr="00FE777D">
        <w:rPr>
          <w:rFonts w:cs="Times New Roman"/>
        </w:rPr>
        <w:t>Issues</w:t>
      </w:r>
    </w:p>
    <w:p w:rsidR="00E53404" w:rsidRPr="00FE777D" w:rsidRDefault="00E53404" w:rsidP="00E53404">
      <w:pPr>
        <w:pStyle w:val="ParaNoNdepar-AltN"/>
        <w:rPr>
          <w:rFonts w:cs="Times New Roman"/>
        </w:rPr>
      </w:pPr>
      <w:r w:rsidRPr="00FE777D">
        <w:rPr>
          <w:rFonts w:cs="Times New Roman"/>
        </w:rPr>
        <w:t>Several issues arise when entrapment is examined in the dial</w:t>
      </w:r>
      <w:r w:rsidRPr="00FE777D">
        <w:rPr>
          <w:rFonts w:cs="Times New Roman"/>
        </w:rPr>
        <w:noBreakHyphen/>
        <w:t>a</w:t>
      </w:r>
      <w:r w:rsidRPr="00FE777D">
        <w:rPr>
          <w:rFonts w:cs="Times New Roman"/>
        </w:rPr>
        <w:noBreakHyphen/>
        <w:t>dope context:</w:t>
      </w:r>
    </w:p>
    <w:p w:rsidR="002917C4" w:rsidRDefault="00E53404" w:rsidP="002917C4">
      <w:pPr>
        <w:pStyle w:val="Citation-AltC"/>
        <w:numPr>
          <w:ilvl w:val="0"/>
          <w:numId w:val="30"/>
        </w:numPr>
        <w:spacing w:after="480" w:line="480" w:lineRule="auto"/>
        <w:ind w:left="360"/>
        <w:contextualSpacing w:val="0"/>
      </w:pPr>
      <w:r w:rsidRPr="00FE777D">
        <w:t>Can a phone number — a virtual place — qualify as a location for the purposes of entrapment?</w:t>
      </w:r>
    </w:p>
    <w:p w:rsidR="002917C4" w:rsidRDefault="00E53404" w:rsidP="002917C4">
      <w:pPr>
        <w:pStyle w:val="Citation-AltC"/>
        <w:numPr>
          <w:ilvl w:val="0"/>
          <w:numId w:val="30"/>
        </w:numPr>
        <w:spacing w:after="480" w:line="480" w:lineRule="auto"/>
        <w:ind w:left="360"/>
        <w:contextualSpacing w:val="0"/>
      </w:pPr>
      <w:r w:rsidRPr="00FE777D">
        <w:t>What circumstances can give rise to reasonable suspicion in the dial</w:t>
      </w:r>
      <w:r w:rsidRPr="00FE777D">
        <w:noBreakHyphen/>
        <w:t>a</w:t>
      </w:r>
      <w:r w:rsidRPr="00FE777D">
        <w:noBreakHyphen/>
        <w:t>dope context?</w:t>
      </w:r>
    </w:p>
    <w:p w:rsidR="002917C4" w:rsidRDefault="00E53404" w:rsidP="002917C4">
      <w:pPr>
        <w:pStyle w:val="Citation-AltC"/>
        <w:numPr>
          <w:ilvl w:val="0"/>
          <w:numId w:val="30"/>
        </w:numPr>
        <w:spacing w:after="480" w:line="480" w:lineRule="auto"/>
        <w:ind w:left="360"/>
        <w:contextualSpacing w:val="0"/>
      </w:pPr>
      <w:r w:rsidRPr="00FE777D">
        <w:t>How should courts review the conversation between police and the accused in deciding whether reasonable suspicion has been established and when the opportunity to offend was offered?</w:t>
      </w:r>
    </w:p>
    <w:p w:rsidR="00E53404" w:rsidRPr="00FE777D" w:rsidRDefault="00E53404" w:rsidP="002917C4">
      <w:pPr>
        <w:pStyle w:val="Citation-AltC"/>
        <w:numPr>
          <w:ilvl w:val="0"/>
          <w:numId w:val="30"/>
        </w:numPr>
        <w:spacing w:after="480" w:line="480" w:lineRule="auto"/>
        <w:ind w:left="360"/>
        <w:contextualSpacing w:val="0"/>
      </w:pPr>
      <w:r w:rsidRPr="00FE777D">
        <w:t>What constitutes provision of an opportunity to traffic in drugs during a phone call?</w:t>
      </w:r>
    </w:p>
    <w:p w:rsidR="00E53404" w:rsidRPr="00FE777D" w:rsidRDefault="00E53404" w:rsidP="00E53404">
      <w:pPr>
        <w:pStyle w:val="ContinueParaSuitedupar-AltP"/>
        <w:rPr>
          <w:rFonts w:cs="Times New Roman"/>
        </w:rPr>
      </w:pPr>
      <w:r w:rsidRPr="00FE777D">
        <w:rPr>
          <w:rFonts w:cs="Times New Roman"/>
        </w:rPr>
        <w:t>The answers to these questions must be determined in light of the purposes of the doctrine of entrapment.</w:t>
      </w:r>
    </w:p>
    <w:p w:rsidR="00E53404" w:rsidRPr="00FE777D" w:rsidRDefault="00E53404" w:rsidP="00E53404">
      <w:pPr>
        <w:pStyle w:val="Title1LevelTitre1Niveau-AltL"/>
        <w:numPr>
          <w:ilvl w:val="0"/>
          <w:numId w:val="8"/>
        </w:numPr>
        <w:rPr>
          <w:rFonts w:cs="Times New Roman"/>
        </w:rPr>
      </w:pPr>
      <w:r w:rsidRPr="00FE777D">
        <w:rPr>
          <w:rFonts w:cs="Times New Roman"/>
        </w:rPr>
        <w:t>Analysis</w:t>
      </w:r>
    </w:p>
    <w:p w:rsidR="00E53404" w:rsidRPr="00FE777D" w:rsidRDefault="00E53404" w:rsidP="00E53404">
      <w:pPr>
        <w:pStyle w:val="Title2LevelTitre2Niveau"/>
        <w:numPr>
          <w:ilvl w:val="1"/>
          <w:numId w:val="8"/>
        </w:numPr>
        <w:jc w:val="both"/>
        <w:rPr>
          <w:rFonts w:cs="Times New Roman"/>
        </w:rPr>
      </w:pPr>
      <w:r w:rsidRPr="00FE777D">
        <w:rPr>
          <w:rFonts w:cs="Times New Roman"/>
        </w:rPr>
        <w:t>Can a Phone Number Qualify as a “Place” Over Which Police May Form Reasonable Suspicion?</w:t>
      </w:r>
    </w:p>
    <w:p w:rsidR="00E53404" w:rsidRPr="00FE777D" w:rsidRDefault="00E53404" w:rsidP="00E53404">
      <w:pPr>
        <w:pStyle w:val="ParaNoNdepar-AltN"/>
        <w:rPr>
          <w:rFonts w:cs="Times New Roman"/>
        </w:rPr>
      </w:pPr>
      <w:r w:rsidRPr="00FE777D">
        <w:rPr>
          <w:rFonts w:cs="Times New Roman"/>
        </w:rPr>
        <w:t>These appeals require us to consider how the reasonable suspicion standard applies when police are investigating a phone number, or another virtual means of communication between people, like a message board on a website. The parties agree that a phone number can qualify as a “place” for the purposes of the entrapment doctrine. The intervener the Independent Criminal Defence Advocacy Society disagrees, submitting that there is an enhanced privacy interest in virtual places as compared to physical places. Alternatively, it says a multi-factored analysis should inform the consideration of whether a place has been adequately defined. The British Columbia Civil Liberties Association adds that it is concerned that places, both physical and virtual, may be defined too broadly to allow the entrapment doctrine to be sufficiently protective.</w:t>
      </w:r>
    </w:p>
    <w:p w:rsidR="00E53404" w:rsidRPr="00FE777D" w:rsidRDefault="00E53404" w:rsidP="00E53404">
      <w:pPr>
        <w:pStyle w:val="ParaNoNdepar-AltN"/>
        <w:rPr>
          <w:rFonts w:cs="Times New Roman"/>
        </w:rPr>
      </w:pPr>
      <w:r w:rsidRPr="00FE777D">
        <w:rPr>
          <w:rFonts w:cs="Times New Roman"/>
        </w:rPr>
        <w:t>The difficulty, of course, is that technology aids in the commission of crime. And in order to investigate and detect those crimes, police must also make use of technology. Further, while some virtual spaces may be too broad to support a sufficiently particularized reasonable suspicion, that concern does not arise where the space is a single phone number. As we will explain, reasonable suspicion can attach to a phone number, because it is precisely and narrowly defined.</w:t>
      </w:r>
    </w:p>
    <w:p w:rsidR="00E53404" w:rsidRPr="00FE777D" w:rsidRDefault="00E53404" w:rsidP="00E53404">
      <w:pPr>
        <w:pStyle w:val="ParaNoNdepar-AltN"/>
        <w:rPr>
          <w:rFonts w:cs="Times New Roman"/>
        </w:rPr>
      </w:pPr>
      <w:r w:rsidRPr="00FE777D">
        <w:rPr>
          <w:rFonts w:cs="Times New Roman"/>
        </w:rPr>
        <w:t>Of course, a phone number is not the same thing as a public physical location. A phone is a means of private communication between persons, and calling a number, or exchanging text messages, is an inherently private activity (unlike</w:t>
      </w:r>
      <w:r w:rsidRPr="00FE777D" w:rsidDel="00F7402D">
        <w:rPr>
          <w:rFonts w:cs="Times New Roman"/>
        </w:rPr>
        <w:t xml:space="preserve"> </w:t>
      </w:r>
      <w:r w:rsidRPr="00FE777D">
        <w:rPr>
          <w:rFonts w:cs="Times New Roman"/>
        </w:rPr>
        <w:t xml:space="preserve">conversing on a busy downtown Vancouver street, as in </w:t>
      </w:r>
      <w:r w:rsidRPr="00FE777D">
        <w:rPr>
          <w:rFonts w:cs="Times New Roman"/>
          <w:i/>
        </w:rPr>
        <w:t>Barnes</w:t>
      </w:r>
      <w:r w:rsidRPr="00FE777D">
        <w:rPr>
          <w:rFonts w:cs="Times New Roman"/>
        </w:rPr>
        <w:t>, where we might expect chance encounters with the state). A phone number provides access to an intensely private virtual space. We cultivate personal, work and family relationships through our phones; they are a portal of immediate access reserved for the select few closest to us. We carefully guard access to that space by choosing to whom we disclose our phone number and with whom we converse. Similarly, this Court has held that a person reasonably expects privacy in most digital communications, precisely because conversations over text message, social media messaging, or email, are not analogous to a “public post” (</w:t>
      </w:r>
      <w:r w:rsidRPr="00FE777D">
        <w:rPr>
          <w:rFonts w:cs="Times New Roman"/>
          <w:i/>
        </w:rPr>
        <w:t>R. v. Marakah</w:t>
      </w:r>
      <w:r w:rsidRPr="00FE777D">
        <w:rPr>
          <w:rFonts w:cs="Times New Roman"/>
        </w:rPr>
        <w:t>, 2017 SCC 59, [2017] 2 S.C.R. 608, at paras. 28 and 34</w:t>
      </w:r>
      <w:r w:rsidRPr="00FE777D">
        <w:rPr>
          <w:rFonts w:cs="Times New Roman"/>
        </w:rPr>
        <w:noBreakHyphen/>
        <w:t>36, per McLachlin C.J., and at paras. 106 and 116, per</w:t>
      </w:r>
      <w:r w:rsidRPr="00FE777D">
        <w:rPr>
          <w:rFonts w:cs="Times New Roman"/>
          <w:i/>
        </w:rPr>
        <w:t xml:space="preserve"> </w:t>
      </w:r>
      <w:r w:rsidRPr="00FE777D">
        <w:rPr>
          <w:rFonts w:cs="Times New Roman"/>
        </w:rPr>
        <w:t xml:space="preserve">Moldaver J., dissenting). Virtual spaces raise unique concerns for the intrusion of the state into individuals’ private lives, because of the breadth of some virtual places (for example, social media websites), the ease of remote access </w:t>
      </w:r>
      <w:r w:rsidRPr="00FE777D">
        <w:rPr>
          <w:rFonts w:cs="Times New Roman"/>
          <w:lang w:bidi="en-US"/>
        </w:rPr>
        <w:t xml:space="preserve">to a potentially large number of targets </w:t>
      </w:r>
      <w:r w:rsidRPr="00FE777D">
        <w:rPr>
          <w:rFonts w:cs="Times New Roman"/>
        </w:rPr>
        <w:t>that technology provides law enforcement, and the increasing prominence of technology as a means by which individuals conduct their personal lives.</w:t>
      </w:r>
    </w:p>
    <w:p w:rsidR="00E53404" w:rsidRPr="00FE777D" w:rsidRDefault="00E53404" w:rsidP="00E53404">
      <w:pPr>
        <w:pStyle w:val="ParaNoNdepar-AltN"/>
        <w:rPr>
          <w:rFonts w:cs="Times New Roman"/>
        </w:rPr>
      </w:pPr>
      <w:r w:rsidRPr="00FE777D">
        <w:rPr>
          <w:rFonts w:cs="Times New Roman"/>
        </w:rPr>
        <w:t xml:space="preserve">It follows that state surveillance over virtual spaces is of an entirely different qualitative order than surveillance over a public space. Technology and remote communication significantly increase the number of people to whom police investigators can provide opportunities, thereby heightening the risk that innocent people will be targeted. Online anonymity allows police to increasingly fabricate identities and “pose” as others to a degree that would not be possible in a public space like the Granville Mall. And they can do so anytime and anywhere, since cell phones are a 24/7 gateway into a person’s private life. Individuals must be able to enjoy that privacy free from state intrusion, subject only to the police meeting an objective and reviewable standard allowing them to intrude (see </w:t>
      </w:r>
      <w:r w:rsidRPr="00FE777D">
        <w:rPr>
          <w:rFonts w:cs="Times New Roman"/>
          <w:i/>
        </w:rPr>
        <w:t>Barnes</w:t>
      </w:r>
      <w:r w:rsidRPr="00FE777D">
        <w:rPr>
          <w:rFonts w:cs="Times New Roman"/>
        </w:rPr>
        <w:t>, at p. 481, per</w:t>
      </w:r>
      <w:r w:rsidRPr="00FE777D">
        <w:rPr>
          <w:rFonts w:cs="Times New Roman"/>
          <w:i/>
        </w:rPr>
        <w:t xml:space="preserve"> </w:t>
      </w:r>
      <w:r w:rsidRPr="00FE777D">
        <w:rPr>
          <w:rFonts w:cs="Times New Roman"/>
        </w:rPr>
        <w:t>McLachlin J., dissenting but not on this point).</w:t>
      </w:r>
    </w:p>
    <w:p w:rsidR="00E53404" w:rsidRPr="00FE777D" w:rsidRDefault="00E53404" w:rsidP="00E53404">
      <w:pPr>
        <w:pStyle w:val="ParaNoNdepar-AltN"/>
        <w:rPr>
          <w:rFonts w:cs="Times New Roman"/>
        </w:rPr>
      </w:pPr>
      <w:r w:rsidRPr="00FE777D">
        <w:rPr>
          <w:rFonts w:cs="Times New Roman"/>
        </w:rPr>
        <w:t>Section 8 jurisprudence recognizes that at the “heart of liberty in a modern state” is the need to “set a premium” on the ability of its citizens to carve out spaces in their lives, sanctuaries where they may interact freely, unhindered by the possibility of encounters with the state (</w:t>
      </w:r>
      <w:r w:rsidRPr="00FE777D">
        <w:rPr>
          <w:rFonts w:cs="Times New Roman"/>
          <w:i/>
        </w:rPr>
        <w:t>R. v. Edwards</w:t>
      </w:r>
      <w:r w:rsidRPr="00FE777D">
        <w:rPr>
          <w:rFonts w:cs="Times New Roman"/>
        </w:rPr>
        <w:t>, [1996] 1 S.C.R. 128, at para. 67;</w:t>
      </w:r>
      <w:r w:rsidRPr="00FE777D">
        <w:rPr>
          <w:rFonts w:cs="Times New Roman"/>
          <w:i/>
        </w:rPr>
        <w:t xml:space="preserve"> R. v. Wong</w:t>
      </w:r>
      <w:r w:rsidRPr="00FE777D">
        <w:rPr>
          <w:rFonts w:cs="Times New Roman"/>
        </w:rPr>
        <w:t xml:space="preserve">, [1990] 3 S.C.R. 36, at p. 53; see also </w:t>
      </w:r>
      <w:r w:rsidRPr="00FE777D">
        <w:rPr>
          <w:rFonts w:cs="Times New Roman"/>
          <w:i/>
        </w:rPr>
        <w:t>R. v. Dyment</w:t>
      </w:r>
      <w:r w:rsidRPr="00FE777D">
        <w:rPr>
          <w:rFonts w:cs="Times New Roman"/>
        </w:rPr>
        <w:t xml:space="preserve">, [1988] 2 S.C.R. 417, at pp. 427-28; </w:t>
      </w:r>
      <w:r w:rsidRPr="00FE777D">
        <w:rPr>
          <w:rFonts w:cs="Times New Roman"/>
          <w:i/>
        </w:rPr>
        <w:t>R. v. Fearon</w:t>
      </w:r>
      <w:r w:rsidRPr="00FE777D">
        <w:rPr>
          <w:rFonts w:cs="Times New Roman"/>
        </w:rPr>
        <w:t>, 2014 SCC 77, [2014] 3 S.C.R. 621, at para. 114, per</w:t>
      </w:r>
      <w:r w:rsidRPr="00FE777D">
        <w:rPr>
          <w:rFonts w:cs="Times New Roman"/>
          <w:i/>
        </w:rPr>
        <w:t xml:space="preserve"> </w:t>
      </w:r>
      <w:r w:rsidRPr="00FE777D">
        <w:rPr>
          <w:rFonts w:cs="Times New Roman"/>
        </w:rPr>
        <w:t xml:space="preserve">Karakatsanis J., dissenting). In the words of McLachlin C.J. (writing extra-judicially), “The right ‘to be let alone’ and to define a protected sphere of individual autonomy within which neither one’s neighbours nor the state can intrude without permission, is an important aspect of fundamental human dignity” (Hon. B. McLachlin, “Courts, Transparency and Public Confidence — To the Better Administration of Justice” (2003), 8 </w:t>
      </w:r>
      <w:r w:rsidRPr="00FE777D">
        <w:rPr>
          <w:rFonts w:cs="Times New Roman"/>
          <w:i/>
        </w:rPr>
        <w:t xml:space="preserve">Deakin L. Rev. </w:t>
      </w:r>
      <w:r w:rsidRPr="00FE777D">
        <w:rPr>
          <w:rFonts w:cs="Times New Roman"/>
        </w:rPr>
        <w:t xml:space="preserve">1, at p. 3, citing S. D. Warren and L. D. Brandeis, “The Right to Privacy” (1890), 4 </w:t>
      </w:r>
      <w:r w:rsidRPr="00FE777D">
        <w:rPr>
          <w:rFonts w:cs="Times New Roman"/>
          <w:i/>
        </w:rPr>
        <w:t>Harv.</w:t>
      </w:r>
      <w:r w:rsidRPr="00FE777D">
        <w:rPr>
          <w:rFonts w:cs="Times New Roman"/>
        </w:rPr>
        <w:t xml:space="preserve"> </w:t>
      </w:r>
      <w:r w:rsidRPr="00FE777D">
        <w:rPr>
          <w:rFonts w:cs="Times New Roman"/>
          <w:i/>
        </w:rPr>
        <w:t>L. Rev.</w:t>
      </w:r>
      <w:r w:rsidRPr="00FE777D">
        <w:rPr>
          <w:rFonts w:cs="Times New Roman"/>
        </w:rPr>
        <w:t xml:space="preserve"> 193, at p. 195). The human condition flourishes as the fear of state intrusion fades.</w:t>
      </w:r>
    </w:p>
    <w:p w:rsidR="00E53404" w:rsidRPr="00FE777D" w:rsidRDefault="00E53404" w:rsidP="00E53404">
      <w:pPr>
        <w:pStyle w:val="ParaNoNdepar-AltN"/>
        <w:rPr>
          <w:rFonts w:cs="Times New Roman"/>
        </w:rPr>
      </w:pPr>
      <w:r w:rsidRPr="00FE777D">
        <w:rPr>
          <w:rFonts w:cs="Times New Roman"/>
        </w:rPr>
        <w:t>Relatedly, the entrapment doctrine ensures Canadians can “go about their daily lives without courting the risk that they will be subjected to the clandestine investigatory techniques of agents of the state” (</w:t>
      </w:r>
      <w:r w:rsidRPr="00FE777D">
        <w:rPr>
          <w:rFonts w:cs="Times New Roman"/>
          <w:i/>
        </w:rPr>
        <w:t>Barnes</w:t>
      </w:r>
      <w:r w:rsidRPr="00FE777D">
        <w:rPr>
          <w:rFonts w:cs="Times New Roman"/>
        </w:rPr>
        <w:t>, at p. 480, per</w:t>
      </w:r>
      <w:r w:rsidRPr="00FE777D">
        <w:rPr>
          <w:rFonts w:cs="Times New Roman"/>
          <w:i/>
        </w:rPr>
        <w:t xml:space="preserve"> </w:t>
      </w:r>
      <w:r w:rsidRPr="00FE777D">
        <w:rPr>
          <w:rFonts w:cs="Times New Roman"/>
        </w:rPr>
        <w:t xml:space="preserve">McLachlin J., dissenting). It is therefore important to carefully delineate and tightly circumscribe virtual locations in which police can provide the opportunity to commit a crime. As Lamer C.J. noted in </w:t>
      </w:r>
      <w:r w:rsidRPr="00FE777D">
        <w:rPr>
          <w:rFonts w:cs="Times New Roman"/>
          <w:i/>
        </w:rPr>
        <w:t>Barnes</w:t>
      </w:r>
      <w:r w:rsidRPr="00FE777D">
        <w:rPr>
          <w:rFonts w:cs="Times New Roman"/>
        </w:rPr>
        <w:t>, at pp. 462</w:t>
      </w:r>
      <w:r w:rsidRPr="00FE777D">
        <w:rPr>
          <w:rFonts w:cs="Times New Roman"/>
        </w:rPr>
        <w:noBreakHyphen/>
        <w:t xml:space="preserve">63, a reasonable suspicion can attach to a place only if it is defined with sufficient precision and “in many cases, the size of the area itself may indicate that the investigation is not </w:t>
      </w:r>
      <w:r w:rsidRPr="00FE777D">
        <w:rPr>
          <w:rFonts w:cs="Times New Roman"/>
          <w:i/>
        </w:rPr>
        <w:t>bona fide</w:t>
      </w:r>
      <w:r w:rsidRPr="00FE777D">
        <w:rPr>
          <w:rFonts w:cs="Times New Roman"/>
        </w:rPr>
        <w:t>.” Given that such an inquiry hinges on the presence of reasonable suspicion, the location must be “sufficiently particularized” (</w:t>
      </w:r>
      <w:r w:rsidRPr="00FE777D">
        <w:rPr>
          <w:rFonts w:cs="Times New Roman"/>
          <w:i/>
        </w:rPr>
        <w:t>Chehil</w:t>
      </w:r>
      <w:r w:rsidRPr="00FE777D">
        <w:rPr>
          <w:rFonts w:cs="Times New Roman"/>
        </w:rPr>
        <w:t>,</w:t>
      </w:r>
      <w:r w:rsidRPr="00FE777D">
        <w:rPr>
          <w:rFonts w:cs="Times New Roman"/>
          <w:i/>
        </w:rPr>
        <w:t xml:space="preserve"> </w:t>
      </w:r>
      <w:r w:rsidRPr="00FE777D">
        <w:rPr>
          <w:rFonts w:cs="Times New Roman"/>
        </w:rPr>
        <w:t xml:space="preserve">at para. 30; see also S. Penney, “Standards of Suspicion” (2018), 65 </w:t>
      </w:r>
      <w:r w:rsidRPr="00FE777D">
        <w:rPr>
          <w:rFonts w:cs="Times New Roman"/>
          <w:i/>
        </w:rPr>
        <w:t>Crim. L.Q.</w:t>
      </w:r>
      <w:r w:rsidRPr="00FE777D">
        <w:rPr>
          <w:rFonts w:cs="Times New Roman"/>
        </w:rPr>
        <w:t xml:space="preserve"> 23, at pp. 24 and 26).</w:t>
      </w:r>
    </w:p>
    <w:p w:rsidR="00E53404" w:rsidRPr="00FE777D" w:rsidRDefault="00E53404" w:rsidP="00960131">
      <w:pPr>
        <w:pStyle w:val="ParaNoNdepar-AltN"/>
        <w:rPr>
          <w:lang w:val="en"/>
        </w:rPr>
      </w:pPr>
      <w:r w:rsidRPr="00FE777D">
        <w:t>The Crown stresses that we now find ourselves in a virtual age; while drugs used to be bought and sold in specific locations, they are now delivered into the hands of the buyer in a transaction that involves modern technology. We accept that communicating in a virtual space adds “</w:t>
      </w:r>
      <w:r w:rsidRPr="00FE777D">
        <w:rPr>
          <w:lang w:val="en"/>
        </w:rPr>
        <w:t>a layer of unpredictability” (</w:t>
      </w:r>
      <w:r w:rsidRPr="00FE777D">
        <w:rPr>
          <w:i/>
          <w:lang w:val="en"/>
        </w:rPr>
        <w:t>R. v. Mills</w:t>
      </w:r>
      <w:r w:rsidRPr="00FE777D">
        <w:rPr>
          <w:lang w:val="en"/>
        </w:rPr>
        <w:t>,</w:t>
      </w:r>
      <w:r w:rsidRPr="00FE777D">
        <w:rPr>
          <w:i/>
          <w:lang w:val="en"/>
        </w:rPr>
        <w:t xml:space="preserve"> </w:t>
      </w:r>
      <w:r w:rsidRPr="00FE777D">
        <w:t>2019 SCC 22</w:t>
      </w:r>
      <w:r w:rsidRPr="00FE777D">
        <w:rPr>
          <w:lang w:val="en"/>
        </w:rPr>
        <w:t>,</w:t>
      </w:r>
      <w:r w:rsidR="00960131">
        <w:rPr>
          <w:lang w:val="en"/>
        </w:rPr>
        <w:t xml:space="preserve"> </w:t>
      </w:r>
      <w:r w:rsidR="00960131" w:rsidRPr="00960131">
        <w:rPr>
          <w:rFonts w:cs="Times New Roman"/>
          <w:lang w:val="en"/>
        </w:rPr>
        <w:t>[2019] 2 S.C.R. 320</w:t>
      </w:r>
      <w:r w:rsidR="00960131">
        <w:rPr>
          <w:rFonts w:cs="Times New Roman"/>
          <w:lang w:val="en"/>
        </w:rPr>
        <w:t>,</w:t>
      </w:r>
      <w:r w:rsidRPr="00FE777D">
        <w:rPr>
          <w:lang w:val="en"/>
        </w:rPr>
        <w:t xml:space="preserve"> at para. 23, per Brown J.)</w:t>
      </w:r>
      <w:r w:rsidRPr="00FE777D">
        <w:t>. But it is this very unpredictability that necessitates applying the doctrine of entrapment in a way that ensures the freedoms protected in a physical space are also protected in our virtual communications. Drug dealing over the phone may well be difficult to detect, but individuals also have considerable privacy interests in their phones that must be protected from arbitrary state intrusion. The risks posed to individual interests, although different, are not ameliorated where police investigate virtual communications as opposed to a physical space. We say, t</w:t>
      </w:r>
      <w:r w:rsidRPr="00FE777D">
        <w:rPr>
          <w:lang w:val="en"/>
        </w:rPr>
        <w:t>o properly protect these interests, police must have reasonable suspicion over an individual or a well-defined virtual space, like a phone number, before providing an opportunity to commit a crime.</w:t>
      </w:r>
    </w:p>
    <w:p w:rsidR="00E53404" w:rsidRPr="00FE777D" w:rsidRDefault="00E53404" w:rsidP="00E53404">
      <w:pPr>
        <w:pStyle w:val="ParaNoNdepar-AltN"/>
        <w:rPr>
          <w:rFonts w:cs="Times New Roman"/>
        </w:rPr>
      </w:pPr>
      <w:r w:rsidRPr="00FE777D">
        <w:rPr>
          <w:rFonts w:cs="Times New Roman"/>
        </w:rPr>
        <w:t xml:space="preserve">We emphasize that </w:t>
      </w:r>
      <w:r w:rsidRPr="00FE777D">
        <w:rPr>
          <w:rFonts w:cs="Times New Roman"/>
          <w:lang w:val="en-US"/>
        </w:rPr>
        <w:t>the virtual space in question must be defined with sufficient precision in order to ground reasonable suspicion. Reviewing courts must scrutinize the evidence that prompted the inquiry to ensure the police have narrowed their scope so that the purview of their inquiry is no broader than the evidence allows. To ensure that random virtue testing is avoided, factors such as (but not limited to) the following may be helpful: the seriousness of the crime in question; the time of day and the number of activities and persons who might be affected; whether racial profiling, stereotyping or reliance on vulnerabilities played a part in the selection of the location; the level of privacy expected in the area or space; the importance of the virtual space to freedom of expression; and the availability of other, less intrusive investigative techniques.</w:t>
      </w:r>
    </w:p>
    <w:p w:rsidR="00E53404" w:rsidRPr="00FE777D" w:rsidRDefault="00E53404" w:rsidP="00E53404">
      <w:pPr>
        <w:pStyle w:val="ParaNoNdepar-AltN"/>
        <w:rPr>
          <w:rFonts w:cs="Times New Roman"/>
        </w:rPr>
      </w:pPr>
      <w:r w:rsidRPr="00FE777D">
        <w:rPr>
          <w:rFonts w:cs="Times New Roman"/>
        </w:rPr>
        <w:t xml:space="preserve">As previously explained, an individual phone number is sufficiently precise and narrow to qualify as a place for the purposes of the first branch of the entrapment doctrine. </w:t>
      </w:r>
      <w:r w:rsidRPr="00FE777D">
        <w:rPr>
          <w:rFonts w:cs="Times New Roman"/>
          <w:lang w:val="en"/>
        </w:rPr>
        <w:t xml:space="preserve">We agree with Himel J.: “. . . phones are increasingly personal” and, in most cases, there will be “little real difference between information that the police obtain about the phone line and information that they obtain about the person who answers it” (C.A. reasons, at para. 109). </w:t>
      </w:r>
      <w:r w:rsidRPr="00FE777D">
        <w:rPr>
          <w:rFonts w:cs="Times New Roman"/>
        </w:rPr>
        <w:t xml:space="preserve">Typically, and as Himel J. noted, it will be a distinction without a difference, since reasonable suspicion over one grounds reasonable suspicion over the other. We therefore ought not to force categorical distinctions based upon the form such information takes — that is, information about people and information about their location (or phone numbers). Ultimately, it is </w:t>
      </w:r>
      <w:r w:rsidRPr="00FE777D">
        <w:rPr>
          <w:rFonts w:cs="Times New Roman"/>
          <w:i/>
        </w:rPr>
        <w:t>a person</w:t>
      </w:r>
      <w:r w:rsidRPr="00FE777D">
        <w:rPr>
          <w:rFonts w:cs="Times New Roman"/>
        </w:rPr>
        <w:t xml:space="preserve"> before the court as an accused. And the question will always be the same: are there objective factors supporting a reasonable suspicion of drug trafficking by the individual answering the cell phone when police provide the opportunity to commit such a crime? Those factors may relate in part to reasonable suspicion of the individual, or of the phone number itself, or to both.</w:t>
      </w:r>
    </w:p>
    <w:p w:rsidR="00E53404" w:rsidRPr="00FE777D" w:rsidRDefault="00E53404" w:rsidP="00E53404">
      <w:pPr>
        <w:pStyle w:val="ParaNoNdepar-AltN"/>
        <w:rPr>
          <w:rFonts w:cs="Times New Roman"/>
        </w:rPr>
      </w:pPr>
      <w:r w:rsidRPr="00FE777D">
        <w:rPr>
          <w:rFonts w:cs="Times New Roman"/>
        </w:rPr>
        <w:t xml:space="preserve">Finally, we note that lower courts have already found that police can conduct </w:t>
      </w:r>
      <w:r w:rsidRPr="00FE777D">
        <w:rPr>
          <w:rFonts w:cs="Times New Roman"/>
          <w:i/>
        </w:rPr>
        <w:t xml:space="preserve">bona fide </w:t>
      </w:r>
      <w:r w:rsidRPr="00FE777D">
        <w:rPr>
          <w:rFonts w:cs="Times New Roman"/>
        </w:rPr>
        <w:t>inquiries into virtual spaces other than phone numbers. We repeat, however, that the serious risk of random virtue testing in such inquiries requires that the virtual space be defined narrowly and with precision (</w:t>
      </w:r>
      <w:r w:rsidRPr="00FE777D">
        <w:rPr>
          <w:rFonts w:cs="Times New Roman"/>
          <w:i/>
        </w:rPr>
        <w:t>Barnes</w:t>
      </w:r>
      <w:r w:rsidRPr="00FE777D">
        <w:rPr>
          <w:rFonts w:cs="Times New Roman"/>
        </w:rPr>
        <w:t>,</w:t>
      </w:r>
      <w:r w:rsidRPr="00FE777D">
        <w:rPr>
          <w:rFonts w:cs="Times New Roman"/>
          <w:i/>
        </w:rPr>
        <w:t xml:space="preserve"> </w:t>
      </w:r>
      <w:r w:rsidRPr="00FE777D">
        <w:rPr>
          <w:rFonts w:cs="Times New Roman"/>
        </w:rPr>
        <w:t xml:space="preserve">at p. 463). In our view, entire websites or social media platforms will rarely, if ever, be sufficiently particularized to support reasonable suspicion. To permit police to target wide virtual spaces is inconsistent with </w:t>
      </w:r>
      <w:r w:rsidRPr="00FE777D">
        <w:rPr>
          <w:rFonts w:cs="Times New Roman"/>
          <w:i/>
        </w:rPr>
        <w:t>Mack</w:t>
      </w:r>
      <w:r w:rsidRPr="00FE777D">
        <w:rPr>
          <w:rFonts w:cs="Times New Roman"/>
        </w:rPr>
        <w:t xml:space="preserve"> and its threshold of reasonable suspicion, and disregards that legitimate communities exist as much online as they do in the physical world.</w:t>
      </w:r>
    </w:p>
    <w:p w:rsidR="00E53404" w:rsidRPr="00FE777D" w:rsidRDefault="00E53404" w:rsidP="00E53404">
      <w:pPr>
        <w:pStyle w:val="Title2LevelTitre2Niveau"/>
        <w:numPr>
          <w:ilvl w:val="1"/>
          <w:numId w:val="8"/>
        </w:numPr>
        <w:rPr>
          <w:rFonts w:cs="Times New Roman"/>
        </w:rPr>
      </w:pPr>
      <w:r w:rsidRPr="00FE777D">
        <w:rPr>
          <w:rFonts w:cs="Times New Roman"/>
        </w:rPr>
        <w:t>How Does Reasonable Suspicion Apply to Dial</w:t>
      </w:r>
      <w:r w:rsidRPr="00FE777D">
        <w:rPr>
          <w:rFonts w:cs="Times New Roman"/>
        </w:rPr>
        <w:noBreakHyphen/>
        <w:t>a</w:t>
      </w:r>
      <w:r w:rsidRPr="00FE777D">
        <w:rPr>
          <w:rFonts w:cs="Times New Roman"/>
        </w:rPr>
        <w:noBreakHyphen/>
        <w:t>Dope Investigations?</w:t>
      </w:r>
    </w:p>
    <w:p w:rsidR="00E53404" w:rsidRPr="00FE777D" w:rsidRDefault="00E53404" w:rsidP="00E53404">
      <w:pPr>
        <w:pStyle w:val="ParaNoNdepar-AltN"/>
        <w:rPr>
          <w:rFonts w:cs="Times New Roman"/>
        </w:rPr>
      </w:pPr>
      <w:r w:rsidRPr="00FE777D">
        <w:rPr>
          <w:rFonts w:cs="Times New Roman"/>
        </w:rPr>
        <w:t>As we have explained, reasonable suspicion plays a central role in the first branch of the entrapment doctrine. Police may provide an opportunity to commit a crime only upon forming reasonable suspicion. But what does reasonable suspicion mean? The appellants say it is an objective and rigorous standard that cannot be grounded in a bald tip. The Crown, however, describes a lower standard, capable of being satisfied by a single tip about a responsive target who appears to understand slang particular to the drug subculture.</w:t>
      </w:r>
    </w:p>
    <w:p w:rsidR="00E53404" w:rsidRPr="00FE777D" w:rsidRDefault="00E53404" w:rsidP="00E53404">
      <w:pPr>
        <w:pStyle w:val="ParaNoNdepar-AltN"/>
        <w:rPr>
          <w:rFonts w:cs="Times New Roman"/>
        </w:rPr>
      </w:pPr>
      <w:r w:rsidRPr="00FE777D">
        <w:rPr>
          <w:rFonts w:cs="Times New Roman"/>
        </w:rPr>
        <w:t xml:space="preserve">Reasonable suspicion is, by definition, an </w:t>
      </w:r>
      <w:r w:rsidRPr="00FE777D">
        <w:rPr>
          <w:rFonts w:cs="Times New Roman"/>
          <w:i/>
        </w:rPr>
        <w:t>objective</w:t>
      </w:r>
      <w:r w:rsidRPr="00FE777D">
        <w:rPr>
          <w:rFonts w:cs="Times New Roman"/>
        </w:rPr>
        <w:t xml:space="preserve"> standard that protects individuals’ interests and preserves the rule of law by ensuring courts can meaningfully review police conduct. For this reason, it is fundamental to restraining the power of police to provide opportunities to commit crimes. That said, reasonable suspicion is not “unduly onerous” (</w:t>
      </w:r>
      <w:r w:rsidRPr="00FE777D">
        <w:rPr>
          <w:rFonts w:cs="Times New Roman"/>
          <w:i/>
        </w:rPr>
        <w:t>Mack</w:t>
      </w:r>
      <w:r w:rsidRPr="00FE777D">
        <w:rPr>
          <w:rFonts w:cs="Times New Roman"/>
        </w:rPr>
        <w:t>, at p. 958). As a lower standard than reasonable grounds, it allows police additional flexibility in enforcing the law and preventing crime. In the entrapment doctrine, reasonable suspicion emerges from the first branch’s concern with police behaviour that falls short of actually inducing an offence, yet nonetheless constitutes police involvement in the commission of a crime.</w:t>
      </w:r>
    </w:p>
    <w:p w:rsidR="00E53404" w:rsidRPr="00FE777D" w:rsidRDefault="00E53404" w:rsidP="00E53404">
      <w:pPr>
        <w:pStyle w:val="ParaNoNdepar-AltN"/>
        <w:rPr>
          <w:rFonts w:cs="Times New Roman"/>
        </w:rPr>
      </w:pPr>
      <w:r w:rsidRPr="00FE777D">
        <w:rPr>
          <w:rFonts w:cs="Times New Roman"/>
        </w:rPr>
        <w:t>While the reasonable suspicion standard requires only the possibility,</w:t>
      </w:r>
      <w:r w:rsidRPr="00FE777D">
        <w:rPr>
          <w:rFonts w:cs="Times New Roman"/>
          <w:i/>
        </w:rPr>
        <w:t xml:space="preserve"> </w:t>
      </w:r>
      <w:r w:rsidRPr="00FE777D">
        <w:rPr>
          <w:rFonts w:cs="Times New Roman"/>
        </w:rPr>
        <w:t>rather than probability, of criminal activity (</w:t>
      </w:r>
      <w:r w:rsidRPr="00FE777D">
        <w:rPr>
          <w:rFonts w:cs="Times New Roman"/>
          <w:i/>
        </w:rPr>
        <w:t>Chehil</w:t>
      </w:r>
      <w:r w:rsidRPr="00FE777D">
        <w:rPr>
          <w:rFonts w:cs="Times New Roman"/>
        </w:rPr>
        <w:t xml:space="preserve">, at para. 27), </w:t>
      </w:r>
      <w:r w:rsidRPr="00FE777D">
        <w:rPr>
          <w:rFonts w:cs="Times New Roman"/>
          <w:lang w:bidi="en-US"/>
        </w:rPr>
        <w:t xml:space="preserve">it must also be remembered that it provides police officers with justification to engage in otherwise impermissible, intrusive conduct such as searches and detentions. </w:t>
      </w:r>
      <w:r w:rsidRPr="00FE777D">
        <w:rPr>
          <w:rFonts w:cs="Times New Roman"/>
        </w:rPr>
        <w:t xml:space="preserve">It is therefore subject </w:t>
      </w:r>
      <w:r w:rsidR="00295A00">
        <w:rPr>
          <w:rFonts w:cs="Times New Roman"/>
        </w:rPr>
        <w:t>to “rigorous</w:t>
      </w:r>
      <w:r w:rsidRPr="00FE777D">
        <w:rPr>
          <w:rFonts w:cs="Times New Roman"/>
        </w:rPr>
        <w:t>”</w:t>
      </w:r>
      <w:r w:rsidR="00295A00">
        <w:rPr>
          <w:rFonts w:cs="Times New Roman"/>
        </w:rPr>
        <w:t>,</w:t>
      </w:r>
      <w:r w:rsidRPr="00FE777D">
        <w:rPr>
          <w:rFonts w:cs="Times New Roman"/>
        </w:rPr>
        <w:t xml:space="preserve"> “independent” and “exacting” judicial scrutiny (</w:t>
      </w:r>
      <w:r w:rsidRPr="00FE777D">
        <w:rPr>
          <w:rFonts w:cs="Times New Roman"/>
          <w:i/>
        </w:rPr>
        <w:t>Chehil</w:t>
      </w:r>
      <w:r w:rsidRPr="00FE777D">
        <w:rPr>
          <w:rFonts w:cs="Times New Roman"/>
        </w:rPr>
        <w:t>, at paras. 3 and 26). The suspicion must be focused, precise, reasonable, and based in “objective facts that stand up to independent scrutiny” (</w:t>
      </w:r>
      <w:r w:rsidRPr="00FE777D">
        <w:rPr>
          <w:rFonts w:cs="Times New Roman"/>
          <w:i/>
        </w:rPr>
        <w:t>MacKenzie</w:t>
      </w:r>
      <w:r w:rsidRPr="00FE777D">
        <w:rPr>
          <w:rFonts w:cs="Times New Roman"/>
        </w:rPr>
        <w:t xml:space="preserve">, at para. 74). In </w:t>
      </w:r>
      <w:r w:rsidRPr="00FE777D">
        <w:rPr>
          <w:rFonts w:cs="Times New Roman"/>
          <w:i/>
        </w:rPr>
        <w:t>Simpson</w:t>
      </w:r>
      <w:r w:rsidRPr="00FE777D">
        <w:rPr>
          <w:rFonts w:cs="Times New Roman"/>
        </w:rPr>
        <w:t>, at pp. 500-</w:t>
      </w:r>
      <w:r w:rsidR="00785F04">
        <w:rPr>
          <w:rFonts w:cs="Times New Roman"/>
        </w:rPr>
        <w:t>50</w:t>
      </w:r>
      <w:r w:rsidRPr="00FE777D">
        <w:rPr>
          <w:rFonts w:cs="Times New Roman"/>
        </w:rPr>
        <w:t xml:space="preserve">3, the Court of Appeal for Ontario, drawing from U.S. jurisprudence, this Court’s application of reasonable suspicion in </w:t>
      </w:r>
      <w:r w:rsidRPr="00FE777D">
        <w:rPr>
          <w:rFonts w:cs="Times New Roman"/>
          <w:i/>
        </w:rPr>
        <w:t>Mack</w:t>
      </w:r>
      <w:r w:rsidRPr="00FE777D">
        <w:rPr>
          <w:rFonts w:cs="Times New Roman"/>
        </w:rPr>
        <w:t xml:space="preserve">, and the articulable cause doctrine in </w:t>
      </w:r>
      <w:r w:rsidRPr="00FE777D">
        <w:rPr>
          <w:rFonts w:cs="Times New Roman"/>
          <w:i/>
        </w:rPr>
        <w:t>R. v. Wilson</w:t>
      </w:r>
      <w:r w:rsidRPr="00FE777D">
        <w:rPr>
          <w:rFonts w:cs="Times New Roman"/>
        </w:rPr>
        <w:t>,</w:t>
      </w:r>
      <w:r w:rsidRPr="00FE777D">
        <w:rPr>
          <w:rFonts w:cs="Times New Roman"/>
          <w:i/>
        </w:rPr>
        <w:t xml:space="preserve"> </w:t>
      </w:r>
      <w:r w:rsidRPr="00FE777D">
        <w:rPr>
          <w:rFonts w:cs="Times New Roman"/>
        </w:rPr>
        <w:t xml:space="preserve">[1990] 1 S.C.R. 1291, summarized reasonable suspicion as requiring a “constellation of objectively discernible facts” giving the officer “reasonable cause to suspect” that a certain kind of crime was being committed by a particular person or in a particular place. This definition continues to be applied by this Court (see, e.g., </w:t>
      </w:r>
      <w:r w:rsidRPr="00FE777D">
        <w:rPr>
          <w:rFonts w:cs="Times New Roman"/>
          <w:i/>
        </w:rPr>
        <w:t>R. v. Jacques</w:t>
      </w:r>
      <w:r w:rsidRPr="00FE777D">
        <w:rPr>
          <w:rFonts w:cs="Times New Roman"/>
        </w:rPr>
        <w:t>,</w:t>
      </w:r>
      <w:r w:rsidRPr="00FE777D">
        <w:rPr>
          <w:rFonts w:cs="Times New Roman"/>
          <w:i/>
        </w:rPr>
        <w:t xml:space="preserve"> </w:t>
      </w:r>
      <w:r w:rsidRPr="00FE777D">
        <w:rPr>
          <w:rFonts w:cs="Times New Roman"/>
        </w:rPr>
        <w:t>[1996] 3 S.C.R. 312, at paras. 24</w:t>
      </w:r>
      <w:r w:rsidRPr="00FE777D">
        <w:rPr>
          <w:rFonts w:cs="Times New Roman"/>
        </w:rPr>
        <w:noBreakHyphen/>
        <w:t xml:space="preserve">25; </w:t>
      </w:r>
      <w:r w:rsidRPr="00FE777D">
        <w:rPr>
          <w:rFonts w:cs="Times New Roman"/>
          <w:i/>
        </w:rPr>
        <w:t>Kang-Brown</w:t>
      </w:r>
      <w:r w:rsidRPr="00FE777D">
        <w:rPr>
          <w:rFonts w:cs="Times New Roman"/>
        </w:rPr>
        <w:t xml:space="preserve">, at para. 76; </w:t>
      </w:r>
      <w:r w:rsidRPr="00FE777D">
        <w:rPr>
          <w:rFonts w:cs="Times New Roman"/>
          <w:i/>
        </w:rPr>
        <w:t>Chehil</w:t>
      </w:r>
      <w:r w:rsidRPr="00FE777D">
        <w:rPr>
          <w:rFonts w:cs="Times New Roman"/>
        </w:rPr>
        <w:t>,</w:t>
      </w:r>
      <w:r w:rsidRPr="00FE777D">
        <w:rPr>
          <w:rFonts w:cs="Times New Roman"/>
          <w:i/>
        </w:rPr>
        <w:t xml:space="preserve"> </w:t>
      </w:r>
      <w:r w:rsidRPr="00FE777D">
        <w:rPr>
          <w:rFonts w:cs="Times New Roman"/>
        </w:rPr>
        <w:t>at para. 3).</w:t>
      </w:r>
      <w:r w:rsidRPr="00FE777D">
        <w:rPr>
          <w:rFonts w:cs="Times New Roman"/>
          <w:szCs w:val="24"/>
        </w:rPr>
        <w:t xml:space="preserve"> Ultimately, the evidence said to satisfy reasonable suspicion must be carefully examined.</w:t>
      </w:r>
    </w:p>
    <w:p w:rsidR="00E53404" w:rsidRPr="00FE777D" w:rsidRDefault="00E53404" w:rsidP="00E53404">
      <w:pPr>
        <w:pStyle w:val="ParaNoNdepar-AltN"/>
        <w:rPr>
          <w:rFonts w:cs="Times New Roman"/>
        </w:rPr>
      </w:pPr>
      <w:r w:rsidRPr="00FE777D">
        <w:rPr>
          <w:rFonts w:cs="Times New Roman"/>
        </w:rPr>
        <w:t>Although innocent explanations and exculpatory information remain relevant to an assessment of reasonable suspicion, the police are not required to undertake further investigation to rule out those explanations (</w:t>
      </w:r>
      <w:r w:rsidRPr="00FE777D">
        <w:rPr>
          <w:rFonts w:cs="Times New Roman"/>
          <w:i/>
        </w:rPr>
        <w:t>Chehil</w:t>
      </w:r>
      <w:r w:rsidRPr="00FE777D">
        <w:rPr>
          <w:rFonts w:cs="Times New Roman"/>
        </w:rPr>
        <w:t xml:space="preserve">, at paras. 33-34). Nevertheless, the facts must indicate the possibility of </w:t>
      </w:r>
      <w:r w:rsidRPr="00FE777D">
        <w:rPr>
          <w:rFonts w:cs="Times New Roman"/>
          <w:i/>
        </w:rPr>
        <w:t>criminal</w:t>
      </w:r>
      <w:r w:rsidRPr="00FE777D">
        <w:rPr>
          <w:rFonts w:cs="Times New Roman"/>
        </w:rPr>
        <w:t xml:space="preserve"> behaviour: characteristics that apply broadly to innocent people are not markers of criminal activity (</w:t>
      </w:r>
      <w:r w:rsidRPr="00FE777D">
        <w:rPr>
          <w:rFonts w:cs="Times New Roman"/>
          <w:i/>
        </w:rPr>
        <w:t>Chehil</w:t>
      </w:r>
      <w:r w:rsidRPr="00FE777D">
        <w:rPr>
          <w:rFonts w:cs="Times New Roman"/>
        </w:rPr>
        <w:t>, at para. 35). Mere hunches and intuition will not suffice (</w:t>
      </w:r>
      <w:r w:rsidRPr="00FE777D">
        <w:rPr>
          <w:rFonts w:cs="Times New Roman"/>
          <w:i/>
        </w:rPr>
        <w:t>Barnes</w:t>
      </w:r>
      <w:r w:rsidRPr="00FE777D">
        <w:rPr>
          <w:rFonts w:cs="Times New Roman"/>
        </w:rPr>
        <w:t>, at p. 460). However, an officer’s training or experience can make otherwise equivocal information probative of the presence of criminal activity (</w:t>
      </w:r>
      <w:r w:rsidRPr="00FE777D">
        <w:rPr>
          <w:rFonts w:cs="Times New Roman"/>
          <w:i/>
        </w:rPr>
        <w:t>Chehil</w:t>
      </w:r>
      <w:r w:rsidRPr="00FE777D">
        <w:rPr>
          <w:rFonts w:cs="Times New Roman"/>
        </w:rPr>
        <w:t>, at para. 47).</w:t>
      </w:r>
    </w:p>
    <w:p w:rsidR="00E53404" w:rsidRPr="00FE777D" w:rsidRDefault="00E53404" w:rsidP="00E53404">
      <w:pPr>
        <w:pStyle w:val="ParaNoNdepar-AltN"/>
        <w:rPr>
          <w:rFonts w:cs="Times New Roman"/>
          <w:lang w:bidi="en-US"/>
        </w:rPr>
      </w:pPr>
      <w:r w:rsidRPr="00FE777D">
        <w:rPr>
          <w:rFonts w:cs="Times New Roman"/>
        </w:rPr>
        <w:t xml:space="preserve">Reasonable suspicion is also </w:t>
      </w:r>
      <w:r w:rsidRPr="00FE777D">
        <w:rPr>
          <w:rFonts w:cs="Times New Roman"/>
          <w:i/>
        </w:rPr>
        <w:t>individualized</w:t>
      </w:r>
      <w:r w:rsidRPr="00FE777D">
        <w:rPr>
          <w:rFonts w:cs="Times New Roman"/>
        </w:rPr>
        <w:t>, in the sense that it picks an individual target — whether a person, an intersection or a phone number — out of a group of persons or places. As noted above, the criminal law’s objections to “generalized suspicion” hinge on its embrace of “such a number of presumably innocent persons as to approach a subjectively administered, random basis” (</w:t>
      </w:r>
      <w:r w:rsidRPr="00FE777D">
        <w:rPr>
          <w:rFonts w:cs="Times New Roman"/>
          <w:i/>
        </w:rPr>
        <w:t>Chehil</w:t>
      </w:r>
      <w:r w:rsidRPr="00FE777D">
        <w:rPr>
          <w:rFonts w:cs="Times New Roman"/>
        </w:rPr>
        <w:t xml:space="preserve">, at para. 30, quoting </w:t>
      </w:r>
      <w:r w:rsidRPr="00FE777D">
        <w:rPr>
          <w:rFonts w:cs="Times New Roman"/>
          <w:i/>
        </w:rPr>
        <w:t>United States v. Gooding</w:t>
      </w:r>
      <w:r w:rsidRPr="00FE777D">
        <w:rPr>
          <w:rFonts w:cs="Times New Roman"/>
        </w:rPr>
        <w:t>, 695 F.2d 78 (1982), at p. 83). When an objectively grounded suspicion instead attaches to a “sufficiently particularized constellation of factors” (</w:t>
      </w:r>
      <w:r w:rsidRPr="00FE777D">
        <w:rPr>
          <w:rFonts w:cs="Times New Roman"/>
          <w:i/>
        </w:rPr>
        <w:t>Chehil</w:t>
      </w:r>
      <w:r w:rsidRPr="00FE777D">
        <w:rPr>
          <w:rFonts w:cs="Times New Roman"/>
        </w:rPr>
        <w:t xml:space="preserve">, at para. 30), like those relating to an individual phone number, the objection falls away. </w:t>
      </w:r>
      <w:r w:rsidRPr="00FE777D">
        <w:rPr>
          <w:rFonts w:cs="Times New Roman"/>
          <w:lang w:bidi="en-US"/>
        </w:rPr>
        <w:t>In other words, the ill sought to be remedied by individualization is police intruding on the protected interests of all persons in broadly or poorly defined locations, especially on the basis of generalized evidence (</w:t>
      </w:r>
      <w:r w:rsidRPr="00FE777D">
        <w:rPr>
          <w:rFonts w:cs="Times New Roman"/>
          <w:i/>
          <w:lang w:bidi="en-US"/>
        </w:rPr>
        <w:t>Kang</w:t>
      </w:r>
      <w:r w:rsidRPr="00FE777D">
        <w:rPr>
          <w:rFonts w:cs="Times New Roman"/>
          <w:i/>
          <w:lang w:bidi="en-US"/>
        </w:rPr>
        <w:noBreakHyphen/>
        <w:t>Brown</w:t>
      </w:r>
      <w:r w:rsidRPr="00FE777D">
        <w:rPr>
          <w:rFonts w:cs="Times New Roman"/>
          <w:lang w:bidi="en-US"/>
        </w:rPr>
        <w:t xml:space="preserve">, at para. 73, per Binnie J.). </w:t>
      </w:r>
      <w:r w:rsidRPr="00FE777D">
        <w:rPr>
          <w:rFonts w:cs="Times New Roman"/>
          <w:lang w:val="en-US"/>
        </w:rPr>
        <w:t xml:space="preserve">This is a complete answer to our colleague’s concern about dissonance between the entrapment framework set out in </w:t>
      </w:r>
      <w:r w:rsidRPr="00FE777D">
        <w:rPr>
          <w:rFonts w:cs="Times New Roman"/>
          <w:i/>
          <w:lang w:val="en-US"/>
        </w:rPr>
        <w:t xml:space="preserve">Mack </w:t>
      </w:r>
      <w:r w:rsidRPr="00FE777D">
        <w:rPr>
          <w:rFonts w:cs="Times New Roman"/>
          <w:lang w:val="en-US"/>
        </w:rPr>
        <w:t xml:space="preserve">and </w:t>
      </w:r>
      <w:r w:rsidRPr="00FE777D">
        <w:rPr>
          <w:rFonts w:cs="Times New Roman"/>
          <w:i/>
          <w:lang w:val="en-US"/>
        </w:rPr>
        <w:t>Barnes</w:t>
      </w:r>
      <w:r w:rsidRPr="00FE777D">
        <w:rPr>
          <w:rFonts w:cs="Times New Roman"/>
          <w:lang w:val="en-US"/>
        </w:rPr>
        <w:t xml:space="preserve"> and the reasonable suspicion standard required by </w:t>
      </w:r>
      <w:r w:rsidRPr="00FE777D">
        <w:rPr>
          <w:rFonts w:cs="Times New Roman"/>
          <w:i/>
          <w:lang w:val="en-US"/>
        </w:rPr>
        <w:t>Chehil</w:t>
      </w:r>
      <w:r w:rsidRPr="00FE777D">
        <w:rPr>
          <w:rFonts w:cs="Times New Roman"/>
          <w:lang w:val="en-US"/>
        </w:rPr>
        <w:t>.</w:t>
      </w:r>
    </w:p>
    <w:p w:rsidR="00E53404" w:rsidRPr="00FE777D" w:rsidRDefault="00E53404" w:rsidP="00E53404">
      <w:pPr>
        <w:pStyle w:val="ParaNoNdepar-AltN"/>
        <w:rPr>
          <w:rFonts w:cs="Times New Roman"/>
          <w:lang w:val="en-US"/>
        </w:rPr>
      </w:pPr>
      <w:r w:rsidRPr="00FE777D">
        <w:rPr>
          <w:rFonts w:cs="Times New Roman"/>
        </w:rPr>
        <w:t xml:space="preserve">The target to which reasonable suspicion must attach varies with the context. </w:t>
      </w:r>
      <w:r w:rsidRPr="00FE777D">
        <w:rPr>
          <w:rFonts w:cs="Times New Roman"/>
          <w:lang w:bidi="en-US"/>
        </w:rPr>
        <w:t xml:space="preserve">It must be borne in mind that in cases such as </w:t>
      </w:r>
      <w:r w:rsidRPr="00FE777D">
        <w:rPr>
          <w:rFonts w:cs="Times New Roman"/>
          <w:i/>
        </w:rPr>
        <w:t xml:space="preserve">Chehil </w:t>
      </w:r>
      <w:r w:rsidRPr="00FE777D">
        <w:rPr>
          <w:rFonts w:cs="Times New Roman"/>
        </w:rPr>
        <w:t xml:space="preserve">and </w:t>
      </w:r>
      <w:r w:rsidRPr="00FE777D">
        <w:rPr>
          <w:rFonts w:cs="Times New Roman"/>
          <w:i/>
        </w:rPr>
        <w:t>Kang-Brown</w:t>
      </w:r>
      <w:r w:rsidRPr="00FE777D">
        <w:rPr>
          <w:rFonts w:cs="Times New Roman"/>
        </w:rPr>
        <w:t>, this Court was concerned with ensuring that reasonable suspicion for a sniffer-dog search</w:t>
      </w:r>
      <w:r w:rsidRPr="00FE777D">
        <w:rPr>
          <w:rFonts w:cs="Times New Roman"/>
          <w:i/>
        </w:rPr>
        <w:t xml:space="preserve"> of an individual</w:t>
      </w:r>
      <w:r w:rsidRPr="00FE777D">
        <w:rPr>
          <w:rFonts w:cs="Times New Roman"/>
        </w:rPr>
        <w:t xml:space="preserve"> is sufficiently targeted. In that particular context — the physical search </w:t>
      </w:r>
      <w:r w:rsidRPr="00036C9C">
        <w:rPr>
          <w:rFonts w:cs="Times New Roman"/>
        </w:rPr>
        <w:t>of a person</w:t>
      </w:r>
      <w:r w:rsidRPr="00FE777D">
        <w:rPr>
          <w:rFonts w:cs="Times New Roman"/>
          <w:i/>
        </w:rPr>
        <w:t xml:space="preserve"> </w:t>
      </w:r>
      <w:r w:rsidRPr="00FE777D">
        <w:rPr>
          <w:rFonts w:cs="Times New Roman"/>
        </w:rPr>
        <w:t>by a police dog — reasonable suspicion cannot attach to a location, but only to a specific person or, at most, to a number of closely linked people (</w:t>
      </w:r>
      <w:r w:rsidRPr="00FE777D">
        <w:rPr>
          <w:rFonts w:cs="Times New Roman"/>
          <w:i/>
        </w:rPr>
        <w:t>Kang</w:t>
      </w:r>
      <w:r w:rsidRPr="00FE777D">
        <w:rPr>
          <w:rFonts w:cs="Times New Roman"/>
          <w:i/>
        </w:rPr>
        <w:noBreakHyphen/>
        <w:t>Brown</w:t>
      </w:r>
      <w:r w:rsidRPr="00FE777D">
        <w:rPr>
          <w:rFonts w:cs="Times New Roman"/>
        </w:rPr>
        <w:t>,</w:t>
      </w:r>
      <w:r w:rsidRPr="00FE777D">
        <w:rPr>
          <w:rFonts w:cs="Times New Roman"/>
          <w:i/>
        </w:rPr>
        <w:t xml:space="preserve"> </w:t>
      </w:r>
      <w:r w:rsidRPr="00FE777D">
        <w:rPr>
          <w:rFonts w:cs="Times New Roman"/>
        </w:rPr>
        <w:t xml:space="preserve">at para. 73). </w:t>
      </w:r>
      <w:r w:rsidRPr="00FE777D">
        <w:rPr>
          <w:rFonts w:cs="Times New Roman"/>
          <w:lang w:val="en-US"/>
        </w:rPr>
        <w:t xml:space="preserve">Indeed, the reasonable suspicion standard was selected in </w:t>
      </w:r>
      <w:r w:rsidRPr="00FE777D">
        <w:rPr>
          <w:rFonts w:cs="Times New Roman"/>
          <w:i/>
          <w:lang w:val="en-US"/>
        </w:rPr>
        <w:t xml:space="preserve">Mack </w:t>
      </w:r>
      <w:r w:rsidRPr="00FE777D">
        <w:rPr>
          <w:rFonts w:cs="Times New Roman"/>
          <w:lang w:val="en-US"/>
        </w:rPr>
        <w:t xml:space="preserve">because, as later emphasized in </w:t>
      </w:r>
      <w:r w:rsidRPr="00FE777D">
        <w:rPr>
          <w:rFonts w:cs="Times New Roman"/>
          <w:i/>
          <w:lang w:val="en-US"/>
        </w:rPr>
        <w:t>Chehil</w:t>
      </w:r>
      <w:r w:rsidRPr="00FE777D">
        <w:rPr>
          <w:rFonts w:cs="Times New Roman"/>
          <w:lang w:val="en-US"/>
        </w:rPr>
        <w:t>, while it is a uniform “common standard that</w:t>
      </w:r>
      <w:r w:rsidR="006E495F">
        <w:rPr>
          <w:rFonts w:cs="Times New Roman"/>
          <w:lang w:val="en-US"/>
        </w:rPr>
        <w:t xml:space="preserve"> arises in a number of contexts</w:t>
      </w:r>
      <w:r w:rsidRPr="00FE777D">
        <w:rPr>
          <w:rFonts w:cs="Times New Roman"/>
          <w:lang w:val="en-US"/>
        </w:rPr>
        <w:t>”</w:t>
      </w:r>
      <w:r w:rsidR="006E495F">
        <w:rPr>
          <w:rFonts w:cs="Times New Roman"/>
          <w:lang w:val="en-US"/>
        </w:rPr>
        <w:t>,</w:t>
      </w:r>
      <w:r w:rsidRPr="00FE777D">
        <w:rPr>
          <w:rFonts w:cs="Times New Roman"/>
          <w:lang w:val="en-US"/>
        </w:rPr>
        <w:t xml:space="preserve"> it can be adapted to suit a variety of circumstances</w:t>
      </w:r>
      <w:r w:rsidRPr="00FE777D">
        <w:rPr>
          <w:rFonts w:cs="Times New Roman"/>
          <w:i/>
          <w:lang w:val="en-US"/>
        </w:rPr>
        <w:t xml:space="preserve"> </w:t>
      </w:r>
      <w:r w:rsidRPr="00FE777D">
        <w:rPr>
          <w:rFonts w:cs="Times New Roman"/>
          <w:lang w:val="en-US"/>
        </w:rPr>
        <w:t>(</w:t>
      </w:r>
      <w:r w:rsidRPr="00FE777D">
        <w:rPr>
          <w:rFonts w:cs="Times New Roman"/>
          <w:i/>
          <w:lang w:val="en-US"/>
        </w:rPr>
        <w:t>Chehil</w:t>
      </w:r>
      <w:r w:rsidR="00306666">
        <w:rPr>
          <w:rFonts w:cs="Times New Roman"/>
          <w:lang w:val="en-US"/>
        </w:rPr>
        <w:t>, at para. 21).</w:t>
      </w:r>
    </w:p>
    <w:p w:rsidR="00E53404" w:rsidRPr="00FE777D" w:rsidRDefault="00E53404" w:rsidP="00E53404">
      <w:pPr>
        <w:pStyle w:val="ParaNoNdepar-AltN"/>
        <w:rPr>
          <w:rFonts w:cs="Times New Roman"/>
        </w:rPr>
      </w:pPr>
      <w:r w:rsidRPr="00FE777D">
        <w:rPr>
          <w:rFonts w:cs="Times New Roman"/>
        </w:rPr>
        <w:t xml:space="preserve">Each of these appeals originated with a single tip of unknown reliability. Although a sole tip devoid of predictive information cannot meet the reasonable suspicion standard, such a tip can be sufficiently corroborated such that the standard is met (see </w:t>
      </w:r>
      <w:r w:rsidRPr="00FE777D">
        <w:rPr>
          <w:rFonts w:cs="Times New Roman"/>
          <w:i/>
        </w:rPr>
        <w:t>Florida v. J. L.</w:t>
      </w:r>
      <w:r w:rsidRPr="00FE777D">
        <w:rPr>
          <w:rFonts w:cs="Times New Roman"/>
        </w:rPr>
        <w:t>, 529 U.S. 266 (2000), at pp. 270-71). Such corroboration must suggest that the “tip [is] reliable in its assertion of illegality, [and] not just in its tendency to identify a determinate person” (p. 272).</w:t>
      </w:r>
    </w:p>
    <w:p w:rsidR="00E53404" w:rsidRPr="00FE777D" w:rsidRDefault="00E53404" w:rsidP="00E53404">
      <w:pPr>
        <w:pStyle w:val="ParaNoNdepar-AltN"/>
        <w:rPr>
          <w:rFonts w:cs="Times New Roman"/>
        </w:rPr>
      </w:pPr>
      <w:r w:rsidRPr="00FE777D">
        <w:rPr>
          <w:rFonts w:cs="Times New Roman"/>
          <w:lang w:val="en"/>
        </w:rPr>
        <w:t xml:space="preserve">Police practice </w:t>
      </w:r>
      <w:r w:rsidRPr="00FE777D">
        <w:rPr>
          <w:rFonts w:cs="Times New Roman"/>
          <w:i/>
          <w:lang w:val="en"/>
        </w:rPr>
        <w:t>itself</w:t>
      </w:r>
      <w:r w:rsidRPr="00FE777D">
        <w:rPr>
          <w:rFonts w:cs="Times New Roman"/>
          <w:lang w:val="en"/>
        </w:rPr>
        <w:t xml:space="preserve"> shows that, whether </w:t>
      </w:r>
      <w:r w:rsidRPr="00FE777D">
        <w:rPr>
          <w:rFonts w:cs="Times New Roman"/>
        </w:rPr>
        <w:t>the</w:t>
      </w:r>
      <w:r w:rsidRPr="00FE777D">
        <w:rPr>
          <w:rFonts w:cs="Times New Roman"/>
          <w:lang w:val="en"/>
        </w:rPr>
        <w:t xml:space="preserve"> police are investigating an individual or a phone number, various steps can be taken upon receiving a tip associating a phone number with dial-a-dope activity </w:t>
      </w:r>
      <w:r w:rsidRPr="00FE777D">
        <w:rPr>
          <w:rFonts w:cs="Times New Roman"/>
          <w:i/>
          <w:lang w:val="en"/>
        </w:rPr>
        <w:t>before</w:t>
      </w:r>
      <w:r w:rsidRPr="00FE777D">
        <w:rPr>
          <w:rFonts w:cs="Times New Roman"/>
          <w:lang w:val="en"/>
        </w:rPr>
        <w:t xml:space="preserve"> acting on it by calling the number. Police</w:t>
      </w:r>
      <w:r w:rsidRPr="00FE777D">
        <w:rPr>
          <w:rFonts w:cs="Times New Roman"/>
        </w:rPr>
        <w:t xml:space="preserve"> may wait to see if more tips are received about the same person or phone number. Police may cross-reference the person’s name or phone number to find other connections between it and criminal activity. Police may also consider any details contained in the tip or, if known, the reliability of the informant. For example, does the source have a criminal record? How long have the police used the source? Has the source provided credible tips in the past? Is there a possible motivation for giving a false tip (as in </w:t>
      </w:r>
      <w:r w:rsidRPr="00FE777D">
        <w:rPr>
          <w:rFonts w:cs="Times New Roman"/>
          <w:i/>
        </w:rPr>
        <w:t>R. v. Olazo</w:t>
      </w:r>
      <w:r w:rsidRPr="00FE777D">
        <w:rPr>
          <w:rFonts w:cs="Times New Roman"/>
        </w:rPr>
        <w:t xml:space="preserve">, 2012 BCCA 59, 287 C.C.C. (3d) 379, at para. 7, where the informant gave the tip to avoid a traffic ticket)? Is the source’s information first-hand? (See </w:t>
      </w:r>
      <w:r w:rsidRPr="00FE777D">
        <w:rPr>
          <w:rFonts w:cs="Times New Roman"/>
          <w:i/>
        </w:rPr>
        <w:t>R. v. Lal</w:t>
      </w:r>
      <w:r w:rsidRPr="00FE777D">
        <w:rPr>
          <w:rFonts w:cs="Times New Roman"/>
        </w:rPr>
        <w:t xml:space="preserve"> (1998), 130 C.C.C. (3d) 413 (B.C.C.A.), at paras. 11 and 27;</w:t>
      </w:r>
      <w:r w:rsidRPr="00FE777D">
        <w:rPr>
          <w:rFonts w:cs="Times New Roman"/>
          <w:i/>
        </w:rPr>
        <w:t xml:space="preserve"> R. v. Townsend</w:t>
      </w:r>
      <w:r w:rsidRPr="00FE777D">
        <w:rPr>
          <w:rFonts w:cs="Times New Roman"/>
        </w:rPr>
        <w:t xml:space="preserve">, [1997] O.J. No. 6516 (QL) (C.J. (Gen. Div.)), at para. 5; </w:t>
      </w:r>
      <w:r w:rsidRPr="00FE777D">
        <w:rPr>
          <w:rFonts w:cs="Times New Roman"/>
          <w:i/>
        </w:rPr>
        <w:t>R. v. Williams</w:t>
      </w:r>
      <w:r w:rsidRPr="00FE777D">
        <w:rPr>
          <w:rFonts w:cs="Times New Roman"/>
        </w:rPr>
        <w:t>, 2010 ONSC 1698 (</w:t>
      </w:r>
      <w:r w:rsidRPr="00FE777D">
        <w:rPr>
          <w:rFonts w:cs="Times New Roman"/>
          <w:i/>
        </w:rPr>
        <w:t>Williams</w:t>
      </w:r>
      <w:r w:rsidRPr="00FE777D">
        <w:rPr>
          <w:rFonts w:cs="Times New Roman"/>
        </w:rPr>
        <w:t xml:space="preserve"> (2010)), at para. 12 (CanLII); </w:t>
      </w:r>
      <w:r w:rsidRPr="00FE777D">
        <w:rPr>
          <w:rFonts w:cs="Times New Roman"/>
          <w:i/>
        </w:rPr>
        <w:t>R. v. Sawh</w:t>
      </w:r>
      <w:r w:rsidRPr="00FE777D">
        <w:rPr>
          <w:rFonts w:cs="Times New Roman"/>
        </w:rPr>
        <w:t>, 2016</w:t>
      </w:r>
      <w:r w:rsidR="00295A00">
        <w:rPr>
          <w:rFonts w:cs="Times New Roman"/>
        </w:rPr>
        <w:t xml:space="preserve"> ONSC 2776, at para. 8 (CanLII)</w:t>
      </w:r>
      <w:r w:rsidRPr="00FE777D">
        <w:rPr>
          <w:rFonts w:cs="Times New Roman"/>
        </w:rPr>
        <w:t>)</w:t>
      </w:r>
      <w:r w:rsidR="00295A00">
        <w:rPr>
          <w:rFonts w:cs="Times New Roman"/>
        </w:rPr>
        <w:t>.</w:t>
      </w:r>
      <w:r w:rsidRPr="00FE777D">
        <w:rPr>
          <w:rFonts w:cs="Times New Roman"/>
        </w:rPr>
        <w:t xml:space="preserve"> </w:t>
      </w:r>
      <w:r w:rsidRPr="00FE777D">
        <w:rPr>
          <w:rFonts w:cs="Times New Roman"/>
          <w:lang w:val="en"/>
        </w:rPr>
        <w:t xml:space="preserve">As in </w:t>
      </w:r>
      <w:r w:rsidRPr="00FE777D">
        <w:rPr>
          <w:rFonts w:cs="Times New Roman"/>
          <w:i/>
          <w:lang w:val="en"/>
        </w:rPr>
        <w:t>Mack</w:t>
      </w:r>
      <w:r w:rsidRPr="00FE777D">
        <w:rPr>
          <w:rFonts w:cs="Times New Roman"/>
          <w:lang w:val="en"/>
        </w:rPr>
        <w:t>,</w:t>
      </w:r>
      <w:r w:rsidRPr="00FE777D">
        <w:rPr>
          <w:rFonts w:cs="Times New Roman"/>
          <w:i/>
          <w:lang w:val="en"/>
        </w:rPr>
        <w:t xml:space="preserve"> </w:t>
      </w:r>
      <w:r w:rsidRPr="00FE777D">
        <w:rPr>
          <w:rFonts w:cs="Times New Roman"/>
          <w:lang w:val="en"/>
        </w:rPr>
        <w:t>whether a tip can generate reasonable suspicion will also be connected to the currency of the information (p. 958).</w:t>
      </w:r>
    </w:p>
    <w:p w:rsidR="00E53404" w:rsidRPr="00FE777D" w:rsidRDefault="00E53404" w:rsidP="00E53404">
      <w:pPr>
        <w:pStyle w:val="ParaNoNdepar-AltN"/>
        <w:tabs>
          <w:tab w:val="clear" w:pos="1152"/>
          <w:tab w:val="left" w:pos="1166"/>
        </w:tabs>
        <w:rPr>
          <w:rFonts w:cs="Times New Roman"/>
        </w:rPr>
      </w:pPr>
      <w:r w:rsidRPr="00FE777D">
        <w:rPr>
          <w:rFonts w:cs="Times New Roman"/>
        </w:rPr>
        <w:t xml:space="preserve">In short, there are various ways in which the police may seek to establish reasonable suspicion before the call is made (see, e.g., </w:t>
      </w:r>
      <w:r w:rsidRPr="00FE777D">
        <w:rPr>
          <w:rFonts w:cs="Times New Roman"/>
          <w:i/>
        </w:rPr>
        <w:t>R. v. Pucci</w:t>
      </w:r>
      <w:r w:rsidRPr="00FE777D">
        <w:rPr>
          <w:rFonts w:cs="Times New Roman"/>
        </w:rPr>
        <w:t xml:space="preserve">, 2018 ABCA 149, 359 C.C.C. (3d) 343, at para. 11; </w:t>
      </w:r>
      <w:r w:rsidRPr="00FE777D">
        <w:rPr>
          <w:rFonts w:cs="Times New Roman"/>
          <w:i/>
        </w:rPr>
        <w:t>R. v. Clarke</w:t>
      </w:r>
      <w:r w:rsidRPr="00FE777D">
        <w:rPr>
          <w:rFonts w:cs="Times New Roman"/>
        </w:rPr>
        <w:t xml:space="preserve">, 2018 ONCJ 263, at paras. 40 and 56-57 (CanLII)). </w:t>
      </w:r>
      <w:r w:rsidRPr="00FE777D">
        <w:rPr>
          <w:rFonts w:cs="Times New Roman"/>
          <w:lang w:val="en"/>
        </w:rPr>
        <w:t>In British Columbia, police officers</w:t>
      </w:r>
      <w:r w:rsidRPr="00FE777D">
        <w:rPr>
          <w:rFonts w:cs="Times New Roman"/>
        </w:rPr>
        <w:t xml:space="preserve"> are required to record </w:t>
      </w:r>
      <w:r w:rsidRPr="00FE777D">
        <w:rPr>
          <w:rFonts w:cs="Times New Roman"/>
          <w:lang w:bidi="en-US"/>
        </w:rPr>
        <w:t>on a “</w:t>
      </w:r>
      <w:r w:rsidRPr="00FE777D">
        <w:rPr>
          <w:rFonts w:cs="Times New Roman"/>
          <w:i/>
          <w:lang w:bidi="en-US"/>
        </w:rPr>
        <w:t>Swan</w:t>
      </w:r>
      <w:r w:rsidRPr="00FE777D">
        <w:rPr>
          <w:rFonts w:cs="Times New Roman"/>
          <w:lang w:bidi="en-US"/>
        </w:rPr>
        <w:t xml:space="preserve"> sheet” </w:t>
      </w:r>
      <w:r w:rsidRPr="00FE777D">
        <w:rPr>
          <w:rFonts w:cs="Times New Roman"/>
        </w:rPr>
        <w:t>the steps</w:t>
      </w:r>
      <w:r w:rsidRPr="00FE777D">
        <w:rPr>
          <w:rFonts w:eastAsiaTheme="minorHAnsi" w:cs="Times New Roman"/>
          <w:lang w:val="en-US" w:bidi="en-US"/>
        </w:rPr>
        <w:t xml:space="preserve"> </w:t>
      </w:r>
      <w:r w:rsidRPr="00FE777D">
        <w:rPr>
          <w:rFonts w:cs="Times New Roman"/>
        </w:rPr>
        <w:t xml:space="preserve">they took to establish reasonable suspicion before making the call — which </w:t>
      </w:r>
      <w:r w:rsidRPr="00FE777D">
        <w:rPr>
          <w:rFonts w:cs="Times New Roman"/>
          <w:lang w:bidi="en-US"/>
        </w:rPr>
        <w:t xml:space="preserve">belies any suggestion that </w:t>
      </w:r>
      <w:r w:rsidRPr="00FE777D">
        <w:rPr>
          <w:rFonts w:cs="Times New Roman"/>
          <w:i/>
          <w:lang w:bidi="en-US"/>
        </w:rPr>
        <w:t>Mack</w:t>
      </w:r>
      <w:r w:rsidRPr="00FE777D">
        <w:rPr>
          <w:rFonts w:cs="Times New Roman"/>
          <w:lang w:bidi="en-US"/>
        </w:rPr>
        <w:t xml:space="preserve"> is impractical to apply in a digital age, or that </w:t>
      </w:r>
      <w:r w:rsidRPr="00FE777D">
        <w:rPr>
          <w:rFonts w:cs="Times New Roman"/>
          <w:lang w:val="en"/>
        </w:rPr>
        <w:t xml:space="preserve">reasonable suspicion in the virtual world should represent a lower threshold than in the physical world </w:t>
      </w:r>
      <w:r w:rsidRPr="00FE777D">
        <w:rPr>
          <w:rFonts w:cs="Times New Roman"/>
        </w:rPr>
        <w:t>(</w:t>
      </w:r>
      <w:r w:rsidRPr="00FE777D">
        <w:rPr>
          <w:rFonts w:cs="Times New Roman"/>
          <w:i/>
        </w:rPr>
        <w:t>R. v. Li</w:t>
      </w:r>
      <w:r w:rsidRPr="00FE777D">
        <w:rPr>
          <w:rFonts w:cs="Times New Roman"/>
        </w:rPr>
        <w:t xml:space="preserve">, 2019 BCCA 344, 381 C.C.C. (3d) 363, at paras. 3-4; B. A. MacFarlane, R. J. Frater and C. Michaelson, </w:t>
      </w:r>
      <w:r w:rsidRPr="00FE777D">
        <w:rPr>
          <w:rFonts w:cs="Times New Roman"/>
          <w:i/>
        </w:rPr>
        <w:t>Drug Offences in Canada</w:t>
      </w:r>
      <w:r w:rsidRPr="00FE777D">
        <w:rPr>
          <w:rFonts w:cs="Times New Roman"/>
        </w:rPr>
        <w:t xml:space="preserve"> (4th ed. (loose-leaf)), vol. 2, at pp. 26-4 to 26-7). This practice was adopted after the Court of Appeal for British Columbia criticized the police for making hundreds of random phone calls on the basis of bare, uncorroborated tips in </w:t>
      </w:r>
      <w:r w:rsidRPr="00FE777D">
        <w:rPr>
          <w:rFonts w:cs="Times New Roman"/>
          <w:i/>
          <w:lang w:val="en"/>
        </w:rPr>
        <w:t>Swan</w:t>
      </w:r>
      <w:r w:rsidRPr="00FE777D">
        <w:rPr>
          <w:rFonts w:cs="Times New Roman"/>
          <w:lang w:val="en"/>
        </w:rPr>
        <w:t>, at para. 43.</w:t>
      </w:r>
    </w:p>
    <w:p w:rsidR="00E53404" w:rsidRPr="00FE777D" w:rsidRDefault="00E53404" w:rsidP="00E53404">
      <w:pPr>
        <w:pStyle w:val="ParaNoNdepar-AltN"/>
        <w:rPr>
          <w:rFonts w:cs="Times New Roman"/>
        </w:rPr>
      </w:pPr>
      <w:r w:rsidRPr="00FE777D">
        <w:rPr>
          <w:rFonts w:cs="Times New Roman"/>
        </w:rPr>
        <w:t xml:space="preserve">Of course, it is for the police to determine how to proceed with their investigations. But to be clear, reasonable suspicion cannot be grounded on a bald tip alone </w:t>
      </w:r>
      <w:r w:rsidRPr="00FE777D">
        <w:rPr>
          <w:rFonts w:cs="Times New Roman"/>
          <w:lang w:val="en-US"/>
        </w:rPr>
        <w:t>(</w:t>
      </w:r>
      <w:r w:rsidRPr="00FE777D">
        <w:rPr>
          <w:rFonts w:cs="Times New Roman"/>
          <w:i/>
          <w:lang w:val="en-US"/>
        </w:rPr>
        <w:t>Simpson</w:t>
      </w:r>
      <w:r w:rsidRPr="00FE777D">
        <w:rPr>
          <w:rFonts w:cs="Times New Roman"/>
          <w:lang w:val="en-US"/>
        </w:rPr>
        <w:t>, at p. 50</w:t>
      </w:r>
      <w:r w:rsidR="00295A00">
        <w:rPr>
          <w:rFonts w:cs="Times New Roman"/>
          <w:lang w:val="en-US"/>
        </w:rPr>
        <w:t>4</w:t>
      </w:r>
      <w:r w:rsidRPr="00FE777D">
        <w:rPr>
          <w:rFonts w:cs="Times New Roman"/>
          <w:lang w:val="en"/>
        </w:rPr>
        <w:t xml:space="preserve">; </w:t>
      </w:r>
      <w:r w:rsidRPr="00FE777D">
        <w:rPr>
          <w:rFonts w:cs="Times New Roman"/>
          <w:i/>
          <w:lang w:val="en"/>
        </w:rPr>
        <w:t>J. L.</w:t>
      </w:r>
      <w:r w:rsidRPr="00FE777D">
        <w:rPr>
          <w:rFonts w:cs="Times New Roman"/>
          <w:lang w:val="en"/>
        </w:rPr>
        <w:t xml:space="preserve">, at pp. 270-71; see also </w:t>
      </w:r>
      <w:r w:rsidRPr="00FE777D">
        <w:rPr>
          <w:rFonts w:cs="Times New Roman"/>
          <w:i/>
          <w:lang w:val="en"/>
        </w:rPr>
        <w:t>R. v.</w:t>
      </w:r>
      <w:r w:rsidRPr="00FE777D">
        <w:rPr>
          <w:rFonts w:cs="Times New Roman"/>
          <w:lang w:val="en"/>
        </w:rPr>
        <w:t xml:space="preserve"> </w:t>
      </w:r>
      <w:r w:rsidRPr="00FE777D">
        <w:rPr>
          <w:rFonts w:cs="Times New Roman"/>
          <w:i/>
          <w:lang w:val="en"/>
        </w:rPr>
        <w:t>Arriagada</w:t>
      </w:r>
      <w:r w:rsidRPr="00FE777D">
        <w:rPr>
          <w:rFonts w:cs="Times New Roman"/>
          <w:lang w:val="en"/>
        </w:rPr>
        <w:t xml:space="preserve">, </w:t>
      </w:r>
      <w:r w:rsidRPr="00FE777D">
        <w:rPr>
          <w:rFonts w:cs="Times New Roman"/>
          <w:lang w:val="en-US"/>
        </w:rPr>
        <w:t>[2008] O.J. No. 5791 (QL) (S.C.J.),</w:t>
      </w:r>
      <w:r w:rsidRPr="00FE777D">
        <w:rPr>
          <w:rFonts w:cs="Times New Roman"/>
          <w:lang w:val="en"/>
        </w:rPr>
        <w:t xml:space="preserve"> at para. 25; </w:t>
      </w:r>
      <w:r w:rsidRPr="00FE777D">
        <w:rPr>
          <w:rFonts w:cs="Times New Roman"/>
          <w:i/>
          <w:lang w:val="en"/>
        </w:rPr>
        <w:t>Clarke</w:t>
      </w:r>
      <w:r w:rsidRPr="00FE777D">
        <w:rPr>
          <w:rFonts w:cs="Times New Roman"/>
          <w:lang w:val="en"/>
        </w:rPr>
        <w:t xml:space="preserve">, at para. 44). As this Court held in </w:t>
      </w:r>
      <w:r w:rsidRPr="00FE777D">
        <w:rPr>
          <w:rFonts w:cs="Times New Roman"/>
          <w:i/>
          <w:lang w:val="en"/>
        </w:rPr>
        <w:t>R. v.</w:t>
      </w:r>
      <w:r w:rsidRPr="00FE777D">
        <w:rPr>
          <w:rFonts w:cs="Times New Roman"/>
          <w:lang w:val="en"/>
        </w:rPr>
        <w:t xml:space="preserve"> </w:t>
      </w:r>
      <w:r w:rsidRPr="00FE777D">
        <w:rPr>
          <w:rFonts w:cs="Times New Roman"/>
          <w:i/>
          <w:lang w:val="en"/>
        </w:rPr>
        <w:t>Debot</w:t>
      </w:r>
      <w:r w:rsidRPr="00FE777D">
        <w:rPr>
          <w:rFonts w:cs="Times New Roman"/>
          <w:lang w:val="en"/>
        </w:rPr>
        <w:t>, [1989] 2 S.C.R. 1140, when the police use a tip from a confidential or anonymous source to justify an intrusion on someone’s liberty, courts must scrutinize the tip.</w:t>
      </w:r>
      <w:r w:rsidRPr="00295A00">
        <w:rPr>
          <w:rStyle w:val="Hyperlink"/>
          <w:color w:val="auto"/>
          <w:u w:val="none"/>
          <w:vertAlign w:val="superscript"/>
        </w:rPr>
        <w:footnoteReference w:id="1"/>
      </w:r>
      <w:r w:rsidRPr="00FE777D">
        <w:rPr>
          <w:rFonts w:cs="Times New Roman"/>
          <w:lang w:val="en"/>
        </w:rPr>
        <w:t xml:space="preserve"> It should be examined to see whether its detail is compelling, the informant is credible, and its information is corroborated in any way (</w:t>
      </w:r>
      <w:r w:rsidRPr="00FE777D">
        <w:rPr>
          <w:rFonts w:cs="Times New Roman"/>
          <w:i/>
          <w:lang w:val="en"/>
        </w:rPr>
        <w:t>Debot</w:t>
      </w:r>
      <w:r w:rsidRPr="00FE777D">
        <w:rPr>
          <w:rFonts w:cs="Times New Roman"/>
          <w:lang w:val="en"/>
        </w:rPr>
        <w:t>, at p. 1168).</w:t>
      </w:r>
    </w:p>
    <w:p w:rsidR="00E53404" w:rsidRPr="00FE777D" w:rsidRDefault="00E53404" w:rsidP="00E53404">
      <w:pPr>
        <w:pStyle w:val="ParaNoNdepar-AltN"/>
        <w:rPr>
          <w:rFonts w:cs="Times New Roman"/>
        </w:rPr>
      </w:pPr>
      <w:r w:rsidRPr="00FE777D">
        <w:rPr>
          <w:rFonts w:cs="Times New Roman"/>
        </w:rPr>
        <w:t xml:space="preserve">Although it would be prudent for police officers to investigate the reliability of the tip before placing the call where they are able to do so, it is also possible for the police to form reasonable suspicion in the course of a conversation with the target, but prior to presenting the opportunity to commit a crime (see, e.g., </w:t>
      </w:r>
      <w:r w:rsidRPr="00FE777D">
        <w:rPr>
          <w:rFonts w:cs="Times New Roman"/>
          <w:i/>
        </w:rPr>
        <w:t>Townsend</w:t>
      </w:r>
      <w:r w:rsidRPr="00FE777D">
        <w:rPr>
          <w:rFonts w:cs="Times New Roman"/>
        </w:rPr>
        <w:t xml:space="preserve">, at para. 50). While this is a necessary part of the “leeway” </w:t>
      </w:r>
      <w:r w:rsidRPr="00FE777D">
        <w:rPr>
          <w:rFonts w:cs="Times New Roman"/>
          <w:i/>
        </w:rPr>
        <w:t>Mack</w:t>
      </w:r>
      <w:r w:rsidRPr="00FE777D">
        <w:rPr>
          <w:rFonts w:cs="Times New Roman"/>
        </w:rPr>
        <w:t xml:space="preserve"> requires (at p. 978), police must be aware that in placing the call without reasonable suspicion, they are walking on thin ice, having already intruded upon the private life of their interlocutor.</w:t>
      </w:r>
    </w:p>
    <w:p w:rsidR="00E53404" w:rsidRPr="00FE777D" w:rsidRDefault="00E53404" w:rsidP="00E53404">
      <w:pPr>
        <w:pStyle w:val="ParaNoNdepar-AltN"/>
        <w:rPr>
          <w:rFonts w:cs="Times New Roman"/>
        </w:rPr>
      </w:pPr>
      <w:r w:rsidRPr="00FE777D">
        <w:rPr>
          <w:rFonts w:cs="Times New Roman"/>
        </w:rPr>
        <w:t xml:space="preserve">That said, the target’s responsiveness to details in the tip, along with other factors, may tend to confirm the tip’s reliability. For example, the target’s use of or response to language particular to the drug subculture properly forms part of the constellation of factors supporting reasonable suspicion (see </w:t>
      </w:r>
      <w:r w:rsidRPr="00FE777D">
        <w:rPr>
          <w:rFonts w:cs="Times New Roman"/>
          <w:i/>
        </w:rPr>
        <w:t>Olazo</w:t>
      </w:r>
      <w:r w:rsidRPr="00FE777D">
        <w:rPr>
          <w:rFonts w:cs="Times New Roman"/>
        </w:rPr>
        <w:t xml:space="preserve">, at para. 26). Even so, the understanding of “coded” drug language by a target is not, on its own, necessarily a reliable ground for reasonable suspicion. Some phrases admit of innocent interpretation. And some people — especially vulnerable people — are simply familiar with the coded language of drug trafficking, a point made convincingly by Pringle J., writing in </w:t>
      </w:r>
      <w:r w:rsidRPr="00FE777D">
        <w:rPr>
          <w:rFonts w:cs="Times New Roman"/>
          <w:i/>
        </w:rPr>
        <w:t>Clarke</w:t>
      </w:r>
      <w:r w:rsidRPr="00FE777D">
        <w:rPr>
          <w:rFonts w:cs="Times New Roman"/>
        </w:rPr>
        <w:t>:</w:t>
      </w:r>
    </w:p>
    <w:p w:rsidR="00E53404" w:rsidRPr="00FE777D" w:rsidRDefault="00E53404" w:rsidP="000954DC">
      <w:pPr>
        <w:pStyle w:val="Citation-AltC"/>
        <w:spacing w:after="240"/>
        <w:ind w:firstLine="720"/>
        <w:contextualSpacing w:val="0"/>
      </w:pPr>
      <w:r w:rsidRPr="00FE777D">
        <w:t>Respectfully, I think it dangerous to place too much emphasis on whether the target’s mind is innocent and his history blameless. </w:t>
      </w:r>
      <w:r w:rsidRPr="00FE777D">
        <w:rPr>
          <w:u w:val="single"/>
        </w:rPr>
        <w:t xml:space="preserve">For example, in </w:t>
      </w:r>
      <w:r w:rsidRPr="00FE777D">
        <w:rPr>
          <w:i/>
          <w:iCs/>
          <w:u w:val="single"/>
        </w:rPr>
        <w:t>Mack</w:t>
      </w:r>
      <w:r w:rsidRPr="00FE777D">
        <w:rPr>
          <w:u w:val="single"/>
        </w:rPr>
        <w:t>,</w:t>
      </w:r>
      <w:r w:rsidRPr="00FE777D">
        <w:rPr>
          <w:i/>
          <w:iCs/>
          <w:u w:val="single"/>
        </w:rPr>
        <w:t xml:space="preserve"> </w:t>
      </w:r>
      <w:r w:rsidRPr="00FE777D">
        <w:rPr>
          <w:u w:val="single"/>
        </w:rPr>
        <w:t>the appellant was a reformed drug dealer. While I appreciate that he was induced, the fact remained that because of his prior life experience, he understood drug trafficking transactions and retained drug contacts that could secure him $27 000 worth of cocaine</w:t>
      </w:r>
      <w:r w:rsidRPr="00295A00">
        <w:rPr>
          <w:u w:val="single"/>
        </w:rPr>
        <w:t>.</w:t>
      </w:r>
    </w:p>
    <w:p w:rsidR="00E53404" w:rsidRPr="00FE777D" w:rsidRDefault="00E53404" w:rsidP="000954DC">
      <w:pPr>
        <w:pStyle w:val="Citation-AltC"/>
        <w:spacing w:after="240"/>
        <w:ind w:firstLine="720"/>
        <w:contextualSpacing w:val="0"/>
      </w:pPr>
      <w:r w:rsidRPr="00FE777D">
        <w:t xml:space="preserve">A reformed drug dealer could get a call from police asking for drugs, based entirely on a stale tip, and fall off the rehabilitative wagon because he struggles to pay rent that month. The little brother of a drug dealer could pick up his phone, </w:t>
      </w:r>
      <w:r w:rsidRPr="00FE777D">
        <w:rPr>
          <w:u w:val="single"/>
        </w:rPr>
        <w:t>understand the street language</w:t>
      </w:r>
      <w:r w:rsidRPr="00FE777D">
        <w:t>, and decide that what he hears is an easy way to make $100. This kid can intend to sell the caller baking soda, even, but once he says “yes” on the phone, he has committed a criminal offence.</w:t>
      </w:r>
    </w:p>
    <w:p w:rsidR="00E53404" w:rsidRPr="00FE777D" w:rsidRDefault="00E53404" w:rsidP="000954DC">
      <w:pPr>
        <w:pStyle w:val="Citation-AltC"/>
        <w:spacing w:after="240"/>
        <w:contextualSpacing w:val="0"/>
        <w:jc w:val="center"/>
      </w:pPr>
      <w:r w:rsidRPr="00FE777D">
        <w:t>. . .</w:t>
      </w:r>
    </w:p>
    <w:p w:rsidR="00E53404" w:rsidRPr="00FE777D" w:rsidRDefault="00E53404" w:rsidP="00E53404">
      <w:pPr>
        <w:pStyle w:val="Citation-AltC"/>
        <w:ind w:left="1168" w:firstLine="720"/>
      </w:pPr>
      <w:r w:rsidRPr="00FE777D">
        <w:t xml:space="preserve">The emphasis, in my opinion, </w:t>
      </w:r>
      <w:r w:rsidRPr="00FE777D">
        <w:rPr>
          <w:u w:val="single"/>
        </w:rPr>
        <w:t>is not on what the “innocent” person would do, but what information police relied upon</w:t>
      </w:r>
      <w:r w:rsidRPr="00FE777D">
        <w:t xml:space="preserve"> when they provided someone with the opportunity to commit a crime. . . . [W]hen police do this without a proper basis, meaning without reasonable suspicion, this will </w:t>
      </w:r>
      <w:r w:rsidRPr="00FE777D">
        <w:rPr>
          <w:i/>
          <w:iCs/>
          <w:u w:val="single"/>
        </w:rPr>
        <w:t>always</w:t>
      </w:r>
      <w:r w:rsidRPr="00FE777D">
        <w:rPr>
          <w:i/>
          <w:iCs/>
        </w:rPr>
        <w:t xml:space="preserve"> </w:t>
      </w:r>
      <w:r w:rsidRPr="00FE777D">
        <w:t>carry the risk of ensnaring the innocent. [Underlining added; paras. 20-21 and 23.]</w:t>
      </w:r>
    </w:p>
    <w:p w:rsidR="00E53404" w:rsidRPr="00FE777D" w:rsidRDefault="00E53404" w:rsidP="00E53404">
      <w:pPr>
        <w:pStyle w:val="ParaNoNdepar-AltN"/>
        <w:rPr>
          <w:rFonts w:cs="Times New Roman"/>
        </w:rPr>
      </w:pPr>
      <w:r w:rsidRPr="00FE777D">
        <w:rPr>
          <w:rFonts w:cs="Times New Roman"/>
        </w:rPr>
        <w:t>Whether or not responding to such terminology is neutral or adds to the weight of other factors will depend on the circumstances. There is no requirement that the police rule out innocent explanations for these responses. But by the same token, the more general the language used, the more the need for specific evidence regarding police experience and training (</w:t>
      </w:r>
      <w:r w:rsidRPr="00FE777D">
        <w:rPr>
          <w:rFonts w:cs="Times New Roman"/>
          <w:i/>
        </w:rPr>
        <w:t>Chehil</w:t>
      </w:r>
      <w:r w:rsidRPr="00FE777D">
        <w:rPr>
          <w:rFonts w:cs="Times New Roman"/>
        </w:rPr>
        <w:t>, at para. 47). In particular, where a police officer testifies that a generic or everyday phrase is indicative of involvement in the drug trade, a trial judge must carefully consider whether this is a reasonable connection to make, based on rigorous scrutiny of all the evidence, including any other factors said to establish reasonable suspicion. Moreover, if the target seems confused by the officer’s use of such language, such exculpatory information must be taken into account as part of the “entirety of the circumstances” (</w:t>
      </w:r>
      <w:r w:rsidRPr="00FE777D">
        <w:rPr>
          <w:rFonts w:cs="Times New Roman"/>
          <w:i/>
        </w:rPr>
        <w:t>Chehil</w:t>
      </w:r>
      <w:r w:rsidRPr="00FE777D">
        <w:rPr>
          <w:rFonts w:cs="Times New Roman"/>
        </w:rPr>
        <w:t>, at para. 6). Courts must keep in mind that relevant factors are not to be parsed separately and assessed individually to determine whether they support reasonable suspicion. Rather, they are assessed together and in light of each other.</w:t>
      </w:r>
    </w:p>
    <w:p w:rsidR="00E53404" w:rsidRPr="00FE777D" w:rsidRDefault="00E53404" w:rsidP="00E53404">
      <w:pPr>
        <w:pStyle w:val="ParaNoNdepar-AltN"/>
        <w:rPr>
          <w:rFonts w:cs="Times New Roman"/>
        </w:rPr>
      </w:pPr>
      <w:r w:rsidRPr="00FE777D">
        <w:rPr>
          <w:rFonts w:cs="Times New Roman"/>
        </w:rPr>
        <w:t>To conclude, an objective assessment rigorously safeguards several rights that are engaged in the entrapment context: to liberty, to privacy, to be left alone, and to equality (</w:t>
      </w:r>
      <w:r w:rsidRPr="00FE777D">
        <w:rPr>
          <w:rFonts w:cs="Times New Roman"/>
          <w:i/>
        </w:rPr>
        <w:t>Mack</w:t>
      </w:r>
      <w:r w:rsidRPr="00FE777D">
        <w:rPr>
          <w:rFonts w:cs="Times New Roman"/>
        </w:rPr>
        <w:t xml:space="preserve">, at pp. 941 and 955; </w:t>
      </w:r>
      <w:r w:rsidRPr="00FE777D">
        <w:rPr>
          <w:rFonts w:cs="Times New Roman"/>
          <w:i/>
        </w:rPr>
        <w:t>Barnes</w:t>
      </w:r>
      <w:r w:rsidRPr="00FE777D">
        <w:rPr>
          <w:rFonts w:cs="Times New Roman"/>
        </w:rPr>
        <w:t xml:space="preserve">, at pp. 479-83, per McLachlin J., dissenting). Reasonable suspicion is the </w:t>
      </w:r>
      <w:r w:rsidRPr="00FE777D">
        <w:rPr>
          <w:rFonts w:cs="Times New Roman"/>
          <w:i/>
        </w:rPr>
        <w:t>minimum</w:t>
      </w:r>
      <w:r w:rsidRPr="00FE777D">
        <w:rPr>
          <w:rFonts w:cs="Times New Roman"/>
        </w:rPr>
        <w:t xml:space="preserve"> objective standard the Court has chosen to protect these essential rights. At the same time, it also allows police the flexibility necessary to enforce the criminal law against crimes that are difficult to investigate (</w:t>
      </w:r>
      <w:r w:rsidRPr="00FE777D">
        <w:rPr>
          <w:rFonts w:cs="Times New Roman"/>
          <w:i/>
        </w:rPr>
        <w:t>Mack</w:t>
      </w:r>
      <w:r w:rsidRPr="00FE777D">
        <w:rPr>
          <w:rFonts w:cs="Times New Roman"/>
        </w:rPr>
        <w:t>, at pp. 916 and 958).</w:t>
      </w:r>
    </w:p>
    <w:p w:rsidR="00E53404" w:rsidRPr="00FE777D" w:rsidRDefault="00E53404" w:rsidP="00E53404">
      <w:pPr>
        <w:pStyle w:val="Title2LevelTitre2Niveau"/>
        <w:numPr>
          <w:ilvl w:val="1"/>
          <w:numId w:val="8"/>
        </w:numPr>
        <w:jc w:val="both"/>
        <w:rPr>
          <w:rFonts w:cs="Times New Roman"/>
        </w:rPr>
      </w:pPr>
      <w:r w:rsidRPr="00FE777D">
        <w:rPr>
          <w:rFonts w:cs="Times New Roman"/>
        </w:rPr>
        <w:t>How Should Courts Review the Words Spoken During a Police Call to the Target?</w:t>
      </w:r>
    </w:p>
    <w:p w:rsidR="00E53404" w:rsidRPr="00FE777D" w:rsidRDefault="00E53404" w:rsidP="00E53404">
      <w:pPr>
        <w:pStyle w:val="ParaNoNdepar-AltN"/>
        <w:rPr>
          <w:rFonts w:cs="Times New Roman"/>
        </w:rPr>
      </w:pPr>
      <w:r w:rsidRPr="00FE777D">
        <w:rPr>
          <w:rFonts w:cs="Times New Roman"/>
        </w:rPr>
        <w:t xml:space="preserve">In both of these appeals, the police engaged in transcribed phone conversations with the appellants as part of their investigations. Both trial judges reviewed those conversations to determine whether the appellants were entrapped. The Crown says they were wrong to do so. Instead, the Crown argues that the “totality of the exchange” between undercover operators and their targets should be examined in determining whether entrapment has been made out, including looking at the circumstances </w:t>
      </w:r>
      <w:r w:rsidRPr="00FE777D">
        <w:rPr>
          <w:rFonts w:cs="Times New Roman"/>
          <w:i/>
        </w:rPr>
        <w:t>that follow</w:t>
      </w:r>
      <w:r w:rsidRPr="00FE777D">
        <w:rPr>
          <w:rFonts w:cs="Times New Roman"/>
        </w:rPr>
        <w:t xml:space="preserve"> the request to purchase the drugs.</w:t>
      </w:r>
    </w:p>
    <w:p w:rsidR="00E53404" w:rsidRPr="00FE777D" w:rsidRDefault="00E53404" w:rsidP="00E53404">
      <w:pPr>
        <w:pStyle w:val="ParaNoNdepar-AltN"/>
        <w:rPr>
          <w:rFonts w:cs="Times New Roman"/>
        </w:rPr>
      </w:pPr>
      <w:r w:rsidRPr="00FE777D">
        <w:rPr>
          <w:rFonts w:cs="Times New Roman"/>
        </w:rPr>
        <w:t xml:space="preserve">We disagree. Unless the police had formed reasonable suspicion before a phone call was made, reviewing the words spoken during the call is unavoidable. </w:t>
      </w:r>
      <w:r w:rsidRPr="00FE777D">
        <w:rPr>
          <w:rFonts w:cs="Times New Roman"/>
          <w:lang w:bidi="en-US"/>
        </w:rPr>
        <w:t>Reviewing conversations between undercover officers and their targets in the dial</w:t>
      </w:r>
      <w:r w:rsidRPr="00FE777D">
        <w:rPr>
          <w:rFonts w:cs="Times New Roman"/>
          <w:lang w:bidi="en-US"/>
        </w:rPr>
        <w:noBreakHyphen/>
        <w:t>a</w:t>
      </w:r>
      <w:r w:rsidRPr="00FE777D">
        <w:rPr>
          <w:rFonts w:cs="Times New Roman"/>
          <w:lang w:bidi="en-US"/>
        </w:rPr>
        <w:noBreakHyphen/>
        <w:t xml:space="preserve">dope context is the inevitable consequence of accepting that the police must have reasonable suspicion before offering an opportunity to commit an offence. </w:t>
      </w:r>
      <w:r w:rsidRPr="00FE777D">
        <w:rPr>
          <w:rFonts w:cs="Times New Roman"/>
        </w:rPr>
        <w:t xml:space="preserve">While we agree that the conversation must be considered contextually, that is in order to determine whether the undercover officer made a specific request to purchase drugs, and whether reasonable suspicion existed </w:t>
      </w:r>
      <w:r w:rsidRPr="00FE777D">
        <w:rPr>
          <w:rFonts w:cs="Times New Roman"/>
          <w:i/>
        </w:rPr>
        <w:t>before</w:t>
      </w:r>
      <w:r w:rsidRPr="00FE777D">
        <w:rPr>
          <w:rFonts w:cs="Times New Roman"/>
        </w:rPr>
        <w:t xml:space="preserve"> the opportunity to commit a crime was offered.</w:t>
      </w:r>
    </w:p>
    <w:p w:rsidR="00E53404" w:rsidRPr="00FE777D" w:rsidRDefault="00E53404" w:rsidP="00E53404">
      <w:pPr>
        <w:pStyle w:val="ParaNoNdepar-AltN"/>
        <w:rPr>
          <w:rFonts w:cs="Times New Roman"/>
        </w:rPr>
      </w:pPr>
      <w:r w:rsidRPr="00FE777D">
        <w:rPr>
          <w:rFonts w:cs="Times New Roman"/>
        </w:rPr>
        <w:t xml:space="preserve">Our point about timing is fundamental. Reasonable suspicion is not formed retroactively. Rather, it is applied prospectively. From its inception, the entrapment doctrine has required that police officers have reasonable suspicion of criminal activity </w:t>
      </w:r>
      <w:r w:rsidRPr="00FE777D">
        <w:rPr>
          <w:rFonts w:cs="Times New Roman"/>
          <w:i/>
        </w:rPr>
        <w:t>before</w:t>
      </w:r>
      <w:r w:rsidRPr="00FE777D">
        <w:rPr>
          <w:rFonts w:cs="Times New Roman"/>
        </w:rPr>
        <w:t xml:space="preserve"> providing an opportunity to commit an offence. Reasonable suspicion — like any level of investigative justification — can justify an action only on the basis of information </w:t>
      </w:r>
      <w:r w:rsidRPr="00FE777D">
        <w:rPr>
          <w:rFonts w:cs="Times New Roman"/>
          <w:i/>
        </w:rPr>
        <w:t>already known</w:t>
      </w:r>
      <w:r w:rsidRPr="00FE777D">
        <w:rPr>
          <w:rFonts w:cs="Times New Roman"/>
        </w:rPr>
        <w:t xml:space="preserve"> to police (see, e.g., </w:t>
      </w:r>
      <w:r w:rsidRPr="00FE777D">
        <w:rPr>
          <w:rFonts w:cs="Times New Roman"/>
          <w:i/>
        </w:rPr>
        <w:t>Swan</w:t>
      </w:r>
      <w:r w:rsidRPr="00FE777D">
        <w:rPr>
          <w:rFonts w:cs="Times New Roman"/>
        </w:rPr>
        <w:t xml:space="preserve">, at para. 27; </w:t>
      </w:r>
      <w:r w:rsidRPr="00FE777D">
        <w:rPr>
          <w:rFonts w:cs="Times New Roman"/>
          <w:i/>
        </w:rPr>
        <w:t>R. v. Saeed</w:t>
      </w:r>
      <w:r w:rsidRPr="00FE777D">
        <w:rPr>
          <w:rFonts w:cs="Times New Roman"/>
        </w:rPr>
        <w:t xml:space="preserve">, 2016 SCC 24, [2016] 1 S.C.R. 518, at para. 64; Ormerod and Roberts, at p. 46, fn. 31). It follows that the decision to intrude into an individual’s private life and offer them the opportunity to commit a crime is justified only if the grounds predate the measure. This is no different than the rule that applies to every context in which this standard (or indeed any standard) is used to justify state actions that interfere with individuals’ protected interests. Police may not detain an individual for investigative purposes unless they </w:t>
      </w:r>
      <w:r w:rsidRPr="00FE777D">
        <w:rPr>
          <w:rFonts w:cs="Times New Roman"/>
          <w:i/>
        </w:rPr>
        <w:t>already</w:t>
      </w:r>
      <w:r w:rsidRPr="00FE777D">
        <w:rPr>
          <w:rFonts w:cs="Times New Roman"/>
        </w:rPr>
        <w:t xml:space="preserve"> have reasonable suspicion the individual is connected to a particular crime (</w:t>
      </w:r>
      <w:r w:rsidRPr="00FE777D">
        <w:rPr>
          <w:rFonts w:cs="Times New Roman"/>
          <w:i/>
        </w:rPr>
        <w:t>R. v. Mann</w:t>
      </w:r>
      <w:r w:rsidRPr="00FE777D">
        <w:rPr>
          <w:rFonts w:cs="Times New Roman"/>
        </w:rPr>
        <w:t xml:space="preserve">, </w:t>
      </w:r>
      <w:r w:rsidR="00A4630F">
        <w:rPr>
          <w:rFonts w:cs="Times New Roman"/>
        </w:rPr>
        <w:t>2004 SCC 52, [2004] 3 S.C.R. 59</w:t>
      </w:r>
      <w:r w:rsidRPr="00FE777D">
        <w:rPr>
          <w:rFonts w:cs="Times New Roman"/>
        </w:rPr>
        <w:t xml:space="preserve">, at para. 34). Nor may police undertake a safety search unless they </w:t>
      </w:r>
      <w:r w:rsidRPr="00FE777D">
        <w:rPr>
          <w:rFonts w:cs="Times New Roman"/>
          <w:i/>
        </w:rPr>
        <w:t>already</w:t>
      </w:r>
      <w:r w:rsidRPr="00FE777D">
        <w:rPr>
          <w:rFonts w:cs="Times New Roman"/>
        </w:rPr>
        <w:t xml:space="preserve"> have reasonable grounds to believe that their safety or the safety of others is at risk (</w:t>
      </w:r>
      <w:r w:rsidRPr="00FE777D">
        <w:rPr>
          <w:rFonts w:cs="Times New Roman"/>
          <w:i/>
        </w:rPr>
        <w:t>R. v. MacDonald</w:t>
      </w:r>
      <w:r w:rsidRPr="00FE777D">
        <w:rPr>
          <w:rFonts w:cs="Times New Roman"/>
        </w:rPr>
        <w:t xml:space="preserve">, 2014 SCC 3, [2014] 1 S.C.R. 37, at para. 41). This Court has also been clear that reasonable suspicion must be assessed at the time of a sniff search and </w:t>
      </w:r>
      <w:r w:rsidRPr="00FE777D">
        <w:rPr>
          <w:rFonts w:cs="Times New Roman"/>
          <w:i/>
        </w:rPr>
        <w:t>not after</w:t>
      </w:r>
      <w:r w:rsidRPr="00FE777D">
        <w:rPr>
          <w:rFonts w:cs="Times New Roman"/>
        </w:rPr>
        <w:t xml:space="preserve"> (</w:t>
      </w:r>
      <w:r w:rsidRPr="00FE777D">
        <w:rPr>
          <w:rFonts w:cs="Times New Roman"/>
          <w:i/>
        </w:rPr>
        <w:t>Chehil</w:t>
      </w:r>
      <w:r w:rsidRPr="00FE777D">
        <w:rPr>
          <w:rFonts w:cs="Times New Roman"/>
        </w:rPr>
        <w:t>, at para. 68).</w:t>
      </w:r>
    </w:p>
    <w:p w:rsidR="00E53404" w:rsidRPr="00FE777D" w:rsidRDefault="00E53404" w:rsidP="00E53404">
      <w:pPr>
        <w:pStyle w:val="ParaNoNdepar-AltN"/>
        <w:rPr>
          <w:rFonts w:cs="Times New Roman"/>
        </w:rPr>
      </w:pPr>
      <w:r w:rsidRPr="00FE777D">
        <w:rPr>
          <w:rFonts w:cs="Times New Roman"/>
        </w:rPr>
        <w:t xml:space="preserve">We acknowledge that there has been criticism of an approach sometimes described as narrowly “parsing” conversations between police officers and the individuals they are investigating. The term “parsing” however, captures neither the purpose of the exercise nor the way it is carried out. A court must examine </w:t>
      </w:r>
      <w:r w:rsidRPr="00FE777D">
        <w:rPr>
          <w:rFonts w:cs="Times New Roman"/>
          <w:i/>
        </w:rPr>
        <w:t xml:space="preserve">all </w:t>
      </w:r>
      <w:r w:rsidRPr="00FE777D">
        <w:rPr>
          <w:rFonts w:cs="Times New Roman"/>
        </w:rPr>
        <w:t xml:space="preserve">of the circumstances, and not merely the language used during the call, in order to determine whether police had formed reasonable suspicion by the time the opportunity was provided. In dial-a-dope cases, conversations are a means of forming a reasonable suspicion </w:t>
      </w:r>
      <w:r w:rsidRPr="00FE777D">
        <w:rPr>
          <w:rFonts w:cs="Times New Roman"/>
          <w:i/>
        </w:rPr>
        <w:t>and</w:t>
      </w:r>
      <w:r w:rsidRPr="00FE777D">
        <w:rPr>
          <w:rFonts w:cs="Times New Roman"/>
        </w:rPr>
        <w:t xml:space="preserve"> the means of committing the offence itself. Given that police cannot verify the identities of their interlocutors</w:t>
      </w:r>
      <w:r w:rsidRPr="00FE777D">
        <w:rPr>
          <w:rFonts w:eastAsiaTheme="minorHAnsi" w:cs="Times New Roman"/>
          <w:lang w:val="en-US" w:bidi="en-US"/>
        </w:rPr>
        <w:t xml:space="preserve"> when operating </w:t>
      </w:r>
      <w:r w:rsidRPr="00FE777D">
        <w:rPr>
          <w:rFonts w:cs="Times New Roman"/>
          <w:lang w:bidi="en-US"/>
        </w:rPr>
        <w:t>in a virtual world</w:t>
      </w:r>
      <w:r w:rsidRPr="00FE777D">
        <w:rPr>
          <w:rFonts w:cs="Times New Roman"/>
        </w:rPr>
        <w:t>, determining when a target is provided with an opportunity to make an offer to traffic unavoidably requires that courts scrutinize the language used. This is a common basis upon which police make professional judgment calls about what actions are legally permitted. It is also the basis upon which courts review the legality of those actions. Examining the language used may reveal, as it does in the cases at bar, the difference between an officer who is investigating whether there is reasonable suspicion of criminal activity through careful attention to the answers received, and an officer who makes no serious attempt to verify a tip of unknown reliability and immediately asks for drugs.</w:t>
      </w:r>
    </w:p>
    <w:p w:rsidR="00E53404" w:rsidRPr="00FE777D" w:rsidRDefault="00E53404" w:rsidP="00E53404">
      <w:pPr>
        <w:pStyle w:val="ParaNoNdepar-AltN"/>
        <w:rPr>
          <w:rFonts w:cs="Times New Roman"/>
        </w:rPr>
      </w:pPr>
      <w:r w:rsidRPr="00FE777D">
        <w:rPr>
          <w:rFonts w:cs="Times New Roman"/>
        </w:rPr>
        <w:t>In sum, if police have not been able to establish reasonable suspicion prior to making the call, then inevitably courts will have to scrutinize the precise wording of the call. Of course, the preferable course of action — and the most sure way to avoid curial “parsing” — is for police to form reasonable suspicion prior to making the call. In our view, these two avenues strike an appropriate balance: they afford police sufficient latitude, while also protecting Canadians from unwarranted invitations to commit an offence. In other words, this approach recognizes that “[t]he reasonable suspicion requirement . . . is not a heavy price to pay to uphold . . . the rule of law” (</w:t>
      </w:r>
      <w:r w:rsidRPr="00FE777D">
        <w:rPr>
          <w:rFonts w:cs="Times New Roman"/>
          <w:i/>
        </w:rPr>
        <w:t>Pucci</w:t>
      </w:r>
      <w:r w:rsidRPr="00FE777D">
        <w:rPr>
          <w:rFonts w:cs="Times New Roman"/>
        </w:rPr>
        <w:t>, at para. 12).</w:t>
      </w:r>
    </w:p>
    <w:p w:rsidR="00E53404" w:rsidRPr="00FE777D" w:rsidRDefault="00E53404" w:rsidP="00E53404">
      <w:pPr>
        <w:pStyle w:val="Title2LevelTitre2Niveau"/>
        <w:numPr>
          <w:ilvl w:val="1"/>
          <w:numId w:val="8"/>
        </w:numPr>
        <w:rPr>
          <w:rFonts w:cs="Times New Roman"/>
        </w:rPr>
      </w:pPr>
      <w:r w:rsidRPr="00FE777D">
        <w:rPr>
          <w:rFonts w:cs="Times New Roman"/>
        </w:rPr>
        <w:t>What Constitutes Provision of an Opportunity to Traffic in Drugs?</w:t>
      </w:r>
    </w:p>
    <w:p w:rsidR="00E53404" w:rsidRPr="00FE777D" w:rsidRDefault="00E53404" w:rsidP="00E53404">
      <w:pPr>
        <w:pStyle w:val="ParaNoNdepar-AltN"/>
        <w:spacing w:after="120"/>
        <w:rPr>
          <w:rFonts w:cs="Times New Roman"/>
        </w:rPr>
      </w:pPr>
      <w:r w:rsidRPr="00FE777D">
        <w:rPr>
          <w:rFonts w:cs="Times New Roman"/>
        </w:rPr>
        <w:t xml:space="preserve">The determination of whether a police action constitutes an opportunity to commit an offence is informed both by the definition of the offence and the context in which the action occurred. Like other aspects of the entrapment doctrine, it reflects the balance struck between the state’s interest in investigating crime and the law’s constraint against unwarranted intrusion into individuals’ personal lives. </w:t>
      </w:r>
      <w:r w:rsidRPr="00FE777D">
        <w:rPr>
          <w:rFonts w:cs="Times New Roman"/>
          <w:lang w:val="en-US"/>
        </w:rPr>
        <w:t>In a conversation, an opportunity will be established when an affirmative response to the question posed by the officer could satisfy the material elements of an offence.</w:t>
      </w:r>
      <w:r w:rsidRPr="00FE777D">
        <w:rPr>
          <w:rFonts w:cs="Times New Roman"/>
        </w:rPr>
        <w:t xml:space="preserve"> </w:t>
      </w:r>
      <w:r w:rsidRPr="00FE777D" w:rsidDel="00FE5B0A">
        <w:rPr>
          <w:rFonts w:cs="Times New Roman"/>
        </w:rPr>
        <w:t>In the dial</w:t>
      </w:r>
      <w:r w:rsidRPr="00FE777D">
        <w:rPr>
          <w:rFonts w:cs="Times New Roman"/>
        </w:rPr>
        <w:t>-</w:t>
      </w:r>
      <w:r w:rsidRPr="00FE777D" w:rsidDel="00FE5B0A">
        <w:rPr>
          <w:rFonts w:cs="Times New Roman"/>
        </w:rPr>
        <w:t>a</w:t>
      </w:r>
      <w:r w:rsidRPr="00FE777D">
        <w:rPr>
          <w:rFonts w:cs="Times New Roman"/>
        </w:rPr>
        <w:t>-</w:t>
      </w:r>
      <w:r w:rsidRPr="00FE777D" w:rsidDel="00FE5B0A">
        <w:rPr>
          <w:rFonts w:cs="Times New Roman"/>
        </w:rPr>
        <w:t xml:space="preserve">dope context, </w:t>
      </w:r>
      <w:r w:rsidRPr="00FE777D">
        <w:rPr>
          <w:rFonts w:cs="Times New Roman"/>
        </w:rPr>
        <w:t xml:space="preserve">in which the initial interaction between the police and target occurs entirely over the phone, </w:t>
      </w:r>
      <w:r w:rsidRPr="00FE777D" w:rsidDel="00FE5B0A">
        <w:rPr>
          <w:rFonts w:cs="Times New Roman"/>
        </w:rPr>
        <w:t>the exercise centres on determining whether words spoken by the police officer constitute an opportunity to commit drug trafficking.</w:t>
      </w:r>
    </w:p>
    <w:p w:rsidR="00E53404" w:rsidRPr="00FE777D" w:rsidRDefault="00E53404" w:rsidP="00E53404">
      <w:pPr>
        <w:pStyle w:val="ParaNoNdepar-AltN"/>
        <w:rPr>
          <w:rFonts w:cs="Times New Roman"/>
        </w:rPr>
      </w:pPr>
      <w:r w:rsidRPr="00FE777D">
        <w:rPr>
          <w:rFonts w:cs="Times New Roman"/>
        </w:rPr>
        <w:t xml:space="preserve">The inquiry, then, is properly directed to how close the police conduct is to the commission of an offence. </w:t>
      </w:r>
      <w:r w:rsidRPr="00FE777D">
        <w:rPr>
          <w:rFonts w:cs="Times New Roman"/>
          <w:lang w:bidi="en-US"/>
        </w:rPr>
        <w:t xml:space="preserve">To allow the police sufficient flexibility to investigate crime, an officer’s action </w:t>
      </w:r>
      <w:r w:rsidRPr="00FE777D">
        <w:rPr>
          <w:rFonts w:cs="Times New Roman"/>
        </w:rPr>
        <w:t>—</w:t>
      </w:r>
      <w:r w:rsidRPr="00FE777D">
        <w:rPr>
          <w:rFonts w:cs="Times New Roman"/>
          <w:lang w:bidi="en-US"/>
        </w:rPr>
        <w:t xml:space="preserve"> to constitute an offer of an opportunity to commit a crime </w:t>
      </w:r>
      <w:r w:rsidRPr="00FE777D">
        <w:rPr>
          <w:rFonts w:cs="Times New Roman"/>
        </w:rPr>
        <w:t>—</w:t>
      </w:r>
      <w:r w:rsidRPr="00FE777D">
        <w:rPr>
          <w:rFonts w:cs="Times New Roman"/>
          <w:lang w:bidi="en-US"/>
        </w:rPr>
        <w:t xml:space="preserve"> must therefore be </w:t>
      </w:r>
      <w:r w:rsidRPr="00FE777D">
        <w:rPr>
          <w:rFonts w:cs="Times New Roman"/>
          <w:i/>
          <w:lang w:bidi="en-US"/>
        </w:rPr>
        <w:t>sufficiently proximate</w:t>
      </w:r>
      <w:r w:rsidRPr="00FE777D">
        <w:rPr>
          <w:rFonts w:cs="Times New Roman"/>
          <w:lang w:bidi="en-US"/>
        </w:rPr>
        <w:t xml:space="preserve"> to conduct that would satisfy the elements of the offence. For example, in </w:t>
      </w:r>
      <w:r w:rsidRPr="00FE777D">
        <w:rPr>
          <w:rFonts w:cs="Times New Roman"/>
          <w:i/>
          <w:lang w:bidi="en-US"/>
        </w:rPr>
        <w:t>Bayat</w:t>
      </w:r>
      <w:r w:rsidRPr="00FE777D">
        <w:rPr>
          <w:rFonts w:cs="Times New Roman"/>
          <w:lang w:bidi="en-US"/>
        </w:rPr>
        <w:t xml:space="preserve">, Rosenberg J.A. concluded that beginning an online conversation with a target was not an opportunity to commit the offence of child luring. He likened the first contact to a “knock on a door” (para. 19). In his view, that initial contact was too remote from the commission of the offence to constitute the provision of an opportunity to commit an offence (see also </w:t>
      </w:r>
      <w:r w:rsidR="00EE37CA">
        <w:rPr>
          <w:rFonts w:cs="Times New Roman"/>
          <w:i/>
          <w:lang w:bidi="en-US"/>
        </w:rPr>
        <w:t>R. v. Vezina</w:t>
      </w:r>
      <w:r w:rsidRPr="00FE777D">
        <w:rPr>
          <w:rFonts w:cs="Times New Roman"/>
          <w:lang w:bidi="en-US"/>
        </w:rPr>
        <w:t>, 2014 CMAC 3, 461 N.R. 286, at paras. 5-6;</w:t>
      </w:r>
      <w:r w:rsidRPr="00FE777D">
        <w:rPr>
          <w:rFonts w:cs="Times New Roman"/>
          <w:i/>
          <w:lang w:bidi="en-US"/>
        </w:rPr>
        <w:t xml:space="preserve"> Williams </w:t>
      </w:r>
      <w:r w:rsidRPr="00FE777D">
        <w:rPr>
          <w:rFonts w:cs="Times New Roman"/>
          <w:lang w:bidi="en-US"/>
        </w:rPr>
        <w:t>(2010), at paras. 45-47).</w:t>
      </w:r>
      <w:r w:rsidRPr="00FE777D">
        <w:rPr>
          <w:rFonts w:cs="Times New Roman"/>
        </w:rPr>
        <w:t xml:space="preserve"> In the particular context of drug trafficking, we would adopt the conclusion reached by Trotter J. at para. 27 of the </w:t>
      </w:r>
      <w:r w:rsidRPr="00FE777D">
        <w:rPr>
          <w:rFonts w:cs="Times New Roman"/>
          <w:i/>
        </w:rPr>
        <w:t>Williams</w:t>
      </w:r>
      <w:r w:rsidRPr="00FE777D">
        <w:rPr>
          <w:rFonts w:cs="Times New Roman"/>
        </w:rPr>
        <w:t xml:space="preserve"> stay decision: an opportunity to commit an offence is offered when the officer says something to which the accused can commit an offence by simply answering</w:t>
      </w:r>
      <w:r>
        <w:rPr>
          <w:rFonts w:cs="Times New Roman"/>
        </w:rPr>
        <w:t xml:space="preserve"> “y</w:t>
      </w:r>
      <w:r w:rsidR="00EE37CA">
        <w:rPr>
          <w:rFonts w:cs="Times New Roman"/>
        </w:rPr>
        <w:t>es</w:t>
      </w:r>
      <w:r w:rsidRPr="00FE777D">
        <w:rPr>
          <w:rFonts w:cs="Times New Roman"/>
        </w:rPr>
        <w:t>”</w:t>
      </w:r>
      <w:r w:rsidR="00EE37CA">
        <w:rPr>
          <w:rFonts w:cs="Times New Roman"/>
        </w:rPr>
        <w:t>.</w:t>
      </w:r>
    </w:p>
    <w:p w:rsidR="00E53404" w:rsidRPr="00FE777D" w:rsidRDefault="00E53404" w:rsidP="00E53404">
      <w:pPr>
        <w:pStyle w:val="ParaNoNdepar-AltN"/>
        <w:rPr>
          <w:rFonts w:cs="Times New Roman"/>
        </w:rPr>
      </w:pPr>
      <w:r w:rsidRPr="00FE777D">
        <w:rPr>
          <w:rFonts w:cs="Times New Roman"/>
        </w:rPr>
        <w:t xml:space="preserve">The definition of drug trafficking in the </w:t>
      </w:r>
      <w:r w:rsidRPr="00FE777D">
        <w:rPr>
          <w:rFonts w:cs="Times New Roman"/>
          <w:i/>
        </w:rPr>
        <w:t>Controlled Drugs and Substances Act</w:t>
      </w:r>
      <w:r w:rsidRPr="00FE777D">
        <w:rPr>
          <w:rFonts w:cs="Times New Roman"/>
        </w:rPr>
        <w:t xml:space="preserve">, </w:t>
      </w:r>
      <w:r w:rsidRPr="00FE777D">
        <w:rPr>
          <w:rFonts w:cs="Times New Roman"/>
          <w:lang w:val="en-US"/>
        </w:rPr>
        <w:t>S.C. 1996, c. 19 (</w:t>
      </w:r>
      <w:r w:rsidRPr="00FE777D">
        <w:rPr>
          <w:rFonts w:cs="Times New Roman"/>
          <w:i/>
          <w:lang w:val="en-US"/>
        </w:rPr>
        <w:t>CDSA</w:t>
      </w:r>
      <w:r w:rsidRPr="00FE777D">
        <w:rPr>
          <w:rFonts w:cs="Times New Roman"/>
          <w:lang w:val="en-US"/>
        </w:rPr>
        <w:t>)</w:t>
      </w:r>
      <w:r w:rsidRPr="00FE777D">
        <w:rPr>
          <w:rFonts w:cs="Times New Roman"/>
        </w:rPr>
        <w:t>, is broad. It includes not only selling, transporting and administering illegal drugs, but also making an offer to do so (</w:t>
      </w:r>
      <w:r w:rsidRPr="00FE777D">
        <w:rPr>
          <w:rFonts w:cs="Times New Roman"/>
          <w:i/>
        </w:rPr>
        <w:t>CDSA</w:t>
      </w:r>
      <w:r w:rsidRPr="00FE777D">
        <w:rPr>
          <w:rFonts w:cs="Times New Roman"/>
        </w:rPr>
        <w:t xml:space="preserve">, ss. 2(1), “traffic” and 5(1); </w:t>
      </w:r>
      <w:r w:rsidRPr="00FE777D">
        <w:rPr>
          <w:rFonts w:cs="Times New Roman"/>
          <w:i/>
        </w:rPr>
        <w:t xml:space="preserve">R. v. Murdock </w:t>
      </w:r>
      <w:r w:rsidRPr="00FE777D">
        <w:rPr>
          <w:rFonts w:cs="Times New Roman"/>
        </w:rPr>
        <w:t xml:space="preserve">(2003), 176 C.C.C. (3d) 232 (Ont. C.A.), at para. 14; </w:t>
      </w:r>
      <w:r w:rsidRPr="00FE777D">
        <w:rPr>
          <w:rFonts w:cs="Times New Roman"/>
          <w:lang w:val="en-US"/>
        </w:rPr>
        <w:t>MacFarlane, Frater and Michaelson, vol. 1, at pp. 5-18.1 to 5-21</w:t>
      </w:r>
      <w:r w:rsidRPr="00FE777D">
        <w:rPr>
          <w:rFonts w:cs="Times New Roman"/>
        </w:rPr>
        <w:t>). The definition of “traffic” is limited to activity “in respect of a substance included in any of Schedules I to V.” A general agreement to sell “drugs” or “product” will not suffice unless there are contextual markers that narrow what is intended to a particular drug listed in those schedules.</w:t>
      </w:r>
    </w:p>
    <w:p w:rsidR="00E53404" w:rsidRPr="00FE777D" w:rsidRDefault="00E53404" w:rsidP="00E53404">
      <w:pPr>
        <w:pStyle w:val="ParaNoNdepar-AltN"/>
        <w:rPr>
          <w:rFonts w:cs="Times New Roman"/>
        </w:rPr>
      </w:pPr>
      <w:r w:rsidRPr="00FE777D">
        <w:rPr>
          <w:rFonts w:cs="Times New Roman"/>
        </w:rPr>
        <w:t>For these reasons, police can make exploratory requests of the target, including asking whether they sell drugs, without providing an opportunity to traffic in illegal drugs (see, e.g.,</w:t>
      </w:r>
      <w:r w:rsidR="00EE37CA">
        <w:rPr>
          <w:rFonts w:cs="Times New Roman"/>
          <w:i/>
        </w:rPr>
        <w:t xml:space="preserve"> R. v. Ralph</w:t>
      </w:r>
      <w:r w:rsidRPr="00FE777D">
        <w:rPr>
          <w:rFonts w:cs="Times New Roman"/>
        </w:rPr>
        <w:t xml:space="preserve">, 2014 ONCA 3, 313 O.A.C. 384, at para. 32). An opportunity has been provided only when the terms of the deal have narrowed to the point that the request is for a specific type of drug and, therefore, the target can commit an offence by simply agreeing to provide what the officer has requested. </w:t>
      </w:r>
      <w:r w:rsidRPr="00FE777D">
        <w:rPr>
          <w:rFonts w:cs="Times New Roman"/>
          <w:lang w:val="en-US"/>
        </w:rPr>
        <w:t xml:space="preserve">In some cases, a request to purchase a specific quantity of drugs will suffice. For example, in Williams’ case, where the police were working from a tip that the individual was a </w:t>
      </w:r>
      <w:r w:rsidRPr="00FE777D">
        <w:rPr>
          <w:rFonts w:cs="Times New Roman"/>
          <w:i/>
          <w:lang w:val="en-US"/>
        </w:rPr>
        <w:t>cocaine</w:t>
      </w:r>
      <w:r w:rsidRPr="00FE777D">
        <w:rPr>
          <w:rFonts w:cs="Times New Roman"/>
          <w:lang w:val="en-US"/>
        </w:rPr>
        <w:t xml:space="preserve"> dealer, a request for a particular quantity of that drug (i.e., “I need 80”) constituted an opportunity (stay decision, at para. 9). Indeed, courts have consistently recognized that a request to purchase a specific type of drug during the conversation will amount to an opportunity to commit a crime (</w:t>
      </w:r>
      <w:r w:rsidRPr="00FE777D">
        <w:rPr>
          <w:rFonts w:cs="Times New Roman"/>
          <w:i/>
          <w:lang w:val="en-US"/>
        </w:rPr>
        <w:t>Ralph</w:t>
      </w:r>
      <w:r w:rsidRPr="00FE777D">
        <w:rPr>
          <w:rFonts w:cs="Times New Roman"/>
          <w:lang w:val="en-US"/>
        </w:rPr>
        <w:t>, at paras. 29 and 31-32;</w:t>
      </w:r>
      <w:r w:rsidRPr="00FE777D">
        <w:rPr>
          <w:rFonts w:cs="Times New Roman"/>
          <w:i/>
          <w:lang w:val="en-US"/>
        </w:rPr>
        <w:t xml:space="preserve"> R. v. Imoro</w:t>
      </w:r>
      <w:r w:rsidRPr="00FE777D">
        <w:rPr>
          <w:rFonts w:cs="Times New Roman"/>
          <w:lang w:val="en-US"/>
        </w:rPr>
        <w:t xml:space="preserve">, 2010 ONCA 122, 251 C.C.C. (3d) 131, at paras. 3 and 15-16, aff’d 2010 SCC 50, [2010] 3 S.C.R. 62; </w:t>
      </w:r>
      <w:r w:rsidRPr="00FE777D">
        <w:rPr>
          <w:rFonts w:cs="Times New Roman"/>
          <w:i/>
        </w:rPr>
        <w:t>Townsend</w:t>
      </w:r>
      <w:r w:rsidRPr="00FE777D">
        <w:rPr>
          <w:rFonts w:cs="Times New Roman"/>
        </w:rPr>
        <w:t xml:space="preserve">, </w:t>
      </w:r>
      <w:r w:rsidRPr="00FE777D">
        <w:rPr>
          <w:rFonts w:cs="Times New Roman"/>
          <w:lang w:val="en-US"/>
        </w:rPr>
        <w:t xml:space="preserve">at paras. 42 and 47; </w:t>
      </w:r>
      <w:r w:rsidRPr="00FE777D">
        <w:rPr>
          <w:rFonts w:cs="Times New Roman"/>
          <w:i/>
          <w:lang w:val="en-US"/>
        </w:rPr>
        <w:t>R. v. Gould</w:t>
      </w:r>
      <w:r w:rsidRPr="00FE777D">
        <w:rPr>
          <w:rFonts w:cs="Times New Roman"/>
          <w:lang w:val="en-US"/>
        </w:rPr>
        <w:t>, 2016 ONSC 4069, at paras. 18 and 30 (CanLII))</w:t>
      </w:r>
      <w:r w:rsidR="00062561">
        <w:rPr>
          <w:rFonts w:cs="Times New Roman"/>
          <w:lang w:val="en-US"/>
        </w:rPr>
        <w:t>. Statements such as “I need 40</w:t>
      </w:r>
      <w:r w:rsidRPr="00FE777D">
        <w:rPr>
          <w:rFonts w:cs="Times New Roman"/>
          <w:lang w:val="en-US"/>
        </w:rPr>
        <w:t>”</w:t>
      </w:r>
      <w:r w:rsidR="00062561">
        <w:rPr>
          <w:rFonts w:cs="Times New Roman"/>
          <w:lang w:val="en-US"/>
        </w:rPr>
        <w:t>, “I need six greens</w:t>
      </w:r>
      <w:r w:rsidRPr="00FE777D">
        <w:rPr>
          <w:rFonts w:cs="Times New Roman"/>
          <w:lang w:val="en-US"/>
        </w:rPr>
        <w:t>”</w:t>
      </w:r>
      <w:r w:rsidR="00062561">
        <w:rPr>
          <w:rFonts w:cs="Times New Roman"/>
          <w:lang w:val="en-US"/>
        </w:rPr>
        <w:t>,</w:t>
      </w:r>
      <w:r w:rsidRPr="00FE777D">
        <w:rPr>
          <w:rFonts w:cs="Times New Roman"/>
          <w:lang w:val="en-US"/>
        </w:rPr>
        <w:t xml:space="preserve"> “I want a 60</w:t>
      </w:r>
      <w:r w:rsidR="00062561">
        <w:rPr>
          <w:rFonts w:cs="Times New Roman"/>
          <w:lang w:val="en-US"/>
        </w:rPr>
        <w:t xml:space="preserve"> piece</w:t>
      </w:r>
      <w:r w:rsidRPr="00FE777D">
        <w:rPr>
          <w:rFonts w:cs="Times New Roman"/>
          <w:lang w:val="en-US"/>
        </w:rPr>
        <w:t>”</w:t>
      </w:r>
      <w:r w:rsidR="00062561">
        <w:rPr>
          <w:rFonts w:cs="Times New Roman"/>
          <w:lang w:val="en-US"/>
        </w:rPr>
        <w:t>, “four for a hundred</w:t>
      </w:r>
      <w:r w:rsidRPr="00FE777D">
        <w:rPr>
          <w:rFonts w:cs="Times New Roman"/>
          <w:lang w:val="en-US"/>
        </w:rPr>
        <w:t>”</w:t>
      </w:r>
      <w:r w:rsidR="00062561">
        <w:rPr>
          <w:rFonts w:cs="Times New Roman"/>
          <w:lang w:val="en-US"/>
        </w:rPr>
        <w:t>, “a ball</w:t>
      </w:r>
      <w:r w:rsidRPr="00FE777D">
        <w:rPr>
          <w:rFonts w:cs="Times New Roman"/>
          <w:lang w:val="en-US"/>
        </w:rPr>
        <w:t>”</w:t>
      </w:r>
      <w:r w:rsidR="00062561">
        <w:rPr>
          <w:rFonts w:cs="Times New Roman"/>
          <w:lang w:val="en-US"/>
        </w:rPr>
        <w:t>,</w:t>
      </w:r>
      <w:r w:rsidRPr="00FE777D">
        <w:rPr>
          <w:rFonts w:cs="Times New Roman"/>
          <w:lang w:val="en-US"/>
        </w:rPr>
        <w:t xml:space="preserve"> and “half a B” have all been found to present opportunities (</w:t>
      </w:r>
      <w:r w:rsidRPr="00FE777D">
        <w:rPr>
          <w:rFonts w:cs="Times New Roman"/>
          <w:i/>
          <w:lang w:val="en-US"/>
        </w:rPr>
        <w:t>R. v. Marino</w:t>
      </w:r>
      <w:r w:rsidRPr="00FE777D">
        <w:rPr>
          <w:rFonts w:cs="Times New Roman"/>
          <w:i/>
          <w:lang w:val="en-US"/>
        </w:rPr>
        <w:noBreakHyphen/>
        <w:t>Montero</w:t>
      </w:r>
      <w:r w:rsidRPr="00FE777D">
        <w:rPr>
          <w:rFonts w:cs="Times New Roman"/>
          <w:lang w:val="en-US"/>
        </w:rPr>
        <w:t xml:space="preserve">, [2012] O.J. No. 1287 (QL) (Sup. Ct.), at para. 15; </w:t>
      </w:r>
      <w:r w:rsidRPr="00FE777D">
        <w:rPr>
          <w:rFonts w:cs="Times New Roman"/>
          <w:i/>
          <w:lang w:val="en-US"/>
        </w:rPr>
        <w:t>R. v. Izzard</w:t>
      </w:r>
      <w:r w:rsidRPr="00FE777D">
        <w:rPr>
          <w:rFonts w:cs="Times New Roman"/>
          <w:lang w:val="en-US"/>
        </w:rPr>
        <w:t xml:space="preserve">, [2012] O.J. No. 2516 (QL) (Sup. Ct.), at para. 22; </w:t>
      </w:r>
      <w:r w:rsidRPr="00FE777D">
        <w:rPr>
          <w:rFonts w:cs="Times New Roman"/>
          <w:i/>
          <w:lang w:val="en-US"/>
        </w:rPr>
        <w:t>Williams</w:t>
      </w:r>
      <w:r w:rsidRPr="00FE777D">
        <w:rPr>
          <w:rFonts w:cs="Times New Roman"/>
          <w:lang w:val="en-US"/>
        </w:rPr>
        <w:t xml:space="preserve"> (2010), at para. 19, see also para. 54; </w:t>
      </w:r>
      <w:r w:rsidRPr="00FE777D">
        <w:rPr>
          <w:rFonts w:cs="Times New Roman"/>
          <w:i/>
          <w:lang w:val="en-US"/>
        </w:rPr>
        <w:t>R. v. Gladue</w:t>
      </w:r>
      <w:r w:rsidRPr="00FE777D">
        <w:rPr>
          <w:rFonts w:cs="Times New Roman"/>
          <w:lang w:val="en-US"/>
        </w:rPr>
        <w:t xml:space="preserve">, </w:t>
      </w:r>
      <w:r w:rsidRPr="00FE777D">
        <w:rPr>
          <w:rFonts w:cs="Times New Roman"/>
        </w:rPr>
        <w:t xml:space="preserve">2012 ABCA 143, 285 C.C.C. (3d) </w:t>
      </w:r>
      <w:r w:rsidRPr="00FE777D">
        <w:rPr>
          <w:rFonts w:cs="Times New Roman"/>
          <w:lang w:val="en-US"/>
        </w:rPr>
        <w:t xml:space="preserve">154, at paras. 4 and 11; </w:t>
      </w:r>
      <w:r w:rsidRPr="00FE777D">
        <w:rPr>
          <w:rFonts w:cs="Times New Roman"/>
          <w:i/>
        </w:rPr>
        <w:t>R. v. Stubbs</w:t>
      </w:r>
      <w:r w:rsidRPr="00FE777D">
        <w:rPr>
          <w:rFonts w:cs="Times New Roman"/>
        </w:rPr>
        <w:t>, 2012 ONSC 1882,</w:t>
      </w:r>
      <w:r w:rsidRPr="00FE777D">
        <w:rPr>
          <w:rFonts w:cs="Times New Roman"/>
          <w:i/>
        </w:rPr>
        <w:t xml:space="preserve"> </w:t>
      </w:r>
      <w:r w:rsidRPr="00FE777D">
        <w:rPr>
          <w:rFonts w:cs="Times New Roman"/>
          <w:lang w:val="en-US"/>
        </w:rPr>
        <w:t xml:space="preserve">at para. 12 (CanLII); </w:t>
      </w:r>
      <w:r w:rsidRPr="00FE777D">
        <w:rPr>
          <w:rFonts w:cs="Times New Roman"/>
          <w:i/>
          <w:lang w:val="en-US"/>
        </w:rPr>
        <w:t>Arriagada</w:t>
      </w:r>
      <w:r w:rsidRPr="00FE777D">
        <w:rPr>
          <w:rFonts w:cs="Times New Roman"/>
          <w:lang w:val="en-US"/>
        </w:rPr>
        <w:t xml:space="preserve">, at para. 26; </w:t>
      </w:r>
      <w:r w:rsidRPr="00FE777D">
        <w:rPr>
          <w:rFonts w:cs="Times New Roman"/>
          <w:i/>
          <w:lang w:val="en-US"/>
        </w:rPr>
        <w:t>Clarke</w:t>
      </w:r>
      <w:r w:rsidRPr="00FE777D">
        <w:rPr>
          <w:rFonts w:cs="Times New Roman"/>
          <w:lang w:val="en-US"/>
        </w:rPr>
        <w:t>, at para. 37).</w:t>
      </w:r>
      <w:r w:rsidRPr="00062561">
        <w:rPr>
          <w:rStyle w:val="Hyperlink"/>
          <w:color w:val="auto"/>
          <w:u w:val="none"/>
          <w:vertAlign w:val="superscript"/>
        </w:rPr>
        <w:footnoteReference w:id="2"/>
      </w:r>
    </w:p>
    <w:p w:rsidR="00E53404" w:rsidRPr="00FE777D" w:rsidRDefault="00E53404" w:rsidP="00E53404">
      <w:pPr>
        <w:pStyle w:val="ParaNoNdepar-AltN"/>
        <w:rPr>
          <w:rFonts w:cs="Times New Roman"/>
        </w:rPr>
      </w:pPr>
      <w:r w:rsidRPr="00FE777D">
        <w:rPr>
          <w:rFonts w:cs="Times New Roman"/>
        </w:rPr>
        <w:t xml:space="preserve">Before this Court, the Crown submitted that the opportunity to commit the offence — within the meaning of the doctrine of entrapment — arises </w:t>
      </w:r>
      <w:r w:rsidRPr="00FE777D">
        <w:rPr>
          <w:rFonts w:cs="Times New Roman"/>
          <w:i/>
        </w:rPr>
        <w:t>not</w:t>
      </w:r>
      <w:r w:rsidRPr="00FE777D">
        <w:rPr>
          <w:rFonts w:cs="Times New Roman"/>
        </w:rPr>
        <w:t xml:space="preserve"> when the agreement to sell drugs is secured during the call, but only </w:t>
      </w:r>
      <w:r w:rsidRPr="00FE777D">
        <w:rPr>
          <w:rFonts w:cs="Times New Roman"/>
          <w:i/>
        </w:rPr>
        <w:t>afterwards</w:t>
      </w:r>
      <w:r w:rsidRPr="00FE777D">
        <w:rPr>
          <w:rFonts w:cs="Times New Roman"/>
        </w:rPr>
        <w:t xml:space="preserve">, when the police officer meets the suspect in person, and the in-person transaction is made. This argument lacks merit. Drug-related entrapment cases have implicitly rejected such an approach by considering whether the accused was entrapped during the initial conversation, even though the in-person transaction occurred later. In </w:t>
      </w:r>
      <w:r w:rsidRPr="00FE777D">
        <w:rPr>
          <w:rFonts w:cs="Times New Roman"/>
          <w:i/>
        </w:rPr>
        <w:t>Swan</w:t>
      </w:r>
      <w:r w:rsidRPr="00FE777D">
        <w:rPr>
          <w:rFonts w:cs="Times New Roman"/>
        </w:rPr>
        <w:t>, for example, although the accused eventually met up with the undercover officer an</w:t>
      </w:r>
      <w:r w:rsidR="006E495F">
        <w:rPr>
          <w:rFonts w:cs="Times New Roman"/>
        </w:rPr>
        <w:t>d sold $40 worth of cocaine (</w:t>
      </w:r>
      <w:r w:rsidRPr="00FE777D">
        <w:rPr>
          <w:rFonts w:cs="Times New Roman"/>
        </w:rPr>
        <w:t xml:space="preserve">para. 7), Prowse J.A.’s analysis focused on the call itself (paras. 27-29). In </w:t>
      </w:r>
      <w:r w:rsidRPr="00FE777D">
        <w:rPr>
          <w:rFonts w:cs="Times New Roman"/>
          <w:i/>
        </w:rPr>
        <w:t>Olazo</w:t>
      </w:r>
      <w:r w:rsidRPr="00FE777D">
        <w:rPr>
          <w:rFonts w:cs="Times New Roman"/>
        </w:rPr>
        <w:t xml:space="preserve">, the accused eventually met up with the undercover officer (at para. 10), but Donald J.A. focused on the call (para. 26). In </w:t>
      </w:r>
      <w:r w:rsidRPr="00FE777D">
        <w:rPr>
          <w:rFonts w:cs="Times New Roman"/>
          <w:i/>
        </w:rPr>
        <w:t>Ralph</w:t>
      </w:r>
      <w:r w:rsidRPr="00FE777D">
        <w:rPr>
          <w:rFonts w:cs="Times New Roman"/>
        </w:rPr>
        <w:t>, the accused sold the officer drugs six times after their initial phone call (at para. 2), but Rosenberg J.A. still focused on the words spoken in that phone call (para. 32).</w:t>
      </w:r>
    </w:p>
    <w:p w:rsidR="00E53404" w:rsidRPr="00FE777D" w:rsidRDefault="00E53404" w:rsidP="00E53404">
      <w:pPr>
        <w:pStyle w:val="ParaNoNdepar-AltN"/>
        <w:rPr>
          <w:rFonts w:cs="Times New Roman"/>
        </w:rPr>
      </w:pPr>
      <w:r w:rsidRPr="00FE777D">
        <w:rPr>
          <w:rFonts w:cs="Times New Roman"/>
        </w:rPr>
        <w:t>It follows that, to ensure the fairness of state conduct, proceedings must be stayed in respect of charges that are related to</w:t>
      </w:r>
      <w:r w:rsidRPr="00FE777D">
        <w:rPr>
          <w:rFonts w:eastAsiaTheme="minorHAnsi" w:cs="Times New Roman"/>
          <w:lang w:val="en-US" w:bidi="en-US"/>
        </w:rPr>
        <w:t xml:space="preserve"> </w:t>
      </w:r>
      <w:r w:rsidRPr="00FE777D">
        <w:rPr>
          <w:rFonts w:cs="Times New Roman"/>
          <w:lang w:bidi="en-US"/>
        </w:rPr>
        <w:t xml:space="preserve">the conduct targeted by abusive police conduct </w:t>
      </w:r>
      <w:r w:rsidRPr="00FE777D">
        <w:rPr>
          <w:rFonts w:cs="Times New Roman"/>
        </w:rPr>
        <w:t>—</w:t>
      </w:r>
      <w:r w:rsidRPr="00FE777D">
        <w:rPr>
          <w:rFonts w:cs="Times New Roman"/>
          <w:lang w:bidi="en-US"/>
        </w:rPr>
        <w:t xml:space="preserve"> that is, to</w:t>
      </w:r>
      <w:r w:rsidRPr="00FE777D">
        <w:rPr>
          <w:rFonts w:cs="Times New Roman"/>
        </w:rPr>
        <w:t xml:space="preserve"> the offence of trafficking by offer </w:t>
      </w:r>
      <w:r w:rsidRPr="00FE777D">
        <w:rPr>
          <w:rFonts w:cs="Times New Roman"/>
          <w:i/>
        </w:rPr>
        <w:t>and</w:t>
      </w:r>
      <w:r w:rsidRPr="00FE777D">
        <w:rPr>
          <w:rFonts w:cs="Times New Roman"/>
        </w:rPr>
        <w:t xml:space="preserve"> to the in</w:t>
      </w:r>
      <w:r w:rsidRPr="00FE777D">
        <w:rPr>
          <w:rFonts w:cs="Times New Roman"/>
        </w:rPr>
        <w:noBreakHyphen/>
        <w:t>person trafficking or possession for the purpose of trafficking offences to which the offer directly relates. Concluding otherwise would ignore the entrapment that occurs during the phone call and its direct relationship to the offences that were eventually charged. The police conduct in dial</w:t>
      </w:r>
      <w:r w:rsidRPr="00FE777D">
        <w:rPr>
          <w:rFonts w:cs="Times New Roman"/>
        </w:rPr>
        <w:noBreakHyphen/>
        <w:t>a</w:t>
      </w:r>
      <w:r w:rsidRPr="00FE777D">
        <w:rPr>
          <w:rFonts w:cs="Times New Roman"/>
        </w:rPr>
        <w:noBreakHyphen/>
        <w:t>dope investigations is directed at drug trafficking. The very reason that police interact with their targets in person is to carry out the opportunities offered over the phone. To follow the Crown’s reasoning and stay charges arising from the offer while entering convictions for drug trafficking to which the offer related would be highly technical and, indeed, artificial, thereby defeating the purposes of the entrapment doctrine and ignoring its underlying rationale of preventing intrusion into people’s lives to test their virtue.</w:t>
      </w:r>
    </w:p>
    <w:p w:rsidR="00E53404" w:rsidRPr="00FE777D" w:rsidRDefault="00E53404" w:rsidP="00E53404">
      <w:pPr>
        <w:pStyle w:val="ParaNoNdepar-AltN"/>
        <w:rPr>
          <w:rFonts w:cs="Times New Roman"/>
        </w:rPr>
      </w:pPr>
      <w:r w:rsidRPr="00FE777D" w:rsidDel="00353D5A">
        <w:rPr>
          <w:rFonts w:cs="Times New Roman"/>
        </w:rPr>
        <w:t>In conclusion, given the principles governing our entrapment doctrine</w:t>
      </w:r>
      <w:r w:rsidRPr="00FE777D">
        <w:rPr>
          <w:rFonts w:cs="Times New Roman"/>
        </w:rPr>
        <w:t xml:space="preserve">, </w:t>
      </w:r>
      <w:r w:rsidRPr="00FE777D" w:rsidDel="00353D5A">
        <w:rPr>
          <w:rFonts w:cs="Times New Roman"/>
        </w:rPr>
        <w:t>police investigating a dial</w:t>
      </w:r>
      <w:r w:rsidRPr="00FE777D">
        <w:rPr>
          <w:rFonts w:cs="Times New Roman"/>
        </w:rPr>
        <w:t>-</w:t>
      </w:r>
      <w:r w:rsidRPr="00FE777D" w:rsidDel="00353D5A">
        <w:rPr>
          <w:rFonts w:cs="Times New Roman"/>
        </w:rPr>
        <w:t>a</w:t>
      </w:r>
      <w:r w:rsidRPr="00FE777D">
        <w:rPr>
          <w:rFonts w:cs="Times New Roman"/>
        </w:rPr>
        <w:t>-</w:t>
      </w:r>
      <w:r w:rsidRPr="00FE777D" w:rsidDel="00353D5A">
        <w:rPr>
          <w:rFonts w:cs="Times New Roman"/>
        </w:rPr>
        <w:t xml:space="preserve">dope operation by calling a phone number they suspect is being used to traffic illegal drugs must form reasonable suspicion before offering an opportunity to traffic drugs. If they cannot form reasonable suspicion before making the call, they must in the course of their conversation form reasonable suspicion </w:t>
      </w:r>
      <w:r w:rsidRPr="00FE777D">
        <w:rPr>
          <w:rFonts w:cs="Times New Roman"/>
        </w:rPr>
        <w:t xml:space="preserve">before </w:t>
      </w:r>
      <w:r w:rsidRPr="00FE777D" w:rsidDel="00353D5A">
        <w:rPr>
          <w:rFonts w:cs="Times New Roman"/>
        </w:rPr>
        <w:t>making the offer.</w:t>
      </w:r>
      <w:r w:rsidRPr="00FE777D">
        <w:rPr>
          <w:rFonts w:cs="Times New Roman"/>
        </w:rPr>
        <w:t xml:space="preserve"> </w:t>
      </w:r>
      <w:r w:rsidRPr="00FE777D" w:rsidDel="00353D5A">
        <w:rPr>
          <w:rFonts w:cs="Times New Roman"/>
        </w:rPr>
        <w:t>A determination of whether this requirement is satisfied must be the product of strict judicial scrutiny, taking into account the constellation of factors that indicate involvement in drug trafficking. And</w:t>
      </w:r>
      <w:r w:rsidRPr="00FE777D">
        <w:rPr>
          <w:rFonts w:cs="Times New Roman"/>
        </w:rPr>
        <w:t>,</w:t>
      </w:r>
      <w:r w:rsidRPr="00FE777D" w:rsidDel="00353D5A">
        <w:rPr>
          <w:rFonts w:cs="Times New Roman"/>
        </w:rPr>
        <w:t xml:space="preserve"> if it is determined that the offer was presented before reasonable suspicion </w:t>
      </w:r>
      <w:r w:rsidRPr="00FE777D">
        <w:rPr>
          <w:rFonts w:cs="Times New Roman"/>
        </w:rPr>
        <w:t xml:space="preserve">was </w:t>
      </w:r>
      <w:r w:rsidRPr="00FE777D" w:rsidDel="00353D5A">
        <w:rPr>
          <w:rFonts w:cs="Times New Roman"/>
        </w:rPr>
        <w:t>formed, entrapment is established and the proceedings must be stayed.</w:t>
      </w:r>
    </w:p>
    <w:p w:rsidR="00E53404" w:rsidRPr="00FE777D" w:rsidRDefault="00E53404" w:rsidP="00E53404">
      <w:pPr>
        <w:pStyle w:val="Title1LevelTitre1Niveau-AltL"/>
        <w:numPr>
          <w:ilvl w:val="0"/>
          <w:numId w:val="8"/>
        </w:numPr>
        <w:rPr>
          <w:rFonts w:cs="Times New Roman"/>
        </w:rPr>
      </w:pPr>
      <w:r w:rsidRPr="00FE777D">
        <w:rPr>
          <w:rFonts w:cs="Times New Roman"/>
        </w:rPr>
        <w:t>Application</w:t>
      </w:r>
    </w:p>
    <w:p w:rsidR="00E53404" w:rsidRPr="00FE777D" w:rsidRDefault="00E53404" w:rsidP="00E53404">
      <w:pPr>
        <w:pStyle w:val="ParaNoNdepar-AltN"/>
        <w:rPr>
          <w:rFonts w:cs="Times New Roman"/>
        </w:rPr>
      </w:pPr>
      <w:r w:rsidRPr="00FE777D">
        <w:rPr>
          <w:rFonts w:cs="Times New Roman"/>
        </w:rPr>
        <w:t>The facts of each of these two appeals lead us to different conclusions. Specifically, applying this Court’s entrapment framework and in particular its reasonable suspicion standard, we would affirm the decision of each trial judge. While Ahmad was not entrapped, Williams was.</w:t>
      </w:r>
    </w:p>
    <w:p w:rsidR="00E53404" w:rsidRPr="00FE777D" w:rsidRDefault="00E53404" w:rsidP="00E53404">
      <w:pPr>
        <w:pStyle w:val="ParaNoNdepar-AltN"/>
        <w:rPr>
          <w:rFonts w:cs="Times New Roman"/>
        </w:rPr>
      </w:pPr>
      <w:r w:rsidRPr="00FE777D">
        <w:rPr>
          <w:rFonts w:cs="Times New Roman"/>
        </w:rPr>
        <w:t>The only question to be answered in deciding each appeal is whether, based on the constellation of factors known to police, they had a reasonable suspicion that the target or the phone number was engaged in drug trafficking at the time the officer provided an opportunity to commit a crime.</w:t>
      </w:r>
    </w:p>
    <w:p w:rsidR="00E53404" w:rsidRPr="00FE777D" w:rsidRDefault="00E53404" w:rsidP="00E53404">
      <w:pPr>
        <w:pStyle w:val="ParaNoNdepar-AltN"/>
        <w:rPr>
          <w:rFonts w:cs="Times New Roman"/>
        </w:rPr>
      </w:pPr>
      <w:r w:rsidRPr="00FE777D">
        <w:rPr>
          <w:rFonts w:cs="Times New Roman"/>
        </w:rPr>
        <w:t xml:space="preserve">In Ahmad’s case, </w:t>
      </w:r>
      <w:r w:rsidRPr="00FE777D">
        <w:rPr>
          <w:rFonts w:cs="Times New Roman"/>
          <w:lang w:val="en-US"/>
        </w:rPr>
        <w:t>D.C. Limsiaco received a tip that “Romeo” was selling drugs using a particular phone number. He called the number and</w:t>
      </w:r>
      <w:r w:rsidRPr="00FE777D">
        <w:rPr>
          <w:rFonts w:cs="Times New Roman"/>
        </w:rPr>
        <w:t xml:space="preserve"> engaged in the following conversation:</w:t>
      </w:r>
    </w:p>
    <w:p w:rsidR="00E53404" w:rsidRPr="00FE777D" w:rsidRDefault="00E53404" w:rsidP="003F72F1">
      <w:pPr>
        <w:pStyle w:val="Citation-AltC"/>
        <w:spacing w:after="240"/>
        <w:contextualSpacing w:val="0"/>
        <w:rPr>
          <w:lang w:val="en-US"/>
        </w:rPr>
      </w:pPr>
      <w:r w:rsidRPr="00FE777D">
        <w:rPr>
          <w:lang w:val="en-US"/>
        </w:rPr>
        <w:t>Male: Hello</w:t>
      </w:r>
    </w:p>
    <w:p w:rsidR="00E53404" w:rsidRPr="00FE777D" w:rsidRDefault="00E53404" w:rsidP="003F72F1">
      <w:pPr>
        <w:pStyle w:val="Citation-AltC"/>
        <w:spacing w:after="240"/>
        <w:contextualSpacing w:val="0"/>
        <w:rPr>
          <w:lang w:val="en-US"/>
        </w:rPr>
      </w:pPr>
      <w:r w:rsidRPr="00FE777D">
        <w:rPr>
          <w:lang w:val="en-US"/>
        </w:rPr>
        <w:t>Officer: Hey, It’s Mike, Matt said I can give you a call, this is Romeo?</w:t>
      </w:r>
    </w:p>
    <w:p w:rsidR="00E53404" w:rsidRPr="00FE777D" w:rsidRDefault="00E53404" w:rsidP="003F72F1">
      <w:pPr>
        <w:pStyle w:val="Citation-AltC"/>
        <w:spacing w:after="240"/>
        <w:contextualSpacing w:val="0"/>
        <w:rPr>
          <w:lang w:val="en-US"/>
        </w:rPr>
      </w:pPr>
      <w:r w:rsidRPr="00FE777D">
        <w:rPr>
          <w:lang w:val="en-US"/>
        </w:rPr>
        <w:t>Male: He did, did he?</w:t>
      </w:r>
    </w:p>
    <w:p w:rsidR="00E53404" w:rsidRPr="00FE777D" w:rsidRDefault="00E53404" w:rsidP="003F72F1">
      <w:pPr>
        <w:pStyle w:val="Citation-AltC"/>
        <w:spacing w:after="240"/>
        <w:contextualSpacing w:val="0"/>
        <w:rPr>
          <w:lang w:val="en-US"/>
        </w:rPr>
      </w:pPr>
      <w:r w:rsidRPr="00FE777D">
        <w:rPr>
          <w:lang w:val="en-US"/>
        </w:rPr>
        <w:t>Officer: Yeah, said you can help me out?</w:t>
      </w:r>
    </w:p>
    <w:p w:rsidR="00E53404" w:rsidRPr="00FE777D" w:rsidRDefault="00E53404" w:rsidP="003F72F1">
      <w:pPr>
        <w:pStyle w:val="Citation-AltC"/>
        <w:spacing w:after="240"/>
        <w:contextualSpacing w:val="0"/>
        <w:rPr>
          <w:lang w:val="en-US"/>
        </w:rPr>
      </w:pPr>
      <w:r w:rsidRPr="00FE777D">
        <w:rPr>
          <w:lang w:val="en-US"/>
        </w:rPr>
        <w:t>Male: What do you need?</w:t>
      </w:r>
    </w:p>
    <w:p w:rsidR="00E53404" w:rsidRPr="00FE777D" w:rsidRDefault="00E53404" w:rsidP="003F72F1">
      <w:pPr>
        <w:pStyle w:val="Citation-AltC"/>
        <w:spacing w:after="240"/>
        <w:contextualSpacing w:val="0"/>
        <w:rPr>
          <w:lang w:val="en-US"/>
        </w:rPr>
      </w:pPr>
      <w:r w:rsidRPr="00FE777D">
        <w:rPr>
          <w:lang w:val="en-US"/>
        </w:rPr>
        <w:t>Officer: 2 soft</w:t>
      </w:r>
    </w:p>
    <w:p w:rsidR="00E53404" w:rsidRPr="00FE777D" w:rsidRDefault="00E53404" w:rsidP="003F72F1">
      <w:pPr>
        <w:pStyle w:val="Citation-AltC"/>
        <w:spacing w:after="240"/>
        <w:contextualSpacing w:val="0"/>
        <w:rPr>
          <w:lang w:val="en-US"/>
        </w:rPr>
      </w:pPr>
      <w:r w:rsidRPr="00FE777D">
        <w:rPr>
          <w:lang w:val="en-US"/>
        </w:rPr>
        <w:t>Male: Hold on, I’ll get back to you.</w:t>
      </w:r>
    </w:p>
    <w:p w:rsidR="00E53404" w:rsidRPr="00FE777D" w:rsidRDefault="00E53404" w:rsidP="00E20D31">
      <w:pPr>
        <w:pStyle w:val="Citation-AltC"/>
        <w:spacing w:after="480"/>
        <w:contextualSpacing w:val="0"/>
        <w:rPr>
          <w:lang w:val="en-US"/>
        </w:rPr>
      </w:pPr>
      <w:r w:rsidRPr="00FE777D">
        <w:rPr>
          <w:lang w:val="en-US"/>
        </w:rPr>
        <w:t>Officer: Alright.</w:t>
      </w:r>
    </w:p>
    <w:p w:rsidR="00E53404" w:rsidRPr="00FE777D" w:rsidRDefault="00E53404" w:rsidP="00062561">
      <w:pPr>
        <w:pStyle w:val="Citation-AltC"/>
        <w:ind w:left="0"/>
      </w:pPr>
      <w:r w:rsidRPr="00FE777D">
        <w:rPr>
          <w:lang w:val="en-US"/>
        </w:rPr>
        <w:t>(</w:t>
      </w:r>
      <w:r w:rsidRPr="00FE777D">
        <w:rPr>
          <w:i/>
          <w:lang w:val="en-US"/>
        </w:rPr>
        <w:t xml:space="preserve">Ahmad </w:t>
      </w:r>
      <w:r w:rsidRPr="00FE777D">
        <w:rPr>
          <w:lang w:val="en-US"/>
        </w:rPr>
        <w:t>stay decision, at para. 21)</w:t>
      </w:r>
    </w:p>
    <w:p w:rsidR="00E53404" w:rsidRPr="00FE777D" w:rsidRDefault="00E53404" w:rsidP="00E53404">
      <w:pPr>
        <w:pStyle w:val="ParaNoNdepar-AltN"/>
        <w:rPr>
          <w:rFonts w:cs="Times New Roman"/>
        </w:rPr>
      </w:pPr>
      <w:r w:rsidRPr="00FE777D">
        <w:rPr>
          <w:rFonts w:cs="Times New Roman"/>
        </w:rPr>
        <w:t>D.C. Limsiaco provided an opportunity for Ahmad to commit drug trafficking when he asked for “2 so</w:t>
      </w:r>
      <w:r>
        <w:rPr>
          <w:rFonts w:cs="Times New Roman"/>
        </w:rPr>
        <w:t>ft” in response to the question,</w:t>
      </w:r>
      <w:r w:rsidRPr="00FE777D">
        <w:rPr>
          <w:rFonts w:cs="Times New Roman"/>
        </w:rPr>
        <w:t xml:space="preserve"> “What do you need?” In context, given the me</w:t>
      </w:r>
      <w:r w:rsidR="00F53D7E">
        <w:rPr>
          <w:rFonts w:cs="Times New Roman"/>
        </w:rPr>
        <w:t>aning of “2 soft</w:t>
      </w:r>
      <w:r w:rsidRPr="00FE777D">
        <w:rPr>
          <w:rFonts w:cs="Times New Roman"/>
        </w:rPr>
        <w:t>”</w:t>
      </w:r>
      <w:r w:rsidR="00F53D7E">
        <w:rPr>
          <w:rFonts w:cs="Times New Roman"/>
        </w:rPr>
        <w:t>,</w:t>
      </w:r>
      <w:r w:rsidRPr="00FE777D">
        <w:rPr>
          <w:rFonts w:cs="Times New Roman"/>
        </w:rPr>
        <w:t xml:space="preserve"> this amounted to asking Ahmad whether he would sell him two grams of cocaine. Since the </w:t>
      </w:r>
      <w:r w:rsidRPr="00FE777D">
        <w:rPr>
          <w:rFonts w:cs="Times New Roman"/>
          <w:i/>
        </w:rPr>
        <w:t>CDSA</w:t>
      </w:r>
      <w:r w:rsidRPr="00FE777D">
        <w:rPr>
          <w:rFonts w:cs="Times New Roman"/>
        </w:rPr>
        <w:t xml:space="preserve"> allows trafficking to be committed by a simple offer to sell drugs, saying “yes” to the officer’s question would have constituted trafficking. Of course, asking whet</w:t>
      </w:r>
      <w:r w:rsidR="00F53D7E">
        <w:rPr>
          <w:rFonts w:cs="Times New Roman"/>
        </w:rPr>
        <w:t>her Ahmad could “help [him] out</w:t>
      </w:r>
      <w:r w:rsidRPr="00FE777D">
        <w:rPr>
          <w:rFonts w:cs="Times New Roman"/>
        </w:rPr>
        <w:t>”</w:t>
      </w:r>
      <w:r w:rsidR="00F53D7E">
        <w:rPr>
          <w:rFonts w:cs="Times New Roman"/>
        </w:rPr>
        <w:t>,</w:t>
      </w:r>
      <w:r w:rsidRPr="00FE777D">
        <w:rPr>
          <w:rFonts w:cs="Times New Roman"/>
        </w:rPr>
        <w:t xml:space="preserve"> as the officer did earlier, was </w:t>
      </w:r>
      <w:r w:rsidRPr="00FE777D">
        <w:rPr>
          <w:rFonts w:cs="Times New Roman"/>
          <w:i/>
        </w:rPr>
        <w:t>not</w:t>
      </w:r>
      <w:r w:rsidRPr="00FE777D">
        <w:rPr>
          <w:rFonts w:cs="Times New Roman"/>
        </w:rPr>
        <w:t xml:space="preserve"> an opportunity to traffic. Responding “yes” to that question would not have been trafficking, because the inquiry had not been narrowed to a particular substance listed in a schedule of the </w:t>
      </w:r>
      <w:r w:rsidRPr="00FE777D">
        <w:rPr>
          <w:rFonts w:cs="Times New Roman"/>
          <w:i/>
        </w:rPr>
        <w:t>CDSA</w:t>
      </w:r>
      <w:r w:rsidRPr="00FE777D">
        <w:rPr>
          <w:rFonts w:cs="Times New Roman"/>
        </w:rPr>
        <w:t>.</w:t>
      </w:r>
    </w:p>
    <w:p w:rsidR="00E53404" w:rsidRPr="00FE777D" w:rsidRDefault="00E53404" w:rsidP="00E53404">
      <w:pPr>
        <w:pStyle w:val="ParaNoNdepar-AltN"/>
        <w:rPr>
          <w:rFonts w:cs="Times New Roman"/>
        </w:rPr>
      </w:pPr>
      <w:r w:rsidRPr="00FE777D">
        <w:rPr>
          <w:rFonts w:cs="Times New Roman"/>
        </w:rPr>
        <w:t>Given the point at which the opportunity was provided, the constellation of factors that existed at that time consisted of the tip and the nature of Ahmad’s responses to D.C. Limsiaco’s questions.</w:t>
      </w:r>
    </w:p>
    <w:p w:rsidR="00E53404" w:rsidRPr="00FE777D" w:rsidRDefault="00E53404" w:rsidP="00E53404">
      <w:pPr>
        <w:pStyle w:val="ParaNoNdepar-AltN"/>
        <w:rPr>
          <w:rFonts w:cs="Times New Roman"/>
        </w:rPr>
      </w:pPr>
      <w:r w:rsidRPr="00FE777D">
        <w:rPr>
          <w:rFonts w:cs="Times New Roman"/>
        </w:rPr>
        <w:t>Allen J. concluded that reasonable suspicion crystallized wh</w:t>
      </w:r>
      <w:r w:rsidR="006E495F">
        <w:rPr>
          <w:rFonts w:cs="Times New Roman"/>
        </w:rPr>
        <w:t>en Ahmad asked D.C. Limsiaco, “[w]</w:t>
      </w:r>
      <w:r w:rsidRPr="00FE777D">
        <w:rPr>
          <w:rFonts w:cs="Times New Roman"/>
        </w:rPr>
        <w:t>hat do you need?” By that point, the officer had asked Ahmad if he went by the name “Romeo,” which he did not deny. When the officer asked Ahmad, “</w:t>
      </w:r>
      <w:r w:rsidRPr="00FE777D">
        <w:rPr>
          <w:rFonts w:cs="Times New Roman"/>
          <w:lang w:val="en-US"/>
        </w:rPr>
        <w:t>[Y]ou can help me out?</w:t>
      </w:r>
      <w:r w:rsidRPr="00FE777D">
        <w:rPr>
          <w:rFonts w:cs="Times New Roman"/>
        </w:rPr>
        <w:t>”, Ahmad responded positively to this use of language particular to the drug subculture: “What do you need?” Having connected the tip to the person on the phone, the aspect of the tip that asserted illegality was corroborated by Ahmad’s understanding of drug-trafficking slang and willingness to engage in it. Allen J. found that, in this context, these markers of reliability together sufficiently corroborated the initial tip to give rise to an objective possibility that Ahmad was involved in drug trafficking before the officer ask</w:t>
      </w:r>
      <w:r w:rsidR="00F53D7E">
        <w:rPr>
          <w:rFonts w:cs="Times New Roman"/>
        </w:rPr>
        <w:t>ed for “2 soft</w:t>
      </w:r>
      <w:r w:rsidRPr="00FE777D">
        <w:rPr>
          <w:rFonts w:cs="Times New Roman"/>
        </w:rPr>
        <w:t>”</w:t>
      </w:r>
      <w:r w:rsidR="00F53D7E">
        <w:rPr>
          <w:rFonts w:cs="Times New Roman"/>
        </w:rPr>
        <w:t>.</w:t>
      </w:r>
    </w:p>
    <w:p w:rsidR="00E53404" w:rsidRPr="00FE777D" w:rsidRDefault="00E53404" w:rsidP="00E53404">
      <w:pPr>
        <w:pStyle w:val="ParaNoNdepar-AltN"/>
        <w:rPr>
          <w:rFonts w:cs="Times New Roman"/>
        </w:rPr>
      </w:pPr>
      <w:r w:rsidRPr="00FE777D">
        <w:rPr>
          <w:rFonts w:cs="Times New Roman"/>
          <w:lang w:bidi="en-US"/>
        </w:rPr>
        <w:t xml:space="preserve">While this is </w:t>
      </w:r>
      <w:r w:rsidRPr="00FE777D">
        <w:rPr>
          <w:rFonts w:cs="Times New Roman"/>
        </w:rPr>
        <w:t>an extremely</w:t>
      </w:r>
      <w:r w:rsidRPr="00FE777D">
        <w:rPr>
          <w:rFonts w:cs="Times New Roman"/>
          <w:lang w:bidi="en-US"/>
        </w:rPr>
        <w:t xml:space="preserve"> close call, we are satisfied that Allen J. did not err in her conclusion that the police had a reasonable suspicion of drug trafficking before providing the opportunity to commit an offence. </w:t>
      </w:r>
      <w:r w:rsidRPr="00FE777D">
        <w:rPr>
          <w:rFonts w:cs="Times New Roman"/>
        </w:rPr>
        <w:t>We</w:t>
      </w:r>
      <w:r w:rsidR="006E495F">
        <w:rPr>
          <w:rFonts w:cs="Times New Roman"/>
        </w:rPr>
        <w:t xml:space="preserve"> acknowledge that the answer “[w]</w:t>
      </w:r>
      <w:r w:rsidRPr="00FE777D">
        <w:rPr>
          <w:rFonts w:cs="Times New Roman"/>
        </w:rPr>
        <w:t>hat do</w:t>
      </w:r>
      <w:r w:rsidR="006E495F">
        <w:rPr>
          <w:rFonts w:cs="Times New Roman"/>
        </w:rPr>
        <w:t xml:space="preserve"> you need?” to the question “y</w:t>
      </w:r>
      <w:r w:rsidRPr="00FE777D">
        <w:rPr>
          <w:rFonts w:cs="Times New Roman"/>
        </w:rPr>
        <w:t>ou can help me out?” can admit of innocent responses, but the reasonable suspicion standard did not require the police to direct the conversation to rule out innocent explanations for Ahmad’s positive response. Nor can the question and answer be assessed in isolation. It came after the officer’s references to both Romeo and the police’s concocted “drop name” Matt, and after Ahmad evinced no surprise and did not deny he was Romeo or ask who Matt was. Significantly, he betrayed no surprise that a stranger, on another person’s recommendation, would be reaching out to him for “help”; in fact, he did the opposite, continuing to engage the caller to ascertain what he wanted. The officer was entitled to rely on what he knew of illicit drug transactions and all of the circumsta</w:t>
      </w:r>
      <w:r w:rsidR="006E495F">
        <w:rPr>
          <w:rFonts w:cs="Times New Roman"/>
        </w:rPr>
        <w:t>nces, as well as the response “[w]</w:t>
      </w:r>
      <w:r w:rsidRPr="00FE777D">
        <w:rPr>
          <w:rFonts w:cs="Times New Roman"/>
        </w:rPr>
        <w:t xml:space="preserve">hat do you need?” in response to a request that he “help . . . out” a stranger, </w:t>
      </w:r>
      <w:r w:rsidRPr="00FE777D">
        <w:rPr>
          <w:rFonts w:cs="Times New Roman"/>
          <w:lang w:bidi="en-US"/>
        </w:rPr>
        <w:t>in forming reasonable suspicion that the individual with whom he was speaking was engaged in drug trafficking</w:t>
      </w:r>
      <w:r w:rsidRPr="00FE777D">
        <w:rPr>
          <w:rFonts w:cs="Times New Roman"/>
        </w:rPr>
        <w:t>. Perhaps no one of these factors, on its own, was sufficient to establish reasonable suspicion. But we share Allen J.’s conclusion that, taken together, they disclosed a reasonable possibility that this individual was involved in drug trafficking.</w:t>
      </w:r>
    </w:p>
    <w:p w:rsidR="00E53404" w:rsidRPr="00FE777D" w:rsidRDefault="00E53404" w:rsidP="00E53404">
      <w:pPr>
        <w:pStyle w:val="ParaNoNdepar-AltN"/>
        <w:rPr>
          <w:rFonts w:cs="Times New Roman"/>
        </w:rPr>
      </w:pPr>
      <w:r w:rsidRPr="00FE777D">
        <w:rPr>
          <w:rFonts w:cs="Times New Roman"/>
        </w:rPr>
        <w:t xml:space="preserve">In Williams’ case, police received a tip that “Jay” was selling drugs using a phone number. Police prepared a package relating the phone number and the name “Jay” to Williams, who had previously been arrested for drug trafficking. </w:t>
      </w:r>
      <w:r w:rsidRPr="00FE777D">
        <w:rPr>
          <w:rFonts w:cs="Times New Roman"/>
          <w:lang w:val="en-US"/>
        </w:rPr>
        <w:t>The package included information about Williams, including an address at which he had allegedly been trafficking drugs, a description of his physical appearance, a note that he was a “cocaine dealer” who worked in a certain area, and a home address.</w:t>
      </w:r>
    </w:p>
    <w:p w:rsidR="00E53404" w:rsidRPr="00FE777D" w:rsidRDefault="00E53404" w:rsidP="00E53404">
      <w:pPr>
        <w:pStyle w:val="ParaNoNdepar-AltN"/>
        <w:rPr>
          <w:rFonts w:cs="Times New Roman"/>
        </w:rPr>
      </w:pPr>
      <w:r w:rsidRPr="00FE777D">
        <w:rPr>
          <w:rFonts w:cs="Times New Roman"/>
        </w:rPr>
        <w:t xml:space="preserve">Having been provided </w:t>
      </w:r>
      <w:r w:rsidR="00F53D7E">
        <w:rPr>
          <w:rFonts w:cs="Times New Roman"/>
        </w:rPr>
        <w:t>the phone number, the name “Jay</w:t>
      </w:r>
      <w:r w:rsidRPr="00FE777D">
        <w:rPr>
          <w:rFonts w:cs="Times New Roman"/>
        </w:rPr>
        <w:t>”</w:t>
      </w:r>
      <w:r w:rsidR="00F53D7E">
        <w:rPr>
          <w:rFonts w:cs="Times New Roman"/>
        </w:rPr>
        <w:t>,</w:t>
      </w:r>
      <w:r w:rsidRPr="00FE777D">
        <w:rPr>
          <w:rFonts w:cs="Times New Roman"/>
        </w:rPr>
        <w:t xml:space="preserve"> the nature of the drug, and a picture of Williams, D.C. Canepa called the number and had the following conversation:</w:t>
      </w:r>
    </w:p>
    <w:p w:rsidR="00E53404" w:rsidRPr="00FE777D" w:rsidRDefault="00E53404" w:rsidP="00AB0BED">
      <w:pPr>
        <w:pStyle w:val="Citation-AltC"/>
        <w:spacing w:after="240"/>
        <w:contextualSpacing w:val="0"/>
        <w:rPr>
          <w:lang w:val="en-US"/>
        </w:rPr>
      </w:pPr>
      <w:r w:rsidRPr="00FE777D">
        <w:rPr>
          <w:lang w:val="en-US"/>
        </w:rPr>
        <w:t>Male: Hello.</w:t>
      </w:r>
    </w:p>
    <w:p w:rsidR="00E53404" w:rsidRPr="00FE777D" w:rsidRDefault="00E53404" w:rsidP="00AB0BED">
      <w:pPr>
        <w:pStyle w:val="Citation-AltC"/>
        <w:spacing w:after="240"/>
        <w:contextualSpacing w:val="0"/>
        <w:rPr>
          <w:lang w:val="en-US"/>
        </w:rPr>
      </w:pPr>
      <w:r w:rsidRPr="00FE777D">
        <w:rPr>
          <w:lang w:val="en-US"/>
        </w:rPr>
        <w:t>Canepa: Jay?</w:t>
      </w:r>
    </w:p>
    <w:p w:rsidR="00E53404" w:rsidRPr="00FE777D" w:rsidRDefault="00E53404" w:rsidP="00AB0BED">
      <w:pPr>
        <w:pStyle w:val="Citation-AltC"/>
        <w:spacing w:after="240"/>
        <w:contextualSpacing w:val="0"/>
        <w:rPr>
          <w:lang w:val="en-US"/>
        </w:rPr>
      </w:pPr>
      <w:r w:rsidRPr="00FE777D">
        <w:rPr>
          <w:lang w:val="en-US"/>
        </w:rPr>
        <w:t>Male: Yeah.</w:t>
      </w:r>
    </w:p>
    <w:p w:rsidR="00E53404" w:rsidRPr="00FE777D" w:rsidRDefault="00E53404" w:rsidP="00AB0BED">
      <w:pPr>
        <w:pStyle w:val="Citation-AltC"/>
        <w:spacing w:after="240"/>
        <w:contextualSpacing w:val="0"/>
        <w:rPr>
          <w:lang w:val="en-US"/>
        </w:rPr>
      </w:pPr>
      <w:r w:rsidRPr="00FE777D">
        <w:rPr>
          <w:lang w:val="en-US"/>
        </w:rPr>
        <w:t>Canepa: You around?</w:t>
      </w:r>
    </w:p>
    <w:p w:rsidR="00E53404" w:rsidRPr="00FE777D" w:rsidRDefault="00E53404" w:rsidP="00AB0BED">
      <w:pPr>
        <w:pStyle w:val="Citation-AltC"/>
        <w:spacing w:after="240"/>
        <w:contextualSpacing w:val="0"/>
        <w:rPr>
          <w:lang w:val="en-US"/>
        </w:rPr>
      </w:pPr>
      <w:r w:rsidRPr="00FE777D">
        <w:rPr>
          <w:lang w:val="en-US"/>
        </w:rPr>
        <w:t>Male: Who is this?</w:t>
      </w:r>
    </w:p>
    <w:p w:rsidR="00E53404" w:rsidRPr="00FE777D" w:rsidRDefault="00E53404" w:rsidP="00AB0BED">
      <w:pPr>
        <w:pStyle w:val="Citation-AltC"/>
        <w:spacing w:after="240"/>
        <w:contextualSpacing w:val="0"/>
        <w:rPr>
          <w:lang w:val="en-US"/>
        </w:rPr>
      </w:pPr>
      <w:r w:rsidRPr="00FE777D">
        <w:rPr>
          <w:lang w:val="en-US"/>
        </w:rPr>
        <w:t>Canepa: It’s Vinny.</w:t>
      </w:r>
    </w:p>
    <w:p w:rsidR="00E53404" w:rsidRPr="00FE777D" w:rsidRDefault="00E53404" w:rsidP="00AB0BED">
      <w:pPr>
        <w:pStyle w:val="Citation-AltC"/>
        <w:spacing w:after="240"/>
        <w:contextualSpacing w:val="0"/>
        <w:rPr>
          <w:lang w:val="en-US"/>
        </w:rPr>
      </w:pPr>
      <w:r w:rsidRPr="00FE777D">
        <w:rPr>
          <w:lang w:val="en-US"/>
        </w:rPr>
        <w:t>Male: Vinny who?</w:t>
      </w:r>
    </w:p>
    <w:p w:rsidR="00E53404" w:rsidRPr="00FE777D" w:rsidRDefault="00E53404" w:rsidP="00AB0BED">
      <w:pPr>
        <w:pStyle w:val="Citation-AltC"/>
        <w:spacing w:after="240"/>
        <w:ind w:left="1987" w:hanging="864"/>
        <w:contextualSpacing w:val="0"/>
        <w:rPr>
          <w:shd w:val="clear" w:color="auto" w:fill="FFFFFF"/>
        </w:rPr>
      </w:pPr>
      <w:r w:rsidRPr="00FE777D">
        <w:rPr>
          <w:shd w:val="clear" w:color="auto" w:fill="FFFFFF"/>
        </w:rPr>
        <w:t>Canepa: Vinny. Jesse from Queen and Jarvis gave me your name . . . your number. Said you could help me out. I need 80.</w:t>
      </w:r>
    </w:p>
    <w:p w:rsidR="00E53404" w:rsidRPr="00FE777D" w:rsidRDefault="00E53404" w:rsidP="00AB0BED">
      <w:pPr>
        <w:pStyle w:val="Citation-AltC"/>
        <w:spacing w:after="240"/>
        <w:contextualSpacing w:val="0"/>
        <w:rPr>
          <w:lang w:val="en-US"/>
        </w:rPr>
      </w:pPr>
      <w:r w:rsidRPr="00FE777D">
        <w:rPr>
          <w:lang w:val="en-US"/>
        </w:rPr>
        <w:t>Male: Okay. You have to come to me.</w:t>
      </w:r>
    </w:p>
    <w:p w:rsidR="00E53404" w:rsidRPr="00FE777D" w:rsidRDefault="00E53404" w:rsidP="00AB0BED">
      <w:pPr>
        <w:pStyle w:val="Citation-AltC"/>
        <w:spacing w:after="240"/>
        <w:contextualSpacing w:val="0"/>
        <w:rPr>
          <w:lang w:val="en-US"/>
        </w:rPr>
      </w:pPr>
      <w:r w:rsidRPr="00FE777D">
        <w:rPr>
          <w:lang w:val="en-US"/>
        </w:rPr>
        <w:t>Canepa: Okay. Where?</w:t>
      </w:r>
    </w:p>
    <w:p w:rsidR="00E53404" w:rsidRPr="00FE777D" w:rsidRDefault="00E53404" w:rsidP="00AB0BED">
      <w:pPr>
        <w:pStyle w:val="Citation-AltC"/>
        <w:spacing w:after="240"/>
        <w:contextualSpacing w:val="0"/>
        <w:rPr>
          <w:lang w:val="en-US"/>
        </w:rPr>
      </w:pPr>
      <w:r w:rsidRPr="00FE777D">
        <w:rPr>
          <w:lang w:val="en-US"/>
        </w:rPr>
        <w:t>Male: Queen and Dufferin.</w:t>
      </w:r>
    </w:p>
    <w:p w:rsidR="00E53404" w:rsidRPr="00FE777D" w:rsidRDefault="00E53404" w:rsidP="00AB0BED">
      <w:pPr>
        <w:pStyle w:val="Citation-AltC"/>
        <w:spacing w:after="240"/>
        <w:contextualSpacing w:val="0"/>
        <w:rPr>
          <w:lang w:val="en-US"/>
        </w:rPr>
      </w:pPr>
      <w:r w:rsidRPr="00FE777D">
        <w:rPr>
          <w:lang w:val="en-US"/>
        </w:rPr>
        <w:t>Canepa: Okay. It’ll take me a few because I’m at Yonge &amp; Bloor.</w:t>
      </w:r>
    </w:p>
    <w:p w:rsidR="00E53404" w:rsidRPr="00FE777D" w:rsidRDefault="00E53404" w:rsidP="00AB0BED">
      <w:pPr>
        <w:pStyle w:val="Citation-AltC"/>
        <w:spacing w:after="240"/>
        <w:contextualSpacing w:val="0"/>
        <w:rPr>
          <w:lang w:val="en-US"/>
        </w:rPr>
      </w:pPr>
      <w:r w:rsidRPr="00FE777D">
        <w:rPr>
          <w:lang w:val="en-US"/>
        </w:rPr>
        <w:t>Male: Okay, hurry up.</w:t>
      </w:r>
    </w:p>
    <w:p w:rsidR="00E53404" w:rsidRPr="00FE777D" w:rsidRDefault="00E53404" w:rsidP="00AB0BED">
      <w:pPr>
        <w:pStyle w:val="Citation-AltC"/>
        <w:spacing w:after="240"/>
        <w:contextualSpacing w:val="0"/>
        <w:rPr>
          <w:lang w:val="en-US"/>
        </w:rPr>
      </w:pPr>
      <w:r w:rsidRPr="00FE777D">
        <w:rPr>
          <w:lang w:val="en-US"/>
        </w:rPr>
        <w:t>Canepa: I’ll call you when I get there.</w:t>
      </w:r>
    </w:p>
    <w:p w:rsidR="00E53404" w:rsidRPr="00FE777D" w:rsidRDefault="00E53404" w:rsidP="00AB0BED">
      <w:pPr>
        <w:pStyle w:val="Citation-AltC"/>
        <w:spacing w:after="240"/>
        <w:contextualSpacing w:val="0"/>
        <w:rPr>
          <w:lang w:val="en-US"/>
        </w:rPr>
      </w:pPr>
      <w:r w:rsidRPr="00FE777D">
        <w:rPr>
          <w:lang w:val="en-US"/>
        </w:rPr>
        <w:t>Male: Okay. What you want, soft or hard.</w:t>
      </w:r>
    </w:p>
    <w:p w:rsidR="00E53404" w:rsidRPr="00FE777D" w:rsidRDefault="00E53404" w:rsidP="00AB0BED">
      <w:pPr>
        <w:pStyle w:val="Citation-AltC"/>
        <w:spacing w:after="240"/>
        <w:contextualSpacing w:val="0"/>
        <w:rPr>
          <w:lang w:val="en-US"/>
        </w:rPr>
      </w:pPr>
      <w:r w:rsidRPr="00FE777D">
        <w:rPr>
          <w:lang w:val="en-US"/>
        </w:rPr>
        <w:t>Canepa: Hard. Hard buddy.</w:t>
      </w:r>
    </w:p>
    <w:p w:rsidR="00E53404" w:rsidRPr="00FE777D" w:rsidRDefault="00E53404" w:rsidP="00E20D31">
      <w:pPr>
        <w:pStyle w:val="Citation-AltC"/>
        <w:spacing w:after="480"/>
        <w:contextualSpacing w:val="0"/>
        <w:rPr>
          <w:lang w:val="en-US"/>
        </w:rPr>
      </w:pPr>
      <w:r w:rsidRPr="00FE777D">
        <w:rPr>
          <w:lang w:val="en-US"/>
        </w:rPr>
        <w:t>Male: Okay.</w:t>
      </w:r>
    </w:p>
    <w:p w:rsidR="00E53404" w:rsidRPr="00FE777D" w:rsidRDefault="00E53404" w:rsidP="00F53D7E">
      <w:pPr>
        <w:pStyle w:val="Citation-AltC"/>
        <w:ind w:left="0"/>
        <w:rPr>
          <w:lang w:val="en-US"/>
        </w:rPr>
      </w:pPr>
      <w:r w:rsidRPr="00FE777D">
        <w:rPr>
          <w:lang w:val="en-US"/>
        </w:rPr>
        <w:t>(</w:t>
      </w:r>
      <w:r w:rsidRPr="00FE777D">
        <w:rPr>
          <w:i/>
          <w:lang w:val="en-US"/>
        </w:rPr>
        <w:t xml:space="preserve">Williams </w:t>
      </w:r>
      <w:r w:rsidRPr="00FE777D">
        <w:rPr>
          <w:lang w:val="en-US"/>
        </w:rPr>
        <w:t>stay decision, at para. 9)</w:t>
      </w:r>
    </w:p>
    <w:p w:rsidR="00E53404" w:rsidRPr="00FE777D" w:rsidRDefault="00E53404" w:rsidP="00E53404">
      <w:pPr>
        <w:pStyle w:val="ParaNoNdepar-AltN"/>
        <w:rPr>
          <w:rFonts w:cs="Times New Roman"/>
        </w:rPr>
      </w:pPr>
      <w:r w:rsidRPr="00FE777D">
        <w:rPr>
          <w:rFonts w:cs="Times New Roman"/>
        </w:rPr>
        <w:t>As soon as the person who answered confirmed that he was Jay, D.C. Canepa provided an opportunity to traffic drugs when he presented Williams with the s</w:t>
      </w:r>
      <w:r w:rsidR="008E4F2F">
        <w:rPr>
          <w:rFonts w:cs="Times New Roman"/>
        </w:rPr>
        <w:t>pecific request to sell him “80</w:t>
      </w:r>
      <w:r w:rsidRPr="00FE777D">
        <w:rPr>
          <w:rFonts w:cs="Times New Roman"/>
        </w:rPr>
        <w:t>”</w:t>
      </w:r>
      <w:r w:rsidR="008E4F2F">
        <w:rPr>
          <w:rFonts w:cs="Times New Roman"/>
        </w:rPr>
        <w:t>,</w:t>
      </w:r>
      <w:r w:rsidRPr="00FE777D">
        <w:rPr>
          <w:rFonts w:cs="Times New Roman"/>
        </w:rPr>
        <w:t xml:space="preserve"> slang for a dollar amount of cocaine.</w:t>
      </w:r>
      <w:r w:rsidR="008E4F2F">
        <w:rPr>
          <w:rFonts w:cs="Times New Roman"/>
        </w:rPr>
        <w:t xml:space="preserve"> Once Williams responded “Okay</w:t>
      </w:r>
      <w:r w:rsidRPr="00FE777D">
        <w:rPr>
          <w:rFonts w:cs="Times New Roman"/>
        </w:rPr>
        <w:t>”</w:t>
      </w:r>
      <w:r w:rsidR="008E4F2F">
        <w:rPr>
          <w:rFonts w:cs="Times New Roman"/>
        </w:rPr>
        <w:t>,</w:t>
      </w:r>
      <w:r w:rsidRPr="00FE777D">
        <w:rPr>
          <w:rFonts w:cs="Times New Roman"/>
        </w:rPr>
        <w:t xml:space="preserve"> the offence of trafficking by offer was complete.</w:t>
      </w:r>
    </w:p>
    <w:p w:rsidR="00E53404" w:rsidRPr="00FE777D" w:rsidRDefault="00E53404" w:rsidP="00E53404">
      <w:pPr>
        <w:pStyle w:val="ParaNoNdepar-AltN"/>
        <w:rPr>
          <w:rFonts w:cs="Times New Roman"/>
        </w:rPr>
      </w:pPr>
      <w:r w:rsidRPr="00FE777D">
        <w:rPr>
          <w:rFonts w:cs="Times New Roman"/>
        </w:rPr>
        <w:t xml:space="preserve">Unlike in Ahmad’s case, there was nothing in Williams’ responses — </w:t>
      </w:r>
      <w:r w:rsidRPr="00FE777D">
        <w:rPr>
          <w:rFonts w:cs="Times New Roman"/>
          <w:i/>
        </w:rPr>
        <w:t>before</w:t>
      </w:r>
      <w:r w:rsidRPr="00FE777D">
        <w:rPr>
          <w:rFonts w:cs="Times New Roman"/>
        </w:rPr>
        <w:t xml:space="preserve"> D.C. Canepa provided the opportunity to traffic — to suggest that the phone number was being used to sell drugs. D.C. Canepa did not wait to see how Williams would respond to an investigative question that could have corroborated that Williams was engaged in criminal activity prior to providing the opportunity to commit the crime. This means Williams did not respond positively to slang particular to the drug subculture until </w:t>
      </w:r>
      <w:r w:rsidRPr="00FE777D">
        <w:rPr>
          <w:rFonts w:cs="Times New Roman"/>
          <w:i/>
        </w:rPr>
        <w:t>after</w:t>
      </w:r>
      <w:r w:rsidRPr="00FE777D">
        <w:rPr>
          <w:rFonts w:cs="Times New Roman"/>
        </w:rPr>
        <w:t xml:space="preserve"> the opportunity had been provided. That one aspect of a tip has been corroborated — here, “Jay’s” name — does not allow that tip to ground a reasonable suspicion. The corroboration of the name does not strengthen the reliability of the tip “in its assertion of illegality” (</w:t>
      </w:r>
      <w:r w:rsidRPr="00FE777D">
        <w:rPr>
          <w:rFonts w:cs="Times New Roman"/>
          <w:i/>
        </w:rPr>
        <w:t>J. L.</w:t>
      </w:r>
      <w:r w:rsidRPr="00FE777D">
        <w:rPr>
          <w:rFonts w:cs="Times New Roman"/>
        </w:rPr>
        <w:t>, at p. 272).</w:t>
      </w:r>
    </w:p>
    <w:p w:rsidR="00E53404" w:rsidRPr="00FE777D" w:rsidRDefault="00E53404" w:rsidP="00E53404">
      <w:pPr>
        <w:pStyle w:val="ParaNoNdepar-AltN"/>
        <w:rPr>
          <w:rFonts w:cs="Times New Roman"/>
        </w:rPr>
      </w:pPr>
      <w:r w:rsidRPr="00FE777D">
        <w:rPr>
          <w:rFonts w:cs="Times New Roman"/>
        </w:rPr>
        <w:t>The Crown relies on the police brief that identified “Jay” as Williams and included his home address, an address where he trafficked drugs, and his criminal record. However, there was no evidence of the basis upon which the officer preparing the brief made the connection bet</w:t>
      </w:r>
      <w:r w:rsidR="008E4F2F">
        <w:rPr>
          <w:rFonts w:cs="Times New Roman"/>
        </w:rPr>
        <w:t>ween Williams and the name “Jay</w:t>
      </w:r>
      <w:r w:rsidRPr="00FE777D">
        <w:rPr>
          <w:rFonts w:cs="Times New Roman"/>
        </w:rPr>
        <w:t>”</w:t>
      </w:r>
      <w:r w:rsidR="008E4F2F">
        <w:rPr>
          <w:rFonts w:cs="Times New Roman"/>
        </w:rPr>
        <w:t>.</w:t>
      </w:r>
      <w:r w:rsidRPr="00FE777D">
        <w:rPr>
          <w:rFonts w:cs="Times New Roman"/>
        </w:rPr>
        <w:t xml:space="preserve"> Trotter J. reasoned that he could not conclude that the name “Jay” was sufficiently linked to Williams, and therefore he could not rely on the information in that package as part of a constellation of factors supporting reasonable suspicion. Given the lack of evidence on the reliability of the source or the information provided, Trotter J. concluded that neither the officers nor he could determine the reliability or currency of the information.</w:t>
      </w:r>
    </w:p>
    <w:p w:rsidR="00E53404" w:rsidRPr="00FE777D" w:rsidRDefault="00E53404" w:rsidP="00E53404">
      <w:pPr>
        <w:pStyle w:val="ParaNoNdepar-AltN"/>
        <w:rPr>
          <w:rFonts w:cs="Times New Roman"/>
        </w:rPr>
      </w:pPr>
      <w:r w:rsidRPr="00FE777D">
        <w:rPr>
          <w:rFonts w:cs="Times New Roman"/>
        </w:rPr>
        <w:t xml:space="preserve">We agree. The court can consider all the objective factors known to members of the investigative team at the relevant time in determining whether the decision was made with reasonable suspicion. Obviously, police officers must be able to rely on the investigative work of other officers and it is not necessary for the particular officer making the call to personally have all the information that supports reasonable suspicion (see, e.g., </w:t>
      </w:r>
      <w:r w:rsidRPr="00FE777D">
        <w:rPr>
          <w:rFonts w:cs="Times New Roman"/>
          <w:i/>
        </w:rPr>
        <w:t>Debot</w:t>
      </w:r>
      <w:r w:rsidRPr="00FE777D">
        <w:rPr>
          <w:rFonts w:cs="Times New Roman"/>
        </w:rPr>
        <w:t xml:space="preserve">, at p. 1166). Police work often relies on multiple officers conducting individual parts of an investigation. In the context of dial-a-dope investigations, several lower courts have also taken this approach (see </w:t>
      </w:r>
      <w:r w:rsidRPr="00FE777D">
        <w:rPr>
          <w:rFonts w:cs="Times New Roman"/>
          <w:i/>
        </w:rPr>
        <w:t>R. v. Gladue</w:t>
      </w:r>
      <w:r w:rsidRPr="00FE777D">
        <w:rPr>
          <w:rFonts w:cs="Times New Roman"/>
        </w:rPr>
        <w:t>,</w:t>
      </w:r>
      <w:r w:rsidRPr="00FE777D">
        <w:rPr>
          <w:rFonts w:cs="Times New Roman"/>
          <w:i/>
        </w:rPr>
        <w:t xml:space="preserve"> </w:t>
      </w:r>
      <w:r w:rsidRPr="00FE777D">
        <w:rPr>
          <w:rFonts w:cs="Times New Roman"/>
        </w:rPr>
        <w:t xml:space="preserve">2011 ABQB 194, 54 Alta. L.R. (5th) 84, at para. 60, aff’d 2012 ABCA 143, 285 C.C.C. (3d) 154; </w:t>
      </w:r>
      <w:r w:rsidRPr="00FE777D">
        <w:rPr>
          <w:rFonts w:cs="Times New Roman"/>
          <w:i/>
        </w:rPr>
        <w:t>R. v. Coutre</w:t>
      </w:r>
      <w:r w:rsidRPr="00FE777D">
        <w:rPr>
          <w:rFonts w:cs="Times New Roman"/>
        </w:rPr>
        <w:t>,</w:t>
      </w:r>
      <w:r w:rsidRPr="00FE777D">
        <w:rPr>
          <w:rFonts w:cs="Times New Roman"/>
          <w:i/>
        </w:rPr>
        <w:t xml:space="preserve"> </w:t>
      </w:r>
      <w:r w:rsidRPr="00FE777D">
        <w:rPr>
          <w:rFonts w:cs="Times New Roman"/>
        </w:rPr>
        <w:t xml:space="preserve">2013 ABQB 258, 557 A.R. 144, at para. 14; </w:t>
      </w:r>
      <w:r w:rsidRPr="00FE777D">
        <w:rPr>
          <w:rFonts w:cs="Times New Roman"/>
          <w:i/>
        </w:rPr>
        <w:t>Sawh</w:t>
      </w:r>
      <w:r w:rsidRPr="00FE777D">
        <w:rPr>
          <w:rFonts w:cs="Times New Roman"/>
        </w:rPr>
        <w:t>,</w:t>
      </w:r>
      <w:r w:rsidRPr="00FE777D">
        <w:rPr>
          <w:rFonts w:cs="Times New Roman"/>
          <w:i/>
        </w:rPr>
        <w:t xml:space="preserve"> </w:t>
      </w:r>
      <w:r w:rsidRPr="00FE777D">
        <w:rPr>
          <w:rFonts w:cs="Times New Roman"/>
        </w:rPr>
        <w:t>at para. 112).</w:t>
      </w:r>
    </w:p>
    <w:p w:rsidR="00E53404" w:rsidRPr="00FE777D" w:rsidRDefault="00E53404" w:rsidP="00E53404">
      <w:pPr>
        <w:pStyle w:val="ParaNoNdepar-AltN"/>
        <w:rPr>
          <w:rFonts w:cs="Times New Roman"/>
        </w:rPr>
      </w:pPr>
      <w:r w:rsidRPr="00FE777D">
        <w:rPr>
          <w:rFonts w:cs="Times New Roman"/>
        </w:rPr>
        <w:t>However, the facts relied upon to ground reasonable suspicion must be put before the court for independent review. As we have emphasized, the primary purpose of the reasonable suspicion standard is to allow for meaningful judicial review of police conduct (see paras. 24 and 45-46, above). Requiring the police to disclose their reasons for targeting an accused does not alter the onus on the accused to prove entrapment; it merely recognizes that only the police can point to the circumstances known to them that give rise to reasonable suspicion. To free the police from the requirement of having to provide objectively reviewable evidence — in this case, evidence of the connection between “Jay” and Williams — would be to engage in the very same “good faith” reasoning that has been soundly rejected in the reasonable suspicion jurisprudence.</w:t>
      </w:r>
    </w:p>
    <w:p w:rsidR="00E53404" w:rsidRPr="00FE777D" w:rsidRDefault="00E53404" w:rsidP="00E53404">
      <w:pPr>
        <w:pStyle w:val="ParaNoNdepar-AltN"/>
        <w:rPr>
          <w:rFonts w:cs="Times New Roman"/>
        </w:rPr>
      </w:pPr>
      <w:r w:rsidRPr="00FE777D">
        <w:rPr>
          <w:rFonts w:cs="Times New Roman"/>
        </w:rPr>
        <w:t>In this case, police appear to have proceeded on the assumption that the tip — that Jay was trafficking in cocaine using the phone number provided — was about Williams. But there was no evidence to establish that the source connected Jay with Williams. Nor did the evidence establish any other basis upon which to conclude they were the same person. Indeed, the officer who had previously dealt with Williams said she had not</w:t>
      </w:r>
      <w:r w:rsidR="008E4F2F">
        <w:rPr>
          <w:rFonts w:cs="Times New Roman"/>
        </w:rPr>
        <w:t xml:space="preserve"> known him to use the name “Jay</w:t>
      </w:r>
      <w:r w:rsidRPr="00FE777D">
        <w:rPr>
          <w:rFonts w:cs="Times New Roman"/>
        </w:rPr>
        <w:t>”</w:t>
      </w:r>
      <w:r w:rsidR="008E4F2F">
        <w:rPr>
          <w:rFonts w:cs="Times New Roman"/>
        </w:rPr>
        <w:t>.</w:t>
      </w:r>
      <w:r w:rsidRPr="00FE777D">
        <w:rPr>
          <w:rFonts w:cs="Times New Roman"/>
        </w:rPr>
        <w:t xml:space="preserve"> While the report itself asserted a connection between the two, there was no evidence to show whether such a connection was warranted or reasonable. In the absence of such evidence, this Court cannot simply presume that a bald tip that Jay was using a particular phone number to traffic in cocaine was reliable and current. Confirmation that the speaker was Jay confirmed only that aspect of the tip — that Jay was using that phone. There was no confirmation that he was using the phone to sell cocaine until after the police officer provided him with the opportunity to do so. The only conclusion that can be safely drawn from the record as it stands is the one Trotter J. drew: the police had no more than a bare tip that someone using a particular phone number was selling drugs and this did not ground reasonable suspicion.</w:t>
      </w:r>
    </w:p>
    <w:p w:rsidR="00E53404" w:rsidRPr="00FE777D" w:rsidRDefault="00E53404" w:rsidP="00E53404">
      <w:pPr>
        <w:pStyle w:val="Title1LevelTitre1Niveau-AltL"/>
        <w:jc w:val="both"/>
        <w:rPr>
          <w:rFonts w:cs="Times New Roman"/>
        </w:rPr>
      </w:pPr>
      <w:r w:rsidRPr="00FE777D">
        <w:rPr>
          <w:rFonts w:cs="Times New Roman"/>
        </w:rPr>
        <w:t>Conclusion</w:t>
      </w:r>
    </w:p>
    <w:p w:rsidR="00E53404" w:rsidRPr="004324B6" w:rsidRDefault="00E53404" w:rsidP="004324B6">
      <w:pPr>
        <w:pStyle w:val="ParaNoNdepar-AltN"/>
        <w:spacing w:after="720"/>
        <w:rPr>
          <w:rFonts w:cs="Times New Roman"/>
        </w:rPr>
      </w:pPr>
      <w:r w:rsidRPr="00FE777D">
        <w:rPr>
          <w:rFonts w:cs="Times New Roman"/>
        </w:rPr>
        <w:t>For these reasons, we would dismiss Ahmad’s appeal and allow Williams’ appeal, setting aside the convictions entered by the Court of Appeal and reinstating the stay of proceedings entered by Trotter J.</w:t>
      </w:r>
    </w:p>
    <w:p w:rsidR="00E53404" w:rsidRDefault="00E53404" w:rsidP="00A04D54">
      <w:pPr>
        <w:spacing w:after="480" w:line="480" w:lineRule="auto"/>
        <w:ind w:firstLine="720"/>
      </w:pPr>
      <w:r w:rsidRPr="00173A02">
        <w:t xml:space="preserve">The reasons of </w:t>
      </w:r>
      <w:r>
        <w:t xml:space="preserve">Wagner C.J. and Moldaver, </w:t>
      </w:r>
      <w:r w:rsidRPr="00153552">
        <w:t>Côté and Rowe</w:t>
      </w:r>
      <w:r w:rsidRPr="00173A02">
        <w:t xml:space="preserve"> JJ. were delivered by</w:t>
      </w:r>
    </w:p>
    <w:p w:rsidR="00331F05" w:rsidRPr="00E4509D" w:rsidRDefault="00E53404" w:rsidP="00A04D54">
      <w:pPr>
        <w:pStyle w:val="JudgeJuge"/>
        <w:tabs>
          <w:tab w:val="clear" w:pos="1260"/>
          <w:tab w:val="left" w:pos="720"/>
        </w:tabs>
      </w:pPr>
      <w:r w:rsidRPr="00437AAC">
        <w:tab/>
      </w:r>
      <w:r w:rsidRPr="00331F05">
        <w:t>Moldaver</w:t>
      </w:r>
      <w:r w:rsidR="00861847">
        <w:t xml:space="preserve"> J</w:t>
      </w:r>
      <w:r w:rsidRPr="00331F05">
        <w:t>.</w:t>
      </w:r>
      <w:r w:rsidR="008E4F2F" w:rsidRPr="00331F05">
        <w:t xml:space="preserve"> </w:t>
      </w:r>
      <w:r w:rsidR="00331F05" w:rsidRPr="00331F05">
        <w:t>(</w:t>
      </w:r>
      <w:r w:rsidR="00331F05" w:rsidRPr="00331F05">
        <w:rPr>
          <w:smallCaps w:val="0"/>
        </w:rPr>
        <w:t>dissenting in part</w:t>
      </w:r>
      <w:r w:rsidR="00331F05" w:rsidRPr="00331F05">
        <w:t>) —</w:t>
      </w:r>
      <w:r w:rsidR="00331F05" w:rsidRPr="00E4509D">
        <w:t> </w:t>
      </w:r>
    </w:p>
    <w:p w:rsidR="00E53404" w:rsidRPr="00E544E5" w:rsidRDefault="00E53404" w:rsidP="00E544E5">
      <w:pPr>
        <w:pStyle w:val="Title1LevelTitre1Niveau-AltL"/>
        <w:numPr>
          <w:ilvl w:val="0"/>
          <w:numId w:val="37"/>
        </w:numPr>
        <w:jc w:val="both"/>
        <w:rPr>
          <w:rFonts w:cs="Times New Roman"/>
        </w:rPr>
      </w:pPr>
      <w:r w:rsidRPr="00E544E5">
        <w:rPr>
          <w:rFonts w:cs="Times New Roman"/>
        </w:rPr>
        <w:t>Overview</w:t>
      </w:r>
    </w:p>
    <w:p w:rsidR="00E53404" w:rsidRPr="00437AAC" w:rsidRDefault="00E53404" w:rsidP="00E53404">
      <w:pPr>
        <w:pStyle w:val="ParaNoNdepar-AltN"/>
      </w:pPr>
      <w:r w:rsidRPr="00437AAC">
        <w:t xml:space="preserve">The criminal landscape has changed dramatically since the seminal entrapment cases of </w:t>
      </w:r>
      <w:r w:rsidRPr="00437AAC">
        <w:rPr>
          <w:i/>
        </w:rPr>
        <w:t>R. v. Mack</w:t>
      </w:r>
      <w:r w:rsidRPr="00437AAC">
        <w:t xml:space="preserve">, [1988] 2 S.C.R. 903, and </w:t>
      </w:r>
      <w:r w:rsidRPr="00437AAC">
        <w:rPr>
          <w:i/>
        </w:rPr>
        <w:t>R. v. Barnes</w:t>
      </w:r>
      <w:r w:rsidRPr="00437AAC">
        <w:t>, [1991] 1 S.C.R. 449, were decided. The days when drug dealers, particularly low</w:t>
      </w:r>
      <w:r>
        <w:noBreakHyphen/>
      </w:r>
      <w:r w:rsidRPr="00437AAC">
        <w:t>level dealers, would associate themselves with a fixed location are largely gone. Now, these dealers regularly associate themselves with a phone number and run their businesses through so</w:t>
      </w:r>
      <w:r>
        <w:noBreakHyphen/>
      </w:r>
      <w:r w:rsidRPr="00437AAC">
        <w:t>called “dial</w:t>
      </w:r>
      <w:r>
        <w:noBreakHyphen/>
      </w:r>
      <w:r w:rsidRPr="00437AAC">
        <w:t>a</w:t>
      </w:r>
      <w:r>
        <w:noBreakHyphen/>
      </w:r>
      <w:r w:rsidRPr="00437AAC">
        <w:t xml:space="preserve">dope” operations. The proliferation of mobile phones and other forms of instant communication has allowed modern day drug dealers to traffic from any number of different locations as a means of evading police detection. As these appeals demonstrate, attempting to apply the doctrine of entrapment as formulated in </w:t>
      </w:r>
      <w:r w:rsidRPr="00437AAC">
        <w:rPr>
          <w:i/>
        </w:rPr>
        <w:t xml:space="preserve">Mack </w:t>
      </w:r>
      <w:r w:rsidRPr="00437AAC">
        <w:t xml:space="preserve">and </w:t>
      </w:r>
      <w:r w:rsidRPr="00437AAC">
        <w:rPr>
          <w:i/>
        </w:rPr>
        <w:t>Barnes</w:t>
      </w:r>
      <w:r w:rsidRPr="00437AAC">
        <w:t xml:space="preserve"> to present</w:t>
      </w:r>
      <w:r>
        <w:noBreakHyphen/>
      </w:r>
      <w:r w:rsidRPr="00437AAC">
        <w:t>day dial</w:t>
      </w:r>
      <w:r>
        <w:noBreakHyphen/>
      </w:r>
      <w:r w:rsidRPr="00437AAC">
        <w:t>a</w:t>
      </w:r>
      <w:r>
        <w:noBreakHyphen/>
      </w:r>
      <w:r w:rsidRPr="00437AAC">
        <w:t>dope operations has revealed both doctrinal and policy concerns that this Court, in my view, should addre</w:t>
      </w:r>
      <w:r w:rsidR="008E4F2F">
        <w:t>ss.</w:t>
      </w:r>
    </w:p>
    <w:p w:rsidR="00E53404" w:rsidRPr="00437AAC" w:rsidRDefault="00E53404" w:rsidP="00E53404">
      <w:pPr>
        <w:pStyle w:val="ParaNoNdepar-AltN"/>
        <w:rPr>
          <w:rFonts w:cs="Times New Roman"/>
        </w:rPr>
      </w:pPr>
      <w:r w:rsidRPr="00437AAC">
        <w:rPr>
          <w:rFonts w:cs="Times New Roman"/>
        </w:rPr>
        <w:t>The doctrine of entrapment, as a species of abuse of process, “draws on the notion that the state is limited in the way it may deal with its citizens” (</w:t>
      </w:r>
      <w:r w:rsidRPr="00437AAC">
        <w:rPr>
          <w:rFonts w:cs="Times New Roman"/>
          <w:i/>
        </w:rPr>
        <w:t>Mack</w:t>
      </w:r>
      <w:r w:rsidRPr="00437AAC">
        <w:rPr>
          <w:rFonts w:cs="Times New Roman"/>
        </w:rPr>
        <w:t xml:space="preserve">, at </w:t>
      </w:r>
      <w:r>
        <w:rPr>
          <w:rFonts w:cs="Times New Roman"/>
        </w:rPr>
        <w:t>p. </w:t>
      </w:r>
      <w:r w:rsidRPr="00437AAC">
        <w:rPr>
          <w:rFonts w:cs="Times New Roman"/>
        </w:rPr>
        <w:t>939). The state may not engage in conduct that “violates our notions of ‘fair play’ and ‘decency’ and which shows blatant disregard for the qualities of humanness which all of us share” (</w:t>
      </w:r>
      <w:r>
        <w:rPr>
          <w:rFonts w:cs="Times New Roman"/>
        </w:rPr>
        <w:t>p. </w:t>
      </w:r>
      <w:r w:rsidRPr="00437AAC">
        <w:rPr>
          <w:rFonts w:cs="Times New Roman"/>
        </w:rPr>
        <w:t>940). A claim that the police entrapped the individual before the court is “</w:t>
      </w:r>
      <w:r w:rsidRPr="00437AAC">
        <w:rPr>
          <w:rFonts w:cs="Times New Roman"/>
          <w:spacing w:val="-3"/>
        </w:rPr>
        <w:t>a very serious allegation against the state”, and a finding of entrapment is accordingly reserved for the “clearest of cases” of intolerable state conduct (</w:t>
      </w:r>
      <w:r>
        <w:rPr>
          <w:rFonts w:cs="Times New Roman"/>
          <w:spacing w:val="-3"/>
        </w:rPr>
        <w:t>pp. </w:t>
      </w:r>
      <w:r w:rsidRPr="00437AAC">
        <w:rPr>
          <w:rFonts w:cs="Times New Roman"/>
          <w:spacing w:val="-3"/>
        </w:rPr>
        <w:t>976</w:t>
      </w:r>
      <w:r>
        <w:rPr>
          <w:rFonts w:cs="Times New Roman"/>
          <w:spacing w:val="-3"/>
        </w:rPr>
        <w:noBreakHyphen/>
      </w:r>
      <w:r w:rsidRPr="00437AAC">
        <w:rPr>
          <w:rFonts w:cs="Times New Roman"/>
          <w:spacing w:val="-3"/>
        </w:rPr>
        <w:t>77).</w:t>
      </w:r>
    </w:p>
    <w:p w:rsidR="00E53404" w:rsidRPr="00437AAC" w:rsidRDefault="00E53404" w:rsidP="00E53404">
      <w:pPr>
        <w:pStyle w:val="ParaNoNdepar-AltN"/>
        <w:rPr>
          <w:rFonts w:cs="Times New Roman"/>
        </w:rPr>
      </w:pPr>
      <w:r w:rsidRPr="00437AAC">
        <w:rPr>
          <w:rFonts w:cs="Times New Roman"/>
        </w:rPr>
        <w:t xml:space="preserve">In Canadian law, entrapment has two branches. Under the first branch, entrapment is made out where the police offer an individual the opportunity to commit an offence without reasonably suspecting that the individual is already engaged in that type of criminal activity (the “individualized suspicion prong”), or without acting pursuant to a </w:t>
      </w:r>
      <w:r w:rsidRPr="00437AAC">
        <w:rPr>
          <w:rFonts w:cs="Times New Roman"/>
          <w:i/>
        </w:rPr>
        <w:t>bona fide</w:t>
      </w:r>
      <w:r w:rsidRPr="00437AAC">
        <w:rPr>
          <w:rFonts w:cs="Times New Roman"/>
        </w:rPr>
        <w:t xml:space="preserve"> inquiry (the “</w:t>
      </w:r>
      <w:r w:rsidRPr="00437AAC">
        <w:rPr>
          <w:rFonts w:cs="Times New Roman"/>
          <w:i/>
        </w:rPr>
        <w:t>bona fide</w:t>
      </w:r>
      <w:r w:rsidRPr="00437AAC">
        <w:rPr>
          <w:rFonts w:cs="Times New Roman"/>
        </w:rPr>
        <w:t xml:space="preserve"> inquiry prong”). Under the second branch, entrapment is made out where the police go beyond providing an individual with the opportunity to commit an offence and instead induce the commission of the offence.</w:t>
      </w:r>
    </w:p>
    <w:p w:rsidR="00E53404" w:rsidRPr="00437AAC" w:rsidRDefault="00E53404" w:rsidP="00E53404">
      <w:pPr>
        <w:pStyle w:val="ParaNoNdepar-AltN"/>
        <w:rPr>
          <w:rFonts w:cs="Times New Roman"/>
        </w:rPr>
      </w:pPr>
      <w:r w:rsidRPr="00437AAC">
        <w:rPr>
          <w:rFonts w:cs="Times New Roman"/>
        </w:rPr>
        <w:t>The dial</w:t>
      </w:r>
      <w:r>
        <w:rPr>
          <w:rFonts w:cs="Times New Roman"/>
        </w:rPr>
        <w:noBreakHyphen/>
      </w:r>
      <w:r w:rsidRPr="00437AAC">
        <w:rPr>
          <w:rFonts w:cs="Times New Roman"/>
        </w:rPr>
        <w:t>a</w:t>
      </w:r>
      <w:r>
        <w:rPr>
          <w:rFonts w:cs="Times New Roman"/>
        </w:rPr>
        <w:noBreakHyphen/>
      </w:r>
      <w:r w:rsidRPr="00437AAC">
        <w:rPr>
          <w:rFonts w:cs="Times New Roman"/>
        </w:rPr>
        <w:t>dope jurisprudence has revealed problems with how the first branch of entrapment is currently formulated. Attempting to apply the individualized suspicion prong in dial</w:t>
      </w:r>
      <w:r>
        <w:rPr>
          <w:rFonts w:cs="Times New Roman"/>
        </w:rPr>
        <w:noBreakHyphen/>
      </w:r>
      <w:r w:rsidRPr="00437AAC">
        <w:rPr>
          <w:rFonts w:cs="Times New Roman"/>
        </w:rPr>
        <w:t>a</w:t>
      </w:r>
      <w:r>
        <w:rPr>
          <w:rFonts w:cs="Times New Roman"/>
        </w:rPr>
        <w:noBreakHyphen/>
      </w:r>
      <w:r w:rsidRPr="00437AAC">
        <w:rPr>
          <w:rFonts w:cs="Times New Roman"/>
        </w:rPr>
        <w:t>dope ca</w:t>
      </w:r>
      <w:r w:rsidR="008E4F2F">
        <w:rPr>
          <w:rFonts w:cs="Times New Roman"/>
        </w:rPr>
        <w:t xml:space="preserve">ses has resulted in some courts </w:t>
      </w:r>
      <w:r w:rsidRPr="00437AAC">
        <w:rPr>
          <w:rFonts w:cs="Times New Roman"/>
        </w:rPr>
        <w:t>closely parsing undercover calls to determine whether an individual was entrapped. This parsing approach has been justifiably criticized as both unprincipled and impractic</w:t>
      </w:r>
      <w:r>
        <w:rPr>
          <w:rFonts w:cs="Times New Roman"/>
        </w:rPr>
        <w:t>al. </w:t>
      </w:r>
      <w:r w:rsidRPr="00437AAC">
        <w:rPr>
          <w:rFonts w:cs="Times New Roman"/>
        </w:rPr>
        <w:t>Further, as I will explain, the </w:t>
      </w:r>
      <w:r w:rsidRPr="00437AAC">
        <w:rPr>
          <w:rFonts w:cs="Times New Roman"/>
          <w:i/>
        </w:rPr>
        <w:t>bona fide</w:t>
      </w:r>
      <w:r w:rsidRPr="00437AAC">
        <w:rPr>
          <w:rFonts w:cs="Times New Roman"/>
        </w:rPr>
        <w:t xml:space="preserve"> inquiry prong has been rendered incoherent by judicial development of the reasonable suspicion standard in the context of s. 8 of the </w:t>
      </w:r>
      <w:r w:rsidRPr="00437AAC">
        <w:rPr>
          <w:rFonts w:cs="Times New Roman"/>
          <w:i/>
        </w:rPr>
        <w:t>Canadian Charter of Rights and Freedoms</w:t>
      </w:r>
      <w:r w:rsidRPr="00437AAC">
        <w:rPr>
          <w:rFonts w:cs="Times New Roman"/>
        </w:rPr>
        <w:t xml:space="preserve">. In the end, both prongs have failed to remain faithful to the balance this Court struck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between protecting an individual’s legitimate interest in being left alone by the state and effective law enforcement. To maintain an appropriate balance between these competing values, the Court in </w:t>
      </w:r>
      <w:r w:rsidRPr="00437AAC">
        <w:rPr>
          <w:rFonts w:cs="Times New Roman"/>
          <w:i/>
        </w:rPr>
        <w:t xml:space="preserve">Mack </w:t>
      </w:r>
      <w:r w:rsidRPr="00437AAC">
        <w:rPr>
          <w:rFonts w:cs="Times New Roman"/>
        </w:rPr>
        <w:t xml:space="preserve">and </w:t>
      </w:r>
      <w:r w:rsidRPr="00437AAC">
        <w:rPr>
          <w:rFonts w:cs="Times New Roman"/>
          <w:i/>
        </w:rPr>
        <w:t xml:space="preserve">Barnes </w:t>
      </w:r>
      <w:r w:rsidRPr="00437AAC">
        <w:rPr>
          <w:rFonts w:cs="Times New Roman"/>
        </w:rPr>
        <w:t>recognized that the police must be given “substantial leeway” in investigating crimes like drug trafficking, which may be difficult to detect through traditional means (</w:t>
      </w:r>
      <w:r w:rsidRPr="00437AAC">
        <w:rPr>
          <w:rFonts w:cs="Times New Roman"/>
          <w:i/>
        </w:rPr>
        <w:t>Mack</w:t>
      </w:r>
      <w:r w:rsidRPr="00437AAC">
        <w:rPr>
          <w:rFonts w:cs="Times New Roman"/>
        </w:rPr>
        <w:t xml:space="preserve">, at </w:t>
      </w:r>
      <w:r>
        <w:rPr>
          <w:rFonts w:cs="Times New Roman"/>
        </w:rPr>
        <w:t>pp. </w:t>
      </w:r>
      <w:r w:rsidRPr="00437AAC">
        <w:rPr>
          <w:rFonts w:cs="Times New Roman"/>
        </w:rPr>
        <w:t>977</w:t>
      </w:r>
      <w:r>
        <w:rPr>
          <w:rFonts w:cs="Times New Roman"/>
        </w:rPr>
        <w:noBreakHyphen/>
      </w:r>
      <w:r w:rsidRPr="00437AAC">
        <w:rPr>
          <w:rFonts w:cs="Times New Roman"/>
        </w:rPr>
        <w:t>78). In sum, the fundamental balance struck in those cases was aimed at ensuring that law enforcement techniques that society would not view as intolerable, and which may be necessary to combat certain types of crime, are not labelled as entrapment.</w:t>
      </w:r>
    </w:p>
    <w:p w:rsidR="00E53404" w:rsidRPr="00437AAC" w:rsidRDefault="00E53404" w:rsidP="00E53404">
      <w:pPr>
        <w:pStyle w:val="ParaNoNdepar-AltN"/>
        <w:rPr>
          <w:rFonts w:cs="Times New Roman"/>
        </w:rPr>
      </w:pPr>
      <w:r w:rsidRPr="00437AAC">
        <w:rPr>
          <w:rFonts w:cs="Times New Roman"/>
        </w:rPr>
        <w:t xml:space="preserve">I am of the view that the </w:t>
      </w:r>
      <w:r w:rsidRPr="00437AAC">
        <w:rPr>
          <w:rFonts w:cs="Times New Roman"/>
          <w:i/>
        </w:rPr>
        <w:t xml:space="preserve">bona fide </w:t>
      </w:r>
      <w:r w:rsidRPr="00437AAC">
        <w:rPr>
          <w:rFonts w:cs="Times New Roman"/>
        </w:rPr>
        <w:t>inquiry prong must be revised to preserve this fundamental balance, to rectify doctrinal issues within the prong itself, and to address policy concerns that have arisen with respect to the prong’s application. This revision will ensure that only the clearest of cases of intolerable state conduct are captured by the doctrine of entrapment by refocusing the doctrine on its principled origin: abuse of proce</w:t>
      </w:r>
      <w:r>
        <w:rPr>
          <w:rFonts w:cs="Times New Roman"/>
        </w:rPr>
        <w:t>ss. </w:t>
      </w:r>
      <w:r w:rsidRPr="00437AAC">
        <w:rPr>
          <w:rFonts w:cs="Times New Roman"/>
        </w:rPr>
        <w:t xml:space="preserve">Moving forward, a </w:t>
      </w:r>
      <w:r w:rsidRPr="00437AAC">
        <w:rPr>
          <w:rFonts w:cs="Times New Roman"/>
          <w:i/>
        </w:rPr>
        <w:t xml:space="preserve">bona fide </w:t>
      </w:r>
      <w:r w:rsidRPr="00437AAC">
        <w:rPr>
          <w:rFonts w:cs="Times New Roman"/>
        </w:rPr>
        <w:t>inquiry should be defined as a factually</w:t>
      </w:r>
      <w:r>
        <w:rPr>
          <w:rFonts w:cs="Times New Roman"/>
        </w:rPr>
        <w:noBreakHyphen/>
      </w:r>
      <w:r w:rsidRPr="00437AAC">
        <w:rPr>
          <w:rFonts w:cs="Times New Roman"/>
        </w:rPr>
        <w:t>grounded investigation into a tightly circumscribed area, whether physical or virtual, that is motivated by genuine law enforcement purp</w:t>
      </w:r>
      <w:r w:rsidR="008E4F2F">
        <w:rPr>
          <w:rFonts w:cs="Times New Roman"/>
        </w:rPr>
        <w:t>oses.</w:t>
      </w:r>
    </w:p>
    <w:p w:rsidR="00E53404" w:rsidRPr="00437AAC" w:rsidRDefault="00E53404" w:rsidP="00E53404">
      <w:pPr>
        <w:pStyle w:val="ParaNoNdepar-AltN"/>
        <w:rPr>
          <w:rFonts w:cs="Times New Roman"/>
        </w:rPr>
      </w:pPr>
      <w:r w:rsidRPr="00437AAC">
        <w:rPr>
          <w:rFonts w:cs="Times New Roman"/>
        </w:rPr>
        <w:t xml:space="preserve">In the end, while I would adopt a different analytical approach, I agree with the Court of Appeal that the police were engaged in </w:t>
      </w:r>
      <w:r w:rsidRPr="00437AAC">
        <w:rPr>
          <w:rFonts w:cs="Times New Roman"/>
          <w:i/>
        </w:rPr>
        <w:t xml:space="preserve">bona fide </w:t>
      </w:r>
      <w:r w:rsidRPr="00437AAC">
        <w:rPr>
          <w:rFonts w:cs="Times New Roman"/>
        </w:rPr>
        <w:t>inquiries when they offered each of the appellants an opportunity to commit the offence of drug trafficking. Accordingly, I wou</w:t>
      </w:r>
      <w:r w:rsidR="008E4F2F">
        <w:rPr>
          <w:rFonts w:cs="Times New Roman"/>
        </w:rPr>
        <w:t>ld dismiss both of the appeals.</w:t>
      </w:r>
    </w:p>
    <w:p w:rsidR="00E53404" w:rsidRPr="00437AAC" w:rsidRDefault="00E53404" w:rsidP="00E53404">
      <w:pPr>
        <w:pStyle w:val="Title1LevelTitre1Niveau-AltL"/>
        <w:keepNext/>
        <w:jc w:val="both"/>
        <w:rPr>
          <w:rFonts w:cs="Times New Roman"/>
        </w:rPr>
      </w:pPr>
      <w:r w:rsidRPr="00437AAC">
        <w:rPr>
          <w:rFonts w:cs="Times New Roman"/>
        </w:rPr>
        <w:t>Background Facts and Proceedings in the Ontario Superior Court of Justice</w:t>
      </w:r>
    </w:p>
    <w:p w:rsidR="00E53404" w:rsidRPr="00437AAC" w:rsidRDefault="00E53404" w:rsidP="00E53404">
      <w:pPr>
        <w:pStyle w:val="Title2LevelTitre2Niveau"/>
        <w:keepNext/>
        <w:jc w:val="both"/>
        <w:rPr>
          <w:rFonts w:cs="Times New Roman"/>
        </w:rPr>
      </w:pPr>
      <w:r w:rsidRPr="00437AAC">
        <w:rPr>
          <w:rFonts w:cs="Times New Roman"/>
        </w:rPr>
        <w:t>Mr. Williams’s Case</w:t>
      </w:r>
    </w:p>
    <w:p w:rsidR="00E53404" w:rsidRPr="00437AAC" w:rsidRDefault="00E53404" w:rsidP="00E53404">
      <w:pPr>
        <w:pStyle w:val="Title3LevelTitre3Niveau"/>
        <w:keepNext/>
        <w:jc w:val="both"/>
        <w:rPr>
          <w:rFonts w:cs="Times New Roman"/>
        </w:rPr>
      </w:pPr>
      <w:r w:rsidRPr="00437AAC">
        <w:rPr>
          <w:rFonts w:cs="Times New Roman"/>
        </w:rPr>
        <w:t>Facts</w:t>
      </w:r>
    </w:p>
    <w:p w:rsidR="00E53404" w:rsidRPr="00437AAC" w:rsidRDefault="00E53404" w:rsidP="00E53404">
      <w:pPr>
        <w:pStyle w:val="ParaNoNdepar-AltN"/>
        <w:rPr>
          <w:rFonts w:cs="Times New Roman"/>
        </w:rPr>
      </w:pPr>
      <w:r w:rsidRPr="00437AAC">
        <w:rPr>
          <w:rFonts w:cs="Times New Roman"/>
        </w:rPr>
        <w:t xml:space="preserve">The investigation that led to the charges against Mr. Williams began when Police Constable Fitkin of </w:t>
      </w:r>
      <w:r w:rsidR="005913E9">
        <w:rPr>
          <w:rFonts w:cs="Times New Roman"/>
        </w:rPr>
        <w:t>the Toronto Police Service (</w:t>
      </w:r>
      <w:r w:rsidRPr="00437AAC">
        <w:rPr>
          <w:rFonts w:cs="Times New Roman"/>
        </w:rPr>
        <w:t>“TPS”) received information from a confidential source that someone who went by the name of “Jay” was selling drugs in the Queen and Church area of downtown Toronto. On January 31, 2011, P.C. Fitkin emailed Detective Constable Hewson asking her to place a “cold call” in relation to the information he had received. He attached a Person of Interest package that he had prepared, which included a phone number and identified Mr. Williams as “Jay”, though it is not clear how the link between Mr. Williams and “Jay” was made. The Person of Interest package also included biographical information about Mr.</w:t>
      </w:r>
      <w:r>
        <w:rPr>
          <w:rFonts w:cs="Times New Roman"/>
        </w:rPr>
        <w:t> </w:t>
      </w:r>
      <w:r w:rsidRPr="00437AAC">
        <w:rPr>
          <w:rFonts w:cs="Times New Roman"/>
        </w:rPr>
        <w:t>Williams, and stated that he dealt cocaine in the 389 Church Street and Yonge</w:t>
      </w:r>
      <w:r>
        <w:rPr>
          <w:rFonts w:cs="Times New Roman"/>
        </w:rPr>
        <w:noBreakHyphen/>
      </w:r>
      <w:r w:rsidRPr="00437AAC">
        <w:rPr>
          <w:rFonts w:cs="Times New Roman"/>
        </w:rPr>
        <w:t>Dundas areas of Toronto. It also stated that he was arrested for trafficking in 2009 and pleaded guilty to possession of cocaine in early 2010. In the body of the email, P.C. Fitkin indicated that he had not been able to get a “drop name” from his source yet, but that he would continue to try.</w:t>
      </w:r>
      <w:r w:rsidRPr="008E4F2F">
        <w:rPr>
          <w:rStyle w:val="Hyperlink"/>
          <w:color w:val="auto"/>
          <w:u w:val="none"/>
          <w:vertAlign w:val="superscript"/>
        </w:rPr>
        <w:footnoteReference w:id="3"/>
      </w:r>
    </w:p>
    <w:p w:rsidR="00E53404" w:rsidRPr="00437AAC" w:rsidRDefault="00E53404" w:rsidP="00E53404">
      <w:pPr>
        <w:pStyle w:val="ParaNoNdepar-AltN"/>
        <w:rPr>
          <w:rFonts w:cs="Times New Roman"/>
        </w:rPr>
      </w:pPr>
      <w:r w:rsidRPr="00437AAC">
        <w:rPr>
          <w:rFonts w:cs="Times New Roman"/>
        </w:rPr>
        <w:t>D.C. Hewson had some familiarity with Mr. Williams, having been involved in his 2009 arrest. However, she did not ask P.C. Fitkin about the reliability of his source, the currency of the information, or how the link was made between Mr. Williams and “Jay”. She did run the phone number provided through TPS databases, but derived no information from this sear</w:t>
      </w:r>
      <w:r>
        <w:rPr>
          <w:rFonts w:cs="Times New Roman"/>
        </w:rPr>
        <w:t>ch. </w:t>
      </w:r>
      <w:r w:rsidRPr="00437AAC">
        <w:rPr>
          <w:rFonts w:cs="Times New Roman"/>
        </w:rPr>
        <w:t>P.C. Fitkin was not called as a witness and was therefore not able to shed light on any of these unknowns.</w:t>
      </w:r>
    </w:p>
    <w:p w:rsidR="00E53404" w:rsidRPr="00437AAC" w:rsidRDefault="00E53404" w:rsidP="00E53404">
      <w:pPr>
        <w:pStyle w:val="ParaNoNdepar-AltN"/>
        <w:rPr>
          <w:rFonts w:cs="Times New Roman"/>
        </w:rPr>
      </w:pPr>
      <w:r w:rsidRPr="00437AAC">
        <w:rPr>
          <w:rFonts w:cs="Times New Roman"/>
        </w:rPr>
        <w:t>On February 11, 2011, the Drug Squad held a briefing about the case. They determined that D.C. Canepa would make a cold call to the number provided for Mr. Williams. D.C. Canepa was provided with some basic information, including the name “Jay”, the phone number provided for Mr. Williams, and the nature of the drug. He did not know whether any checks had been performed to verify the information because, as he explained in his testimony, he preferred to know as little as possible.</w:t>
      </w:r>
    </w:p>
    <w:p w:rsidR="00E53404" w:rsidRPr="00437AAC" w:rsidRDefault="00E53404" w:rsidP="00E53404">
      <w:pPr>
        <w:pStyle w:val="ParaNoNdepar-AltN"/>
        <w:rPr>
          <w:rFonts w:cs="Times New Roman"/>
        </w:rPr>
      </w:pPr>
      <w:r w:rsidRPr="00437AAC">
        <w:rPr>
          <w:rFonts w:cs="Times New Roman"/>
        </w:rPr>
        <w:t>That evening, D.C. Canepa made the cold call and the following conversation took place:</w:t>
      </w:r>
    </w:p>
    <w:p w:rsidR="00E53404" w:rsidRPr="00437AAC" w:rsidRDefault="00E53404" w:rsidP="004324B6">
      <w:pPr>
        <w:pStyle w:val="Citation-AltC"/>
        <w:spacing w:after="240"/>
        <w:contextualSpacing w:val="0"/>
      </w:pPr>
      <w:r w:rsidRPr="00437AAC">
        <w:t>Male: Hello.</w:t>
      </w:r>
    </w:p>
    <w:p w:rsidR="00E53404" w:rsidRPr="00437AAC" w:rsidRDefault="00E53404" w:rsidP="004324B6">
      <w:pPr>
        <w:pStyle w:val="Citation-AltC"/>
        <w:spacing w:after="240"/>
        <w:contextualSpacing w:val="0"/>
      </w:pPr>
      <w:r w:rsidRPr="00437AAC">
        <w:t>Canepa: Jay?</w:t>
      </w:r>
    </w:p>
    <w:p w:rsidR="00E53404" w:rsidRPr="00437AAC" w:rsidRDefault="00E53404" w:rsidP="004324B6">
      <w:pPr>
        <w:pStyle w:val="Citation-AltC"/>
        <w:spacing w:after="240"/>
        <w:contextualSpacing w:val="0"/>
      </w:pPr>
      <w:r w:rsidRPr="00437AAC">
        <w:t>Male: Yeah.</w:t>
      </w:r>
    </w:p>
    <w:p w:rsidR="00E53404" w:rsidRPr="00437AAC" w:rsidRDefault="00E53404" w:rsidP="004324B6">
      <w:pPr>
        <w:pStyle w:val="Citation-AltC"/>
        <w:spacing w:after="240"/>
        <w:contextualSpacing w:val="0"/>
      </w:pPr>
      <w:r w:rsidRPr="00437AAC">
        <w:t>Canepa: You around?</w:t>
      </w:r>
    </w:p>
    <w:p w:rsidR="00E53404" w:rsidRPr="00437AAC" w:rsidRDefault="00E53404" w:rsidP="004324B6">
      <w:pPr>
        <w:pStyle w:val="Citation-AltC"/>
        <w:spacing w:after="240"/>
        <w:contextualSpacing w:val="0"/>
      </w:pPr>
      <w:r w:rsidRPr="00437AAC">
        <w:t>Male: Who is this?</w:t>
      </w:r>
    </w:p>
    <w:p w:rsidR="00E53404" w:rsidRPr="00437AAC" w:rsidRDefault="00E53404" w:rsidP="004324B6">
      <w:pPr>
        <w:pStyle w:val="Citation-AltC"/>
        <w:spacing w:after="240"/>
        <w:contextualSpacing w:val="0"/>
      </w:pPr>
      <w:r w:rsidRPr="00437AAC">
        <w:t>Canepa: It’s Vinny.</w:t>
      </w:r>
    </w:p>
    <w:p w:rsidR="00E53404" w:rsidRPr="00437AAC" w:rsidRDefault="00E53404" w:rsidP="004324B6">
      <w:pPr>
        <w:pStyle w:val="Citation-AltC"/>
        <w:spacing w:after="240"/>
        <w:contextualSpacing w:val="0"/>
      </w:pPr>
      <w:r w:rsidRPr="00437AAC">
        <w:t>Male: Vinny who?</w:t>
      </w:r>
    </w:p>
    <w:p w:rsidR="00E53404" w:rsidRPr="00437AAC" w:rsidRDefault="00E53404" w:rsidP="004324B6">
      <w:pPr>
        <w:pStyle w:val="Citation-AltC"/>
        <w:spacing w:after="240"/>
        <w:ind w:left="2160" w:hanging="994"/>
        <w:contextualSpacing w:val="0"/>
      </w:pPr>
      <w:r w:rsidRPr="00437AAC">
        <w:t>Canepa: Vinny. Jesse from Queen and Jarvis gave me your name . . . your number. Said you could help me out. I need 80.</w:t>
      </w:r>
    </w:p>
    <w:p w:rsidR="00E53404" w:rsidRPr="00437AAC" w:rsidRDefault="00E53404" w:rsidP="004324B6">
      <w:pPr>
        <w:pStyle w:val="Citation-AltC"/>
        <w:spacing w:after="240"/>
        <w:contextualSpacing w:val="0"/>
      </w:pPr>
      <w:r w:rsidRPr="00437AAC">
        <w:t>Male: Okay. You have to come to me.</w:t>
      </w:r>
    </w:p>
    <w:p w:rsidR="00E53404" w:rsidRPr="00437AAC" w:rsidRDefault="00E53404" w:rsidP="004324B6">
      <w:pPr>
        <w:pStyle w:val="Citation-AltC"/>
        <w:spacing w:after="240"/>
        <w:contextualSpacing w:val="0"/>
      </w:pPr>
      <w:r w:rsidRPr="00437AAC">
        <w:t>Canepa: Okay. Where?</w:t>
      </w:r>
    </w:p>
    <w:p w:rsidR="00E53404" w:rsidRPr="00437AAC" w:rsidRDefault="00E53404" w:rsidP="004324B6">
      <w:pPr>
        <w:pStyle w:val="Citation-AltC"/>
        <w:spacing w:after="240"/>
        <w:contextualSpacing w:val="0"/>
      </w:pPr>
      <w:r w:rsidRPr="00437AAC">
        <w:t>Male: Queen and Dufferin.</w:t>
      </w:r>
    </w:p>
    <w:p w:rsidR="00E53404" w:rsidRPr="00437AAC" w:rsidRDefault="00E53404" w:rsidP="004324B6">
      <w:pPr>
        <w:pStyle w:val="Citation-AltC"/>
        <w:spacing w:after="240"/>
        <w:contextualSpacing w:val="0"/>
      </w:pPr>
      <w:r w:rsidRPr="00437AAC">
        <w:t>Canepa: Okay. It’ll take me a few because I</w:t>
      </w:r>
      <w:r w:rsidRPr="00437AAC">
        <w:rPr>
          <w:lang w:val="en-US"/>
        </w:rPr>
        <w:t>’</w:t>
      </w:r>
      <w:r w:rsidRPr="00437AAC">
        <w:t>m at Yonge &amp; Bloor.</w:t>
      </w:r>
    </w:p>
    <w:p w:rsidR="00E53404" w:rsidRPr="00437AAC" w:rsidRDefault="00E53404" w:rsidP="004324B6">
      <w:pPr>
        <w:pStyle w:val="Citation-AltC"/>
        <w:spacing w:after="240"/>
        <w:contextualSpacing w:val="0"/>
      </w:pPr>
      <w:r w:rsidRPr="00437AAC">
        <w:t>Male: Okay, hurry up.</w:t>
      </w:r>
    </w:p>
    <w:p w:rsidR="00E53404" w:rsidRPr="00437AAC" w:rsidRDefault="00E53404" w:rsidP="004324B6">
      <w:pPr>
        <w:pStyle w:val="Citation-AltC"/>
        <w:spacing w:after="240"/>
        <w:contextualSpacing w:val="0"/>
      </w:pPr>
      <w:r w:rsidRPr="00437AAC">
        <w:t>Canepa: I’ll call you when I get there.</w:t>
      </w:r>
    </w:p>
    <w:p w:rsidR="00E53404" w:rsidRPr="00437AAC" w:rsidRDefault="00E53404" w:rsidP="004324B6">
      <w:pPr>
        <w:pStyle w:val="Citation-AltC"/>
        <w:spacing w:after="240"/>
        <w:contextualSpacing w:val="0"/>
      </w:pPr>
      <w:r w:rsidRPr="00437AAC">
        <w:t>Male: Okay. What you want, soft or hard.</w:t>
      </w:r>
    </w:p>
    <w:p w:rsidR="00E53404" w:rsidRPr="00437AAC" w:rsidRDefault="00E53404" w:rsidP="004324B6">
      <w:pPr>
        <w:pStyle w:val="Citation-AltC"/>
        <w:spacing w:after="240"/>
        <w:contextualSpacing w:val="0"/>
      </w:pPr>
      <w:r w:rsidRPr="00437AAC">
        <w:t>Canepa: Hard. Hard buddy.</w:t>
      </w:r>
    </w:p>
    <w:p w:rsidR="00E53404" w:rsidRPr="00437AAC" w:rsidRDefault="00E53404" w:rsidP="00E53404">
      <w:pPr>
        <w:pStyle w:val="Citation-AltC"/>
      </w:pPr>
      <w:r w:rsidRPr="00437AAC">
        <w:t>Male: Okay.</w:t>
      </w:r>
    </w:p>
    <w:p w:rsidR="00E53404" w:rsidRPr="00437AAC" w:rsidRDefault="00E53404" w:rsidP="00E53404">
      <w:pPr>
        <w:pStyle w:val="ParaNoNdepar-AltN"/>
        <w:rPr>
          <w:rFonts w:cs="Times New Roman"/>
        </w:rPr>
      </w:pPr>
      <w:r w:rsidRPr="00437AAC">
        <w:rPr>
          <w:rFonts w:cs="Times New Roman"/>
        </w:rPr>
        <w:t>A few more phone calls were made to arrange the transaction. Later t</w:t>
      </w:r>
      <w:r w:rsidR="00262035">
        <w:rPr>
          <w:rFonts w:cs="Times New Roman"/>
        </w:rPr>
        <w:t xml:space="preserve">hat night, the men met and D.C. </w:t>
      </w:r>
      <w:r w:rsidRPr="00437AAC">
        <w:rPr>
          <w:rFonts w:cs="Times New Roman"/>
        </w:rPr>
        <w:t>Canepa purchased</w:t>
      </w:r>
      <w:r>
        <w:rPr>
          <w:rFonts w:cs="Times New Roman"/>
        </w:rPr>
        <w:t> $</w:t>
      </w:r>
      <w:r w:rsidRPr="00437AAC">
        <w:rPr>
          <w:rFonts w:cs="Times New Roman"/>
        </w:rPr>
        <w:t>80 of crack cocaine from Mr. Williams. On February 22, 2011, D.C. Canepa arranged another</w:t>
      </w:r>
      <w:r>
        <w:rPr>
          <w:rFonts w:cs="Times New Roman"/>
        </w:rPr>
        <w:t> $</w:t>
      </w:r>
      <w:r w:rsidRPr="00437AAC">
        <w:rPr>
          <w:rFonts w:cs="Times New Roman"/>
        </w:rPr>
        <w:t>80 transaction. The Drug Squad tried to arrange a third transaction, but Mr. Williams did not respond to D.C. Canepa’s calls. Accordingly, they decided to conclude the investigation and arrest Mr. Williams based on the previous transactions.</w:t>
      </w:r>
    </w:p>
    <w:p w:rsidR="00E53404" w:rsidRPr="00437AAC" w:rsidRDefault="00E53404" w:rsidP="00E53404">
      <w:pPr>
        <w:pStyle w:val="ParaNoNdepar-AltN"/>
        <w:rPr>
          <w:rFonts w:cs="Times New Roman"/>
        </w:rPr>
      </w:pPr>
      <w:r w:rsidRPr="00437AAC">
        <w:rPr>
          <w:rFonts w:cs="Times New Roman"/>
        </w:rPr>
        <w:t>A few weeks later, a TPS officer who was aware that the Drug Squad was attempting to locate Mr. Williams saw him walking down the street. The officer arrested Mr. Williams and searched his person. The search uncovered a handgun, a box of ammunition, a small amount of</w:t>
      </w:r>
      <w:r w:rsidR="008E4F2F">
        <w:rPr>
          <w:rFonts w:cs="Times New Roman"/>
        </w:rPr>
        <w:t xml:space="preserve"> marijuana, and two cellphones.</w:t>
      </w:r>
    </w:p>
    <w:p w:rsidR="00E53404" w:rsidRPr="00437AAC" w:rsidRDefault="00E53404" w:rsidP="00E53404">
      <w:pPr>
        <w:pStyle w:val="ParaNoNdepar-AltN"/>
        <w:rPr>
          <w:rFonts w:cs="Times New Roman"/>
        </w:rPr>
      </w:pPr>
      <w:r w:rsidRPr="00437AAC">
        <w:rPr>
          <w:rFonts w:cs="Times New Roman"/>
        </w:rPr>
        <w:t>Mr. Williams was subsequently charged with two counts of trafficking in cocaine, two counts of possession of the proceeds of crime, and various firearm, ammunition, and breach of recognizance offences. The charges for trafficking and possession of the proceeds of crime stemmed from the drug transactions with D.C. Canepa, while the other offences, which were charged on a separate indictment, stemmed from the search subsequent to Mr. Williams’s arrest.</w:t>
      </w:r>
    </w:p>
    <w:p w:rsidR="00E53404" w:rsidRPr="00437AAC" w:rsidRDefault="00E53404" w:rsidP="00E53404">
      <w:pPr>
        <w:pStyle w:val="Title3LevelTitre3Niveau"/>
        <w:jc w:val="both"/>
        <w:rPr>
          <w:rFonts w:cs="Times New Roman"/>
        </w:rPr>
      </w:pPr>
      <w:r w:rsidRPr="00437AAC">
        <w:rPr>
          <w:rFonts w:cs="Times New Roman"/>
        </w:rPr>
        <w:t>Proceedings in the Ontario Superio</w:t>
      </w:r>
      <w:r w:rsidR="008E4F2F">
        <w:rPr>
          <w:rFonts w:cs="Times New Roman"/>
        </w:rPr>
        <w:t>r Court of Justice (Trotter J.)</w:t>
      </w:r>
    </w:p>
    <w:p w:rsidR="00E53404" w:rsidRPr="00437AAC" w:rsidRDefault="00E53404" w:rsidP="00E53404">
      <w:pPr>
        <w:pStyle w:val="ParaNoNdepar-AltN"/>
        <w:rPr>
          <w:rFonts w:cs="Times New Roman"/>
        </w:rPr>
      </w:pPr>
      <w:r w:rsidRPr="00437AAC">
        <w:rPr>
          <w:rFonts w:cs="Times New Roman"/>
        </w:rPr>
        <w:t>In the proceedings on the first indictment, Mr. Williams admitted that the evidence established his guilt for trafficking and possession of the proceeds of crime. He argued, however, that the charges should be stayed on the basis of entrapment. The trial judge agreed, finding that there was no reason to suspect that Mr.</w:t>
      </w:r>
      <w:r>
        <w:rPr>
          <w:rFonts w:cs="Times New Roman"/>
        </w:rPr>
        <w:t> </w:t>
      </w:r>
      <w:r w:rsidRPr="00437AAC">
        <w:rPr>
          <w:rFonts w:cs="Times New Roman"/>
        </w:rPr>
        <w:t>Williams was involved in selling drugs when D.C. Canepa gave him the opportunity to traffic in cocaine. He held that the words “I need 80”, referring to</w:t>
      </w:r>
      <w:r>
        <w:rPr>
          <w:rFonts w:cs="Times New Roman"/>
        </w:rPr>
        <w:t> $</w:t>
      </w:r>
      <w:r w:rsidRPr="00437AAC">
        <w:rPr>
          <w:rFonts w:cs="Times New Roman"/>
        </w:rPr>
        <w:t xml:space="preserve">80 of cocaine, constituted an opportunity to traffic because it involved a request for a specific amount of a specific type of drug (2014 ONSC 2370, 11 C.R. (7th) 110, at </w:t>
      </w:r>
      <w:r>
        <w:rPr>
          <w:rFonts w:cs="Times New Roman"/>
        </w:rPr>
        <w:t>para. </w:t>
      </w:r>
      <w:r w:rsidRPr="00437AAC">
        <w:rPr>
          <w:rFonts w:cs="Times New Roman"/>
        </w:rPr>
        <w:t>9 (“Williams First Stay Application reasons”)). Further, the trial judge was of the view that the police, having only unconfirmed information obtained from a confidential source, did not have reasonable suspicion that Mr. Williams was dealing drugs.</w:t>
      </w:r>
    </w:p>
    <w:p w:rsidR="00E53404" w:rsidRPr="00437AAC" w:rsidRDefault="00E53404" w:rsidP="00E53404">
      <w:pPr>
        <w:pStyle w:val="ParaNoNdepar-AltN"/>
        <w:rPr>
          <w:rFonts w:cs="Times New Roman"/>
        </w:rPr>
      </w:pPr>
      <w:r w:rsidRPr="00437AAC">
        <w:rPr>
          <w:rFonts w:cs="Times New Roman"/>
        </w:rPr>
        <w:t xml:space="preserve">Mr. Williams also argued that the firearm, ammunition, and breach of recognizance charges should be stayed because they were “inextricably linked” to the conduct that formed the basis for the finding of entrapment (2014 ONSC 3005, 11 C.R. (7th) 124, at </w:t>
      </w:r>
      <w:r>
        <w:rPr>
          <w:rFonts w:cs="Times New Roman"/>
        </w:rPr>
        <w:t>para. </w:t>
      </w:r>
      <w:r w:rsidRPr="00437AAC">
        <w:rPr>
          <w:rFonts w:cs="Times New Roman"/>
        </w:rPr>
        <w:t>6 (“Williams Second Stay Application reasons”)). The trial judge disagreed and entered convictions on those charges. In his view, Mr.</w:t>
      </w:r>
      <w:r>
        <w:rPr>
          <w:rFonts w:cs="Times New Roman"/>
        </w:rPr>
        <w:t> </w:t>
      </w:r>
      <w:r w:rsidRPr="00437AAC">
        <w:rPr>
          <w:rFonts w:cs="Times New Roman"/>
        </w:rPr>
        <w:t>Williams was acting independently when he decided, a few weeks after the last transaction with D.C.</w:t>
      </w:r>
      <w:r>
        <w:rPr>
          <w:rFonts w:cs="Times New Roman"/>
        </w:rPr>
        <w:t> </w:t>
      </w:r>
      <w:r w:rsidRPr="00437AAC">
        <w:rPr>
          <w:rFonts w:cs="Times New Roman"/>
        </w:rPr>
        <w:t>Canepa, to walk around armed with a gun and ammunition — the police did nothing to encourage or facilitate that decision.</w:t>
      </w:r>
    </w:p>
    <w:p w:rsidR="00E53404" w:rsidRPr="00437AAC" w:rsidRDefault="00E53404" w:rsidP="00E53404">
      <w:pPr>
        <w:pStyle w:val="Title2LevelTitre2Niveau"/>
        <w:jc w:val="both"/>
        <w:rPr>
          <w:rFonts w:cs="Times New Roman"/>
        </w:rPr>
      </w:pPr>
      <w:r w:rsidRPr="00437AAC">
        <w:rPr>
          <w:rFonts w:cs="Times New Roman"/>
        </w:rPr>
        <w:t>Mr. Ahmad’s Case</w:t>
      </w:r>
    </w:p>
    <w:p w:rsidR="00E53404" w:rsidRPr="00437AAC" w:rsidRDefault="00E53404" w:rsidP="00E53404">
      <w:pPr>
        <w:pStyle w:val="Title3LevelTitre3Niveau"/>
        <w:jc w:val="both"/>
        <w:rPr>
          <w:rFonts w:cs="Times New Roman"/>
        </w:rPr>
      </w:pPr>
      <w:r w:rsidRPr="00437AAC">
        <w:rPr>
          <w:rFonts w:cs="Times New Roman"/>
        </w:rPr>
        <w:t>Facts</w:t>
      </w:r>
    </w:p>
    <w:p w:rsidR="00E53404" w:rsidRPr="00437AAC" w:rsidRDefault="00E53404" w:rsidP="00E53404">
      <w:pPr>
        <w:pStyle w:val="ParaNoNdepar-AltN"/>
        <w:tabs>
          <w:tab w:val="clear" w:pos="1152"/>
          <w:tab w:val="left" w:pos="1166"/>
        </w:tabs>
        <w:rPr>
          <w:rFonts w:cs="Times New Roman"/>
        </w:rPr>
      </w:pPr>
      <w:r w:rsidRPr="00437AAC">
        <w:rPr>
          <w:rFonts w:cs="Times New Roman"/>
        </w:rPr>
        <w:t>On April 19, 2012, D.C. Wallace provided D.C. Limsiaco with a phone number and told him that, if he called that number, a person who went by the name of “Romeo” would sell him drugs. That information was not investigated any further before D.C. Limsiaco called the number and had the following conversation with the person who answered:</w:t>
      </w:r>
    </w:p>
    <w:p w:rsidR="00E53404" w:rsidRPr="00437AAC" w:rsidRDefault="00E53404" w:rsidP="00B2266D">
      <w:pPr>
        <w:pStyle w:val="Citation-AltC"/>
        <w:spacing w:after="240"/>
        <w:contextualSpacing w:val="0"/>
      </w:pPr>
      <w:r w:rsidRPr="00437AAC">
        <w:t>Male: Hello</w:t>
      </w:r>
    </w:p>
    <w:p w:rsidR="00E53404" w:rsidRPr="00437AAC" w:rsidRDefault="00E53404" w:rsidP="00B2266D">
      <w:pPr>
        <w:pStyle w:val="Citation-AltC"/>
        <w:spacing w:after="240"/>
        <w:contextualSpacing w:val="0"/>
      </w:pPr>
      <w:r w:rsidRPr="00437AAC">
        <w:t>Officer: Hey, It’s Mike, Matt said I can give you a call, this is Romeo?</w:t>
      </w:r>
    </w:p>
    <w:p w:rsidR="00E53404" w:rsidRPr="00437AAC" w:rsidRDefault="00E53404" w:rsidP="00B2266D">
      <w:pPr>
        <w:pStyle w:val="Citation-AltC"/>
        <w:spacing w:after="240"/>
        <w:contextualSpacing w:val="0"/>
      </w:pPr>
      <w:r w:rsidRPr="00437AAC">
        <w:t>Male: He did, did he?</w:t>
      </w:r>
    </w:p>
    <w:p w:rsidR="00E53404" w:rsidRPr="00437AAC" w:rsidRDefault="00E53404" w:rsidP="00B2266D">
      <w:pPr>
        <w:pStyle w:val="Citation-AltC"/>
        <w:spacing w:after="240"/>
        <w:contextualSpacing w:val="0"/>
      </w:pPr>
      <w:r w:rsidRPr="00437AAC">
        <w:t>Officer: Yeah, said you can help me out?</w:t>
      </w:r>
    </w:p>
    <w:p w:rsidR="00E53404" w:rsidRPr="00437AAC" w:rsidRDefault="00E53404" w:rsidP="00B2266D">
      <w:pPr>
        <w:pStyle w:val="Citation-AltC"/>
        <w:spacing w:after="240"/>
        <w:contextualSpacing w:val="0"/>
      </w:pPr>
      <w:r w:rsidRPr="00437AAC">
        <w:t>Male: What do you need?</w:t>
      </w:r>
    </w:p>
    <w:p w:rsidR="00E53404" w:rsidRPr="00437AAC" w:rsidRDefault="00E53404" w:rsidP="00B2266D">
      <w:pPr>
        <w:pStyle w:val="Citation-AltC"/>
        <w:spacing w:after="240"/>
        <w:contextualSpacing w:val="0"/>
      </w:pPr>
      <w:r w:rsidRPr="00437AAC">
        <w:t>Officer: 2 soft</w:t>
      </w:r>
    </w:p>
    <w:p w:rsidR="00E53404" w:rsidRPr="00437AAC" w:rsidRDefault="00E53404" w:rsidP="00B2266D">
      <w:pPr>
        <w:pStyle w:val="Citation-AltC"/>
        <w:spacing w:after="240"/>
        <w:contextualSpacing w:val="0"/>
      </w:pPr>
      <w:r w:rsidRPr="00437AAC">
        <w:t>Male: Hold on, I’ll get back to you.</w:t>
      </w:r>
    </w:p>
    <w:p w:rsidR="00E53404" w:rsidRPr="00437AAC" w:rsidRDefault="00E53404" w:rsidP="00B2266D">
      <w:pPr>
        <w:pStyle w:val="Citation-AltC"/>
        <w:contextualSpacing w:val="0"/>
      </w:pPr>
      <w:r w:rsidRPr="00437AAC">
        <w:t>Officer: Alright.</w:t>
      </w:r>
    </w:p>
    <w:p w:rsidR="00E53404" w:rsidRPr="00437AAC" w:rsidRDefault="00E53404" w:rsidP="00E53404">
      <w:pPr>
        <w:pStyle w:val="ParaNoNdepar-AltN"/>
        <w:spacing w:before="240" w:after="240" w:line="360" w:lineRule="auto"/>
        <w:rPr>
          <w:rFonts w:cs="Times New Roman"/>
        </w:rPr>
      </w:pPr>
      <w:r w:rsidRPr="00437AAC">
        <w:rPr>
          <w:rFonts w:cs="Times New Roman"/>
        </w:rPr>
        <w:t xml:space="preserve">The male then called D.C. Limsiaco back later the same day, and they </w:t>
      </w:r>
      <w:r w:rsidR="008E4F2F">
        <w:rPr>
          <w:rFonts w:cs="Times New Roman"/>
        </w:rPr>
        <w:t>had the following conversation:</w:t>
      </w:r>
    </w:p>
    <w:p w:rsidR="00E53404" w:rsidRPr="00437AAC" w:rsidRDefault="00E53404" w:rsidP="00B2266D">
      <w:pPr>
        <w:pStyle w:val="Citation-AltC"/>
        <w:spacing w:after="240"/>
        <w:contextualSpacing w:val="0"/>
      </w:pPr>
      <w:r w:rsidRPr="00437AAC">
        <w:t>Officer: Hello</w:t>
      </w:r>
    </w:p>
    <w:p w:rsidR="00E53404" w:rsidRPr="00437AAC" w:rsidRDefault="00E53404" w:rsidP="00B2266D">
      <w:pPr>
        <w:pStyle w:val="Citation-AltC"/>
        <w:spacing w:after="240"/>
        <w:contextualSpacing w:val="0"/>
      </w:pPr>
      <w:r w:rsidRPr="00437AAC">
        <w:t>Male: So what do you need again?</w:t>
      </w:r>
    </w:p>
    <w:p w:rsidR="00E53404" w:rsidRPr="00437AAC" w:rsidRDefault="00E53404" w:rsidP="00B2266D">
      <w:pPr>
        <w:pStyle w:val="Citation-AltC"/>
        <w:spacing w:after="240"/>
        <w:contextualSpacing w:val="0"/>
      </w:pPr>
      <w:r w:rsidRPr="00437AAC">
        <w:t>Officer: 2 soft, where you at?</w:t>
      </w:r>
    </w:p>
    <w:p w:rsidR="00E53404" w:rsidRPr="00437AAC" w:rsidRDefault="00E53404" w:rsidP="00B2266D">
      <w:pPr>
        <w:pStyle w:val="Citation-AltC"/>
        <w:spacing w:after="240"/>
        <w:contextualSpacing w:val="0"/>
      </w:pPr>
      <w:r w:rsidRPr="00437AAC">
        <w:t>Male: Can meet you at Yorkdale.</w:t>
      </w:r>
    </w:p>
    <w:p w:rsidR="00E53404" w:rsidRPr="00437AAC" w:rsidRDefault="00E53404" w:rsidP="00B2266D">
      <w:pPr>
        <w:pStyle w:val="Citation-AltC"/>
        <w:spacing w:after="240"/>
        <w:contextualSpacing w:val="0"/>
      </w:pPr>
      <w:r w:rsidRPr="00437AAC">
        <w:t>Officer: Sure,</w:t>
      </w:r>
      <w:r>
        <w:t> $</w:t>
      </w:r>
      <w:r w:rsidRPr="00437AAC">
        <w:t>160 good an hour?</w:t>
      </w:r>
    </w:p>
    <w:p w:rsidR="00E53404" w:rsidRPr="00437AAC" w:rsidRDefault="00E53404" w:rsidP="00B2266D">
      <w:pPr>
        <w:pStyle w:val="Citation-AltC"/>
        <w:spacing w:after="240"/>
        <w:contextualSpacing w:val="0"/>
      </w:pPr>
      <w:r w:rsidRPr="00437AAC">
        <w:t>Male:</w:t>
      </w:r>
      <w:r>
        <w:t> $</w:t>
      </w:r>
      <w:r w:rsidRPr="00437AAC">
        <w:t>140, hours good, go by theatres</w:t>
      </w:r>
    </w:p>
    <w:p w:rsidR="00E53404" w:rsidRPr="00437AAC" w:rsidRDefault="008E4F2F" w:rsidP="00E53404">
      <w:pPr>
        <w:pStyle w:val="Citation-AltC"/>
      </w:pPr>
      <w:r>
        <w:t>Officer: Cool</w:t>
      </w:r>
    </w:p>
    <w:p w:rsidR="00E53404" w:rsidRPr="00437AAC" w:rsidRDefault="00E53404" w:rsidP="00E53404">
      <w:pPr>
        <w:pStyle w:val="ParaNoNdepar-AltN"/>
        <w:tabs>
          <w:tab w:val="clear" w:pos="1152"/>
          <w:tab w:val="left" w:pos="1166"/>
        </w:tabs>
        <w:rPr>
          <w:rFonts w:cs="Times New Roman"/>
        </w:rPr>
      </w:pPr>
      <w:r w:rsidRPr="00437AAC">
        <w:rPr>
          <w:rFonts w:cs="Times New Roman"/>
        </w:rPr>
        <w:t>The male who answered the phone, later found to have been Mr. Ahmad, went along with the conversation without hesitation and without qu</w:t>
      </w:r>
      <w:r w:rsidR="008E4F2F">
        <w:rPr>
          <w:rFonts w:cs="Times New Roman"/>
        </w:rPr>
        <w:t>estioning the identity of “Matt</w:t>
      </w:r>
      <w:r w:rsidRPr="00437AAC">
        <w:rPr>
          <w:rFonts w:cs="Times New Roman"/>
        </w:rPr>
        <w:t>”</w:t>
      </w:r>
      <w:r w:rsidR="008E4F2F">
        <w:rPr>
          <w:rFonts w:cs="Times New Roman"/>
        </w:rPr>
        <w:t>,</w:t>
      </w:r>
      <w:r w:rsidRPr="00437AAC">
        <w:rPr>
          <w:rFonts w:cs="Times New Roman"/>
        </w:rPr>
        <w:t xml:space="preserve"> a made up name. At no point did Mr. Ahmad question being called “Romeo”, though he neither confirmed nor denied that was his name. He also did not question the meaning of “2 soft”, which was a coded reference to two </w:t>
      </w:r>
      <w:r>
        <w:rPr>
          <w:rFonts w:cs="Times New Roman"/>
        </w:rPr>
        <w:t xml:space="preserve">grams </w:t>
      </w:r>
      <w:r w:rsidR="008E4F2F">
        <w:rPr>
          <w:rFonts w:cs="Times New Roman"/>
        </w:rPr>
        <w:t>of powder cocaine.</w:t>
      </w:r>
    </w:p>
    <w:p w:rsidR="00E53404" w:rsidRPr="00437AAC" w:rsidRDefault="00E53404" w:rsidP="00E53404">
      <w:pPr>
        <w:pStyle w:val="ParaNoNdepar-AltN"/>
        <w:rPr>
          <w:rFonts w:cs="Times New Roman"/>
        </w:rPr>
      </w:pPr>
      <w:r w:rsidRPr="00437AAC">
        <w:rPr>
          <w:rFonts w:cs="Times New Roman"/>
        </w:rPr>
        <w:t>Later that day, according to the police officers who testified at Mr</w:t>
      </w:r>
      <w:r>
        <w:rPr>
          <w:rFonts w:cs="Times New Roman"/>
        </w:rPr>
        <w:t>. </w:t>
      </w:r>
      <w:r w:rsidRPr="00437AAC">
        <w:rPr>
          <w:rFonts w:cs="Times New Roman"/>
        </w:rPr>
        <w:t xml:space="preserve">Ahmad’s trial, </w:t>
      </w:r>
      <w:r w:rsidRPr="00437AAC">
        <w:rPr>
          <w:rFonts w:cs="Times New Roman"/>
          <w:lang w:bidi="en-US"/>
        </w:rPr>
        <w:t>D.C. Limsiaco met Mr. Ahmad at the Yorkdale Shopping Centre. D.C. Limsiaco completed the undercover buy just outside the mall, where he gave Mr</w:t>
      </w:r>
      <w:r>
        <w:rPr>
          <w:rFonts w:cs="Times New Roman"/>
          <w:lang w:bidi="en-US"/>
        </w:rPr>
        <w:t>. </w:t>
      </w:r>
      <w:r w:rsidRPr="00437AAC">
        <w:rPr>
          <w:rFonts w:cs="Times New Roman"/>
          <w:lang w:bidi="en-US"/>
        </w:rPr>
        <w:t>Ahmad</w:t>
      </w:r>
      <w:r>
        <w:rPr>
          <w:rFonts w:cs="Times New Roman"/>
          <w:lang w:bidi="en-US"/>
        </w:rPr>
        <w:t> $</w:t>
      </w:r>
      <w:r w:rsidRPr="00437AAC">
        <w:rPr>
          <w:rFonts w:cs="Times New Roman"/>
          <w:lang w:bidi="en-US"/>
        </w:rPr>
        <w:t xml:space="preserve">140 of buy money in exchange for two small bags of cocaine. The Drug Squad team then arrested Mr. Ahmad. He was subsequently charged with trafficking cocaine, possession of cocaine for the purpose of trafficking, and possession of the proceeds of crime. </w:t>
      </w:r>
      <w:r w:rsidRPr="00437AAC">
        <w:rPr>
          <w:rFonts w:cs="Times New Roman"/>
        </w:rPr>
        <w:t>The Crown withdrew the trafficking cha</w:t>
      </w:r>
      <w:r w:rsidR="008E4F2F">
        <w:rPr>
          <w:rFonts w:cs="Times New Roman"/>
        </w:rPr>
        <w:t>rge at the preliminary hearing.</w:t>
      </w:r>
    </w:p>
    <w:p w:rsidR="00E53404" w:rsidRPr="00437AAC" w:rsidRDefault="00E53404" w:rsidP="00E53404">
      <w:pPr>
        <w:pStyle w:val="Title3LevelTitre3Niveau"/>
        <w:jc w:val="both"/>
        <w:rPr>
          <w:rFonts w:cs="Times New Roman"/>
        </w:rPr>
      </w:pPr>
      <w:r w:rsidRPr="00437AAC">
        <w:rPr>
          <w:rFonts w:cs="Times New Roman"/>
        </w:rPr>
        <w:t>Proceedings in the Ontario Superior Court of Justice (Allen J.)</w:t>
      </w:r>
    </w:p>
    <w:p w:rsidR="00E53404" w:rsidRPr="00437AAC" w:rsidRDefault="00E53404" w:rsidP="00E53404">
      <w:pPr>
        <w:pStyle w:val="ParaNoNdepar-AltN"/>
        <w:rPr>
          <w:rFonts w:cs="Times New Roman"/>
        </w:rPr>
      </w:pPr>
      <w:r w:rsidRPr="00437AAC">
        <w:rPr>
          <w:rFonts w:cs="Times New Roman"/>
        </w:rPr>
        <w:t xml:space="preserve">Mr. Ahmad proceeded to trial, where he pleaded not guilty to the possession charges. He testified that on the day of his arrest, he met his friend “Mikey” at the mall, and suggested that it was Mikey, not him, who had sold D.C. Limsiaco the drugs. However, the trial judge rejected Mr. Ahmad’s evidence and ultimately found him guilty of one count of possession of cocaine for the purpose of trafficking and two counts of possession of the proceeds of crime (2014 ONSC 3818, at </w:t>
      </w:r>
      <w:r>
        <w:rPr>
          <w:rFonts w:cs="Times New Roman"/>
        </w:rPr>
        <w:t>para. </w:t>
      </w:r>
      <w:r w:rsidRPr="00437AAC">
        <w:rPr>
          <w:rFonts w:cs="Times New Roman"/>
        </w:rPr>
        <w:t>60 (CanLII)).</w:t>
      </w:r>
    </w:p>
    <w:p w:rsidR="00E53404" w:rsidRPr="00437AAC" w:rsidRDefault="00E53404" w:rsidP="00E53404">
      <w:pPr>
        <w:pStyle w:val="ParaNoNdepar-AltN"/>
        <w:rPr>
          <w:rFonts w:cs="Times New Roman"/>
        </w:rPr>
      </w:pPr>
      <w:r w:rsidRPr="00437AAC">
        <w:rPr>
          <w:rFonts w:cs="Times New Roman"/>
        </w:rPr>
        <w:t>After the convictions were entered, Mr. Ahmad applied for a stay of proceedings on the basis of entrapment. The trial judge dismissed the application</w:t>
      </w:r>
      <w:r>
        <w:rPr>
          <w:rFonts w:cs="Times New Roman"/>
        </w:rPr>
        <w:t xml:space="preserve"> </w:t>
      </w:r>
      <w:r w:rsidRPr="00437AAC">
        <w:rPr>
          <w:rFonts w:cs="Times New Roman"/>
        </w:rPr>
        <w:t>(2015</w:t>
      </w:r>
      <w:r>
        <w:rPr>
          <w:rFonts w:cs="Times New Roman"/>
        </w:rPr>
        <w:t> </w:t>
      </w:r>
      <w:r w:rsidRPr="00437AAC">
        <w:rPr>
          <w:rFonts w:cs="Times New Roman"/>
        </w:rPr>
        <w:t>ONSC 652). She acknowledged that the officer did not have reason to suspect the person on the other end of the line was trafficking in drugs before placing the call. However, in her view, D.C. Limsiaco had built reasonable suspicion that “Romeo” was trafficking in drugs during the call before offering him an opportunity to commit an offence by requesting a specific quantity of powder cocaine. Accordingly, the trial judge held that Mr. Ahmad had not been entrapped.</w:t>
      </w:r>
    </w:p>
    <w:p w:rsidR="00E53404" w:rsidRPr="00437AAC" w:rsidRDefault="00E53404" w:rsidP="00E53404">
      <w:pPr>
        <w:pStyle w:val="Title1LevelTitre1Niveau-AltL"/>
        <w:jc w:val="both"/>
        <w:rPr>
          <w:rFonts w:cs="Times New Roman"/>
        </w:rPr>
      </w:pPr>
      <w:r w:rsidRPr="00437AAC">
        <w:rPr>
          <w:rFonts w:cs="Times New Roman"/>
        </w:rPr>
        <w:t>Appeals to the Ontario Court of Appeal (Hourigan and Brown JJ.A. and Himel J. (</w:t>
      </w:r>
      <w:r w:rsidRPr="00437AAC">
        <w:rPr>
          <w:rFonts w:cs="Times New Roman"/>
          <w:i/>
        </w:rPr>
        <w:t>ad hoc</w:t>
      </w:r>
      <w:r w:rsidRPr="00437AAC">
        <w:rPr>
          <w:rFonts w:cs="Times New Roman"/>
        </w:rPr>
        <w:t>))</w:t>
      </w:r>
    </w:p>
    <w:p w:rsidR="00E53404" w:rsidRPr="00437AAC" w:rsidRDefault="00E53404" w:rsidP="00E53404">
      <w:pPr>
        <w:pStyle w:val="ParaNoNdepar-AltN"/>
        <w:rPr>
          <w:rFonts w:cs="Times New Roman"/>
        </w:rPr>
      </w:pPr>
      <w:r w:rsidRPr="00437AAC">
        <w:rPr>
          <w:rFonts w:cs="Times New Roman"/>
        </w:rPr>
        <w:t>The appeals in Mr. Williams’s and Mr. Ahmad’s cases were heard together. The Crown appealed from the stay of Mr. Williams’s convictions for trafficking and possession of the proceeds of crime. Mr. Williams cross</w:t>
      </w:r>
      <w:r>
        <w:rPr>
          <w:rFonts w:cs="Times New Roman"/>
        </w:rPr>
        <w:noBreakHyphen/>
      </w:r>
      <w:r w:rsidRPr="00437AAC">
        <w:rPr>
          <w:rFonts w:cs="Times New Roman"/>
        </w:rPr>
        <w:t>appealed the dismissal of his entrapment application with respect to the firearm, ammunition, and breach of recognizance convictions. For his part, Mr. Ahmad appealed from, among other things, the dis</w:t>
      </w:r>
      <w:r w:rsidR="008E4F2F">
        <w:rPr>
          <w:rFonts w:cs="Times New Roman"/>
        </w:rPr>
        <w:t>missal of his stay application.</w:t>
      </w:r>
    </w:p>
    <w:p w:rsidR="00E53404" w:rsidRPr="00437AAC" w:rsidRDefault="00E53404" w:rsidP="00E53404">
      <w:pPr>
        <w:pStyle w:val="ParaNoNdepar-AltN"/>
        <w:rPr>
          <w:rFonts w:cs="Times New Roman"/>
        </w:rPr>
      </w:pPr>
      <w:r w:rsidRPr="00437AAC">
        <w:rPr>
          <w:rFonts w:cs="Times New Roman"/>
        </w:rPr>
        <w:t>The Court of Appeal allowed the Crown’s appeal in Mr. Williams’s case, dismissed Mr. Williams’s cross</w:t>
      </w:r>
      <w:r>
        <w:rPr>
          <w:rFonts w:cs="Times New Roman"/>
        </w:rPr>
        <w:noBreakHyphen/>
      </w:r>
      <w:r w:rsidRPr="00437AAC">
        <w:rPr>
          <w:rFonts w:cs="Times New Roman"/>
        </w:rPr>
        <w:t>appeal, and dismissed Mr. Ahmad’s appeal (2018</w:t>
      </w:r>
      <w:r>
        <w:rPr>
          <w:rFonts w:cs="Times New Roman"/>
        </w:rPr>
        <w:t> </w:t>
      </w:r>
      <w:r w:rsidRPr="00437AAC">
        <w:rPr>
          <w:rFonts w:cs="Times New Roman"/>
        </w:rPr>
        <w:t>ONCA 534, 141 O.R. (3d) 241). The court was unanimous in holding that there was no entrapment in either case. It divided, however, in its reasons.</w:t>
      </w:r>
    </w:p>
    <w:p w:rsidR="00E53404" w:rsidRPr="00437AAC" w:rsidRDefault="00E53404" w:rsidP="00E53404">
      <w:pPr>
        <w:pStyle w:val="ParaNoNdepar-AltN"/>
        <w:rPr>
          <w:rFonts w:cs="Times New Roman"/>
        </w:rPr>
      </w:pPr>
      <w:r w:rsidRPr="00437AAC">
        <w:rPr>
          <w:rFonts w:cs="Times New Roman"/>
        </w:rPr>
        <w:t xml:space="preserve">Hourigan J.A., writing for the majority, reasoned that there was no entrapment because the police in both cases were acting pursuant to a </w:t>
      </w:r>
      <w:r w:rsidRPr="00437AAC">
        <w:rPr>
          <w:rFonts w:cs="Times New Roman"/>
          <w:i/>
        </w:rPr>
        <w:t xml:space="preserve">bona fide </w:t>
      </w:r>
      <w:r w:rsidRPr="00437AAC">
        <w:rPr>
          <w:rFonts w:cs="Times New Roman"/>
        </w:rPr>
        <w:t>inquiry. Specifically, the police reasonably suspected that each of the phone numbers was being used in a dial</w:t>
      </w:r>
      <w:r>
        <w:rPr>
          <w:rFonts w:cs="Times New Roman"/>
        </w:rPr>
        <w:noBreakHyphen/>
      </w:r>
      <w:r w:rsidRPr="00437AAC">
        <w:rPr>
          <w:rFonts w:cs="Times New Roman"/>
        </w:rPr>
        <w:t>a</w:t>
      </w:r>
      <w:r>
        <w:rPr>
          <w:rFonts w:cs="Times New Roman"/>
        </w:rPr>
        <w:noBreakHyphen/>
      </w:r>
      <w:r w:rsidRPr="00437AAC">
        <w:rPr>
          <w:rFonts w:cs="Times New Roman"/>
        </w:rPr>
        <w:t xml:space="preserve">dope scheme. While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contemplated the offering of opportunities at physical spaces over which the police held reasonable suspicion, the majority was of the view that the law must keep up with the modern realities of crime and analogized the specific virtual space of a suspected dial</w:t>
      </w:r>
      <w:r>
        <w:rPr>
          <w:rFonts w:cs="Times New Roman"/>
        </w:rPr>
        <w:noBreakHyphen/>
      </w:r>
      <w:r w:rsidRPr="00437AAC">
        <w:rPr>
          <w:rFonts w:cs="Times New Roman"/>
        </w:rPr>
        <w:t>a</w:t>
      </w:r>
      <w:r>
        <w:rPr>
          <w:rFonts w:cs="Times New Roman"/>
        </w:rPr>
        <w:noBreakHyphen/>
      </w:r>
      <w:r w:rsidRPr="00437AAC">
        <w:rPr>
          <w:rFonts w:cs="Times New Roman"/>
        </w:rPr>
        <w:t>dope line to a specific physical space. The majority concluded that, on the facts of both Mr. Williams’s and Mr. Ahmad’s respective cases, the police had the necessary reasonable suspicion before they extended an opportunity to traffic.</w:t>
      </w:r>
    </w:p>
    <w:p w:rsidR="00E53404" w:rsidRPr="00437AAC" w:rsidRDefault="00E53404" w:rsidP="00E53404">
      <w:pPr>
        <w:pStyle w:val="ParaNoNdepar-AltN"/>
        <w:rPr>
          <w:rFonts w:cs="Times New Roman"/>
        </w:rPr>
      </w:pPr>
      <w:r w:rsidRPr="00437AAC">
        <w:rPr>
          <w:rFonts w:cs="Times New Roman"/>
        </w:rPr>
        <w:t>Himel J. concurred in the result but took a different analytical approa</w:t>
      </w:r>
      <w:r>
        <w:rPr>
          <w:rFonts w:cs="Times New Roman"/>
        </w:rPr>
        <w:t>ch. </w:t>
      </w:r>
      <w:r w:rsidRPr="00437AAC">
        <w:rPr>
          <w:rFonts w:cs="Times New Roman"/>
        </w:rPr>
        <w:t xml:space="preserve">In her view, the police reasonably suspected both Mr. Williams and Mr. Ahmad as individuals at the time they extended the respective opportunities. There was accordingly no need to resort to the </w:t>
      </w:r>
      <w:r w:rsidRPr="00437AAC">
        <w:rPr>
          <w:rFonts w:cs="Times New Roman"/>
          <w:i/>
        </w:rPr>
        <w:t xml:space="preserve">bona fide </w:t>
      </w:r>
      <w:r w:rsidRPr="00437AAC">
        <w:rPr>
          <w:rFonts w:cs="Times New Roman"/>
        </w:rPr>
        <w:t>inquiry prong.</w:t>
      </w:r>
    </w:p>
    <w:p w:rsidR="00E53404" w:rsidRPr="00437AAC" w:rsidRDefault="00E53404" w:rsidP="00E53404">
      <w:pPr>
        <w:pStyle w:val="Title1LevelTitre1Niveau-AltL"/>
        <w:jc w:val="both"/>
        <w:rPr>
          <w:rFonts w:cs="Times New Roman"/>
        </w:rPr>
      </w:pPr>
      <w:r w:rsidRPr="00437AAC">
        <w:rPr>
          <w:rFonts w:cs="Times New Roman"/>
        </w:rPr>
        <w:t>Analysis</w:t>
      </w:r>
    </w:p>
    <w:p w:rsidR="00E53404" w:rsidRPr="00437AAC" w:rsidRDefault="00E53404" w:rsidP="00E53404">
      <w:pPr>
        <w:pStyle w:val="ParaNoNdepar-AltN"/>
        <w:rPr>
          <w:rFonts w:cs="Times New Roman"/>
        </w:rPr>
      </w:pPr>
      <w:r w:rsidRPr="00437AAC">
        <w:rPr>
          <w:rFonts w:cs="Times New Roman"/>
        </w:rPr>
        <w:t>These appeals call upon this Court to clarify the proper scope and application of the first branch of entrapment.</w:t>
      </w:r>
    </w:p>
    <w:p w:rsidR="00E53404" w:rsidRPr="00437AAC" w:rsidRDefault="00E53404" w:rsidP="00E53404">
      <w:pPr>
        <w:pStyle w:val="Title2LevelTitre2Niveau"/>
        <w:keepNext/>
        <w:jc w:val="both"/>
        <w:rPr>
          <w:rFonts w:cs="Times New Roman"/>
        </w:rPr>
      </w:pPr>
      <w:r w:rsidRPr="00437AAC">
        <w:rPr>
          <w:rFonts w:cs="Times New Roman"/>
        </w:rPr>
        <w:t>Entrapment in Canadian Law</w:t>
      </w:r>
    </w:p>
    <w:p w:rsidR="00E53404" w:rsidRPr="00437AAC" w:rsidRDefault="00E53404" w:rsidP="00E53404">
      <w:pPr>
        <w:pStyle w:val="ParaNoNdepar-AltN"/>
        <w:rPr>
          <w:rFonts w:cs="Times New Roman"/>
        </w:rPr>
      </w:pPr>
      <w:r w:rsidRPr="00437AAC">
        <w:rPr>
          <w:rFonts w:cs="Times New Roman"/>
        </w:rPr>
        <w:t>The doctrine of entrapment is “simply an application of the abuse of process doctrine” (</w:t>
      </w:r>
      <w:r w:rsidRPr="00437AAC">
        <w:rPr>
          <w:rFonts w:cs="Times New Roman"/>
          <w:i/>
        </w:rPr>
        <w:t>R. v. Campbell</w:t>
      </w:r>
      <w:r w:rsidRPr="00437AAC">
        <w:rPr>
          <w:rFonts w:cs="Times New Roman"/>
        </w:rPr>
        <w:t xml:space="preserve">, [1999] 1 S.C.R. 565, at </w:t>
      </w:r>
      <w:r>
        <w:rPr>
          <w:rFonts w:cs="Times New Roman"/>
        </w:rPr>
        <w:t>para. </w:t>
      </w:r>
      <w:r w:rsidRPr="00437AAC">
        <w:rPr>
          <w:rFonts w:cs="Times New Roman"/>
        </w:rPr>
        <w:t xml:space="preserve">21; see also </w:t>
      </w:r>
      <w:r w:rsidRPr="00437AAC">
        <w:rPr>
          <w:rFonts w:cs="Times New Roman"/>
          <w:i/>
        </w:rPr>
        <w:t>Mack</w:t>
      </w:r>
      <w:r w:rsidRPr="00437AAC">
        <w:rPr>
          <w:rFonts w:cs="Times New Roman"/>
        </w:rPr>
        <w:t xml:space="preserve">, at </w:t>
      </w:r>
      <w:r>
        <w:rPr>
          <w:rFonts w:cs="Times New Roman"/>
        </w:rPr>
        <w:t>pp. </w:t>
      </w:r>
      <w:r w:rsidRPr="00437AAC">
        <w:rPr>
          <w:rFonts w:cs="Times New Roman"/>
        </w:rPr>
        <w:t>938</w:t>
      </w:r>
      <w:r>
        <w:rPr>
          <w:rFonts w:cs="Times New Roman"/>
        </w:rPr>
        <w:noBreakHyphen/>
      </w:r>
      <w:r w:rsidRPr="00437AAC">
        <w:rPr>
          <w:rFonts w:cs="Times New Roman"/>
        </w:rPr>
        <w:t>42). It shields individuals from state conduct that society regards as intolerable — conduct that “violates our notions of ‘fair play’ and ‘decency’ and which shows blatant disregard for the qualities of humanness which all of us share” (</w:t>
      </w:r>
      <w:r w:rsidRPr="00437AAC">
        <w:rPr>
          <w:rFonts w:cs="Times New Roman"/>
          <w:i/>
        </w:rPr>
        <w:t>Mack</w:t>
      </w:r>
      <w:r w:rsidRPr="00437AAC">
        <w:rPr>
          <w:rFonts w:cs="Times New Roman"/>
        </w:rPr>
        <w:t xml:space="preserve">, at </w:t>
      </w:r>
      <w:r>
        <w:rPr>
          <w:rFonts w:cs="Times New Roman"/>
        </w:rPr>
        <w:t>p. </w:t>
      </w:r>
      <w:r w:rsidRPr="00437AAC">
        <w:rPr>
          <w:rFonts w:cs="Times New Roman"/>
        </w:rPr>
        <w:t>940). In essence, the doctrine of entrapment sends the message from the court to the state that, notwithstanding the state’s ability to prove an accused’s guilt beyond a reasonable doubt, the court will not allow the state to avail itself of the judicial process because the state’s conduct in bringing the accused before the court was intolerable (</w:t>
      </w:r>
      <w:r w:rsidRPr="00437AAC">
        <w:rPr>
          <w:rFonts w:cs="Times New Roman"/>
          <w:i/>
        </w:rPr>
        <w:t>Mack</w:t>
      </w:r>
      <w:r w:rsidRPr="00437AAC">
        <w:rPr>
          <w:rFonts w:cs="Times New Roman"/>
        </w:rPr>
        <w:t xml:space="preserve">, at </w:t>
      </w:r>
      <w:r>
        <w:rPr>
          <w:rFonts w:cs="Times New Roman"/>
        </w:rPr>
        <w:t>p. </w:t>
      </w:r>
      <w:r w:rsidRPr="00437AAC">
        <w:rPr>
          <w:rFonts w:cs="Times New Roman"/>
        </w:rPr>
        <w:t xml:space="preserve">942; </w:t>
      </w:r>
      <w:r w:rsidRPr="00437AAC">
        <w:rPr>
          <w:rFonts w:cs="Times New Roman"/>
          <w:i/>
        </w:rPr>
        <w:t>R. v. Ahluwalia</w:t>
      </w:r>
      <w:r w:rsidRPr="00437AAC">
        <w:rPr>
          <w:rFonts w:cs="Times New Roman"/>
        </w:rPr>
        <w:t xml:space="preserve"> (2000), 149 C.C.C. (3d) 193 (Ont. C.A.), at </w:t>
      </w:r>
      <w:r>
        <w:rPr>
          <w:rFonts w:cs="Times New Roman"/>
        </w:rPr>
        <w:t>para. </w:t>
      </w:r>
      <w:r w:rsidR="008E4F2F">
        <w:rPr>
          <w:rFonts w:cs="Times New Roman"/>
        </w:rPr>
        <w:t>30).</w:t>
      </w:r>
    </w:p>
    <w:p w:rsidR="00E53404" w:rsidRPr="00437AAC" w:rsidRDefault="00E53404" w:rsidP="00E53404">
      <w:pPr>
        <w:pStyle w:val="ParaNoNdepar-AltN"/>
        <w:rPr>
          <w:rFonts w:cs="Times New Roman"/>
        </w:rPr>
      </w:pPr>
      <w:r w:rsidRPr="00437AAC">
        <w:rPr>
          <w:rFonts w:cs="Times New Roman"/>
        </w:rPr>
        <w:t>This high threshold justifies restricting the remedy for entrapment to a stay of proceedings, which “permanently halts the prosecution of an accused” and is “the most drastic remedy a criminal court can order” (</w:t>
      </w:r>
      <w:r w:rsidRPr="00437AAC">
        <w:rPr>
          <w:rFonts w:cs="Times New Roman"/>
          <w:i/>
        </w:rPr>
        <w:t>R. v. Babos</w:t>
      </w:r>
      <w:r w:rsidRPr="00437AAC">
        <w:rPr>
          <w:rFonts w:cs="Times New Roman"/>
        </w:rPr>
        <w:t xml:space="preserve">, 2014 SCC 16, [2014] 1 S.C.R. 309, at </w:t>
      </w:r>
      <w:r>
        <w:rPr>
          <w:rFonts w:cs="Times New Roman"/>
        </w:rPr>
        <w:t>para. </w:t>
      </w:r>
      <w:r w:rsidRPr="00437AAC">
        <w:rPr>
          <w:rFonts w:cs="Times New Roman"/>
        </w:rPr>
        <w:t xml:space="preserve">30). As Doherty J.A. recognized in </w:t>
      </w:r>
      <w:r w:rsidRPr="00437AAC">
        <w:rPr>
          <w:rFonts w:cs="Times New Roman"/>
          <w:i/>
        </w:rPr>
        <w:t>Ahluwalia</w:t>
      </w:r>
      <w:r w:rsidRPr="00437AAC">
        <w:rPr>
          <w:rFonts w:cs="Times New Roman"/>
        </w:rPr>
        <w:t>, the doctrine of entrapment is not “a vague licence to stay proceedings whenever police conduct offends a particular judge’s sensitivities or his or her perception of how the police should go about doing their business” (</w:t>
      </w:r>
      <w:r>
        <w:rPr>
          <w:rFonts w:cs="Times New Roman"/>
        </w:rPr>
        <w:t>para. </w:t>
      </w:r>
      <w:r w:rsidRPr="00437AAC">
        <w:rPr>
          <w:rFonts w:cs="Times New Roman"/>
        </w:rPr>
        <w:t>31). Indeed, entrapment should only be recognized in the “clearest of cases” (</w:t>
      </w:r>
      <w:r w:rsidRPr="00B917C2">
        <w:rPr>
          <w:rFonts w:cs="Times New Roman"/>
          <w:i/>
        </w:rPr>
        <w:t>Mack</w:t>
      </w:r>
      <w:r w:rsidRPr="00437AAC">
        <w:rPr>
          <w:rFonts w:cs="Times New Roman"/>
        </w:rPr>
        <w:t xml:space="preserve">, at </w:t>
      </w:r>
      <w:r>
        <w:rPr>
          <w:rFonts w:cs="Times New Roman"/>
        </w:rPr>
        <w:t>p. </w:t>
      </w:r>
      <w:r w:rsidR="008E4F2F">
        <w:rPr>
          <w:rFonts w:cs="Times New Roman"/>
        </w:rPr>
        <w:t>977).</w:t>
      </w:r>
    </w:p>
    <w:p w:rsidR="00E53404" w:rsidRPr="00437AAC" w:rsidRDefault="00E53404" w:rsidP="00E53404">
      <w:pPr>
        <w:pStyle w:val="ParaNoNdepar-AltN"/>
        <w:rPr>
          <w:rFonts w:cs="Times New Roman"/>
        </w:rPr>
      </w:pPr>
      <w:r w:rsidRPr="00437AAC">
        <w:rPr>
          <w:rFonts w:cs="Times New Roman"/>
        </w:rPr>
        <w:t xml:space="preserve">The doctrine of entrapment reflects the notions that the police should be limited to investigating and preventing — as opposed to creating — crime, and that the state should not randomly test the virtue of its citizens. More specifically, the Court in </w:t>
      </w:r>
      <w:r w:rsidRPr="00437AAC">
        <w:rPr>
          <w:rFonts w:cs="Times New Roman"/>
          <w:i/>
        </w:rPr>
        <w:t xml:space="preserve">Mack </w:t>
      </w:r>
      <w:r w:rsidRPr="00437AAC">
        <w:rPr>
          <w:rFonts w:cs="Times New Roman"/>
        </w:rPr>
        <w:t>articulated several rationales for recognizing the doctrine of entrapment in Canadian law, including that: (1) there must be limits on the state’s power to intrude on individuals’ personal lives and engage in random virtue testing; (2) “entrapment techniques may result in the commission of crimes by people who would not otherwise have become involved in criminal conduct”; and (3) police powers should not be used to manufacture crime for the purpose of obtaining convictions (</w:t>
      </w:r>
      <w:r>
        <w:rPr>
          <w:rFonts w:cs="Times New Roman"/>
        </w:rPr>
        <w:t>p. </w:t>
      </w:r>
      <w:r w:rsidR="008E4F2F">
        <w:rPr>
          <w:rFonts w:cs="Times New Roman"/>
        </w:rPr>
        <w:t>941).</w:t>
      </w:r>
    </w:p>
    <w:p w:rsidR="00E53404" w:rsidRPr="00437AAC" w:rsidRDefault="00E53404" w:rsidP="00E53404">
      <w:pPr>
        <w:pStyle w:val="ParaNoNdepar-AltN"/>
        <w:spacing w:before="240" w:line="360" w:lineRule="auto"/>
        <w:rPr>
          <w:rFonts w:cs="Times New Roman"/>
        </w:rPr>
      </w:pPr>
      <w:r w:rsidRPr="00437AAC">
        <w:rPr>
          <w:rFonts w:cs="Times New Roman"/>
        </w:rPr>
        <w:t>Entrapment can be made out in two ways, that is, when:</w:t>
      </w:r>
    </w:p>
    <w:p w:rsidR="00E53404" w:rsidRPr="00437AAC" w:rsidRDefault="00943E40" w:rsidP="00943E40">
      <w:pPr>
        <w:pStyle w:val="Citation-AltC"/>
        <w:spacing w:after="240"/>
        <w:contextualSpacing w:val="0"/>
      </w:pPr>
      <w:r>
        <w:rPr>
          <w:lang w:val="en-US"/>
        </w:rPr>
        <w:t>(a)</w:t>
      </w:r>
      <w:r w:rsidRPr="00943E40">
        <w:rPr>
          <w:lang w:val="en-US"/>
        </w:rPr>
        <w:t> </w:t>
      </w:r>
      <w:r w:rsidR="00E53404" w:rsidRPr="00437AAC">
        <w:t xml:space="preserve">the authorities provide a person with an opportunity to commit an offence without acting on a reasonable suspicion that this person is already engaged in criminal activity or pursuant to a </w:t>
      </w:r>
      <w:r w:rsidR="00E53404" w:rsidRPr="00437AAC">
        <w:rPr>
          <w:i/>
        </w:rPr>
        <w:t>bona fide</w:t>
      </w:r>
      <w:r w:rsidR="00E53404" w:rsidRPr="00437AAC">
        <w:t xml:space="preserve"> inquiry [(“opportunity</w:t>
      </w:r>
      <w:r w:rsidR="00E53404">
        <w:noBreakHyphen/>
      </w:r>
      <w:r w:rsidR="008E4F2F">
        <w:t>based entrapment”)];</w:t>
      </w:r>
    </w:p>
    <w:p w:rsidR="00E53404" w:rsidRPr="00437AAC" w:rsidRDefault="00943E40" w:rsidP="00A04D54">
      <w:pPr>
        <w:pStyle w:val="Citation-AltC"/>
        <w:spacing w:after="480"/>
        <w:contextualSpacing w:val="0"/>
      </w:pPr>
      <w:r>
        <w:t>(b)</w:t>
      </w:r>
      <w:r w:rsidRPr="00943E40">
        <w:rPr>
          <w:lang w:val="en-US"/>
        </w:rPr>
        <w:t> </w:t>
      </w:r>
      <w:r w:rsidR="00E53404" w:rsidRPr="00437AAC">
        <w:t xml:space="preserve">although having such a reasonable suspicion or acting in the course of a </w:t>
      </w:r>
      <w:r w:rsidR="00E53404" w:rsidRPr="00437AAC">
        <w:rPr>
          <w:i/>
        </w:rPr>
        <w:t>bona fide</w:t>
      </w:r>
      <w:r w:rsidR="00E53404" w:rsidRPr="00437AAC">
        <w:t xml:space="preserve"> inquiry, [the authorities] go beyond providing an opportunity and induce the commission of an offence [(“inducement</w:t>
      </w:r>
      <w:r w:rsidR="00E53404">
        <w:noBreakHyphen/>
      </w:r>
      <w:r w:rsidR="00E53404" w:rsidRPr="00437AAC">
        <w:t>based entrapment”)].</w:t>
      </w:r>
    </w:p>
    <w:p w:rsidR="00E53404" w:rsidRPr="00437AAC" w:rsidRDefault="00E53404" w:rsidP="008E4F2F">
      <w:pPr>
        <w:pStyle w:val="Citation-AltC"/>
        <w:ind w:left="0"/>
      </w:pPr>
      <w:r w:rsidRPr="00437AAC">
        <w:t>(</w:t>
      </w:r>
      <w:r w:rsidRPr="00437AAC">
        <w:rPr>
          <w:i/>
        </w:rPr>
        <w:t>Mack</w:t>
      </w:r>
      <w:r w:rsidRPr="00437AAC">
        <w:t xml:space="preserve">, at </w:t>
      </w:r>
      <w:r>
        <w:t>pp. </w:t>
      </w:r>
      <w:r w:rsidRPr="00437AAC">
        <w:t>964</w:t>
      </w:r>
      <w:r>
        <w:noBreakHyphen/>
      </w:r>
      <w:r w:rsidRPr="00437AAC">
        <w:t xml:space="preserve">65; see also </w:t>
      </w:r>
      <w:r w:rsidRPr="00437AAC">
        <w:rPr>
          <w:i/>
        </w:rPr>
        <w:t>Barnes</w:t>
      </w:r>
      <w:r w:rsidRPr="00437AAC">
        <w:t xml:space="preserve">, at </w:t>
      </w:r>
      <w:r>
        <w:t>p. </w:t>
      </w:r>
      <w:r w:rsidRPr="00437AAC">
        <w:t>460.)</w:t>
      </w:r>
    </w:p>
    <w:p w:rsidR="00E53404" w:rsidRPr="00437AAC" w:rsidRDefault="00E53404" w:rsidP="00E53404">
      <w:pPr>
        <w:pStyle w:val="ParaNoNdepar-AltN"/>
        <w:rPr>
          <w:rFonts w:cs="Times New Roman"/>
        </w:rPr>
      </w:pPr>
      <w:r w:rsidRPr="00437AAC">
        <w:rPr>
          <w:rFonts w:cs="Times New Roman"/>
        </w:rPr>
        <w:t xml:space="preserve">These appeals are only concerned with the first branch of entrapment, which has two prongs. First, the police may provide an individual with an opportunity to commit an offence if they reasonably suspect that the targeted individual is already engaged in criminal activity of the same type (the individualized suspicion prong). Second, even if the police do not reasonably suspect that a particular individual is involved in criminal activity, the police may nonetheless provide that individual with an opportunity to commit a criminal offence if they are acting “in the course of a </w:t>
      </w:r>
      <w:r w:rsidRPr="00437AAC">
        <w:rPr>
          <w:rFonts w:cs="Times New Roman"/>
          <w:i/>
        </w:rPr>
        <w:t>bona fide</w:t>
      </w:r>
      <w:r w:rsidRPr="00437AAC">
        <w:rPr>
          <w:rFonts w:cs="Times New Roman"/>
        </w:rPr>
        <w:t xml:space="preserve"> inquiry” (the </w:t>
      </w:r>
      <w:r w:rsidRPr="00437AAC">
        <w:rPr>
          <w:rFonts w:cs="Times New Roman"/>
          <w:i/>
        </w:rPr>
        <w:t xml:space="preserve">bona fide </w:t>
      </w:r>
      <w:r w:rsidRPr="00437AAC">
        <w:rPr>
          <w:rFonts w:cs="Times New Roman"/>
        </w:rPr>
        <w:t>inquiry prong) (</w:t>
      </w:r>
      <w:r w:rsidRPr="00437AAC">
        <w:rPr>
          <w:rFonts w:cs="Times New Roman"/>
          <w:i/>
        </w:rPr>
        <w:t>Barnes</w:t>
      </w:r>
      <w:r w:rsidRPr="00437AAC">
        <w:rPr>
          <w:rFonts w:cs="Times New Roman"/>
        </w:rPr>
        <w:t xml:space="preserve">, at </w:t>
      </w:r>
      <w:r>
        <w:rPr>
          <w:rFonts w:cs="Times New Roman"/>
        </w:rPr>
        <w:t>p. </w:t>
      </w:r>
      <w:r w:rsidRPr="00437AAC">
        <w:rPr>
          <w:rFonts w:cs="Times New Roman"/>
        </w:rPr>
        <w:t>460 (emphasis deleted)).</w:t>
      </w:r>
    </w:p>
    <w:p w:rsidR="00E53404" w:rsidRPr="00437AAC" w:rsidRDefault="00E53404" w:rsidP="00E53404">
      <w:pPr>
        <w:pStyle w:val="ParaNoNdepar-AltN"/>
        <w:rPr>
          <w:rFonts w:cs="Times New Roman"/>
        </w:rPr>
      </w:pPr>
      <w:r w:rsidRPr="00437AAC">
        <w:rPr>
          <w:rFonts w:cs="Times New Roman"/>
        </w:rPr>
        <w:t xml:space="preserve">The </w:t>
      </w:r>
      <w:r w:rsidRPr="00437AAC">
        <w:rPr>
          <w:rFonts w:cs="Times New Roman"/>
          <w:i/>
        </w:rPr>
        <w:t xml:space="preserve">bona fide </w:t>
      </w:r>
      <w:r w:rsidRPr="00437AAC">
        <w:rPr>
          <w:rFonts w:cs="Times New Roman"/>
        </w:rPr>
        <w:t xml:space="preserve">inquiry prong requires some elaboration. While it was first mentioned in </w:t>
      </w:r>
      <w:r w:rsidRPr="00437AAC">
        <w:rPr>
          <w:rFonts w:cs="Times New Roman"/>
          <w:i/>
        </w:rPr>
        <w:t>Mack</w:t>
      </w:r>
      <w:r w:rsidRPr="00437AAC">
        <w:rPr>
          <w:rFonts w:cs="Times New Roman"/>
        </w:rPr>
        <w:t>, that case involved the second branch of entrapment (i.e., inducement</w:t>
      </w:r>
      <w:r>
        <w:rPr>
          <w:rFonts w:cs="Times New Roman"/>
        </w:rPr>
        <w:noBreakHyphen/>
      </w:r>
      <w:r w:rsidRPr="00437AAC">
        <w:rPr>
          <w:rFonts w:cs="Times New Roman"/>
        </w:rPr>
        <w:t xml:space="preserve">based entrapment). The Court had the opportunity to develop, clarify, and apply the </w:t>
      </w:r>
      <w:r w:rsidRPr="00437AAC">
        <w:rPr>
          <w:rFonts w:cs="Times New Roman"/>
          <w:i/>
        </w:rPr>
        <w:t>bona fide</w:t>
      </w:r>
      <w:r w:rsidRPr="00437AAC">
        <w:rPr>
          <w:rFonts w:cs="Times New Roman"/>
        </w:rPr>
        <w:t xml:space="preserve"> inquiry prong in </w:t>
      </w:r>
      <w:r w:rsidRPr="00437AAC">
        <w:rPr>
          <w:rFonts w:cs="Times New Roman"/>
          <w:i/>
        </w:rPr>
        <w:t>Barnes</w:t>
      </w:r>
      <w:r w:rsidRPr="00437AAC">
        <w:rPr>
          <w:rFonts w:cs="Times New Roman"/>
        </w:rPr>
        <w:t>, which remains this Court’s authoritative statement on the first branch (i.e., opportunity</w:t>
      </w:r>
      <w:r>
        <w:rPr>
          <w:rFonts w:cs="Times New Roman"/>
        </w:rPr>
        <w:noBreakHyphen/>
      </w:r>
      <w:r w:rsidRPr="00437AAC">
        <w:rPr>
          <w:rFonts w:cs="Times New Roman"/>
        </w:rPr>
        <w:t>based entrapment).</w:t>
      </w:r>
      <w:r w:rsidRPr="00997B79">
        <w:rPr>
          <w:rFonts w:cs="Times New Roman"/>
        </w:rPr>
        <w:t xml:space="preserve"> </w:t>
      </w:r>
      <w:r w:rsidRPr="00437AAC">
        <w:rPr>
          <w:rFonts w:cs="Times New Roman"/>
        </w:rPr>
        <w:t xml:space="preserve">The </w:t>
      </w:r>
      <w:r w:rsidRPr="00437AAC">
        <w:rPr>
          <w:rFonts w:cs="Times New Roman"/>
          <w:i/>
        </w:rPr>
        <w:t xml:space="preserve">bona fide </w:t>
      </w:r>
      <w:r w:rsidRPr="00437AAC">
        <w:rPr>
          <w:rFonts w:cs="Times New Roman"/>
        </w:rPr>
        <w:t>inquiry prong was said to refer to an investigation that is “motivated by the genuine purpose of investigating and repressing criminal activity” (</w:t>
      </w:r>
      <w:r w:rsidRPr="00437AAC">
        <w:rPr>
          <w:rFonts w:cs="Times New Roman"/>
          <w:i/>
        </w:rPr>
        <w:t>Barnes</w:t>
      </w:r>
      <w:r w:rsidRPr="00437AAC">
        <w:rPr>
          <w:rFonts w:cs="Times New Roman"/>
        </w:rPr>
        <w:t xml:space="preserve">, at </w:t>
      </w:r>
      <w:r>
        <w:rPr>
          <w:rFonts w:cs="Times New Roman"/>
        </w:rPr>
        <w:t>p. </w:t>
      </w:r>
      <w:r w:rsidRPr="00437AAC">
        <w:rPr>
          <w:rFonts w:cs="Times New Roman"/>
        </w:rPr>
        <w:t>460), and targets persons associated with “</w:t>
      </w:r>
      <w:r w:rsidRPr="00437AAC">
        <w:rPr>
          <w:rFonts w:cs="Times New Roman"/>
          <w:u w:val="single"/>
        </w:rPr>
        <w:t>a particular location or area</w:t>
      </w:r>
      <w:r w:rsidRPr="00437AAC">
        <w:rPr>
          <w:rFonts w:cs="Times New Roman"/>
        </w:rPr>
        <w:t xml:space="preserve"> where it is </w:t>
      </w:r>
      <w:r w:rsidRPr="00437AAC">
        <w:rPr>
          <w:rFonts w:cs="Times New Roman"/>
          <w:u w:val="single"/>
        </w:rPr>
        <w:t>reasonably suspected</w:t>
      </w:r>
      <w:r w:rsidRPr="00437AAC">
        <w:rPr>
          <w:rFonts w:cs="Times New Roman"/>
        </w:rPr>
        <w:t xml:space="preserve"> that certain criminal activity is occurring” (</w:t>
      </w:r>
      <w:r w:rsidRPr="00437AAC">
        <w:rPr>
          <w:rFonts w:cs="Times New Roman"/>
          <w:i/>
        </w:rPr>
        <w:t>Mack</w:t>
      </w:r>
      <w:r w:rsidRPr="00437AAC">
        <w:rPr>
          <w:rFonts w:cs="Times New Roman"/>
        </w:rPr>
        <w:t xml:space="preserve">, at </w:t>
      </w:r>
      <w:r>
        <w:rPr>
          <w:rFonts w:cs="Times New Roman"/>
        </w:rPr>
        <w:t>p. </w:t>
      </w:r>
      <w:r w:rsidRPr="00437AAC">
        <w:rPr>
          <w:rFonts w:cs="Times New Roman"/>
        </w:rPr>
        <w:t xml:space="preserve">956 (emphasis added)). Within an area that is “defined with sufficient precision”, the </w:t>
      </w:r>
      <w:r w:rsidRPr="00437AAC">
        <w:rPr>
          <w:rFonts w:cs="Times New Roman"/>
          <w:i/>
        </w:rPr>
        <w:t xml:space="preserve">bona fide </w:t>
      </w:r>
      <w:r w:rsidRPr="00437AAC">
        <w:rPr>
          <w:rFonts w:cs="Times New Roman"/>
        </w:rPr>
        <w:t>inquiry prong of entrapment gives law enforcement significant latitude to investigate “</w:t>
      </w:r>
      <w:r w:rsidRPr="00437AAC">
        <w:rPr>
          <w:rFonts w:cs="Times New Roman"/>
          <w:u w:val="single"/>
        </w:rPr>
        <w:t>any</w:t>
      </w:r>
      <w:r w:rsidRPr="00437AAC">
        <w:rPr>
          <w:rFonts w:cs="Times New Roman"/>
        </w:rPr>
        <w:t xml:space="preserve"> person associated with the area” (</w:t>
      </w:r>
      <w:r w:rsidRPr="00437AAC">
        <w:rPr>
          <w:rFonts w:cs="Times New Roman"/>
          <w:i/>
        </w:rPr>
        <w:t>Barnes</w:t>
      </w:r>
      <w:r w:rsidRPr="00437AAC">
        <w:rPr>
          <w:rFonts w:cs="Times New Roman"/>
        </w:rPr>
        <w:t xml:space="preserve">, </w:t>
      </w:r>
      <w:r>
        <w:rPr>
          <w:rFonts w:cs="Times New Roman"/>
        </w:rPr>
        <w:t>p. </w:t>
      </w:r>
      <w:r w:rsidRPr="00437AAC">
        <w:rPr>
          <w:rFonts w:cs="Times New Roman"/>
        </w:rPr>
        <w:t xml:space="preserve">463 (emphasis in original)). Indeed, as Lamer C.J. put it in </w:t>
      </w:r>
      <w:r w:rsidRPr="00437AAC">
        <w:rPr>
          <w:rFonts w:cs="Times New Roman"/>
          <w:i/>
        </w:rPr>
        <w:t>Barnes</w:t>
      </w:r>
      <w:r w:rsidRPr="00437AAC">
        <w:rPr>
          <w:rFonts w:cs="Times New Roman"/>
        </w:rPr>
        <w:t xml:space="preserve">, “[s]uch randomness is permissible within the scope of a </w:t>
      </w:r>
      <w:r w:rsidRPr="00437AAC">
        <w:rPr>
          <w:rFonts w:cs="Times New Roman"/>
          <w:i/>
        </w:rPr>
        <w:t xml:space="preserve">bona fide </w:t>
      </w:r>
      <w:r w:rsidRPr="00437AAC">
        <w:rPr>
          <w:rFonts w:cs="Times New Roman"/>
        </w:rPr>
        <w:t>inquiry” (</w:t>
      </w:r>
      <w:r>
        <w:rPr>
          <w:rFonts w:cs="Times New Roman"/>
        </w:rPr>
        <w:t>p. </w:t>
      </w:r>
      <w:r w:rsidRPr="00437AAC">
        <w:rPr>
          <w:rFonts w:cs="Times New Roman"/>
        </w:rPr>
        <w:t xml:space="preserve">463). Notably, the location in </w:t>
      </w:r>
      <w:r w:rsidRPr="00437AAC">
        <w:rPr>
          <w:rFonts w:cs="Times New Roman"/>
          <w:i/>
        </w:rPr>
        <w:t>Barnes</w:t>
      </w:r>
      <w:r w:rsidRPr="00437AAC">
        <w:rPr>
          <w:rFonts w:cs="Times New Roman"/>
        </w:rPr>
        <w:t>, which the Court found to be defined with sufficient precision, consisted of a busy six</w:t>
      </w:r>
      <w:r>
        <w:rPr>
          <w:rFonts w:cs="Times New Roman"/>
        </w:rPr>
        <w:noBreakHyphen/>
      </w:r>
      <w:r w:rsidRPr="00437AAC">
        <w:rPr>
          <w:rFonts w:cs="Times New Roman"/>
        </w:rPr>
        <w:t>block area in downtown Vancouver. Practically speaking, based on evidence that drug trafficking was prevalent in that six</w:t>
      </w:r>
      <w:r>
        <w:rPr>
          <w:rFonts w:cs="Times New Roman"/>
        </w:rPr>
        <w:noBreakHyphen/>
      </w:r>
      <w:r w:rsidRPr="00437AAC">
        <w:rPr>
          <w:rFonts w:cs="Times New Roman"/>
        </w:rPr>
        <w:t xml:space="preserve">block area, </w:t>
      </w:r>
      <w:r w:rsidRPr="00437AAC">
        <w:rPr>
          <w:rFonts w:cs="Times New Roman"/>
          <w:i/>
        </w:rPr>
        <w:t>Barnes</w:t>
      </w:r>
      <w:r w:rsidRPr="00437AAC">
        <w:rPr>
          <w:rFonts w:cs="Times New Roman"/>
        </w:rPr>
        <w:t xml:space="preserve"> enabled the police to target thousands of unknown persons and provide them with an opportunity to traffic in drugs.</w:t>
      </w:r>
    </w:p>
    <w:p w:rsidR="00E53404" w:rsidRPr="00437AAC" w:rsidRDefault="00E53404" w:rsidP="00E53404">
      <w:pPr>
        <w:pStyle w:val="Title2LevelTitre2Niveau"/>
        <w:keepNext/>
        <w:jc w:val="both"/>
        <w:rPr>
          <w:rFonts w:cs="Times New Roman"/>
        </w:rPr>
      </w:pPr>
      <w:r w:rsidRPr="00437AAC">
        <w:rPr>
          <w:rFonts w:cs="Times New Roman"/>
        </w:rPr>
        <w:t>The Dial</w:t>
      </w:r>
      <w:r>
        <w:rPr>
          <w:rFonts w:cs="Times New Roman"/>
        </w:rPr>
        <w:noBreakHyphen/>
      </w:r>
      <w:r w:rsidRPr="00437AAC">
        <w:rPr>
          <w:rFonts w:cs="Times New Roman"/>
        </w:rPr>
        <w:t>a</w:t>
      </w:r>
      <w:r>
        <w:rPr>
          <w:rFonts w:cs="Times New Roman"/>
        </w:rPr>
        <w:noBreakHyphen/>
      </w:r>
      <w:r w:rsidRPr="00437AAC">
        <w:rPr>
          <w:rFonts w:cs="Times New Roman"/>
        </w:rPr>
        <w:t>Dope Jurisprudence Reveals Problems With the First Branch of Entrapment</w:t>
      </w:r>
    </w:p>
    <w:p w:rsidR="00E53404" w:rsidRPr="00437AAC" w:rsidRDefault="00E53404" w:rsidP="00E53404">
      <w:pPr>
        <w:pStyle w:val="Title3LevelTitre3Niveau"/>
        <w:keepNext/>
        <w:jc w:val="both"/>
        <w:rPr>
          <w:rFonts w:cs="Times New Roman"/>
        </w:rPr>
      </w:pPr>
      <w:r w:rsidRPr="00437AAC">
        <w:rPr>
          <w:rFonts w:cs="Times New Roman"/>
        </w:rPr>
        <w:t>The Individualized Suspicion Prong Leads to Anomalous Results in the Dial</w:t>
      </w:r>
      <w:r>
        <w:rPr>
          <w:rFonts w:cs="Times New Roman"/>
        </w:rPr>
        <w:noBreakHyphen/>
      </w:r>
      <w:r w:rsidRPr="00437AAC">
        <w:rPr>
          <w:rFonts w:cs="Times New Roman"/>
        </w:rPr>
        <w:t>a</w:t>
      </w:r>
      <w:r>
        <w:rPr>
          <w:rFonts w:cs="Times New Roman"/>
        </w:rPr>
        <w:noBreakHyphen/>
      </w:r>
      <w:r w:rsidRPr="00437AAC">
        <w:rPr>
          <w:rFonts w:cs="Times New Roman"/>
        </w:rPr>
        <w:t>Dope Context</w:t>
      </w:r>
    </w:p>
    <w:p w:rsidR="00E53404" w:rsidRPr="00437AAC" w:rsidRDefault="00E53404" w:rsidP="00E53404">
      <w:pPr>
        <w:pStyle w:val="ParaNoNdepar-AltN"/>
        <w:keepNext/>
        <w:rPr>
          <w:rFonts w:cs="Times New Roman"/>
        </w:rPr>
      </w:pPr>
      <w:r w:rsidRPr="00437AAC">
        <w:rPr>
          <w:rFonts w:cs="Times New Roman"/>
        </w:rPr>
        <w:t>In the context of entrapment, the individualized suspicion prong has come under fire for leading to anomalous results, particularly in dial</w:t>
      </w:r>
      <w:r>
        <w:rPr>
          <w:rFonts w:cs="Times New Roman"/>
        </w:rPr>
        <w:noBreakHyphen/>
      </w:r>
      <w:r w:rsidRPr="00437AAC">
        <w:rPr>
          <w:rFonts w:cs="Times New Roman"/>
        </w:rPr>
        <w:t>a</w:t>
      </w:r>
      <w:r>
        <w:rPr>
          <w:rFonts w:cs="Times New Roman"/>
        </w:rPr>
        <w:noBreakHyphen/>
      </w:r>
      <w:r w:rsidRPr="00437AAC">
        <w:rPr>
          <w:rFonts w:cs="Times New Roman"/>
        </w:rPr>
        <w:t xml:space="preserve">dope cases where police call alleged drug dealers based on minimal information (see, e.g., S. Penney, “Entrapment Minimalism: Shedding the ‘No Reasonable Suspicion or Bona Fide Inquiry’ Test” (2019), 44 </w:t>
      </w:r>
      <w:r w:rsidRPr="00437AAC">
        <w:rPr>
          <w:rFonts w:cs="Times New Roman"/>
          <w:i/>
        </w:rPr>
        <w:t>Queen’s L.J.</w:t>
      </w:r>
      <w:r w:rsidRPr="00437AAC">
        <w:rPr>
          <w:rFonts w:cs="Times New Roman"/>
        </w:rPr>
        <w:t xml:space="preserve"> 356, at </w:t>
      </w:r>
      <w:r>
        <w:rPr>
          <w:rFonts w:cs="Times New Roman"/>
        </w:rPr>
        <w:t>pp. </w:t>
      </w:r>
      <w:r w:rsidRPr="00437AAC">
        <w:rPr>
          <w:rFonts w:cs="Times New Roman"/>
        </w:rPr>
        <w:t>357</w:t>
      </w:r>
      <w:r>
        <w:rPr>
          <w:rFonts w:cs="Times New Roman"/>
        </w:rPr>
        <w:noBreakHyphen/>
      </w:r>
      <w:r w:rsidRPr="00437AAC">
        <w:rPr>
          <w:rFonts w:cs="Times New Roman"/>
        </w:rPr>
        <w:t xml:space="preserve">58; </w:t>
      </w:r>
      <w:r w:rsidRPr="00437AAC">
        <w:rPr>
          <w:rFonts w:cs="Times New Roman"/>
          <w:i/>
        </w:rPr>
        <w:t>R. v. Le</w:t>
      </w:r>
      <w:r w:rsidRPr="00437AAC">
        <w:rPr>
          <w:rFonts w:cs="Times New Roman"/>
        </w:rPr>
        <w:t xml:space="preserve">, 2016 BCCA 155, 28 C.R. (7th) 187; C.A. reasons, at </w:t>
      </w:r>
      <w:r>
        <w:rPr>
          <w:rFonts w:cs="Times New Roman"/>
        </w:rPr>
        <w:t>para. </w:t>
      </w:r>
      <w:r w:rsidRPr="00437AAC">
        <w:rPr>
          <w:rFonts w:cs="Times New Roman"/>
        </w:rPr>
        <w:t xml:space="preserve">128, per Himel J., concurring; Williams Second Stay Application reasons, at </w:t>
      </w:r>
      <w:r>
        <w:rPr>
          <w:rFonts w:cs="Times New Roman"/>
        </w:rPr>
        <w:t>paras. </w:t>
      </w:r>
      <w:r w:rsidRPr="00437AAC">
        <w:rPr>
          <w:rFonts w:cs="Times New Roman"/>
        </w:rPr>
        <w:t>22</w:t>
      </w:r>
      <w:r>
        <w:rPr>
          <w:rFonts w:cs="Times New Roman"/>
        </w:rPr>
        <w:noBreakHyphen/>
      </w:r>
      <w:r w:rsidRPr="00437AAC">
        <w:rPr>
          <w:rFonts w:cs="Times New Roman"/>
        </w:rPr>
        <w:t>23). The concern expressed is that even though the investigating officer may not possess individualized reasonable suspicion at the time he or she offers an opportunity, the police conduct in a typical dial</w:t>
      </w:r>
      <w:r>
        <w:rPr>
          <w:rFonts w:cs="Times New Roman"/>
        </w:rPr>
        <w:noBreakHyphen/>
      </w:r>
      <w:r w:rsidRPr="00437AAC">
        <w:rPr>
          <w:rFonts w:cs="Times New Roman"/>
        </w:rPr>
        <w:t>a</w:t>
      </w:r>
      <w:r>
        <w:rPr>
          <w:rFonts w:cs="Times New Roman"/>
        </w:rPr>
        <w:noBreakHyphen/>
      </w:r>
      <w:r w:rsidRPr="00437AAC">
        <w:rPr>
          <w:rFonts w:cs="Times New Roman"/>
        </w:rPr>
        <w:t>dope case cannot be said to rise to the level of an abuse of process warranting a stay of proceedings. Further, as these appeals demonstrate, the individualized suspicion prong has been interpreted to require a minute parsing of the language used by the undercover officer, which has led to artificial distinctions between cases where a stay is granted and cases where the convictions are upheld. These distinctions are often picayune, difficult to draw, and promote an approach that, in my view, is akin to dancing on the head of a pin. Moreover, of fundamental concern, these distinctions are completely untethered from the abuse of process doctrine that is the cornerstone of entrapment.</w:t>
      </w:r>
    </w:p>
    <w:p w:rsidR="00E53404" w:rsidRPr="00437AAC" w:rsidRDefault="00E53404" w:rsidP="00E53404">
      <w:pPr>
        <w:pStyle w:val="ParaNoNdepar-AltN"/>
        <w:rPr>
          <w:rFonts w:cs="Times New Roman"/>
        </w:rPr>
      </w:pPr>
      <w:r w:rsidRPr="00437AAC">
        <w:rPr>
          <w:rFonts w:cs="Times New Roman"/>
        </w:rPr>
        <w:t xml:space="preserve">In order to avoid a finding of entrapment under the individualized suspicion prong,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instruct that an officer must have reasonable suspicion before he or she can provide an individual with an opportunity to commit an offence. Post</w:t>
      </w:r>
      <w:r>
        <w:rPr>
          <w:rFonts w:cs="Times New Roman"/>
        </w:rPr>
        <w:noBreakHyphen/>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this Court has defined reasonable suspicion as “something more than a mere suspicion and something less than a belief based upon reasonable and probable grounds” (</w:t>
      </w:r>
      <w:r w:rsidRPr="00437AAC">
        <w:rPr>
          <w:rFonts w:cs="Times New Roman"/>
          <w:i/>
        </w:rPr>
        <w:t>R. v. Chehil</w:t>
      </w:r>
      <w:r w:rsidRPr="00437AAC">
        <w:rPr>
          <w:rFonts w:cs="Times New Roman"/>
        </w:rPr>
        <w:t xml:space="preserve">, 2013 SCC 49, [2013] 3 S.C.R. 220, at </w:t>
      </w:r>
      <w:r>
        <w:rPr>
          <w:rFonts w:cs="Times New Roman"/>
        </w:rPr>
        <w:t>para. </w:t>
      </w:r>
      <w:r w:rsidRPr="00437AAC">
        <w:rPr>
          <w:rFonts w:cs="Times New Roman"/>
        </w:rPr>
        <w:t>26, quoting</w:t>
      </w:r>
      <w:r w:rsidRPr="00437AAC">
        <w:rPr>
          <w:rFonts w:cs="Times New Roman"/>
          <w:i/>
        </w:rPr>
        <w:t xml:space="preserve"> R. v. Kang</w:t>
      </w:r>
      <w:r>
        <w:rPr>
          <w:rFonts w:cs="Times New Roman"/>
          <w:i/>
        </w:rPr>
        <w:noBreakHyphen/>
      </w:r>
      <w:r w:rsidRPr="00437AAC">
        <w:rPr>
          <w:rFonts w:cs="Times New Roman"/>
          <w:i/>
        </w:rPr>
        <w:t>Brown</w:t>
      </w:r>
      <w:r w:rsidRPr="00437AAC">
        <w:rPr>
          <w:rFonts w:cs="Times New Roman"/>
        </w:rPr>
        <w:t xml:space="preserve">, 2008 SCC 18, [2008] 1 S.C.R. 456, at </w:t>
      </w:r>
      <w:r>
        <w:rPr>
          <w:rFonts w:cs="Times New Roman"/>
        </w:rPr>
        <w:t>para. </w:t>
      </w:r>
      <w:r w:rsidRPr="00437AAC">
        <w:rPr>
          <w:rFonts w:cs="Times New Roman"/>
        </w:rPr>
        <w:t>75). It is a “robust standard” that “derives its rigour from the requirement that it be based on objectively discernible facts, which can then be subjected to independent [and exacting] judicial scrutiny” (</w:t>
      </w:r>
      <w:r w:rsidRPr="00437AAC">
        <w:rPr>
          <w:rFonts w:cs="Times New Roman"/>
          <w:i/>
        </w:rPr>
        <w:t>Chehil</w:t>
      </w:r>
      <w:r w:rsidRPr="00437AAC">
        <w:rPr>
          <w:rFonts w:cs="Times New Roman"/>
        </w:rPr>
        <w:t xml:space="preserve">, at </w:t>
      </w:r>
      <w:r>
        <w:rPr>
          <w:rFonts w:cs="Times New Roman"/>
        </w:rPr>
        <w:t>paras. </w:t>
      </w:r>
      <w:r w:rsidRPr="00437AAC">
        <w:rPr>
          <w:rFonts w:cs="Times New Roman"/>
        </w:rPr>
        <w:t>3 and 26).</w:t>
      </w:r>
    </w:p>
    <w:p w:rsidR="00E53404" w:rsidRPr="00437AAC" w:rsidRDefault="00E53404" w:rsidP="00E53404">
      <w:pPr>
        <w:pStyle w:val="ParaNoNdepar-AltN"/>
        <w:rPr>
          <w:rFonts w:cs="Times New Roman"/>
        </w:rPr>
      </w:pPr>
      <w:r w:rsidRPr="00437AAC">
        <w:rPr>
          <w:rFonts w:cs="Times New Roman"/>
        </w:rPr>
        <w:t>In an attempt to both adhere to the formal requirement of reasonable suspicion and preserve the substantive abuse of process character of entrapment in dial</w:t>
      </w:r>
      <w:r>
        <w:rPr>
          <w:rFonts w:cs="Times New Roman"/>
        </w:rPr>
        <w:noBreakHyphen/>
      </w:r>
      <w:r w:rsidRPr="00437AAC">
        <w:rPr>
          <w:rFonts w:cs="Times New Roman"/>
        </w:rPr>
        <w:t>a</w:t>
      </w:r>
      <w:r>
        <w:rPr>
          <w:rFonts w:cs="Times New Roman"/>
        </w:rPr>
        <w:noBreakHyphen/>
      </w:r>
      <w:r w:rsidRPr="00437AAC">
        <w:rPr>
          <w:rFonts w:cs="Times New Roman"/>
        </w:rPr>
        <w:t>dope cases, some courts have developed an approach that, with respect and unlike my colleagues, I cannot endorse. Presently, the jurisprudence in some jurisdictions, including Ontario, draws a distinction between taking an “investigative step” (which does not require reasonable suspicion) and presenting an “opportunity” to commit an offence (which does). Investigative steps can furnish the reasonable suspicion necessary to present an opportunity. On its face, this distinction appears unproblematic — clearly, there is a difference between taking a step in the investigation and offering an opportunity.</w:t>
      </w:r>
    </w:p>
    <w:p w:rsidR="00E53404" w:rsidRPr="00437AAC" w:rsidRDefault="00E53404" w:rsidP="00E53404">
      <w:pPr>
        <w:pStyle w:val="ParaNoNdepar-AltN"/>
        <w:rPr>
          <w:rFonts w:cs="Times New Roman"/>
        </w:rPr>
      </w:pPr>
      <w:r w:rsidRPr="00437AAC">
        <w:rPr>
          <w:rFonts w:cs="Times New Roman"/>
        </w:rPr>
        <w:t>The issue, however, is how the courts have drawn the line. A review of the jurisprudence reveals that “investigative steps” have been held to involve engaging a potential drug dealer over the phone and asking general questions, such as “can you hook me up” or “are you rolling”. An opportunity, on the other hand, has been defined as a request to purchase a specific quantity of drugs. For example, an officer could provide an opportunity by stating “I need 80” (referring to</w:t>
      </w:r>
      <w:r>
        <w:rPr>
          <w:rFonts w:cs="Times New Roman"/>
        </w:rPr>
        <w:t> $</w:t>
      </w:r>
      <w:r w:rsidRPr="00437AAC">
        <w:rPr>
          <w:rFonts w:cs="Times New Roman"/>
        </w:rPr>
        <w:t xml:space="preserve">80 worth of cocaine) (see C.A. reasons, at </w:t>
      </w:r>
      <w:r>
        <w:rPr>
          <w:rFonts w:cs="Times New Roman"/>
        </w:rPr>
        <w:t>para. </w:t>
      </w:r>
      <w:r w:rsidRPr="00437AAC">
        <w:rPr>
          <w:rFonts w:cs="Times New Roman"/>
        </w:rPr>
        <w:t xml:space="preserve">42; Williams First Stay Application reasons, at </w:t>
      </w:r>
      <w:r>
        <w:rPr>
          <w:rFonts w:cs="Times New Roman"/>
        </w:rPr>
        <w:t>paras. </w:t>
      </w:r>
      <w:r w:rsidRPr="00437AAC">
        <w:rPr>
          <w:rFonts w:cs="Times New Roman"/>
        </w:rPr>
        <w:t>20</w:t>
      </w:r>
      <w:r>
        <w:rPr>
          <w:rFonts w:cs="Times New Roman"/>
        </w:rPr>
        <w:noBreakHyphen/>
      </w:r>
      <w:r w:rsidRPr="00437AAC">
        <w:rPr>
          <w:rFonts w:cs="Times New Roman"/>
        </w:rPr>
        <w:t>27; C. De Sa, “Entrapment: Clearly Misunderstood in the Dial</w:t>
      </w:r>
      <w:r>
        <w:rPr>
          <w:rFonts w:cs="Times New Roman"/>
        </w:rPr>
        <w:noBreakHyphen/>
      </w:r>
      <w:r w:rsidRPr="00437AAC">
        <w:rPr>
          <w:rFonts w:cs="Times New Roman"/>
        </w:rPr>
        <w:t>a</w:t>
      </w:r>
      <w:r>
        <w:rPr>
          <w:rFonts w:cs="Times New Roman"/>
        </w:rPr>
        <w:noBreakHyphen/>
      </w:r>
      <w:r w:rsidRPr="00437AAC">
        <w:rPr>
          <w:rFonts w:cs="Times New Roman"/>
        </w:rPr>
        <w:t>Dope Context” (2015), 62</w:t>
      </w:r>
      <w:r>
        <w:rPr>
          <w:rFonts w:cs="Times New Roman"/>
        </w:rPr>
        <w:t> </w:t>
      </w:r>
      <w:r w:rsidRPr="00437AAC">
        <w:rPr>
          <w:rFonts w:cs="Times New Roman"/>
          <w:i/>
        </w:rPr>
        <w:t>Crim</w:t>
      </w:r>
      <w:r>
        <w:rPr>
          <w:rFonts w:cs="Times New Roman"/>
          <w:i/>
        </w:rPr>
        <w:t>.</w:t>
      </w:r>
      <w:r w:rsidRPr="00437AAC">
        <w:rPr>
          <w:rFonts w:cs="Times New Roman"/>
          <w:i/>
        </w:rPr>
        <w:t xml:space="preserve"> L.Q.</w:t>
      </w:r>
      <w:r w:rsidRPr="00437AAC">
        <w:rPr>
          <w:rFonts w:cs="Times New Roman"/>
        </w:rPr>
        <w:t xml:space="preserve"> 200, at </w:t>
      </w:r>
      <w:r>
        <w:rPr>
          <w:rFonts w:cs="Times New Roman"/>
        </w:rPr>
        <w:t>pp. </w:t>
      </w:r>
      <w:r w:rsidRPr="00437AAC">
        <w:rPr>
          <w:rFonts w:cs="Times New Roman"/>
        </w:rPr>
        <w:t>202</w:t>
      </w:r>
      <w:r>
        <w:rPr>
          <w:rFonts w:cs="Times New Roman"/>
        </w:rPr>
        <w:noBreakHyphen/>
      </w:r>
      <w:r w:rsidRPr="00437AAC">
        <w:rPr>
          <w:rFonts w:cs="Times New Roman"/>
        </w:rPr>
        <w:t>3). This distinction is the reason why, at first instance, Mr. Williams’s entrapment application was allowed w</w:t>
      </w:r>
      <w:r w:rsidR="00997B79">
        <w:rPr>
          <w:rFonts w:cs="Times New Roman"/>
        </w:rPr>
        <w:t>hile Mr. Ahmad’s was dismissed.</w:t>
      </w:r>
    </w:p>
    <w:p w:rsidR="00E53404" w:rsidRPr="00437AAC" w:rsidRDefault="00E53404" w:rsidP="00E53404">
      <w:pPr>
        <w:pStyle w:val="ParaNoNdepar-AltN"/>
        <w:rPr>
          <w:rFonts w:cs="Times New Roman"/>
        </w:rPr>
      </w:pPr>
      <w:r w:rsidRPr="00437AAC">
        <w:rPr>
          <w:rFonts w:cs="Times New Roman"/>
        </w:rPr>
        <w:t>The problem with the “fine line” distinction this approach draws is that it requires courts to closely parse undercover calls to determine whether an accused was entrapped. Judges and academics, as well as interveners in the cases at bar,</w:t>
      </w:r>
      <w:r w:rsidRPr="00997B79">
        <w:rPr>
          <w:rStyle w:val="Hyperlink"/>
          <w:color w:val="auto"/>
          <w:u w:val="none"/>
          <w:vertAlign w:val="superscript"/>
        </w:rPr>
        <w:footnoteReference w:id="4"/>
      </w:r>
      <w:r w:rsidRPr="00437AAC">
        <w:rPr>
          <w:rFonts w:cs="Times New Roman"/>
        </w:rPr>
        <w:t xml:space="preserve"> have criticized this as being unprincipled and impractic</w:t>
      </w:r>
      <w:r>
        <w:rPr>
          <w:rFonts w:cs="Times New Roman"/>
        </w:rPr>
        <w:t>al. </w:t>
      </w:r>
      <w:r w:rsidRPr="00437AAC">
        <w:rPr>
          <w:rFonts w:cs="Times New Roman"/>
        </w:rPr>
        <w:t xml:space="preserve">Professor Penney, echoing the comments of Ducharme J. in </w:t>
      </w:r>
      <w:r w:rsidRPr="00437AAC">
        <w:rPr>
          <w:rFonts w:cs="Times New Roman"/>
          <w:i/>
        </w:rPr>
        <w:t>R. v. Henneh</w:t>
      </w:r>
      <w:r w:rsidRPr="00437AAC">
        <w:rPr>
          <w:rFonts w:cs="Times New Roman"/>
        </w:rPr>
        <w:t xml:space="preserve">, 2017 ONSC 4835, [2017] O.J. </w:t>
      </w:r>
      <w:r>
        <w:rPr>
          <w:rFonts w:cs="Times New Roman"/>
        </w:rPr>
        <w:t>No. </w:t>
      </w:r>
      <w:r w:rsidRPr="00437AAC">
        <w:rPr>
          <w:rFonts w:cs="Times New Roman"/>
        </w:rPr>
        <w:t>7173</w:t>
      </w:r>
      <w:r w:rsidR="005913E9">
        <w:rPr>
          <w:rFonts w:cs="Times New Roman"/>
        </w:rPr>
        <w:t xml:space="preserve"> (QL)</w:t>
      </w:r>
      <w:r w:rsidRPr="00437AAC">
        <w:rPr>
          <w:rFonts w:cs="Times New Roman"/>
        </w:rPr>
        <w:t xml:space="preserve">, at </w:t>
      </w:r>
      <w:r>
        <w:rPr>
          <w:rFonts w:cs="Times New Roman"/>
        </w:rPr>
        <w:t>para. </w:t>
      </w:r>
      <w:r w:rsidR="005913E9">
        <w:rPr>
          <w:rFonts w:cs="Times New Roman"/>
        </w:rPr>
        <w:t>24</w:t>
      </w:r>
      <w:r w:rsidRPr="00437AAC">
        <w:rPr>
          <w:rFonts w:cs="Times New Roman"/>
        </w:rPr>
        <w:t xml:space="preserve">, has observed that “‘asking someone if he is dealing drugs’ (which courts have typically characterized as a mere investigative step) is ‘no different from asking if he will sell you a specific kind and amount of drugs’ (which is undoubtedly opportuning)” ((2019), at </w:t>
      </w:r>
      <w:r>
        <w:rPr>
          <w:rFonts w:cs="Times New Roman"/>
        </w:rPr>
        <w:t>pp. </w:t>
      </w:r>
      <w:r w:rsidRPr="00437AAC">
        <w:rPr>
          <w:rFonts w:cs="Times New Roman"/>
        </w:rPr>
        <w:t>374</w:t>
      </w:r>
      <w:r>
        <w:rPr>
          <w:rFonts w:cs="Times New Roman"/>
        </w:rPr>
        <w:noBreakHyphen/>
      </w:r>
      <w:r w:rsidRPr="00437AAC">
        <w:rPr>
          <w:rFonts w:cs="Times New Roman"/>
        </w:rPr>
        <w:t>75 (footnote omitted)). He states that “[w]hile the impetus to avoid finding entrapment in these circumstances is understandable, the plausibility of the distinction is dubious” (</w:t>
      </w:r>
      <w:r>
        <w:rPr>
          <w:rFonts w:cs="Times New Roman"/>
        </w:rPr>
        <w:t>p. </w:t>
      </w:r>
      <w:r w:rsidRPr="00437AAC">
        <w:rPr>
          <w:rFonts w:cs="Times New Roman"/>
        </w:rPr>
        <w:t xml:space="preserve">374 (footnote omitted); see also D. M. Tanovich, “Rethinking the </w:t>
      </w:r>
      <w:r w:rsidRPr="00437AAC">
        <w:rPr>
          <w:rFonts w:cs="Times New Roman"/>
          <w:i/>
        </w:rPr>
        <w:t xml:space="preserve">Bona Fides </w:t>
      </w:r>
      <w:r w:rsidRPr="00437AAC">
        <w:rPr>
          <w:rFonts w:cs="Times New Roman"/>
        </w:rPr>
        <w:t xml:space="preserve">of Entrapment” (2011), 43 </w:t>
      </w:r>
      <w:r w:rsidRPr="00437AAC">
        <w:rPr>
          <w:rFonts w:cs="Times New Roman"/>
          <w:i/>
        </w:rPr>
        <w:t xml:space="preserve">U.B.C.L. Rev. </w:t>
      </w:r>
      <w:r w:rsidRPr="00437AAC">
        <w:rPr>
          <w:rFonts w:cs="Times New Roman"/>
        </w:rPr>
        <w:t xml:space="preserve">417, at </w:t>
      </w:r>
      <w:r>
        <w:rPr>
          <w:rFonts w:cs="Times New Roman"/>
        </w:rPr>
        <w:t>p. </w:t>
      </w:r>
      <w:r w:rsidRPr="00437AAC">
        <w:rPr>
          <w:rFonts w:cs="Times New Roman"/>
        </w:rPr>
        <w:t xml:space="preserve">437; Criminal Lawyers’ Association of Ontario’s factum, at </w:t>
      </w:r>
      <w:r>
        <w:rPr>
          <w:rFonts w:cs="Times New Roman"/>
        </w:rPr>
        <w:t>para. </w:t>
      </w:r>
      <w:r w:rsidRPr="00437AAC">
        <w:rPr>
          <w:rFonts w:cs="Times New Roman"/>
        </w:rPr>
        <w:t>12).</w:t>
      </w:r>
    </w:p>
    <w:p w:rsidR="00E53404" w:rsidRPr="00437AAC" w:rsidRDefault="00E53404" w:rsidP="00E53404">
      <w:pPr>
        <w:pStyle w:val="ParaNoNdepar-AltN"/>
        <w:rPr>
          <w:rFonts w:cs="Times New Roman"/>
        </w:rPr>
      </w:pPr>
      <w:r w:rsidRPr="00437AAC">
        <w:rPr>
          <w:rFonts w:cs="Times New Roman"/>
        </w:rPr>
        <w:t>I agree that parsing conversations with a view to distinguishing between taking investigative steps and offering opportunities is often artificial, perhaps even arbitrary. Moreover, by getting caught up in the precise language used by undercover officers in dial</w:t>
      </w:r>
      <w:r>
        <w:rPr>
          <w:rFonts w:cs="Times New Roman"/>
        </w:rPr>
        <w:noBreakHyphen/>
      </w:r>
      <w:r w:rsidRPr="00437AAC">
        <w:rPr>
          <w:rFonts w:cs="Times New Roman"/>
        </w:rPr>
        <w:t>a</w:t>
      </w:r>
      <w:r>
        <w:rPr>
          <w:rFonts w:cs="Times New Roman"/>
        </w:rPr>
        <w:noBreakHyphen/>
      </w:r>
      <w:r w:rsidRPr="00437AAC">
        <w:rPr>
          <w:rFonts w:cs="Times New Roman"/>
        </w:rPr>
        <w:t>dope cold calls, courts have lost sight of the fundamental relationship between entrapment and abuse of proce</w:t>
      </w:r>
      <w:r>
        <w:rPr>
          <w:rFonts w:cs="Times New Roman"/>
        </w:rPr>
        <w:t>ss. </w:t>
      </w:r>
      <w:r w:rsidRPr="00437AAC">
        <w:rPr>
          <w:rFonts w:cs="Times New Roman"/>
        </w:rPr>
        <w:t xml:space="preserve">I note that Bennett J.A. raised a similar concern in </w:t>
      </w:r>
      <w:r w:rsidRPr="00437AAC">
        <w:rPr>
          <w:rFonts w:cs="Times New Roman"/>
          <w:i/>
        </w:rPr>
        <w:t>Le</w:t>
      </w:r>
      <w:r w:rsidRPr="00437AAC">
        <w:rPr>
          <w:rFonts w:cs="Times New Roman"/>
        </w:rPr>
        <w:t xml:space="preserve">, at </w:t>
      </w:r>
      <w:r>
        <w:rPr>
          <w:rFonts w:cs="Times New Roman"/>
        </w:rPr>
        <w:t>para. </w:t>
      </w:r>
      <w:r w:rsidRPr="00437AAC">
        <w:rPr>
          <w:rFonts w:cs="Times New Roman"/>
        </w:rPr>
        <w:t>93:</w:t>
      </w:r>
    </w:p>
    <w:p w:rsidR="00E53404" w:rsidRPr="00437AAC" w:rsidRDefault="00E53404" w:rsidP="00E53404">
      <w:pPr>
        <w:pStyle w:val="Citation-AltC"/>
        <w:ind w:firstLine="274"/>
      </w:pPr>
      <w:r w:rsidRPr="00437AAC">
        <w:t xml:space="preserve">Defence counsel argued that there is a meaningful distinction between veiled statements asking if the other party is a drug dealer and more specific requests for types, quantities, or values of drugs. It was argued that the former statement is an investigatory step while the latter is an offer to commit an offence. </w:t>
      </w:r>
      <w:r w:rsidRPr="00437AAC">
        <w:rPr>
          <w:u w:val="single"/>
        </w:rPr>
        <w:t>Parsing the language of undercover drug calls in dial</w:t>
      </w:r>
      <w:r>
        <w:rPr>
          <w:u w:val="single"/>
        </w:rPr>
        <w:noBreakHyphen/>
      </w:r>
      <w:r w:rsidRPr="00437AAC">
        <w:rPr>
          <w:u w:val="single"/>
        </w:rPr>
        <w:t>a</w:t>
      </w:r>
      <w:r>
        <w:rPr>
          <w:u w:val="single"/>
        </w:rPr>
        <w:noBreakHyphen/>
      </w:r>
      <w:r w:rsidRPr="00437AAC">
        <w:rPr>
          <w:u w:val="single"/>
        </w:rPr>
        <w:t>dope investigations in this way takes an unnecessarily narrow approa</w:t>
      </w:r>
      <w:r>
        <w:rPr>
          <w:u w:val="single"/>
        </w:rPr>
        <w:t>ch. </w:t>
      </w:r>
      <w:r w:rsidRPr="00437AAC">
        <w:rPr>
          <w:u w:val="single"/>
        </w:rPr>
        <w:t xml:space="preserve">It ignores the surrounding circumstances, but more importantly, it strays far from the core principle underlying </w:t>
      </w:r>
      <w:r w:rsidRPr="00437AAC">
        <w:rPr>
          <w:i/>
          <w:u w:val="single"/>
        </w:rPr>
        <w:t>Mack</w:t>
      </w:r>
      <w:r w:rsidRPr="00437AAC">
        <w:rPr>
          <w:u w:val="single"/>
        </w:rPr>
        <w:t>.</w:t>
      </w:r>
      <w:r w:rsidRPr="00437AAC">
        <w:t xml:space="preserve"> [Emphasis added.]</w:t>
      </w:r>
    </w:p>
    <w:p w:rsidR="00E53404" w:rsidRPr="00437AAC" w:rsidRDefault="00E53404" w:rsidP="00E53404">
      <w:pPr>
        <w:pStyle w:val="ParaNoNdepar-AltN"/>
        <w:rPr>
          <w:rFonts w:cs="Times New Roman"/>
        </w:rPr>
      </w:pPr>
      <w:r w:rsidRPr="00437AAC">
        <w:rPr>
          <w:rFonts w:cs="Times New Roman"/>
        </w:rPr>
        <w:t>Justice Himel, concurring in the court below, commented in a similar vein:</w:t>
      </w:r>
    </w:p>
    <w:p w:rsidR="00E53404" w:rsidRPr="00437AAC" w:rsidRDefault="00E53404" w:rsidP="00795698">
      <w:pPr>
        <w:pStyle w:val="Citation-AltC"/>
        <w:spacing w:after="240"/>
        <w:contextualSpacing w:val="0"/>
      </w:pPr>
      <w:r w:rsidRPr="00437AAC">
        <w:t xml:space="preserve">A number of cases have narrowly focused on the minute language choices of the investigating officer to find entrapment despite the fact that the police conduct does not risk causing an innocent person to sell drugs. The court must never lose sight of the core question: is the police’s conduct really offensive? As the Supreme Court identified in </w:t>
      </w:r>
      <w:r w:rsidRPr="00437AAC">
        <w:rPr>
          <w:i/>
        </w:rPr>
        <w:t>Mack</w:t>
      </w:r>
      <w:r w:rsidRPr="00437AAC">
        <w:t xml:space="preserve">, at </w:t>
      </w:r>
      <w:r>
        <w:t>p. </w:t>
      </w:r>
      <w:r w:rsidRPr="00437AAC">
        <w:t xml:space="preserve">942 S.C.R., “[i]n the entrapment context, the court’s sense of justice is offended by the spectacle of an accused’s being convicted of an offence which is the work of the state”. </w:t>
      </w:r>
      <w:r w:rsidRPr="00437AAC">
        <w:rPr>
          <w:u w:val="single"/>
        </w:rPr>
        <w:t>Staying cases in which there is no actual offensive police conduct is harmful to the integrity of the administration of justice. It is crucial “that the police be allowed to carry out their duties without undue scepticism or the requirement that their every move be placed under a scanning electron microscope”</w:t>
      </w:r>
      <w:r w:rsidRPr="00437AAC">
        <w:t xml:space="preserve"> </w:t>
      </w:r>
      <w:r w:rsidR="00997B79">
        <w:t>(</w:t>
      </w:r>
      <w:r w:rsidRPr="00437AAC">
        <w:rPr>
          <w:i/>
        </w:rPr>
        <w:t>MacKenzie</w:t>
      </w:r>
      <w:r w:rsidRPr="00437AAC">
        <w:t xml:space="preserve">, at </w:t>
      </w:r>
      <w:r>
        <w:t>para. </w:t>
      </w:r>
      <w:r w:rsidRPr="00437AAC">
        <w:t>65</w:t>
      </w:r>
      <w:r w:rsidR="00997B79">
        <w:t>)</w:t>
      </w:r>
      <w:r w:rsidR="005913E9">
        <w:t>.</w:t>
      </w:r>
    </w:p>
    <w:p w:rsidR="00E53404" w:rsidRPr="00437AAC" w:rsidRDefault="00E53404" w:rsidP="00795698">
      <w:pPr>
        <w:pStyle w:val="Citation-AltC"/>
        <w:spacing w:after="240"/>
        <w:contextualSpacing w:val="0"/>
        <w:jc w:val="center"/>
      </w:pPr>
      <w:r w:rsidRPr="00437AAC">
        <w:t>. . .</w:t>
      </w:r>
    </w:p>
    <w:p w:rsidR="00E53404" w:rsidRPr="00437AAC" w:rsidRDefault="00E53404" w:rsidP="00795698">
      <w:pPr>
        <w:pStyle w:val="Citation-AltC"/>
        <w:contextualSpacing w:val="0"/>
      </w:pPr>
      <w:r w:rsidRPr="00437AAC">
        <w:t xml:space="preserve">Neither Mr. Williams’ case nor Mr. Ahmad’s case is one of those “clearest of cases” warranting a stay based on entrapment: see </w:t>
      </w:r>
      <w:r w:rsidRPr="00437AAC">
        <w:rPr>
          <w:i/>
          <w:iCs/>
        </w:rPr>
        <w:t>Mack</w:t>
      </w:r>
      <w:r w:rsidRPr="00437AAC">
        <w:t xml:space="preserve">, at </w:t>
      </w:r>
      <w:r>
        <w:t>pp. </w:t>
      </w:r>
      <w:r w:rsidRPr="00437AAC">
        <w:t>976</w:t>
      </w:r>
      <w:r>
        <w:noBreakHyphen/>
      </w:r>
      <w:r w:rsidRPr="00437AAC">
        <w:t xml:space="preserve">77 S.C.R. The police conduct in these cases did not carry the risk that innocent persons would commit a crime that they would have not otherwise committed. </w:t>
      </w:r>
      <w:r w:rsidRPr="00437AAC">
        <w:rPr>
          <w:u w:val="single"/>
        </w:rPr>
        <w:t xml:space="preserve">Neither was this conduct that the citizenry cannot tolerate. On the contrary, the police relied </w:t>
      </w:r>
      <w:r w:rsidRPr="00437AAC">
        <w:rPr>
          <w:spacing w:val="-6"/>
          <w:u w:val="single"/>
        </w:rPr>
        <w:t xml:space="preserve">on </w:t>
      </w:r>
      <w:r w:rsidRPr="00437AAC">
        <w:rPr>
          <w:u w:val="single"/>
        </w:rPr>
        <w:t>legitimate investigative techniques that are responsive to the modern realities of the drug trade and its reliance on virtual spaces to evade police</w:t>
      </w:r>
      <w:r w:rsidRPr="00437AAC">
        <w:rPr>
          <w:spacing w:val="-12"/>
          <w:u w:val="single"/>
        </w:rPr>
        <w:t xml:space="preserve"> </w:t>
      </w:r>
      <w:r w:rsidRPr="00437AAC">
        <w:rPr>
          <w:u w:val="single"/>
        </w:rPr>
        <w:t>scrutiny</w:t>
      </w:r>
      <w:r w:rsidRPr="006A59C5">
        <w:rPr>
          <w:u w:val="single"/>
        </w:rPr>
        <w:t>.</w:t>
      </w:r>
      <w:r w:rsidRPr="00437AAC">
        <w:t xml:space="preserve"> [Emphasis added; </w:t>
      </w:r>
      <w:r>
        <w:t>paras. </w:t>
      </w:r>
      <w:r w:rsidRPr="00437AAC">
        <w:t>126</w:t>
      </w:r>
      <w:r>
        <w:noBreakHyphen/>
      </w:r>
      <w:r w:rsidRPr="00437AAC">
        <w:t>28.]</w:t>
      </w:r>
    </w:p>
    <w:p w:rsidR="00E53404" w:rsidRPr="00437AAC" w:rsidRDefault="00E53404" w:rsidP="00E53404">
      <w:pPr>
        <w:pStyle w:val="ParaNoNdepar-AltN"/>
        <w:rPr>
          <w:rFonts w:cs="Times New Roman"/>
        </w:rPr>
      </w:pPr>
      <w:r w:rsidRPr="00437AAC">
        <w:rPr>
          <w:rFonts w:cs="Times New Roman"/>
        </w:rPr>
        <w:t>These concerns with the individualized suspicion prong and the parsing approach it has spawned are well</w:t>
      </w:r>
      <w:r>
        <w:rPr>
          <w:rFonts w:cs="Times New Roman"/>
        </w:rPr>
        <w:noBreakHyphen/>
      </w:r>
      <w:r w:rsidRPr="00437AAC">
        <w:rPr>
          <w:rFonts w:cs="Times New Roman"/>
        </w:rPr>
        <w:t>founded. The doctrine of entrapment was never intended to interfere with law enforcement techniques that society would not find intolerable and which may be necessary to investigate certain types of crime (</w:t>
      </w:r>
      <w:r w:rsidRPr="00437AAC">
        <w:rPr>
          <w:rFonts w:cs="Times New Roman"/>
          <w:i/>
        </w:rPr>
        <w:t>Mack</w:t>
      </w:r>
      <w:r w:rsidRPr="00437AAC">
        <w:rPr>
          <w:rFonts w:cs="Times New Roman"/>
        </w:rPr>
        <w:t xml:space="preserve">, at </w:t>
      </w:r>
      <w:r>
        <w:rPr>
          <w:rFonts w:cs="Times New Roman"/>
        </w:rPr>
        <w:t>pp. </w:t>
      </w:r>
      <w:r w:rsidRPr="00437AAC">
        <w:rPr>
          <w:rFonts w:cs="Times New Roman"/>
        </w:rPr>
        <w:t>977</w:t>
      </w:r>
      <w:r>
        <w:rPr>
          <w:rFonts w:cs="Times New Roman"/>
        </w:rPr>
        <w:noBreakHyphen/>
      </w:r>
      <w:r w:rsidRPr="00437AAC">
        <w:rPr>
          <w:rFonts w:cs="Times New Roman"/>
        </w:rPr>
        <w:t>78). And yet, the development of the dial</w:t>
      </w:r>
      <w:r>
        <w:rPr>
          <w:rFonts w:cs="Times New Roman"/>
        </w:rPr>
        <w:noBreakHyphen/>
      </w:r>
      <w:r w:rsidRPr="00437AAC">
        <w:rPr>
          <w:rFonts w:cs="Times New Roman"/>
        </w:rPr>
        <w:t>a</w:t>
      </w:r>
      <w:r>
        <w:rPr>
          <w:rFonts w:cs="Times New Roman"/>
        </w:rPr>
        <w:noBreakHyphen/>
      </w:r>
      <w:r w:rsidRPr="00437AAC">
        <w:rPr>
          <w:rFonts w:cs="Times New Roman"/>
        </w:rPr>
        <w:t xml:space="preserve">dope jurisprudence under the individualized suspicion prong has </w:t>
      </w:r>
      <w:r w:rsidR="006A59C5">
        <w:rPr>
          <w:rFonts w:cs="Times New Roman"/>
        </w:rPr>
        <w:t>produced precisely that result.</w:t>
      </w:r>
    </w:p>
    <w:p w:rsidR="00E53404" w:rsidRPr="00437AAC" w:rsidRDefault="00E53404" w:rsidP="00E53404">
      <w:pPr>
        <w:pStyle w:val="ParaNoNdepar-AltN"/>
        <w:rPr>
          <w:rFonts w:cs="Times New Roman"/>
        </w:rPr>
      </w:pPr>
      <w:r w:rsidRPr="00437AAC">
        <w:rPr>
          <w:rFonts w:cs="Times New Roman"/>
        </w:rPr>
        <w:t>The manner in which my colleagues propose to dispose of these appeals provides a clear example of the dubious distinctions that flow from an application of the parsing approa</w:t>
      </w:r>
      <w:r>
        <w:rPr>
          <w:rFonts w:cs="Times New Roman"/>
        </w:rPr>
        <w:t>ch. </w:t>
      </w:r>
      <w:r w:rsidRPr="00437AAC">
        <w:rPr>
          <w:rFonts w:cs="Times New Roman"/>
        </w:rPr>
        <w:t>In Mr. Williams’s case, my colleagues would order a stay of proceedings — “the most drastic remedy a criminal court can order” (</w:t>
      </w:r>
      <w:r w:rsidRPr="00437AAC">
        <w:rPr>
          <w:rFonts w:cs="Times New Roman"/>
          <w:i/>
        </w:rPr>
        <w:t>Babos</w:t>
      </w:r>
      <w:r w:rsidRPr="00437AAC">
        <w:rPr>
          <w:rFonts w:cs="Times New Roman"/>
        </w:rPr>
        <w:t xml:space="preserve">, at </w:t>
      </w:r>
      <w:r>
        <w:rPr>
          <w:rFonts w:cs="Times New Roman"/>
        </w:rPr>
        <w:t>para. </w:t>
      </w:r>
      <w:r w:rsidRPr="00437AAC">
        <w:rPr>
          <w:rFonts w:cs="Times New Roman"/>
        </w:rPr>
        <w:t>30). In Mr. Ahmad’s case, however, they would allow the convictions to stand. In both cases, an undercover officer made a call based on information from an anonymous or a confidential source. Each call was answered by a then</w:t>
      </w:r>
      <w:r>
        <w:rPr>
          <w:rFonts w:cs="Times New Roman"/>
        </w:rPr>
        <w:noBreakHyphen/>
      </w:r>
      <w:r w:rsidRPr="00437AAC">
        <w:rPr>
          <w:rFonts w:cs="Times New Roman"/>
        </w:rPr>
        <w:t xml:space="preserve">unknown man. Seemingly without surprise, each man confirmed or did not deny that he went by a name that, based on the officer’s information, belonged to a drug dealer operating out of the phone line (in Mr. Ahmad’s case, “Romeo”; in Mr. Williams’s case, “Jay”). The only distinction between these cases is that the undercover officer in Mr. Ahmad’s case </w:t>
      </w:r>
      <w:r w:rsidR="005913E9">
        <w:rPr>
          <w:rFonts w:cs="Times New Roman"/>
        </w:rPr>
        <w:t>waited for the man to say “[w]</w:t>
      </w:r>
      <w:r w:rsidRPr="00437AAC">
        <w:rPr>
          <w:rFonts w:cs="Times New Roman"/>
        </w:rPr>
        <w:t>hat do you need?” in response to a request for “help” before asking for a specific quantity of cocaine:</w:t>
      </w:r>
    </w:p>
    <w:tbl>
      <w:tblPr>
        <w:tblStyle w:val="TableGrid"/>
        <w:tblW w:w="0" w:type="auto"/>
        <w:jc w:val="center"/>
        <w:tblLook w:val="04A0" w:firstRow="1" w:lastRow="0" w:firstColumn="1" w:lastColumn="0" w:noHBand="0" w:noVBand="1"/>
      </w:tblPr>
      <w:tblGrid>
        <w:gridCol w:w="3913"/>
        <w:gridCol w:w="3913"/>
      </w:tblGrid>
      <w:tr w:rsidR="00E53404" w:rsidRPr="00437AAC" w:rsidTr="002B3749">
        <w:trPr>
          <w:jc w:val="center"/>
        </w:trPr>
        <w:tc>
          <w:tcPr>
            <w:tcW w:w="3913" w:type="dxa"/>
          </w:tcPr>
          <w:p w:rsidR="00E53404" w:rsidRPr="00437AAC" w:rsidRDefault="00E53404" w:rsidP="002B3749">
            <w:pPr>
              <w:pStyle w:val="Citation-AltC"/>
              <w:spacing w:after="120"/>
              <w:ind w:left="0"/>
              <w:jc w:val="center"/>
              <w:rPr>
                <w:b/>
              </w:rPr>
            </w:pPr>
            <w:r w:rsidRPr="00437AAC">
              <w:rPr>
                <w:b/>
              </w:rPr>
              <w:t>Relevant Portion of the Conversation between D.C. Limsiaco and Mr. Ahmad</w:t>
            </w:r>
          </w:p>
        </w:tc>
        <w:tc>
          <w:tcPr>
            <w:tcW w:w="3913" w:type="dxa"/>
          </w:tcPr>
          <w:p w:rsidR="00E53404" w:rsidRPr="00437AAC" w:rsidRDefault="00E53404" w:rsidP="002B3749">
            <w:pPr>
              <w:pStyle w:val="Citation-AltC"/>
              <w:spacing w:after="120"/>
              <w:ind w:left="0"/>
              <w:jc w:val="center"/>
              <w:rPr>
                <w:b/>
              </w:rPr>
            </w:pPr>
            <w:r w:rsidRPr="00437AAC">
              <w:rPr>
                <w:b/>
              </w:rPr>
              <w:t xml:space="preserve">Relevant Portion of the Conversation between D.C. </w:t>
            </w:r>
          </w:p>
          <w:p w:rsidR="00E53404" w:rsidRPr="00437AAC" w:rsidRDefault="00E53404" w:rsidP="002B3749">
            <w:pPr>
              <w:pStyle w:val="Citation-AltC"/>
              <w:spacing w:after="120"/>
              <w:ind w:left="0"/>
              <w:jc w:val="center"/>
              <w:rPr>
                <w:b/>
              </w:rPr>
            </w:pPr>
            <w:r w:rsidRPr="00437AAC">
              <w:rPr>
                <w:b/>
              </w:rPr>
              <w:t>Canepa and Mr. Williams</w:t>
            </w:r>
          </w:p>
        </w:tc>
      </w:tr>
      <w:tr w:rsidR="00E53404" w:rsidRPr="00437AAC" w:rsidTr="002B3749">
        <w:trPr>
          <w:trHeight w:val="602"/>
          <w:jc w:val="center"/>
        </w:trPr>
        <w:tc>
          <w:tcPr>
            <w:tcW w:w="3913" w:type="dxa"/>
          </w:tcPr>
          <w:p w:rsidR="00E53404" w:rsidRPr="00437AAC" w:rsidRDefault="00E53404" w:rsidP="002B3749">
            <w:pPr>
              <w:pStyle w:val="Citation-AltC"/>
              <w:tabs>
                <w:tab w:val="left" w:pos="1331"/>
              </w:tabs>
              <w:spacing w:after="100" w:afterAutospacing="1"/>
              <w:ind w:left="0"/>
              <w:rPr>
                <w:lang w:val="en-US"/>
              </w:rPr>
            </w:pPr>
            <w:r w:rsidRPr="00437AAC">
              <w:rPr>
                <w:b/>
                <w:lang w:val="en-US"/>
              </w:rPr>
              <w:t>[Limsiaco]:</w:t>
            </w:r>
            <w:r w:rsidRPr="00437AAC">
              <w:rPr>
                <w:lang w:val="en-US"/>
              </w:rPr>
              <w:t xml:space="preserve"> Hey, It’s Mike, Matt said I can give you a call, this is Romeo?</w:t>
            </w:r>
          </w:p>
          <w:p w:rsidR="00E53404" w:rsidRPr="00437AAC" w:rsidRDefault="00E53404" w:rsidP="002B3749">
            <w:pPr>
              <w:pStyle w:val="Citation-AltC"/>
              <w:tabs>
                <w:tab w:val="left" w:pos="1331"/>
              </w:tabs>
              <w:spacing w:after="100" w:afterAutospacing="1"/>
              <w:ind w:left="0"/>
              <w:rPr>
                <w:lang w:val="en-US"/>
              </w:rPr>
            </w:pPr>
            <w:r w:rsidRPr="00437AAC">
              <w:rPr>
                <w:b/>
                <w:lang w:val="en-US"/>
              </w:rPr>
              <w:t>Male:</w:t>
            </w:r>
            <w:r w:rsidRPr="00437AAC">
              <w:rPr>
                <w:lang w:val="en-US"/>
              </w:rPr>
              <w:t xml:space="preserve"> He did, did he?</w:t>
            </w:r>
          </w:p>
          <w:p w:rsidR="00E53404" w:rsidRPr="00437AAC" w:rsidRDefault="00E53404" w:rsidP="002B3749">
            <w:pPr>
              <w:pStyle w:val="Citation-AltC"/>
              <w:tabs>
                <w:tab w:val="left" w:pos="1331"/>
              </w:tabs>
              <w:spacing w:after="100" w:afterAutospacing="1"/>
              <w:ind w:left="0"/>
              <w:rPr>
                <w:lang w:val="en-US"/>
              </w:rPr>
            </w:pPr>
            <w:r w:rsidRPr="00437AAC">
              <w:rPr>
                <w:b/>
                <w:lang w:val="en-US"/>
              </w:rPr>
              <w:t>[Limsiaco]:</w:t>
            </w:r>
            <w:r w:rsidRPr="00437AAC">
              <w:rPr>
                <w:lang w:val="en-US"/>
              </w:rPr>
              <w:t xml:space="preserve"> Yeah, </w:t>
            </w:r>
            <w:r w:rsidRPr="00437AAC">
              <w:rPr>
                <w:u w:val="single"/>
                <w:lang w:val="en-US"/>
              </w:rPr>
              <w:t>said you can help me out?</w:t>
            </w:r>
          </w:p>
          <w:p w:rsidR="00E53404" w:rsidRPr="00437AAC" w:rsidRDefault="00E53404" w:rsidP="002B3749">
            <w:pPr>
              <w:pStyle w:val="Citation-AltC"/>
              <w:tabs>
                <w:tab w:val="left" w:pos="1331"/>
              </w:tabs>
              <w:spacing w:after="100" w:afterAutospacing="1"/>
              <w:ind w:left="0"/>
              <w:rPr>
                <w:lang w:val="en-US"/>
              </w:rPr>
            </w:pPr>
            <w:r w:rsidRPr="00437AAC">
              <w:rPr>
                <w:b/>
                <w:lang w:val="en-US"/>
              </w:rPr>
              <w:t xml:space="preserve">Male: </w:t>
            </w:r>
            <w:r w:rsidRPr="00437AAC">
              <w:rPr>
                <w:u w:val="single"/>
                <w:lang w:val="en-US"/>
              </w:rPr>
              <w:t>What do you need?</w:t>
            </w:r>
          </w:p>
          <w:p w:rsidR="00E53404" w:rsidRPr="00437AAC" w:rsidRDefault="00E53404" w:rsidP="002B3749">
            <w:pPr>
              <w:pStyle w:val="Citation-AltC"/>
              <w:tabs>
                <w:tab w:val="left" w:pos="1331"/>
              </w:tabs>
              <w:spacing w:after="100" w:afterAutospacing="1"/>
              <w:ind w:left="0"/>
              <w:rPr>
                <w:lang w:val="en-US"/>
              </w:rPr>
            </w:pPr>
            <w:r w:rsidRPr="00437AAC">
              <w:rPr>
                <w:b/>
                <w:lang w:val="en-US"/>
              </w:rPr>
              <w:t>[Limsiaco]:</w:t>
            </w:r>
            <w:r w:rsidRPr="00437AAC">
              <w:rPr>
                <w:lang w:val="en-US"/>
              </w:rPr>
              <w:t xml:space="preserve"> </w:t>
            </w:r>
            <w:r w:rsidRPr="00437AAC">
              <w:rPr>
                <w:u w:val="single"/>
                <w:lang w:val="en-US"/>
              </w:rPr>
              <w:t>2 soft</w:t>
            </w:r>
          </w:p>
          <w:p w:rsidR="00E53404" w:rsidRPr="00437AAC" w:rsidRDefault="00E53404" w:rsidP="002B3749">
            <w:pPr>
              <w:pStyle w:val="Citation-AltC"/>
              <w:tabs>
                <w:tab w:val="left" w:pos="1331"/>
              </w:tabs>
              <w:spacing w:after="100" w:afterAutospacing="1"/>
              <w:ind w:left="0"/>
              <w:rPr>
                <w:lang w:val="en-US"/>
              </w:rPr>
            </w:pPr>
            <w:r w:rsidRPr="00437AAC">
              <w:rPr>
                <w:b/>
                <w:lang w:val="en-US"/>
              </w:rPr>
              <w:t>Man:</w:t>
            </w:r>
            <w:r w:rsidRPr="00437AAC">
              <w:rPr>
                <w:lang w:val="en-US"/>
              </w:rPr>
              <w:t xml:space="preserve"> Hold on, I’ll get back to you.</w:t>
            </w:r>
          </w:p>
          <w:p w:rsidR="00E53404" w:rsidRPr="00437AAC" w:rsidRDefault="00E53404" w:rsidP="002B3749">
            <w:pPr>
              <w:pStyle w:val="Citation-AltC"/>
              <w:tabs>
                <w:tab w:val="left" w:pos="1331"/>
              </w:tabs>
              <w:spacing w:after="100" w:afterAutospacing="1"/>
              <w:ind w:left="0"/>
            </w:pPr>
            <w:r w:rsidRPr="00437AAC">
              <w:rPr>
                <w:b/>
                <w:lang w:val="en-US"/>
              </w:rPr>
              <w:t>[Limsiaco]:</w:t>
            </w:r>
            <w:r w:rsidRPr="00437AAC">
              <w:rPr>
                <w:lang w:val="en-US"/>
              </w:rPr>
              <w:t xml:space="preserve"> Alright.</w:t>
            </w:r>
          </w:p>
          <w:p w:rsidR="00E53404" w:rsidRPr="00437AAC" w:rsidRDefault="00E53404" w:rsidP="002B3749">
            <w:pPr>
              <w:pStyle w:val="Citation-AltC"/>
              <w:spacing w:after="100" w:afterAutospacing="1"/>
              <w:ind w:left="0"/>
            </w:pPr>
          </w:p>
        </w:tc>
        <w:tc>
          <w:tcPr>
            <w:tcW w:w="3913" w:type="dxa"/>
          </w:tcPr>
          <w:p w:rsidR="00E53404" w:rsidRPr="00437AAC" w:rsidRDefault="00E53404" w:rsidP="002B3749">
            <w:pPr>
              <w:pStyle w:val="Citation-AltC"/>
              <w:spacing w:after="100" w:afterAutospacing="1"/>
              <w:ind w:left="0"/>
              <w:rPr>
                <w:lang w:val="en-US"/>
              </w:rPr>
            </w:pPr>
            <w:r w:rsidRPr="00437AAC">
              <w:rPr>
                <w:b/>
                <w:lang w:val="en-US"/>
              </w:rPr>
              <w:t>Male:</w:t>
            </w:r>
            <w:r w:rsidRPr="00437AAC">
              <w:rPr>
                <w:lang w:val="en-US"/>
              </w:rPr>
              <w:t xml:space="preserve"> Hello.</w:t>
            </w:r>
          </w:p>
          <w:p w:rsidR="00E53404" w:rsidRPr="00437AAC" w:rsidRDefault="00E53404" w:rsidP="002B3749">
            <w:pPr>
              <w:pStyle w:val="Citation-AltC"/>
              <w:spacing w:after="100" w:afterAutospacing="1"/>
              <w:ind w:left="0"/>
              <w:rPr>
                <w:lang w:val="en-US"/>
              </w:rPr>
            </w:pPr>
            <w:r w:rsidRPr="00437AAC">
              <w:rPr>
                <w:b/>
                <w:lang w:val="en-US"/>
              </w:rPr>
              <w:t>Canepa:</w:t>
            </w:r>
            <w:r w:rsidRPr="00437AAC">
              <w:rPr>
                <w:lang w:val="en-US"/>
              </w:rPr>
              <w:t xml:space="preserve"> Jay?</w:t>
            </w:r>
          </w:p>
          <w:p w:rsidR="00E53404" w:rsidRPr="00437AAC" w:rsidRDefault="00E53404" w:rsidP="002B3749">
            <w:pPr>
              <w:pStyle w:val="Citation-AltC"/>
              <w:spacing w:after="100" w:afterAutospacing="1"/>
              <w:ind w:left="0"/>
              <w:rPr>
                <w:lang w:val="en-US"/>
              </w:rPr>
            </w:pPr>
            <w:r w:rsidRPr="00437AAC">
              <w:rPr>
                <w:b/>
                <w:lang w:val="en-US"/>
              </w:rPr>
              <w:t>Male:</w:t>
            </w:r>
            <w:r w:rsidRPr="00437AAC">
              <w:rPr>
                <w:lang w:val="en-US"/>
              </w:rPr>
              <w:t xml:space="preserve"> Yeah.</w:t>
            </w:r>
          </w:p>
          <w:p w:rsidR="00E53404" w:rsidRPr="00437AAC" w:rsidRDefault="00E53404" w:rsidP="002B3749">
            <w:pPr>
              <w:pStyle w:val="Citation-AltC"/>
              <w:spacing w:after="100" w:afterAutospacing="1"/>
              <w:ind w:left="0"/>
              <w:rPr>
                <w:lang w:val="en-US"/>
              </w:rPr>
            </w:pPr>
            <w:r w:rsidRPr="00437AAC">
              <w:rPr>
                <w:b/>
                <w:lang w:val="en-US"/>
              </w:rPr>
              <w:t>Canepa:</w:t>
            </w:r>
            <w:r w:rsidRPr="00437AAC">
              <w:rPr>
                <w:lang w:val="en-US"/>
              </w:rPr>
              <w:t xml:space="preserve"> You around?</w:t>
            </w:r>
          </w:p>
          <w:p w:rsidR="00E53404" w:rsidRPr="00437AAC" w:rsidRDefault="00E53404" w:rsidP="002B3749">
            <w:pPr>
              <w:pStyle w:val="Citation-AltC"/>
              <w:spacing w:after="100" w:afterAutospacing="1"/>
              <w:ind w:left="0"/>
              <w:rPr>
                <w:lang w:val="en-US"/>
              </w:rPr>
            </w:pPr>
            <w:r w:rsidRPr="00437AAC">
              <w:rPr>
                <w:b/>
                <w:lang w:val="en-US"/>
              </w:rPr>
              <w:t>Male:</w:t>
            </w:r>
            <w:r w:rsidRPr="00437AAC">
              <w:rPr>
                <w:lang w:val="en-US"/>
              </w:rPr>
              <w:t xml:space="preserve"> Who is this?</w:t>
            </w:r>
          </w:p>
          <w:p w:rsidR="00E53404" w:rsidRPr="00437AAC" w:rsidRDefault="00E53404" w:rsidP="002B3749">
            <w:pPr>
              <w:pStyle w:val="Citation-AltC"/>
              <w:tabs>
                <w:tab w:val="left" w:pos="1424"/>
              </w:tabs>
              <w:spacing w:after="100" w:afterAutospacing="1"/>
              <w:ind w:left="0"/>
              <w:rPr>
                <w:lang w:val="en-US"/>
              </w:rPr>
            </w:pPr>
            <w:r w:rsidRPr="00437AAC">
              <w:rPr>
                <w:b/>
                <w:lang w:val="en-US"/>
              </w:rPr>
              <w:t>Canepa:</w:t>
            </w:r>
            <w:r w:rsidRPr="00437AAC">
              <w:rPr>
                <w:lang w:val="en-US"/>
              </w:rPr>
              <w:t xml:space="preserve"> It’s Vinny.</w:t>
            </w:r>
          </w:p>
          <w:p w:rsidR="00E53404" w:rsidRPr="00437AAC" w:rsidRDefault="00E53404" w:rsidP="002B3749">
            <w:pPr>
              <w:pStyle w:val="Citation-AltC"/>
              <w:tabs>
                <w:tab w:val="left" w:pos="1424"/>
              </w:tabs>
              <w:spacing w:after="100" w:afterAutospacing="1"/>
              <w:ind w:left="0"/>
              <w:rPr>
                <w:lang w:val="en-US"/>
              </w:rPr>
            </w:pPr>
            <w:r w:rsidRPr="00437AAC">
              <w:rPr>
                <w:b/>
                <w:lang w:val="en-US"/>
              </w:rPr>
              <w:t>Male:</w:t>
            </w:r>
            <w:r w:rsidRPr="00437AAC">
              <w:rPr>
                <w:lang w:val="en-US"/>
              </w:rPr>
              <w:t xml:space="preserve"> Vinny who?</w:t>
            </w:r>
          </w:p>
          <w:p w:rsidR="00E53404" w:rsidRPr="00437AAC" w:rsidRDefault="00E53404" w:rsidP="002B3749">
            <w:pPr>
              <w:pStyle w:val="Citation-AltC"/>
              <w:tabs>
                <w:tab w:val="left" w:pos="1424"/>
              </w:tabs>
              <w:spacing w:after="100" w:afterAutospacing="1"/>
              <w:ind w:left="0"/>
              <w:rPr>
                <w:shd w:val="clear" w:color="auto" w:fill="FFFFFF"/>
              </w:rPr>
            </w:pPr>
            <w:r w:rsidRPr="00437AAC">
              <w:rPr>
                <w:b/>
                <w:shd w:val="clear" w:color="auto" w:fill="FFFFFF"/>
              </w:rPr>
              <w:t>Canepa:</w:t>
            </w:r>
            <w:r w:rsidRPr="00437AAC">
              <w:rPr>
                <w:shd w:val="clear" w:color="auto" w:fill="FFFFFF"/>
              </w:rPr>
              <w:t xml:space="preserve"> Vinny. Jesse from Queen and Jarvis gave me your name. . .your number. </w:t>
            </w:r>
            <w:r w:rsidRPr="00437AAC">
              <w:rPr>
                <w:u w:val="single"/>
                <w:shd w:val="clear" w:color="auto" w:fill="FFFFFF"/>
              </w:rPr>
              <w:t>Said you could help me out. I need 80.</w:t>
            </w:r>
          </w:p>
          <w:p w:rsidR="00E53404" w:rsidRPr="00437AAC" w:rsidRDefault="00E53404" w:rsidP="002B3749">
            <w:pPr>
              <w:pStyle w:val="Citation-AltC"/>
              <w:spacing w:after="100" w:afterAutospacing="1"/>
              <w:ind w:left="0"/>
              <w:rPr>
                <w:lang w:val="en-US"/>
              </w:rPr>
            </w:pPr>
            <w:r w:rsidRPr="00437AAC">
              <w:rPr>
                <w:b/>
                <w:lang w:val="en-US"/>
              </w:rPr>
              <w:t>Male</w:t>
            </w:r>
            <w:r w:rsidRPr="00437AAC">
              <w:rPr>
                <w:lang w:val="en-US"/>
              </w:rPr>
              <w:t>: Okay. You have to come to me.</w:t>
            </w:r>
          </w:p>
        </w:tc>
      </w:tr>
    </w:tbl>
    <w:p w:rsidR="00E53404" w:rsidRPr="00437AAC" w:rsidRDefault="00E53404" w:rsidP="00E53404">
      <w:pPr>
        <w:pStyle w:val="ParaNoNdepar-AltN"/>
        <w:rPr>
          <w:rFonts w:cs="Times New Roman"/>
        </w:rPr>
      </w:pPr>
      <w:r w:rsidRPr="00437AAC">
        <w:rPr>
          <w:rFonts w:cs="Times New Roman"/>
        </w:rPr>
        <w:t>It bears repeating at this point that the doctrine of entrapment is only intended to catch state conduct that society would view as intolerable (</w:t>
      </w:r>
      <w:r w:rsidRPr="00437AAC">
        <w:rPr>
          <w:rFonts w:cs="Times New Roman"/>
          <w:i/>
        </w:rPr>
        <w:t>Mack</w:t>
      </w:r>
      <w:r w:rsidRPr="00437AAC">
        <w:rPr>
          <w:rFonts w:cs="Times New Roman"/>
        </w:rPr>
        <w:t xml:space="preserve">, at </w:t>
      </w:r>
      <w:r>
        <w:rPr>
          <w:rFonts w:cs="Times New Roman"/>
        </w:rPr>
        <w:t>p. </w:t>
      </w:r>
      <w:r w:rsidRPr="00437AAC">
        <w:rPr>
          <w:rFonts w:cs="Times New Roman"/>
        </w:rPr>
        <w:t xml:space="preserve">942; </w:t>
      </w:r>
      <w:r w:rsidRPr="00437AAC">
        <w:rPr>
          <w:rFonts w:cs="Times New Roman"/>
          <w:i/>
        </w:rPr>
        <w:t>Ahluwalia</w:t>
      </w:r>
      <w:r w:rsidRPr="00437AAC">
        <w:rPr>
          <w:rFonts w:cs="Times New Roman"/>
        </w:rPr>
        <w:t xml:space="preserve">, at </w:t>
      </w:r>
      <w:r>
        <w:rPr>
          <w:rFonts w:cs="Times New Roman"/>
        </w:rPr>
        <w:t>para. </w:t>
      </w:r>
      <w:r w:rsidRPr="00437AAC">
        <w:rPr>
          <w:rFonts w:cs="Times New Roman"/>
        </w:rPr>
        <w:t>30). With respect to the contrary view, I struggle to see how the conduct of either undercover officer in the cases at bar could be viewed as intolerable — indeed, it seems to me the officers were doing precisely what society would expect them to do upon receiving information about an alleged dial</w:t>
      </w:r>
      <w:r>
        <w:rPr>
          <w:rFonts w:cs="Times New Roman"/>
        </w:rPr>
        <w:noBreakHyphen/>
      </w:r>
      <w:r w:rsidRPr="00437AAC">
        <w:rPr>
          <w:rFonts w:cs="Times New Roman"/>
        </w:rPr>
        <w:t>a</w:t>
      </w:r>
      <w:r>
        <w:rPr>
          <w:rFonts w:cs="Times New Roman"/>
        </w:rPr>
        <w:noBreakHyphen/>
      </w:r>
      <w:r w:rsidRPr="00437AAC">
        <w:rPr>
          <w:rFonts w:cs="Times New Roman"/>
        </w:rPr>
        <w:t>dope operation, i.e</w:t>
      </w:r>
      <w:r w:rsidRPr="00437AAC">
        <w:rPr>
          <w:rFonts w:cs="Times New Roman"/>
          <w:i/>
        </w:rPr>
        <w:t>.</w:t>
      </w:r>
      <w:r w:rsidRPr="00437AAC">
        <w:rPr>
          <w:rFonts w:cs="Times New Roman"/>
        </w:rPr>
        <w:t>, investigate whether it is true. More significantly, I am at a loss to see how the conduct of the undercover officer in Mr. Williams’s case can be said to rise to the level of an abuse of process — conduct which society will simply not tolerate — while the conduct of the undercover officer in Mr. Ahmad’s case is found to be acceptable. With respect, I believe that the reasonably informed observer in our society would be utterly bewildered by this distinction. That the jurisprudence of this Court has been interpreted to demand results that do not make sense when considered through an abuse of process lens is a sign that something has gone wrong, either in the interpretation or the formulation of the entrapment doctrine.</w:t>
      </w:r>
    </w:p>
    <w:p w:rsidR="00E53404" w:rsidRPr="00437AAC" w:rsidRDefault="00E53404" w:rsidP="00E53404">
      <w:pPr>
        <w:pStyle w:val="Title3LevelTitre3Niveau"/>
        <w:jc w:val="both"/>
        <w:rPr>
          <w:rFonts w:cs="Times New Roman"/>
        </w:rPr>
      </w:pPr>
      <w:r w:rsidRPr="00437AAC">
        <w:rPr>
          <w:rFonts w:cs="Times New Roman"/>
        </w:rPr>
        <w:t xml:space="preserve">Judicial Development of the Reasonable Suspicion Standard Has Produced Doctrinal Incoherence Within the </w:t>
      </w:r>
      <w:r w:rsidRPr="00437AAC">
        <w:rPr>
          <w:rFonts w:cs="Times New Roman"/>
          <w:i/>
        </w:rPr>
        <w:t xml:space="preserve">Bona Fide </w:t>
      </w:r>
      <w:r w:rsidRPr="00437AAC">
        <w:rPr>
          <w:rFonts w:cs="Times New Roman"/>
        </w:rPr>
        <w:t>Inquiry Prong</w:t>
      </w:r>
    </w:p>
    <w:p w:rsidR="00E53404" w:rsidRPr="00437AAC" w:rsidRDefault="00E53404" w:rsidP="00E53404">
      <w:pPr>
        <w:pStyle w:val="ParaNoNdepar-AltN"/>
        <w:rPr>
          <w:rFonts w:cs="Times New Roman"/>
          <w:lang w:val="en-US"/>
        </w:rPr>
      </w:pPr>
      <w:r w:rsidRPr="00437AAC">
        <w:rPr>
          <w:rFonts w:cs="Times New Roman"/>
        </w:rPr>
        <w:t xml:space="preserve">In the wake of the anomalous results produced under the individualized suspicion prong, some courts have turned to the </w:t>
      </w:r>
      <w:r w:rsidRPr="00437AAC">
        <w:rPr>
          <w:rFonts w:cs="Times New Roman"/>
          <w:i/>
        </w:rPr>
        <w:t xml:space="preserve">bona fide </w:t>
      </w:r>
      <w:r w:rsidRPr="00437AAC">
        <w:rPr>
          <w:rFonts w:cs="Times New Roman"/>
        </w:rPr>
        <w:t>inquiry prong to analyze police conduct in dial</w:t>
      </w:r>
      <w:r>
        <w:rPr>
          <w:rFonts w:cs="Times New Roman"/>
        </w:rPr>
        <w:noBreakHyphen/>
      </w:r>
      <w:r w:rsidRPr="00437AAC">
        <w:rPr>
          <w:rFonts w:cs="Times New Roman"/>
        </w:rPr>
        <w:t>a</w:t>
      </w:r>
      <w:r>
        <w:rPr>
          <w:rFonts w:cs="Times New Roman"/>
        </w:rPr>
        <w:noBreakHyphen/>
      </w:r>
      <w:r w:rsidRPr="00437AAC">
        <w:rPr>
          <w:rFonts w:cs="Times New Roman"/>
        </w:rPr>
        <w:t xml:space="preserve">dope cases (see e.g. C.A. reasons, at </w:t>
      </w:r>
      <w:r>
        <w:rPr>
          <w:rFonts w:cs="Times New Roman"/>
        </w:rPr>
        <w:t>paras. </w:t>
      </w:r>
      <w:r w:rsidRPr="00437AAC">
        <w:rPr>
          <w:rFonts w:cs="Times New Roman"/>
        </w:rPr>
        <w:t>49</w:t>
      </w:r>
      <w:r>
        <w:rPr>
          <w:rFonts w:cs="Times New Roman"/>
        </w:rPr>
        <w:noBreakHyphen/>
      </w:r>
      <w:r w:rsidRPr="00437AAC">
        <w:rPr>
          <w:rFonts w:cs="Times New Roman"/>
        </w:rPr>
        <w:t xml:space="preserve">68; </w:t>
      </w:r>
      <w:r w:rsidRPr="00437AAC">
        <w:rPr>
          <w:rFonts w:cs="Times New Roman"/>
          <w:i/>
        </w:rPr>
        <w:t>Le</w:t>
      </w:r>
      <w:r w:rsidRPr="00437AAC">
        <w:rPr>
          <w:rFonts w:cs="Times New Roman"/>
        </w:rPr>
        <w:t xml:space="preserve">, at </w:t>
      </w:r>
      <w:r>
        <w:rPr>
          <w:rFonts w:cs="Times New Roman"/>
        </w:rPr>
        <w:t>para. </w:t>
      </w:r>
      <w:r w:rsidRPr="00437AAC">
        <w:rPr>
          <w:rFonts w:cs="Times New Roman"/>
        </w:rPr>
        <w:t xml:space="preserve">96). This approach has intuitive appeal in this context. </w:t>
      </w:r>
      <w:r w:rsidRPr="00437AAC">
        <w:rPr>
          <w:rFonts w:cs="Times New Roman"/>
          <w:lang w:val="en-US"/>
        </w:rPr>
        <w:t xml:space="preserve">The </w:t>
      </w:r>
      <w:r w:rsidRPr="00437AAC">
        <w:rPr>
          <w:rFonts w:cs="Times New Roman"/>
          <w:i/>
          <w:lang w:val="en-US"/>
        </w:rPr>
        <w:t>bona fide</w:t>
      </w:r>
      <w:r w:rsidRPr="00437AAC">
        <w:rPr>
          <w:rFonts w:cs="Times New Roman"/>
          <w:lang w:val="en-US"/>
        </w:rPr>
        <w:t xml:space="preserve"> inquiry prong was intended to give law enforcement a measure of flexibility in investigating crimes, particularly crimes that are “consensual” in nature or otherwise difficult to detect through traditional modes of investigation. Although the entire first branch of entrapment is animated by the notion that the state should not be permitted to randomly test the virtue of its citizens, the Court in </w:t>
      </w:r>
      <w:r w:rsidRPr="00437AAC">
        <w:rPr>
          <w:rFonts w:cs="Times New Roman"/>
          <w:i/>
          <w:lang w:val="en-US"/>
        </w:rPr>
        <w:t xml:space="preserve">Mack </w:t>
      </w:r>
      <w:r w:rsidRPr="00437AAC">
        <w:rPr>
          <w:rFonts w:cs="Times New Roman"/>
          <w:lang w:val="en-US"/>
        </w:rPr>
        <w:t xml:space="preserve">and </w:t>
      </w:r>
      <w:r w:rsidRPr="00437AAC">
        <w:rPr>
          <w:rFonts w:cs="Times New Roman"/>
          <w:i/>
          <w:lang w:val="en-US"/>
        </w:rPr>
        <w:t xml:space="preserve">Barnes </w:t>
      </w:r>
      <w:r w:rsidRPr="00437AAC">
        <w:rPr>
          <w:rFonts w:cs="Times New Roman"/>
          <w:lang w:val="en-US"/>
        </w:rPr>
        <w:t xml:space="preserve">nonetheless recognized that it is acceptable for the police to randomly approach citizens and offer them opportunities to commit offences, so long as the area within which they are operating is “defined with sufficient precision” and they “reasonably </w:t>
      </w:r>
      <w:r>
        <w:rPr>
          <w:rFonts w:cs="Times New Roman"/>
          <w:lang w:val="en-US"/>
        </w:rPr>
        <w:t>suspec</w:t>
      </w:r>
      <w:r w:rsidRPr="00437AAC">
        <w:rPr>
          <w:rFonts w:cs="Times New Roman"/>
          <w:lang w:val="en-US"/>
        </w:rPr>
        <w:t>[t]” that that type of crime is occurring in the area (</w:t>
      </w:r>
      <w:r w:rsidRPr="00437AAC">
        <w:rPr>
          <w:rFonts w:cs="Times New Roman"/>
          <w:i/>
          <w:lang w:val="en-US"/>
        </w:rPr>
        <w:t>Barnes</w:t>
      </w:r>
      <w:r w:rsidRPr="00437AAC">
        <w:rPr>
          <w:rFonts w:cs="Times New Roman"/>
          <w:lang w:val="en-US"/>
        </w:rPr>
        <w:t xml:space="preserve">, at </w:t>
      </w:r>
      <w:r>
        <w:rPr>
          <w:rFonts w:cs="Times New Roman"/>
          <w:lang w:val="en-US"/>
        </w:rPr>
        <w:t>p. </w:t>
      </w:r>
      <w:r w:rsidRPr="00437AAC">
        <w:rPr>
          <w:rFonts w:cs="Times New Roman"/>
          <w:lang w:val="en-US"/>
        </w:rPr>
        <w:t>463). Fundamentally, the Court in those cases confirmed that maintaining an appropriate balance between individual liberty and legitimate law enforcement requires affording the police “substantial leeway” to investigate certain types of crime (</w:t>
      </w:r>
      <w:r w:rsidRPr="00437AAC">
        <w:rPr>
          <w:rFonts w:cs="Times New Roman"/>
          <w:i/>
          <w:lang w:val="en-US"/>
        </w:rPr>
        <w:t>Mack</w:t>
      </w:r>
      <w:r w:rsidRPr="00437AAC">
        <w:rPr>
          <w:rFonts w:cs="Times New Roman"/>
          <w:lang w:val="en-US"/>
        </w:rPr>
        <w:t xml:space="preserve">, at </w:t>
      </w:r>
      <w:r>
        <w:rPr>
          <w:rFonts w:cs="Times New Roman"/>
          <w:lang w:val="en-US"/>
        </w:rPr>
        <w:t>pp. </w:t>
      </w:r>
      <w:r w:rsidRPr="00437AAC">
        <w:rPr>
          <w:rFonts w:cs="Times New Roman"/>
          <w:lang w:val="en-US"/>
        </w:rPr>
        <w:t>977</w:t>
      </w:r>
      <w:r>
        <w:rPr>
          <w:rFonts w:cs="Times New Roman"/>
          <w:lang w:val="en-US"/>
        </w:rPr>
        <w:noBreakHyphen/>
      </w:r>
      <w:r w:rsidRPr="00437AAC">
        <w:rPr>
          <w:rFonts w:cs="Times New Roman"/>
          <w:lang w:val="en-US"/>
        </w:rPr>
        <w:t xml:space="preserve">78). Indeed, when one examines the police conduct that was considered acceptable by this Court in the leading </w:t>
      </w:r>
      <w:r w:rsidRPr="00437AAC">
        <w:rPr>
          <w:rFonts w:cs="Times New Roman"/>
          <w:i/>
          <w:lang w:val="en-US"/>
        </w:rPr>
        <w:t xml:space="preserve">bona fide </w:t>
      </w:r>
      <w:r w:rsidRPr="00437AAC">
        <w:rPr>
          <w:rFonts w:cs="Times New Roman"/>
          <w:lang w:val="en-US"/>
        </w:rPr>
        <w:t xml:space="preserve">inquiry case of </w:t>
      </w:r>
      <w:r w:rsidRPr="00437AAC">
        <w:rPr>
          <w:rFonts w:cs="Times New Roman"/>
          <w:i/>
          <w:lang w:val="en-US"/>
        </w:rPr>
        <w:t>Barnes</w:t>
      </w:r>
      <w:r w:rsidRPr="00437AAC">
        <w:rPr>
          <w:rFonts w:cs="Times New Roman"/>
          <w:lang w:val="en-US"/>
        </w:rPr>
        <w:t xml:space="preserve"> — i.e.,</w:t>
      </w:r>
      <w:r w:rsidRPr="00437AAC">
        <w:rPr>
          <w:rFonts w:cs="Times New Roman"/>
          <w:i/>
          <w:lang w:val="en-US"/>
        </w:rPr>
        <w:t xml:space="preserve"> </w:t>
      </w:r>
      <w:r w:rsidRPr="00437AAC">
        <w:rPr>
          <w:rFonts w:cs="Times New Roman"/>
          <w:lang w:val="en-US"/>
        </w:rPr>
        <w:t>randomly approaching any person, amongst potentially thousands of people, within a bustling six</w:t>
      </w:r>
      <w:r>
        <w:rPr>
          <w:rFonts w:cs="Times New Roman"/>
          <w:lang w:val="en-US"/>
        </w:rPr>
        <w:noBreakHyphen/>
      </w:r>
      <w:r w:rsidRPr="00437AAC">
        <w:rPr>
          <w:rFonts w:cs="Times New Roman"/>
          <w:lang w:val="en-US"/>
        </w:rPr>
        <w:t>block area of downtown Vancouver and giving them an opportunity to commit an offence — it becomes abundantly clear that the Court intended to give the police a wide measure of deference in investigating criminal activity. In light of that result, it follows that the conduct at issue in these appeals was never intended to fall within the ambit</w:t>
      </w:r>
      <w:r w:rsidR="006A59C5">
        <w:rPr>
          <w:rFonts w:cs="Times New Roman"/>
          <w:lang w:val="en-US"/>
        </w:rPr>
        <w:t xml:space="preserve"> of the doctrine of entrapment.</w:t>
      </w:r>
    </w:p>
    <w:p w:rsidR="00E53404" w:rsidRPr="00437AAC" w:rsidRDefault="00E53404" w:rsidP="00E53404">
      <w:pPr>
        <w:pStyle w:val="ParaNoNdepar-AltN"/>
        <w:rPr>
          <w:rFonts w:cs="Times New Roman"/>
        </w:rPr>
      </w:pPr>
      <w:r w:rsidRPr="00437AAC">
        <w:rPr>
          <w:rFonts w:cs="Times New Roman"/>
        </w:rPr>
        <w:t xml:space="preserve">The problem in applying the </w:t>
      </w:r>
      <w:r w:rsidRPr="00437AAC">
        <w:rPr>
          <w:rFonts w:cs="Times New Roman"/>
          <w:i/>
        </w:rPr>
        <w:t xml:space="preserve">bona fide </w:t>
      </w:r>
      <w:r w:rsidRPr="00437AAC">
        <w:rPr>
          <w:rFonts w:cs="Times New Roman"/>
        </w:rPr>
        <w:t xml:space="preserve">inquiry prong as defined in </w:t>
      </w:r>
      <w:r w:rsidRPr="00437AAC">
        <w:rPr>
          <w:rFonts w:cs="Times New Roman"/>
          <w:i/>
        </w:rPr>
        <w:t xml:space="preserve">Mack </w:t>
      </w:r>
      <w:r w:rsidRPr="00437AAC">
        <w:rPr>
          <w:rFonts w:cs="Times New Roman"/>
        </w:rPr>
        <w:t xml:space="preserve">and </w:t>
      </w:r>
      <w:r w:rsidRPr="00437AAC">
        <w:rPr>
          <w:rFonts w:cs="Times New Roman"/>
          <w:i/>
        </w:rPr>
        <w:t xml:space="preserve">Barnes </w:t>
      </w:r>
      <w:r w:rsidRPr="00437AAC">
        <w:rPr>
          <w:rFonts w:cs="Times New Roman"/>
        </w:rPr>
        <w:t>to present</w:t>
      </w:r>
      <w:r>
        <w:rPr>
          <w:rFonts w:cs="Times New Roman"/>
        </w:rPr>
        <w:noBreakHyphen/>
      </w:r>
      <w:r w:rsidRPr="00437AAC">
        <w:rPr>
          <w:rFonts w:cs="Times New Roman"/>
        </w:rPr>
        <w:t>day dial</w:t>
      </w:r>
      <w:r>
        <w:rPr>
          <w:rFonts w:cs="Times New Roman"/>
        </w:rPr>
        <w:noBreakHyphen/>
      </w:r>
      <w:r w:rsidRPr="00437AAC">
        <w:rPr>
          <w:rFonts w:cs="Times New Roman"/>
        </w:rPr>
        <w:t>a</w:t>
      </w:r>
      <w:r>
        <w:rPr>
          <w:rFonts w:cs="Times New Roman"/>
        </w:rPr>
        <w:noBreakHyphen/>
      </w:r>
      <w:r w:rsidRPr="00437AAC">
        <w:rPr>
          <w:rFonts w:cs="Times New Roman"/>
        </w:rPr>
        <w:t xml:space="preserve">dope investigations is that the reasonable suspicion standard has evolved since those cases were decided. As I elaborate below, the development of the reasonable suspicion standard in the context of s. 8 of the </w:t>
      </w:r>
      <w:r w:rsidRPr="00437AAC">
        <w:rPr>
          <w:rFonts w:cs="Times New Roman"/>
          <w:i/>
        </w:rPr>
        <w:t>Charter</w:t>
      </w:r>
      <w:r w:rsidRPr="00437AAC">
        <w:rPr>
          <w:rFonts w:cs="Times New Roman"/>
        </w:rPr>
        <w:t xml:space="preserve"> has given rise to doctrinal issues within the </w:t>
      </w:r>
      <w:r w:rsidRPr="00437AAC">
        <w:rPr>
          <w:rFonts w:cs="Times New Roman"/>
          <w:i/>
        </w:rPr>
        <w:t xml:space="preserve">bona fide </w:t>
      </w:r>
      <w:r w:rsidRPr="00437AAC">
        <w:rPr>
          <w:rFonts w:cs="Times New Roman"/>
        </w:rPr>
        <w:t xml:space="preserve">inquiry prong. Briefly, in </w:t>
      </w:r>
      <w:r w:rsidRPr="00437AAC">
        <w:rPr>
          <w:rFonts w:cs="Times New Roman"/>
          <w:i/>
        </w:rPr>
        <w:t>Chehil</w:t>
      </w:r>
      <w:r w:rsidRPr="00437AAC">
        <w:rPr>
          <w:rFonts w:cs="Times New Roman"/>
        </w:rPr>
        <w:t xml:space="preserve">, this Court rejected the notion that reasonable suspicion includes generalized suspicion that “attaches to a particular activity </w:t>
      </w:r>
      <w:r w:rsidRPr="00437AAC">
        <w:rPr>
          <w:rFonts w:cs="Times New Roman"/>
          <w:u w:val="single"/>
        </w:rPr>
        <w:t>or location</w:t>
      </w:r>
      <w:r w:rsidRPr="00437AAC">
        <w:rPr>
          <w:rFonts w:cs="Times New Roman"/>
        </w:rPr>
        <w:t xml:space="preserve"> rather than to a specific person” (</w:t>
      </w:r>
      <w:r>
        <w:rPr>
          <w:rFonts w:cs="Times New Roman"/>
        </w:rPr>
        <w:t>para. </w:t>
      </w:r>
      <w:r w:rsidRPr="00437AAC">
        <w:rPr>
          <w:rFonts w:cs="Times New Roman"/>
        </w:rPr>
        <w:t>28 (emphasis added); see also S. Penney, “Standards of Suspicion” (2018), 65</w:t>
      </w:r>
      <w:r>
        <w:rPr>
          <w:rFonts w:cs="Times New Roman"/>
        </w:rPr>
        <w:t> </w:t>
      </w:r>
      <w:r w:rsidRPr="00437AAC">
        <w:rPr>
          <w:rFonts w:cs="Times New Roman"/>
          <w:i/>
        </w:rPr>
        <w:t>Crim. L.Q.</w:t>
      </w:r>
      <w:r w:rsidRPr="00437AAC">
        <w:rPr>
          <w:rFonts w:cs="Times New Roman"/>
        </w:rPr>
        <w:t xml:space="preserve"> 23, at </w:t>
      </w:r>
      <w:r>
        <w:rPr>
          <w:rFonts w:cs="Times New Roman"/>
        </w:rPr>
        <w:t>pp. </w:t>
      </w:r>
      <w:r w:rsidRPr="00437AAC">
        <w:rPr>
          <w:rFonts w:cs="Times New Roman"/>
        </w:rPr>
        <w:t>40</w:t>
      </w:r>
      <w:r>
        <w:rPr>
          <w:rFonts w:cs="Times New Roman"/>
        </w:rPr>
        <w:noBreakHyphen/>
      </w:r>
      <w:r w:rsidRPr="00437AAC">
        <w:rPr>
          <w:rFonts w:cs="Times New Roman"/>
        </w:rPr>
        <w:t xml:space="preserve">41). And yet, that is precisely the kind of generalized “reasonable suspicion” which the Court in </w:t>
      </w:r>
      <w:r w:rsidRPr="00437AAC">
        <w:rPr>
          <w:rFonts w:cs="Times New Roman"/>
          <w:i/>
        </w:rPr>
        <w:t xml:space="preserve">Mack </w:t>
      </w:r>
      <w:r w:rsidRPr="00437AAC">
        <w:rPr>
          <w:rFonts w:cs="Times New Roman"/>
        </w:rPr>
        <w:t xml:space="preserve">and </w:t>
      </w:r>
      <w:r w:rsidRPr="00437AAC">
        <w:rPr>
          <w:rFonts w:cs="Times New Roman"/>
          <w:i/>
        </w:rPr>
        <w:t xml:space="preserve">Barnes </w:t>
      </w:r>
      <w:r w:rsidRPr="00437AAC">
        <w:rPr>
          <w:rFonts w:cs="Times New Roman"/>
        </w:rPr>
        <w:t xml:space="preserve">incorporated into the </w:t>
      </w:r>
      <w:r w:rsidRPr="00437AAC">
        <w:rPr>
          <w:rFonts w:cs="Times New Roman"/>
          <w:i/>
        </w:rPr>
        <w:t>bona</w:t>
      </w:r>
      <w:r>
        <w:rPr>
          <w:rFonts w:cs="Times New Roman"/>
          <w:i/>
        </w:rPr>
        <w:t> </w:t>
      </w:r>
      <w:r w:rsidRPr="00437AAC">
        <w:rPr>
          <w:rFonts w:cs="Times New Roman"/>
          <w:i/>
        </w:rPr>
        <w:t xml:space="preserve">fide </w:t>
      </w:r>
      <w:r w:rsidRPr="00437AAC">
        <w:rPr>
          <w:rFonts w:cs="Times New Roman"/>
        </w:rPr>
        <w:t>inquiry prong. This deliberate choice reflects the Court’s view that requiring the police to meet a more stringent standard, such as individualized reasonable suspicion, would unduly hinder law enforcement efforts and thereby fail to strike an appropriate balance between individual liberties and legitimate law enforcement.</w:t>
      </w:r>
    </w:p>
    <w:p w:rsidR="00E53404" w:rsidRPr="00437AAC" w:rsidRDefault="00E53404" w:rsidP="00E53404">
      <w:pPr>
        <w:pStyle w:val="ParaNoNdepar-AltN"/>
        <w:rPr>
          <w:rFonts w:cs="Times New Roman"/>
        </w:rPr>
      </w:pPr>
      <w:r w:rsidRPr="00437AAC">
        <w:rPr>
          <w:rFonts w:cs="Times New Roman"/>
        </w:rPr>
        <w:t xml:space="preserve">Since </w:t>
      </w:r>
      <w:r w:rsidRPr="00437AAC">
        <w:rPr>
          <w:rFonts w:cs="Times New Roman"/>
          <w:i/>
        </w:rPr>
        <w:t xml:space="preserve">Mack </w:t>
      </w:r>
      <w:r w:rsidRPr="00437AAC">
        <w:rPr>
          <w:rFonts w:cs="Times New Roman"/>
        </w:rPr>
        <w:t xml:space="preserve">and </w:t>
      </w:r>
      <w:r w:rsidRPr="00437AAC">
        <w:rPr>
          <w:rFonts w:cs="Times New Roman"/>
          <w:i/>
        </w:rPr>
        <w:t xml:space="preserve">Barnes </w:t>
      </w:r>
      <w:r w:rsidRPr="00437AAC">
        <w:rPr>
          <w:rFonts w:cs="Times New Roman"/>
        </w:rPr>
        <w:t xml:space="preserve">were decided, individualization has come to define the reasonable suspicion standard. </w:t>
      </w:r>
      <w:r w:rsidRPr="00437AAC">
        <w:rPr>
          <w:rFonts w:cs="Times New Roman"/>
          <w:i/>
        </w:rPr>
        <w:t xml:space="preserve">Chehil </w:t>
      </w:r>
      <w:r w:rsidRPr="00437AAC">
        <w:rPr>
          <w:rFonts w:cs="Times New Roman"/>
        </w:rPr>
        <w:t xml:space="preserve">is now the leading decision on the meaning of reasonable suspicion. In that case, Karakatsanis J., writing on behalf of a unanimous Court, described reasonable suspicion as “a robust standard determined on the totality of the circumstances, based on objectively discernible facts, and </w:t>
      </w:r>
      <w:r w:rsidR="00262035">
        <w:rPr>
          <w:rFonts w:cs="Times New Roman"/>
        </w:rPr>
        <w:t xml:space="preserve">is </w:t>
      </w:r>
      <w:r w:rsidRPr="00437AAC">
        <w:rPr>
          <w:rFonts w:cs="Times New Roman"/>
        </w:rPr>
        <w:t>subject to independent and rigorous judicial scrutiny” (</w:t>
      </w:r>
      <w:r>
        <w:rPr>
          <w:rFonts w:cs="Times New Roman"/>
        </w:rPr>
        <w:t>para. </w:t>
      </w:r>
      <w:r w:rsidRPr="00437AAC">
        <w:rPr>
          <w:rFonts w:cs="Times New Roman"/>
        </w:rPr>
        <w:t xml:space="preserve">3). </w:t>
      </w:r>
      <w:r w:rsidRPr="00437AAC">
        <w:rPr>
          <w:rFonts w:cs="Times New Roman"/>
          <w:lang w:val="en-US"/>
        </w:rPr>
        <w:t xml:space="preserve">While </w:t>
      </w:r>
      <w:r w:rsidRPr="00437AAC">
        <w:rPr>
          <w:rFonts w:cs="Times New Roman"/>
          <w:i/>
          <w:lang w:val="en-US"/>
        </w:rPr>
        <w:t xml:space="preserve">Chehil </w:t>
      </w:r>
      <w:r w:rsidRPr="00437AAC">
        <w:rPr>
          <w:rFonts w:cs="Times New Roman"/>
          <w:lang w:val="en-US"/>
        </w:rPr>
        <w:t xml:space="preserve">and the companion case of </w:t>
      </w:r>
      <w:r w:rsidRPr="00437AAC">
        <w:rPr>
          <w:rFonts w:cs="Times New Roman"/>
          <w:i/>
          <w:lang w:val="en-US"/>
        </w:rPr>
        <w:t>R. v. MacKenzie</w:t>
      </w:r>
      <w:r w:rsidRPr="00437AAC">
        <w:rPr>
          <w:rFonts w:cs="Times New Roman"/>
          <w:lang w:val="en-US"/>
        </w:rPr>
        <w:t>, 2013 SCC 50, [2013] 3 S.C.R. 250,</w:t>
      </w:r>
      <w:r w:rsidRPr="00437AAC">
        <w:rPr>
          <w:rFonts w:cs="Times New Roman"/>
          <w:i/>
          <w:lang w:val="en-US"/>
        </w:rPr>
        <w:t xml:space="preserve"> </w:t>
      </w:r>
      <w:r w:rsidRPr="00437AAC">
        <w:rPr>
          <w:rFonts w:cs="Times New Roman"/>
          <w:lang w:val="en-US"/>
        </w:rPr>
        <w:t>were concerned with the constitutionality of sniffer dog searches, the Court — recognizing that reasonable suspicion “is a common standard that arises in a number of contexts” — took the opportunity to provide guidance on the general principles that lie at the core of the reasonable suspicion standard (</w:t>
      </w:r>
      <w:r w:rsidRPr="00437AAC">
        <w:rPr>
          <w:rFonts w:cs="Times New Roman"/>
          <w:i/>
          <w:lang w:val="en-US"/>
        </w:rPr>
        <w:t>Chehil</w:t>
      </w:r>
      <w:r w:rsidRPr="00437AAC">
        <w:rPr>
          <w:rFonts w:cs="Times New Roman"/>
          <w:lang w:val="en-US"/>
        </w:rPr>
        <w:t xml:space="preserve">, at </w:t>
      </w:r>
      <w:r>
        <w:rPr>
          <w:rFonts w:cs="Times New Roman"/>
          <w:lang w:val="en-US"/>
        </w:rPr>
        <w:t>para. </w:t>
      </w:r>
      <w:r w:rsidRPr="00437AAC">
        <w:rPr>
          <w:rFonts w:cs="Times New Roman"/>
          <w:lang w:val="en-US"/>
        </w:rPr>
        <w:t>21).</w:t>
      </w:r>
    </w:p>
    <w:p w:rsidR="00E53404" w:rsidRPr="00437AAC" w:rsidRDefault="00E53404" w:rsidP="00E53404">
      <w:pPr>
        <w:pStyle w:val="ParaNoNdepar-AltN"/>
        <w:rPr>
          <w:rFonts w:cs="Times New Roman"/>
        </w:rPr>
      </w:pPr>
      <w:r w:rsidRPr="00437AAC">
        <w:rPr>
          <w:rFonts w:cs="Times New Roman"/>
        </w:rPr>
        <w:t xml:space="preserve">In the entrapment context, the notion of “reasonable suspicion” was invoked by the Court under both the individualized suspicion prong, as described in the previous section, and the </w:t>
      </w:r>
      <w:r w:rsidRPr="00437AAC">
        <w:rPr>
          <w:rFonts w:cs="Times New Roman"/>
          <w:i/>
        </w:rPr>
        <w:t xml:space="preserve">bona fide </w:t>
      </w:r>
      <w:r w:rsidRPr="00437AAC">
        <w:rPr>
          <w:rFonts w:cs="Times New Roman"/>
        </w:rPr>
        <w:t xml:space="preserve">inquiry prong. </w:t>
      </w:r>
      <w:r w:rsidRPr="00437AAC">
        <w:rPr>
          <w:rFonts w:cs="Times New Roman"/>
          <w:i/>
        </w:rPr>
        <w:t xml:space="preserve">Mack </w:t>
      </w:r>
      <w:r w:rsidRPr="00437AAC">
        <w:rPr>
          <w:rFonts w:cs="Times New Roman"/>
        </w:rPr>
        <w:t xml:space="preserve">and </w:t>
      </w:r>
      <w:r w:rsidRPr="00437AAC">
        <w:rPr>
          <w:rFonts w:cs="Times New Roman"/>
          <w:i/>
        </w:rPr>
        <w:t xml:space="preserve">Barnes </w:t>
      </w:r>
      <w:r w:rsidRPr="00437AAC">
        <w:rPr>
          <w:rFonts w:cs="Times New Roman"/>
        </w:rPr>
        <w:t xml:space="preserve">both indicate that the </w:t>
      </w:r>
      <w:r w:rsidRPr="00437AAC">
        <w:rPr>
          <w:rFonts w:cs="Times New Roman"/>
          <w:i/>
        </w:rPr>
        <w:t xml:space="preserve">bona fide </w:t>
      </w:r>
      <w:r w:rsidRPr="00437AAC">
        <w:rPr>
          <w:rFonts w:cs="Times New Roman"/>
        </w:rPr>
        <w:t xml:space="preserve">inquiry prong permits police to conduct genuine investigations that target persons associated with “a particular location or area where it is </w:t>
      </w:r>
      <w:r w:rsidRPr="00437AAC">
        <w:rPr>
          <w:rFonts w:cs="Times New Roman"/>
          <w:u w:val="single"/>
        </w:rPr>
        <w:t>reasonably suspected</w:t>
      </w:r>
      <w:r w:rsidRPr="00437AAC">
        <w:rPr>
          <w:rFonts w:cs="Times New Roman"/>
        </w:rPr>
        <w:t xml:space="preserve"> that certain criminal activity is occurring”.</w:t>
      </w:r>
    </w:p>
    <w:p w:rsidR="00E53404" w:rsidRPr="00437AAC" w:rsidRDefault="00E53404" w:rsidP="00E53404">
      <w:pPr>
        <w:pStyle w:val="ParaNoNdepar-AltN"/>
        <w:rPr>
          <w:rFonts w:cs="Times New Roman"/>
        </w:rPr>
      </w:pPr>
      <w:r w:rsidRPr="00437AAC">
        <w:rPr>
          <w:rFonts w:cs="Times New Roman"/>
        </w:rPr>
        <w:t xml:space="preserve">However, in </w:t>
      </w:r>
      <w:r w:rsidRPr="00437AAC">
        <w:rPr>
          <w:rFonts w:cs="Times New Roman"/>
          <w:i/>
        </w:rPr>
        <w:t>Chehil</w:t>
      </w:r>
      <w:r w:rsidRPr="00437AAC">
        <w:rPr>
          <w:rFonts w:cs="Times New Roman"/>
        </w:rPr>
        <w:t>, this Court rejected the possibility of the kind of generalized location</w:t>
      </w:r>
      <w:r>
        <w:rPr>
          <w:rFonts w:cs="Times New Roman"/>
        </w:rPr>
        <w:noBreakHyphen/>
      </w:r>
      <w:r w:rsidRPr="00437AAC">
        <w:rPr>
          <w:rFonts w:cs="Times New Roman"/>
        </w:rPr>
        <w:t xml:space="preserve">based suspicion that </w:t>
      </w:r>
      <w:r w:rsidRPr="00437AAC">
        <w:rPr>
          <w:rFonts w:cs="Times New Roman"/>
          <w:i/>
        </w:rPr>
        <w:t xml:space="preserve">Barnes </w:t>
      </w:r>
      <w:r w:rsidRPr="00437AAC">
        <w:rPr>
          <w:rFonts w:cs="Times New Roman"/>
        </w:rPr>
        <w:t xml:space="preserve">incorporated into the </w:t>
      </w:r>
      <w:r w:rsidRPr="00437AAC">
        <w:rPr>
          <w:rFonts w:cs="Times New Roman"/>
          <w:i/>
        </w:rPr>
        <w:t xml:space="preserve">bona fide </w:t>
      </w:r>
      <w:r w:rsidRPr="00437AAC">
        <w:rPr>
          <w:rFonts w:cs="Times New Roman"/>
        </w:rPr>
        <w:t xml:space="preserve">inquiry prong. Under </w:t>
      </w:r>
      <w:r w:rsidRPr="00437AAC">
        <w:rPr>
          <w:rFonts w:cs="Times New Roman"/>
          <w:i/>
        </w:rPr>
        <w:t>Barnes</w:t>
      </w:r>
      <w:r w:rsidRPr="00437AAC">
        <w:rPr>
          <w:rFonts w:cs="Times New Roman"/>
        </w:rPr>
        <w:t xml:space="preserve">, </w:t>
      </w:r>
      <w:r w:rsidRPr="00437AAC">
        <w:rPr>
          <w:rFonts w:cs="Times New Roman"/>
          <w:i/>
        </w:rPr>
        <w:t xml:space="preserve">bona fide </w:t>
      </w:r>
      <w:r w:rsidRPr="00437AAC">
        <w:rPr>
          <w:rFonts w:cs="Times New Roman"/>
        </w:rPr>
        <w:t>inquiries only require a kind of generalized suspicion that, when cast over an area that is defined with sufficient precision, justifies randomly presenting individuals with opportunities to commit crime (</w:t>
      </w:r>
      <w:r>
        <w:rPr>
          <w:rFonts w:cs="Times New Roman"/>
        </w:rPr>
        <w:t>p. </w:t>
      </w:r>
      <w:r w:rsidRPr="00437AAC">
        <w:rPr>
          <w:rFonts w:cs="Times New Roman"/>
        </w:rPr>
        <w:t>463). In that case, Lamer C.J. spoke of the police having “reasonable suspicion” over a six</w:t>
      </w:r>
      <w:r>
        <w:rPr>
          <w:rFonts w:cs="Times New Roman"/>
        </w:rPr>
        <w:noBreakHyphen/>
      </w:r>
      <w:r w:rsidRPr="00437AAC">
        <w:rPr>
          <w:rFonts w:cs="Times New Roman"/>
        </w:rPr>
        <w:t xml:space="preserve">block area in downtown Vancouver. In </w:t>
      </w:r>
      <w:r w:rsidRPr="00437AAC">
        <w:rPr>
          <w:rFonts w:cs="Times New Roman"/>
          <w:i/>
        </w:rPr>
        <w:t>Chehil</w:t>
      </w:r>
      <w:r w:rsidRPr="00437AAC">
        <w:rPr>
          <w:rFonts w:cs="Times New Roman"/>
        </w:rPr>
        <w:t>, this Court identified that type of suspicion as “generalized suspicion”, and held that however flexible the reasonable suspicion standard may be, it does not include generalized suspicion:</w:t>
      </w:r>
    </w:p>
    <w:p w:rsidR="00E53404" w:rsidRPr="00437AAC" w:rsidRDefault="00E53404" w:rsidP="00E53404">
      <w:pPr>
        <w:pStyle w:val="Citation-AltC"/>
        <w:ind w:firstLine="274"/>
        <w:rPr>
          <w:rFonts w:eastAsiaTheme="minorEastAsia"/>
          <w:u w:val="single"/>
        </w:rPr>
      </w:pPr>
      <w:r w:rsidRPr="00437AAC">
        <w:rPr>
          <w:rFonts w:eastAsiaTheme="minorEastAsia"/>
        </w:rPr>
        <w:t xml:space="preserve">The fact that reasonable suspicion deals with possibilities, rather than probabilities, necessarily means that in some cases the police will reasonably suspect that innocent people are involved in crime. In spite of this reality, properly conducted sniff searches that are based on reasonable suspicion are </w:t>
      </w:r>
      <w:r w:rsidRPr="00437AAC">
        <w:rPr>
          <w:rFonts w:eastAsiaTheme="minorEastAsia"/>
          <w:i/>
        </w:rPr>
        <w:t>Charter</w:t>
      </w:r>
      <w:r>
        <w:rPr>
          <w:rFonts w:eastAsiaTheme="minorEastAsia"/>
        </w:rPr>
        <w:noBreakHyphen/>
      </w:r>
      <w:r w:rsidRPr="00437AAC">
        <w:rPr>
          <w:rFonts w:eastAsiaTheme="minorEastAsia"/>
        </w:rPr>
        <w:t xml:space="preserve">compliant in light of their minimally intrusive, narrowly targeted, and highly accurate nature: see </w:t>
      </w:r>
      <w:r w:rsidRPr="00437AAC">
        <w:rPr>
          <w:rFonts w:eastAsiaTheme="minorEastAsia"/>
          <w:i/>
        </w:rPr>
        <w:t>Kang</w:t>
      </w:r>
      <w:r>
        <w:rPr>
          <w:rFonts w:eastAsiaTheme="minorEastAsia"/>
          <w:i/>
        </w:rPr>
        <w:noBreakHyphen/>
      </w:r>
      <w:r w:rsidRPr="00437AAC">
        <w:rPr>
          <w:rFonts w:eastAsiaTheme="minorEastAsia"/>
          <w:i/>
        </w:rPr>
        <w:t>Brown</w:t>
      </w:r>
      <w:r w:rsidRPr="00437AAC">
        <w:rPr>
          <w:rFonts w:eastAsiaTheme="minorEastAsia"/>
        </w:rPr>
        <w:t xml:space="preserve">, at </w:t>
      </w:r>
      <w:r>
        <w:rPr>
          <w:rFonts w:eastAsiaTheme="minorEastAsia"/>
        </w:rPr>
        <w:t>para. </w:t>
      </w:r>
      <w:r w:rsidRPr="00437AAC">
        <w:rPr>
          <w:rFonts w:eastAsiaTheme="minorEastAsia"/>
        </w:rPr>
        <w:t xml:space="preserve">60, </w:t>
      </w:r>
      <w:r w:rsidRPr="00437AAC">
        <w:rPr>
          <w:rFonts w:eastAsiaTheme="minorEastAsia"/>
          <w:i/>
        </w:rPr>
        <w:t xml:space="preserve">per </w:t>
      </w:r>
      <w:r w:rsidRPr="00437AAC">
        <w:rPr>
          <w:rFonts w:eastAsiaTheme="minorEastAsia"/>
        </w:rPr>
        <w:t xml:space="preserve">Binnie J., and </w:t>
      </w:r>
      <w:r w:rsidRPr="00437AAC">
        <w:rPr>
          <w:rFonts w:eastAsiaTheme="minorEastAsia"/>
          <w:i/>
        </w:rPr>
        <w:t>A.M.</w:t>
      </w:r>
      <w:r w:rsidRPr="00437AAC">
        <w:rPr>
          <w:rFonts w:eastAsiaTheme="minorEastAsia"/>
        </w:rPr>
        <w:t xml:space="preserve">, at </w:t>
      </w:r>
      <w:r>
        <w:rPr>
          <w:rFonts w:eastAsiaTheme="minorEastAsia"/>
        </w:rPr>
        <w:t>paras. </w:t>
      </w:r>
      <w:r w:rsidRPr="00437AAC">
        <w:rPr>
          <w:rFonts w:eastAsiaTheme="minorEastAsia"/>
        </w:rPr>
        <w:t>81</w:t>
      </w:r>
      <w:r>
        <w:rPr>
          <w:rFonts w:eastAsiaTheme="minorEastAsia"/>
        </w:rPr>
        <w:noBreakHyphen/>
      </w:r>
      <w:r w:rsidRPr="00437AAC">
        <w:rPr>
          <w:rFonts w:eastAsiaTheme="minorEastAsia"/>
        </w:rPr>
        <w:t xml:space="preserve">84, per Binnie J. However, </w:t>
      </w:r>
      <w:r w:rsidRPr="00437AAC">
        <w:rPr>
          <w:rFonts w:eastAsiaTheme="minorEastAsia"/>
          <w:u w:val="single"/>
        </w:rPr>
        <w:t xml:space="preserve">the suspicion held by the police cannot be so broad that it descends to the level of generalized suspicion, which was described by Bastarache J., at </w:t>
      </w:r>
      <w:r>
        <w:rPr>
          <w:rFonts w:eastAsiaTheme="minorEastAsia"/>
          <w:u w:val="single"/>
        </w:rPr>
        <w:t>para. </w:t>
      </w:r>
      <w:r w:rsidRPr="00437AAC">
        <w:rPr>
          <w:rFonts w:eastAsiaTheme="minorEastAsia"/>
          <w:u w:val="single"/>
        </w:rPr>
        <w:t xml:space="preserve">151 of </w:t>
      </w:r>
      <w:r w:rsidRPr="00437AAC">
        <w:rPr>
          <w:rFonts w:eastAsiaTheme="minorEastAsia"/>
          <w:i/>
          <w:u w:val="single"/>
        </w:rPr>
        <w:t>A.M.</w:t>
      </w:r>
      <w:r w:rsidRPr="00437AAC">
        <w:rPr>
          <w:rFonts w:eastAsiaTheme="minorEastAsia"/>
          <w:u w:val="single"/>
        </w:rPr>
        <w:t>, as suspicion “that attaches to a particular activity or location rather than to a specific person”</w:t>
      </w:r>
      <w:r w:rsidRPr="006A59C5">
        <w:rPr>
          <w:rFonts w:eastAsiaTheme="minorEastAsia"/>
          <w:u w:val="single"/>
        </w:rPr>
        <w:t>.</w:t>
      </w:r>
      <w:r w:rsidRPr="00437AAC">
        <w:rPr>
          <w:rFonts w:eastAsiaTheme="minorEastAsia"/>
        </w:rPr>
        <w:t xml:space="preserve"> [Emphasis added;</w:t>
      </w:r>
      <w:r w:rsidRPr="00437AAC">
        <w:rPr>
          <w:rFonts w:eastAsiaTheme="minorEastAsia"/>
          <w:i/>
        </w:rPr>
        <w:t xml:space="preserve"> </w:t>
      </w:r>
      <w:r>
        <w:rPr>
          <w:rFonts w:eastAsiaTheme="minorEastAsia"/>
        </w:rPr>
        <w:t>para. </w:t>
      </w:r>
      <w:r w:rsidRPr="00437AAC">
        <w:rPr>
          <w:rFonts w:eastAsiaTheme="minorEastAsia"/>
        </w:rPr>
        <w:t>28.]</w:t>
      </w:r>
    </w:p>
    <w:p w:rsidR="00E53404" w:rsidRPr="00437AAC" w:rsidRDefault="00E53404" w:rsidP="00E53404">
      <w:pPr>
        <w:pStyle w:val="ParaNoNdepar-AltN"/>
        <w:rPr>
          <w:rFonts w:cs="Times New Roman"/>
        </w:rPr>
      </w:pPr>
      <w:r w:rsidRPr="00437AAC">
        <w:rPr>
          <w:rFonts w:cs="Times New Roman"/>
        </w:rPr>
        <w:t xml:space="preserve">To place this paragraph of </w:t>
      </w:r>
      <w:r w:rsidRPr="00437AAC">
        <w:rPr>
          <w:rFonts w:cs="Times New Roman"/>
          <w:i/>
        </w:rPr>
        <w:t xml:space="preserve">Chehil </w:t>
      </w:r>
      <w:r w:rsidRPr="00437AAC">
        <w:rPr>
          <w:rFonts w:cs="Times New Roman"/>
        </w:rPr>
        <w:t xml:space="preserve">in context, it is necessary to appreciate that in carving “generalized suspicion” out of “reasonable suspicion”, the Court was rejecting the view that Bastarache J. had advanced in his dissenting reasons in the companion cases of </w:t>
      </w:r>
      <w:r w:rsidRPr="00437AAC">
        <w:rPr>
          <w:rFonts w:cs="Times New Roman"/>
          <w:i/>
        </w:rPr>
        <w:t>Kang</w:t>
      </w:r>
      <w:r>
        <w:rPr>
          <w:rFonts w:cs="Times New Roman"/>
          <w:i/>
        </w:rPr>
        <w:noBreakHyphen/>
      </w:r>
      <w:r w:rsidRPr="00437AAC">
        <w:rPr>
          <w:rFonts w:cs="Times New Roman"/>
          <w:i/>
        </w:rPr>
        <w:t xml:space="preserve">Brown </w:t>
      </w:r>
      <w:r w:rsidRPr="00437AAC">
        <w:rPr>
          <w:rFonts w:cs="Times New Roman"/>
        </w:rPr>
        <w:t xml:space="preserve">and </w:t>
      </w:r>
      <w:r w:rsidRPr="00437AAC">
        <w:rPr>
          <w:rFonts w:cs="Times New Roman"/>
          <w:i/>
        </w:rPr>
        <w:t>R. v. A.M.</w:t>
      </w:r>
      <w:r w:rsidRPr="00437AAC">
        <w:rPr>
          <w:rFonts w:cs="Times New Roman"/>
        </w:rPr>
        <w:t>, 2008 SCC 19, [2008] 1 S.C.R. 569. In those cases, this Court considered whether the police had a common law power to use sniffer dogs to detect drugs. A five</w:t>
      </w:r>
      <w:r>
        <w:rPr>
          <w:rFonts w:cs="Times New Roman"/>
        </w:rPr>
        <w:noBreakHyphen/>
      </w:r>
      <w:r w:rsidRPr="00437AAC">
        <w:rPr>
          <w:rFonts w:cs="Times New Roman"/>
        </w:rPr>
        <w:t xml:space="preserve">judge majority of the Court held that sniffer dog searches were permissible on a </w:t>
      </w:r>
      <w:r w:rsidRPr="00437AAC">
        <w:rPr>
          <w:rFonts w:cs="Times New Roman"/>
          <w:i/>
        </w:rPr>
        <w:t>Charter</w:t>
      </w:r>
      <w:r>
        <w:rPr>
          <w:rFonts w:cs="Times New Roman"/>
        </w:rPr>
        <w:noBreakHyphen/>
      </w:r>
      <w:r w:rsidRPr="00437AAC">
        <w:rPr>
          <w:rFonts w:cs="Times New Roman"/>
        </w:rPr>
        <w:t xml:space="preserve">compliant standard of “reasonable suspicion”. According to Binnie J., whose view on this point was later adopted in </w:t>
      </w:r>
      <w:r w:rsidRPr="00437AAC">
        <w:rPr>
          <w:rFonts w:cs="Times New Roman"/>
          <w:i/>
        </w:rPr>
        <w:t>Chehil</w:t>
      </w:r>
      <w:r w:rsidRPr="00437AAC">
        <w:rPr>
          <w:rFonts w:cs="Times New Roman"/>
        </w:rPr>
        <w:t>, reasonable suspicion means individualized suspicion (</w:t>
      </w:r>
      <w:r w:rsidRPr="00437AAC">
        <w:rPr>
          <w:rFonts w:cs="Times New Roman"/>
          <w:i/>
        </w:rPr>
        <w:t>Kang</w:t>
      </w:r>
      <w:r>
        <w:rPr>
          <w:rFonts w:cs="Times New Roman"/>
          <w:i/>
        </w:rPr>
        <w:noBreakHyphen/>
      </w:r>
      <w:r w:rsidRPr="00437AAC">
        <w:rPr>
          <w:rFonts w:cs="Times New Roman"/>
          <w:i/>
        </w:rPr>
        <w:t>Brown</w:t>
      </w:r>
      <w:r w:rsidRPr="00437AAC">
        <w:rPr>
          <w:rFonts w:cs="Times New Roman"/>
        </w:rPr>
        <w:t xml:space="preserve">, at </w:t>
      </w:r>
      <w:r>
        <w:rPr>
          <w:rFonts w:cs="Times New Roman"/>
        </w:rPr>
        <w:t>para. </w:t>
      </w:r>
      <w:r w:rsidRPr="00437AAC">
        <w:rPr>
          <w:rFonts w:cs="Times New Roman"/>
        </w:rPr>
        <w:t>75). Justice Bastarache, dissenting in the result, agreed that police only needed reasonable suspicion to conduct a sniffer dog sear</w:t>
      </w:r>
      <w:r>
        <w:rPr>
          <w:rFonts w:cs="Times New Roman"/>
        </w:rPr>
        <w:t>ch. </w:t>
      </w:r>
      <w:r w:rsidRPr="00437AAC">
        <w:rPr>
          <w:rFonts w:cs="Times New Roman"/>
        </w:rPr>
        <w:t xml:space="preserve">However, his definition of “reasonable suspicion” </w:t>
      </w:r>
      <w:r w:rsidRPr="00437AAC">
        <w:rPr>
          <w:rFonts w:cs="Times New Roman"/>
          <w:i/>
        </w:rPr>
        <w:t>included</w:t>
      </w:r>
      <w:r w:rsidRPr="00437AAC">
        <w:rPr>
          <w:rFonts w:cs="Times New Roman"/>
        </w:rPr>
        <w:t xml:space="preserve"> generalized suspicion (</w:t>
      </w:r>
      <w:r>
        <w:rPr>
          <w:rFonts w:cs="Times New Roman"/>
        </w:rPr>
        <w:t>paras. </w:t>
      </w:r>
      <w:r w:rsidRPr="00437AAC">
        <w:rPr>
          <w:rFonts w:cs="Times New Roman"/>
        </w:rPr>
        <w:t>213</w:t>
      </w:r>
      <w:r>
        <w:rPr>
          <w:rFonts w:cs="Times New Roman"/>
        </w:rPr>
        <w:noBreakHyphen/>
      </w:r>
      <w:r w:rsidRPr="00437AAC">
        <w:rPr>
          <w:rFonts w:cs="Times New Roman"/>
        </w:rPr>
        <w:t>15).</w:t>
      </w:r>
    </w:p>
    <w:p w:rsidR="00E53404" w:rsidRPr="00437AAC" w:rsidRDefault="00E53404" w:rsidP="00E53404">
      <w:pPr>
        <w:pStyle w:val="ParaNoNdepar-AltN"/>
        <w:rPr>
          <w:rFonts w:cs="Times New Roman"/>
        </w:rPr>
      </w:pPr>
      <w:r w:rsidRPr="00437AAC">
        <w:rPr>
          <w:rFonts w:cs="Times New Roman"/>
        </w:rPr>
        <w:t xml:space="preserve">Justice Bastarache neatly summarized his conception of reasonable suspicion in </w:t>
      </w:r>
      <w:r w:rsidRPr="00437AAC">
        <w:rPr>
          <w:rFonts w:cs="Times New Roman"/>
          <w:i/>
        </w:rPr>
        <w:t>A.M.</w:t>
      </w:r>
      <w:r w:rsidRPr="00437AAC">
        <w:rPr>
          <w:rFonts w:cs="Times New Roman"/>
        </w:rPr>
        <w:t>:</w:t>
      </w:r>
    </w:p>
    <w:p w:rsidR="00E53404" w:rsidRPr="00437AAC" w:rsidRDefault="00E53404" w:rsidP="00E53404">
      <w:pPr>
        <w:pStyle w:val="Citation-AltC"/>
      </w:pPr>
      <w:r w:rsidRPr="00437AAC">
        <w:t xml:space="preserve">In </w:t>
      </w:r>
      <w:r w:rsidRPr="00437AAC">
        <w:rPr>
          <w:i/>
        </w:rPr>
        <w:t>Kang</w:t>
      </w:r>
      <w:r>
        <w:rPr>
          <w:i/>
        </w:rPr>
        <w:noBreakHyphen/>
      </w:r>
      <w:r w:rsidRPr="00437AAC">
        <w:rPr>
          <w:i/>
        </w:rPr>
        <w:t>Brown</w:t>
      </w:r>
      <w:r w:rsidRPr="00437AAC">
        <w:t xml:space="preserve">, I emphasized the important role sniffer dogs can play in the prevention and deterrence of crime and found that the use of these dogs is appropriate, under certain conditions, where police have a reasonable suspicion about the presence of illicit substances. </w:t>
      </w:r>
      <w:r w:rsidRPr="00437AAC">
        <w:rPr>
          <w:u w:val="single"/>
        </w:rPr>
        <w:t xml:space="preserve">In some instances, this suspicion will attach to a particular individual, as was demonstrated in </w:t>
      </w:r>
      <w:r w:rsidRPr="00437AAC">
        <w:rPr>
          <w:i/>
          <w:u w:val="single"/>
        </w:rPr>
        <w:t>Kang</w:t>
      </w:r>
      <w:r>
        <w:rPr>
          <w:i/>
          <w:u w:val="single"/>
        </w:rPr>
        <w:noBreakHyphen/>
      </w:r>
      <w:r w:rsidRPr="00437AAC">
        <w:rPr>
          <w:i/>
          <w:u w:val="single"/>
        </w:rPr>
        <w:t>Brown</w:t>
      </w:r>
      <w:r w:rsidRPr="00437AAC">
        <w:rPr>
          <w:u w:val="single"/>
        </w:rPr>
        <w:t xml:space="preserve"> itself. In other situations, however, police will have a reasonable suspicion that attaches to a particular activity or location rather than to a specific person.</w:t>
      </w:r>
      <w:r w:rsidRPr="00437AAC">
        <w:t xml:space="preserve"> This generalized suspicion will form a sufficient basis to justify random searches of bags or luggage in some circumstances. [Emphasis added; </w:t>
      </w:r>
      <w:r>
        <w:t>para. </w:t>
      </w:r>
      <w:r w:rsidRPr="00437AAC">
        <w:t>151.]</w:t>
      </w:r>
    </w:p>
    <w:p w:rsidR="00E53404" w:rsidRPr="00437AAC" w:rsidRDefault="00E53404" w:rsidP="00E53404">
      <w:pPr>
        <w:pStyle w:val="ParaNoNdepar-AltN"/>
        <w:rPr>
          <w:rFonts w:cs="Times New Roman"/>
        </w:rPr>
      </w:pPr>
      <w:r w:rsidRPr="00437AAC">
        <w:rPr>
          <w:rFonts w:cs="Times New Roman"/>
        </w:rPr>
        <w:t xml:space="preserve">Professor Tanovich has observed the incongruity between this Court’s rejection of generalized reasonable suspicion and the suspicion contemplated by the </w:t>
      </w:r>
      <w:r w:rsidRPr="00437AAC">
        <w:rPr>
          <w:rFonts w:cs="Times New Roman"/>
          <w:i/>
        </w:rPr>
        <w:t xml:space="preserve">bona fide </w:t>
      </w:r>
      <w:r w:rsidRPr="00437AAC">
        <w:rPr>
          <w:rFonts w:cs="Times New Roman"/>
        </w:rPr>
        <w:t xml:space="preserve">inquiry prong in his article, at </w:t>
      </w:r>
      <w:r>
        <w:rPr>
          <w:rFonts w:cs="Times New Roman"/>
        </w:rPr>
        <w:t>p. </w:t>
      </w:r>
      <w:r w:rsidR="006A59C5">
        <w:rPr>
          <w:rFonts w:cs="Times New Roman"/>
        </w:rPr>
        <w:t>44</w:t>
      </w:r>
      <w:r w:rsidRPr="00437AAC">
        <w:rPr>
          <w:rFonts w:cs="Times New Roman"/>
        </w:rPr>
        <w:t>3:</w:t>
      </w:r>
    </w:p>
    <w:p w:rsidR="00E53404" w:rsidRPr="00437AAC" w:rsidRDefault="00E53404" w:rsidP="00E53404">
      <w:pPr>
        <w:pStyle w:val="ParaNoNdepar-AltN"/>
        <w:numPr>
          <w:ilvl w:val="0"/>
          <w:numId w:val="0"/>
        </w:numPr>
        <w:spacing w:after="720" w:line="240" w:lineRule="auto"/>
        <w:ind w:left="1170"/>
        <w:rPr>
          <w:rFonts w:cs="Times New Roman"/>
        </w:rPr>
      </w:pPr>
      <w:r w:rsidRPr="00437AAC">
        <w:rPr>
          <w:rFonts w:cs="Times New Roman"/>
        </w:rPr>
        <w:t xml:space="preserve">In </w:t>
      </w:r>
      <w:r w:rsidRPr="00437AAC">
        <w:rPr>
          <w:rFonts w:cs="Times New Roman"/>
          <w:i/>
        </w:rPr>
        <w:t>Kang</w:t>
      </w:r>
      <w:r>
        <w:rPr>
          <w:rFonts w:cs="Times New Roman"/>
          <w:i/>
        </w:rPr>
        <w:noBreakHyphen/>
      </w:r>
      <w:r w:rsidRPr="00437AAC">
        <w:rPr>
          <w:rFonts w:cs="Times New Roman"/>
          <w:i/>
        </w:rPr>
        <w:t>Brown</w:t>
      </w:r>
      <w:r w:rsidRPr="00437AAC">
        <w:rPr>
          <w:rFonts w:cs="Times New Roman"/>
        </w:rPr>
        <w:t>, Justice Bastarache, in dissent and alone on this point, was of the view that the ancillary powers doctrine authorized a dog</w:t>
      </w:r>
      <w:r>
        <w:rPr>
          <w:rFonts w:cs="Times New Roman"/>
        </w:rPr>
        <w:noBreakHyphen/>
      </w:r>
      <w:r w:rsidRPr="00437AAC">
        <w:rPr>
          <w:rFonts w:cs="Times New Roman"/>
        </w:rPr>
        <w:t>sniffer search on the basis of either individualized reasonable suspicion or, in cases where the search occurs at a place of public transportation where “the police had a reasonable suspicion that drug activity might be occurring at the terminal, and reasonably informed passengers were aware of the fact that their baggage may be subject to a sniffer</w:t>
      </w:r>
      <w:r>
        <w:rPr>
          <w:rFonts w:cs="Times New Roman"/>
        </w:rPr>
        <w:noBreakHyphen/>
      </w:r>
      <w:r w:rsidRPr="00437AAC">
        <w:rPr>
          <w:rFonts w:cs="Times New Roman"/>
        </w:rPr>
        <w:t xml:space="preserve">dog search.” </w:t>
      </w:r>
      <w:r w:rsidRPr="00437AAC">
        <w:rPr>
          <w:rFonts w:cs="Times New Roman"/>
          <w:u w:val="single"/>
        </w:rPr>
        <w:t xml:space="preserve">This is, in general terms, the </w:t>
      </w:r>
      <w:r w:rsidRPr="00437AAC">
        <w:rPr>
          <w:rFonts w:cs="Times New Roman"/>
          <w:i/>
          <w:u w:val="single"/>
        </w:rPr>
        <w:t>bona fide</w:t>
      </w:r>
      <w:r w:rsidRPr="00437AAC">
        <w:rPr>
          <w:rFonts w:cs="Times New Roman"/>
          <w:u w:val="single"/>
        </w:rPr>
        <w:t xml:space="preserve"> test for entrapment</w:t>
      </w:r>
      <w:r w:rsidRPr="00437AAC">
        <w:rPr>
          <w:rFonts w:cs="Times New Roman"/>
        </w:rPr>
        <w:t xml:space="preserve">. . . . </w:t>
      </w:r>
      <w:r w:rsidRPr="00437AAC">
        <w:rPr>
          <w:rFonts w:cs="Times New Roman"/>
          <w:u w:val="single"/>
        </w:rPr>
        <w:t xml:space="preserve">What is significant about </w:t>
      </w:r>
      <w:r w:rsidRPr="00437AAC">
        <w:rPr>
          <w:rFonts w:cs="Times New Roman"/>
          <w:i/>
          <w:u w:val="single"/>
        </w:rPr>
        <w:t>Kang</w:t>
      </w:r>
      <w:r>
        <w:rPr>
          <w:rFonts w:cs="Times New Roman"/>
          <w:i/>
          <w:u w:val="single"/>
        </w:rPr>
        <w:noBreakHyphen/>
      </w:r>
      <w:r w:rsidRPr="00437AAC">
        <w:rPr>
          <w:rFonts w:cs="Times New Roman"/>
          <w:i/>
          <w:u w:val="single"/>
        </w:rPr>
        <w:t>Brown</w:t>
      </w:r>
      <w:r w:rsidRPr="00437AAC">
        <w:rPr>
          <w:rFonts w:cs="Times New Roman"/>
          <w:u w:val="single"/>
        </w:rPr>
        <w:t xml:space="preserve"> is that Justice [Bastarache] was alone in extending reasonable suspicion to the location.</w:t>
      </w:r>
      <w:r w:rsidRPr="00437AAC">
        <w:rPr>
          <w:rFonts w:cs="Times New Roman"/>
        </w:rPr>
        <w:t xml:space="preserve"> [Emphasis added; footnote omitted.]</w:t>
      </w:r>
    </w:p>
    <w:p w:rsidR="00E53404" w:rsidRPr="00437AAC" w:rsidRDefault="00E53404" w:rsidP="00E53404">
      <w:pPr>
        <w:pStyle w:val="ParaNoNdepar-AltN"/>
        <w:rPr>
          <w:rFonts w:cs="Times New Roman"/>
        </w:rPr>
      </w:pPr>
      <w:r w:rsidRPr="00437AAC">
        <w:rPr>
          <w:rFonts w:cs="Times New Roman"/>
        </w:rPr>
        <w:t xml:space="preserve">Indeed, the type of “reasonable suspicion” described by Bastarache J. (i.e., generalized reasonable suspicion) is the very type of “reasonable suspicion” that Lamer C.J. had in mind in </w:t>
      </w:r>
      <w:r w:rsidRPr="00437AAC">
        <w:rPr>
          <w:rFonts w:cs="Times New Roman"/>
          <w:i/>
        </w:rPr>
        <w:t xml:space="preserve">Barnes </w:t>
      </w:r>
      <w:r w:rsidRPr="00437AAC">
        <w:rPr>
          <w:rFonts w:cs="Times New Roman"/>
        </w:rPr>
        <w:t xml:space="preserve">— this Court’s seminal case on the </w:t>
      </w:r>
      <w:r w:rsidRPr="00437AAC">
        <w:rPr>
          <w:rFonts w:cs="Times New Roman"/>
          <w:i/>
        </w:rPr>
        <w:t xml:space="preserve">bona fide </w:t>
      </w:r>
      <w:r w:rsidRPr="00437AAC">
        <w:rPr>
          <w:rFonts w:cs="Times New Roman"/>
        </w:rPr>
        <w:t xml:space="preserve">inquiry prong. Justice Bastarache suggested that, in the s. 8 context, the reasonable possibility of crime at a place like a bus depot or a high school could justify the otherwise random searching of individuals in those areas using a sniffer dog. Chief Justice Lamer, writing in the entrapment context, held that the reasonable possibility of a certain type of crime in an even wider area than those considered by Bastarache J. could justify the otherwise random offering of opportunities to individuals associated with that area. In sum, both Bastarache J. and Lamer C.J. defined “reasonable suspicion” in the same way — that is, to include “generalized suspicion”. However, this Court explicitly carved generalized suspicion out of the definition of reasonable suspicion in </w:t>
      </w:r>
      <w:r w:rsidRPr="00437AAC">
        <w:rPr>
          <w:rFonts w:cs="Times New Roman"/>
          <w:i/>
        </w:rPr>
        <w:t>Chehil</w:t>
      </w:r>
      <w:r w:rsidRPr="00437AAC">
        <w:rPr>
          <w:rFonts w:cs="Times New Roman"/>
        </w:rPr>
        <w:t>, which</w:t>
      </w:r>
      <w:r w:rsidRPr="00437AAC">
        <w:rPr>
          <w:rFonts w:cs="Times New Roman"/>
          <w:i/>
        </w:rPr>
        <w:t xml:space="preserve"> </w:t>
      </w:r>
      <w:r w:rsidRPr="00437AAC">
        <w:rPr>
          <w:rFonts w:cs="Times New Roman"/>
        </w:rPr>
        <w:t>made it clear that “reasonable suspicion” me</w:t>
      </w:r>
      <w:r w:rsidR="006A59C5">
        <w:rPr>
          <w:rFonts w:cs="Times New Roman"/>
        </w:rPr>
        <w:t>ans “individualized suspicion”.</w:t>
      </w:r>
    </w:p>
    <w:p w:rsidR="00E53404" w:rsidRPr="00437AAC" w:rsidRDefault="00E53404" w:rsidP="00E53404">
      <w:pPr>
        <w:pStyle w:val="ParaNoNdepar-AltN"/>
        <w:rPr>
          <w:rFonts w:cs="Times New Roman"/>
        </w:rPr>
      </w:pPr>
      <w:r w:rsidRPr="00437AAC">
        <w:rPr>
          <w:rFonts w:cs="Times New Roman"/>
        </w:rPr>
        <w:t xml:space="preserve">Accordingly, on a faithful reading of </w:t>
      </w:r>
      <w:r w:rsidRPr="00437AAC">
        <w:rPr>
          <w:rFonts w:cs="Times New Roman"/>
          <w:i/>
        </w:rPr>
        <w:t>Chehil</w:t>
      </w:r>
      <w:r w:rsidRPr="00437AAC">
        <w:rPr>
          <w:rFonts w:cs="Times New Roman"/>
        </w:rPr>
        <w:t xml:space="preserve">, the police could never hold “reasonable suspicion” — as that standard has now been defined — over the area at issue in </w:t>
      </w:r>
      <w:r w:rsidRPr="00437AAC">
        <w:rPr>
          <w:rFonts w:cs="Times New Roman"/>
          <w:i/>
        </w:rPr>
        <w:t>Barnes</w:t>
      </w:r>
      <w:r w:rsidRPr="00437AAC">
        <w:rPr>
          <w:rFonts w:cs="Times New Roman"/>
        </w:rPr>
        <w:t xml:space="preserve">. The use of generalized suspicion in </w:t>
      </w:r>
      <w:r w:rsidRPr="00437AAC">
        <w:rPr>
          <w:rFonts w:cs="Times New Roman"/>
          <w:i/>
        </w:rPr>
        <w:t xml:space="preserve">Barnes </w:t>
      </w:r>
      <w:r w:rsidRPr="00437AAC">
        <w:rPr>
          <w:rFonts w:cs="Times New Roman"/>
        </w:rPr>
        <w:t xml:space="preserve">is the only reason why the result in that case was possible. The facts on which the undercover officer’s “reasonable suspicion” in </w:t>
      </w:r>
      <w:r w:rsidRPr="00437AAC">
        <w:rPr>
          <w:rFonts w:cs="Times New Roman"/>
          <w:i/>
        </w:rPr>
        <w:t xml:space="preserve">Barnes </w:t>
      </w:r>
      <w:r w:rsidRPr="00437AAC">
        <w:rPr>
          <w:rFonts w:cs="Times New Roman"/>
        </w:rPr>
        <w:t>were based were not at all individualized. The six</w:t>
      </w:r>
      <w:r>
        <w:rPr>
          <w:rFonts w:cs="Times New Roman"/>
        </w:rPr>
        <w:noBreakHyphen/>
      </w:r>
      <w:r w:rsidRPr="00437AAC">
        <w:rPr>
          <w:rFonts w:cs="Times New Roman"/>
        </w:rPr>
        <w:t>block area was simply “known as an area of considerable drug activity”, and the statistical evidence before the Court was limited to raw data regarding the number of arrests made in the area and the proportion of charged drug offences that arose from that area (</w:t>
      </w:r>
      <w:r w:rsidRPr="00437AAC">
        <w:rPr>
          <w:rFonts w:cs="Times New Roman"/>
          <w:i/>
        </w:rPr>
        <w:t>Barnes</w:t>
      </w:r>
      <w:r w:rsidRPr="00437AAC">
        <w:rPr>
          <w:rFonts w:cs="Times New Roman"/>
        </w:rPr>
        <w:t xml:space="preserve">, at </w:t>
      </w:r>
      <w:r>
        <w:rPr>
          <w:rFonts w:cs="Times New Roman"/>
        </w:rPr>
        <w:t>pp. </w:t>
      </w:r>
      <w:r w:rsidRPr="00437AAC">
        <w:rPr>
          <w:rFonts w:cs="Times New Roman"/>
        </w:rPr>
        <w:t>461</w:t>
      </w:r>
      <w:r>
        <w:rPr>
          <w:rFonts w:cs="Times New Roman"/>
        </w:rPr>
        <w:noBreakHyphen/>
      </w:r>
      <w:r w:rsidRPr="00437AAC">
        <w:rPr>
          <w:rFonts w:cs="Times New Roman"/>
        </w:rPr>
        <w:t xml:space="preserve">62). No doubt similar statistics could be marshalled for the various locations to which Bastarache J. would have held “reasonable suspicion” could apply, such as airports and bus terminals (see </w:t>
      </w:r>
      <w:r w:rsidRPr="00437AAC">
        <w:rPr>
          <w:rFonts w:cs="Times New Roman"/>
          <w:i/>
        </w:rPr>
        <w:t>Kang</w:t>
      </w:r>
      <w:r>
        <w:rPr>
          <w:rFonts w:cs="Times New Roman"/>
          <w:i/>
        </w:rPr>
        <w:noBreakHyphen/>
      </w:r>
      <w:r w:rsidRPr="00437AAC">
        <w:rPr>
          <w:rFonts w:cs="Times New Roman"/>
          <w:i/>
        </w:rPr>
        <w:t>Brown</w:t>
      </w:r>
      <w:r w:rsidRPr="00437AAC">
        <w:rPr>
          <w:rFonts w:cs="Times New Roman"/>
        </w:rPr>
        <w:t xml:space="preserve">, at </w:t>
      </w:r>
      <w:r>
        <w:rPr>
          <w:rFonts w:cs="Times New Roman"/>
        </w:rPr>
        <w:t>para. </w:t>
      </w:r>
      <w:r w:rsidRPr="00437AAC">
        <w:rPr>
          <w:rFonts w:cs="Times New Roman"/>
        </w:rPr>
        <w:t xml:space="preserve">214). Nonetheless, the Court in </w:t>
      </w:r>
      <w:r w:rsidRPr="00437AAC">
        <w:rPr>
          <w:rFonts w:cs="Times New Roman"/>
          <w:i/>
        </w:rPr>
        <w:t>Chehil</w:t>
      </w:r>
      <w:r w:rsidRPr="00437AAC">
        <w:rPr>
          <w:rFonts w:cs="Times New Roman"/>
        </w:rPr>
        <w:t xml:space="preserve"> rejected the concept of “reasonable suspicion” advanced by Bastarache J. — not because there was insufficient evidence of drug crime at Vancouver International Airport in that case — but on the principled conclusion that reasonable su</w:t>
      </w:r>
      <w:r w:rsidR="006A59C5">
        <w:rPr>
          <w:rFonts w:cs="Times New Roman"/>
        </w:rPr>
        <w:t>spicion must be individualized.</w:t>
      </w:r>
    </w:p>
    <w:p w:rsidR="00E53404" w:rsidRPr="00437AAC" w:rsidRDefault="00E53404" w:rsidP="00E53404">
      <w:pPr>
        <w:pStyle w:val="ParaNoNdepar-AltN"/>
        <w:rPr>
          <w:rFonts w:cs="Times New Roman"/>
        </w:rPr>
      </w:pPr>
      <w:r w:rsidRPr="00437AAC">
        <w:rPr>
          <w:rFonts w:cs="Times New Roman"/>
        </w:rPr>
        <w:t xml:space="preserve">This exposes the fundamental dissonance between </w:t>
      </w:r>
      <w:r w:rsidRPr="00437AAC">
        <w:rPr>
          <w:rFonts w:cs="Times New Roman"/>
          <w:i/>
        </w:rPr>
        <w:t xml:space="preserve">Barnes </w:t>
      </w:r>
      <w:r w:rsidRPr="00437AAC">
        <w:rPr>
          <w:rFonts w:cs="Times New Roman"/>
        </w:rPr>
        <w:t xml:space="preserve">and </w:t>
      </w:r>
      <w:r w:rsidRPr="00437AAC">
        <w:rPr>
          <w:rFonts w:cs="Times New Roman"/>
          <w:i/>
        </w:rPr>
        <w:t>Chehil</w:t>
      </w:r>
      <w:r w:rsidRPr="00437AAC">
        <w:rPr>
          <w:rFonts w:cs="Times New Roman"/>
        </w:rPr>
        <w:t xml:space="preserve">: the Court in </w:t>
      </w:r>
      <w:r w:rsidRPr="00437AAC">
        <w:rPr>
          <w:rFonts w:cs="Times New Roman"/>
          <w:i/>
        </w:rPr>
        <w:t>Barnes</w:t>
      </w:r>
      <w:r w:rsidRPr="00437AAC">
        <w:rPr>
          <w:rFonts w:cs="Times New Roman"/>
        </w:rPr>
        <w:t xml:space="preserve"> did not require any degree of individualization, but post</w:t>
      </w:r>
      <w:r>
        <w:rPr>
          <w:rFonts w:cs="Times New Roman"/>
        </w:rPr>
        <w:noBreakHyphen/>
      </w:r>
      <w:r w:rsidRPr="00437AAC">
        <w:rPr>
          <w:rFonts w:cs="Times New Roman"/>
          <w:i/>
        </w:rPr>
        <w:t>Chehil</w:t>
      </w:r>
      <w:r w:rsidRPr="00437AAC">
        <w:rPr>
          <w:rFonts w:cs="Times New Roman"/>
        </w:rPr>
        <w:t xml:space="preserve">, individualization now defines the reasonable suspicion standard (see Penney (2018); Tanovich, at </w:t>
      </w:r>
      <w:r>
        <w:rPr>
          <w:rFonts w:cs="Times New Roman"/>
        </w:rPr>
        <w:t>p. </w:t>
      </w:r>
      <w:r w:rsidRPr="00437AAC">
        <w:rPr>
          <w:rFonts w:cs="Times New Roman"/>
        </w:rPr>
        <w:t>433). This dissonance has significant implications for the doctrine of entrapment. In particular, the more restrictive meaning this Court</w:t>
      </w:r>
      <w:r>
        <w:rPr>
          <w:rFonts w:cs="Times New Roman"/>
        </w:rPr>
        <w:t xml:space="preserve"> </w:t>
      </w:r>
      <w:r w:rsidRPr="00437AAC">
        <w:rPr>
          <w:rFonts w:cs="Times New Roman"/>
        </w:rPr>
        <w:t xml:space="preserve">ascribed to “reasonable suspicion” in </w:t>
      </w:r>
      <w:r w:rsidRPr="00437AAC">
        <w:rPr>
          <w:rFonts w:cs="Times New Roman"/>
          <w:i/>
        </w:rPr>
        <w:t>Chehil</w:t>
      </w:r>
      <w:r>
        <w:rPr>
          <w:rFonts w:cs="Times New Roman"/>
          <w:i/>
        </w:rPr>
        <w:t xml:space="preserve"> </w:t>
      </w:r>
      <w:r w:rsidRPr="00437AAC">
        <w:rPr>
          <w:rFonts w:cs="Times New Roman"/>
        </w:rPr>
        <w:t>has rendered it incompatible with the balance between individual liberties and legitimate law enforcement struck by</w:t>
      </w:r>
      <w:r>
        <w:rPr>
          <w:rFonts w:cs="Times New Roman"/>
        </w:rPr>
        <w:t xml:space="preserve"> </w:t>
      </w:r>
      <w:r w:rsidRPr="00437AAC">
        <w:rPr>
          <w:rFonts w:cs="Times New Roman"/>
        </w:rPr>
        <w:t xml:space="preserve">the </w:t>
      </w:r>
      <w:r w:rsidRPr="00437AAC">
        <w:rPr>
          <w:rFonts w:cs="Times New Roman"/>
          <w:i/>
        </w:rPr>
        <w:t xml:space="preserve">bona fide </w:t>
      </w:r>
      <w:r w:rsidRPr="00437AAC">
        <w:rPr>
          <w:rFonts w:cs="Times New Roman"/>
        </w:rPr>
        <w:t xml:space="preserve">inquiry prong in </w:t>
      </w:r>
      <w:r w:rsidRPr="00437AAC">
        <w:rPr>
          <w:rFonts w:cs="Times New Roman"/>
          <w:i/>
        </w:rPr>
        <w:t>Barnes</w:t>
      </w:r>
      <w:r w:rsidRPr="00437AAC">
        <w:rPr>
          <w:rFonts w:cs="Times New Roman"/>
        </w:rPr>
        <w:t>.</w:t>
      </w:r>
    </w:p>
    <w:p w:rsidR="00E53404" w:rsidRPr="00437AAC" w:rsidRDefault="00E53404" w:rsidP="00E53404">
      <w:pPr>
        <w:pStyle w:val="ParaNoNdepar-AltN"/>
        <w:rPr>
          <w:rFonts w:cs="Times New Roman"/>
        </w:rPr>
      </w:pPr>
      <w:r w:rsidRPr="00437AAC">
        <w:rPr>
          <w:rFonts w:cs="Times New Roman"/>
        </w:rPr>
        <w:t xml:space="preserve">Contrary to their assertion that they have provided a “complete answer” to the foregoing, my colleagues fail to explain how the result in </w:t>
      </w:r>
      <w:r w:rsidRPr="00437AAC">
        <w:rPr>
          <w:rFonts w:cs="Times New Roman"/>
          <w:i/>
          <w:iCs/>
        </w:rPr>
        <w:t>Barnes</w:t>
      </w:r>
      <w:r w:rsidRPr="00437AAC">
        <w:rPr>
          <w:rFonts w:cs="Times New Roman"/>
        </w:rPr>
        <w:t xml:space="preserve"> could possibly be justified on a </w:t>
      </w:r>
      <w:r w:rsidRPr="00437AAC">
        <w:rPr>
          <w:rFonts w:cs="Times New Roman"/>
          <w:i/>
          <w:iCs/>
        </w:rPr>
        <w:t>Chehil</w:t>
      </w:r>
      <w:r>
        <w:rPr>
          <w:rFonts w:cs="Times New Roman"/>
        </w:rPr>
        <w:noBreakHyphen/>
      </w:r>
      <w:r w:rsidRPr="00437AAC">
        <w:rPr>
          <w:rFonts w:cs="Times New Roman"/>
        </w:rPr>
        <w:t>compliant standard of reasonable suspicion (</w:t>
      </w:r>
      <w:r>
        <w:rPr>
          <w:rFonts w:cs="Times New Roman"/>
        </w:rPr>
        <w:t>para. </w:t>
      </w:r>
      <w:r w:rsidRPr="00437AAC">
        <w:rPr>
          <w:rFonts w:cs="Times New Roman"/>
        </w:rPr>
        <w:t>48). They accept that individualization is now essential to the reasonable suspicion standard, and state that “the ill sought to be remedied by individualization is police intruding on the protected interests of all persons in broadly or poorly defined locations, especially on the basis of generalized evidence” (</w:t>
      </w:r>
      <w:r>
        <w:rPr>
          <w:rFonts w:cs="Times New Roman"/>
        </w:rPr>
        <w:t>para. </w:t>
      </w:r>
      <w:r w:rsidRPr="00437AAC">
        <w:rPr>
          <w:rFonts w:cs="Times New Roman"/>
        </w:rPr>
        <w:t xml:space="preserve">48). On these points of law, I substantially agree. However, this requirement of individualization was neither imposed nor met in </w:t>
      </w:r>
      <w:r w:rsidRPr="00437AAC">
        <w:rPr>
          <w:rFonts w:cs="Times New Roman"/>
          <w:i/>
          <w:iCs/>
        </w:rPr>
        <w:t xml:space="preserve">Barnes </w:t>
      </w:r>
      <w:r w:rsidRPr="00437AAC">
        <w:rPr>
          <w:rFonts w:cs="Times New Roman"/>
        </w:rPr>
        <w:t>— as I have explained, the police relied exclusively on generalized evidence to ground their “reasonable suspicion”. Here, it also bears noting that the Court rejected Mr. Barnes’s argument that the police should have focused their investigation on the “specific” areas of the Granville Mall where the evidence indicated drug trafficking was prevalent. Indeed, the Court took the view that “[i]t would be unrealistic for the police to focus their investigation on one specific part of the Mall” (</w:t>
      </w:r>
      <w:r>
        <w:rPr>
          <w:rFonts w:cs="Times New Roman"/>
        </w:rPr>
        <w:t>p. </w:t>
      </w:r>
      <w:r w:rsidRPr="00437AAC">
        <w:rPr>
          <w:rFonts w:cs="Times New Roman"/>
        </w:rPr>
        <w:t>461, per</w:t>
      </w:r>
      <w:r w:rsidRPr="00437AAC">
        <w:rPr>
          <w:rFonts w:cs="Times New Roman"/>
          <w:i/>
        </w:rPr>
        <w:t xml:space="preserve"> </w:t>
      </w:r>
      <w:r w:rsidRPr="00437AAC">
        <w:rPr>
          <w:rFonts w:cs="Times New Roman"/>
        </w:rPr>
        <w:t>Lamer</w:t>
      </w:r>
      <w:r>
        <w:rPr>
          <w:rFonts w:cs="Times New Roman"/>
        </w:rPr>
        <w:t> </w:t>
      </w:r>
      <w:r w:rsidRPr="00437AAC">
        <w:rPr>
          <w:rFonts w:cs="Times New Roman"/>
        </w:rPr>
        <w:t xml:space="preserve">C.J.; </w:t>
      </w:r>
      <w:r w:rsidRPr="00437AAC">
        <w:rPr>
          <w:rFonts w:cs="Times New Roman"/>
          <w:i/>
        </w:rPr>
        <w:t>contra</w:t>
      </w:r>
      <w:r w:rsidRPr="00437AAC">
        <w:rPr>
          <w:rFonts w:cs="Times New Roman"/>
        </w:rPr>
        <w:t>:</w:t>
      </w:r>
      <w:r w:rsidRPr="00437AAC">
        <w:rPr>
          <w:rFonts w:cs="Times New Roman"/>
          <w:i/>
        </w:rPr>
        <w:t xml:space="preserve"> </w:t>
      </w:r>
      <w:r>
        <w:rPr>
          <w:rFonts w:cs="Times New Roman"/>
        </w:rPr>
        <w:t>p. </w:t>
      </w:r>
      <w:r w:rsidRPr="00437AAC">
        <w:rPr>
          <w:rFonts w:cs="Times New Roman"/>
        </w:rPr>
        <w:t>486, per</w:t>
      </w:r>
      <w:r w:rsidRPr="00437AAC">
        <w:rPr>
          <w:rFonts w:cs="Times New Roman"/>
          <w:i/>
        </w:rPr>
        <w:t xml:space="preserve"> </w:t>
      </w:r>
      <w:r w:rsidRPr="00437AAC">
        <w:rPr>
          <w:rFonts w:cs="Times New Roman"/>
        </w:rPr>
        <w:t>McLachlin J., dissenting). In light of this, I have great difficulty accepting the conclusion — which necessarily underpins my colleagues’ reasons — that</w:t>
      </w:r>
      <w:r>
        <w:rPr>
          <w:rFonts w:cs="Times New Roman"/>
        </w:rPr>
        <w:t xml:space="preserve"> </w:t>
      </w:r>
      <w:r w:rsidRPr="00437AAC">
        <w:rPr>
          <w:rFonts w:cs="Times New Roman"/>
        </w:rPr>
        <w:t xml:space="preserve">the suspicion held by the police in </w:t>
      </w:r>
      <w:r w:rsidRPr="00437AAC">
        <w:rPr>
          <w:rFonts w:cs="Times New Roman"/>
          <w:i/>
          <w:iCs/>
        </w:rPr>
        <w:t xml:space="preserve">Barnes </w:t>
      </w:r>
      <w:r w:rsidRPr="00437AAC">
        <w:rPr>
          <w:rFonts w:cs="Times New Roman"/>
        </w:rPr>
        <w:t xml:space="preserve">was somehow sufficiently individualized so as to be consistent with the reasonable suspicion standard set out in </w:t>
      </w:r>
      <w:r w:rsidRPr="00437AAC">
        <w:rPr>
          <w:rFonts w:cs="Times New Roman"/>
          <w:i/>
          <w:iCs/>
        </w:rPr>
        <w:t>Chehil</w:t>
      </w:r>
      <w:r w:rsidRPr="00437AAC">
        <w:rPr>
          <w:rFonts w:cs="Times New Roman"/>
        </w:rPr>
        <w:t>.</w:t>
      </w:r>
    </w:p>
    <w:p w:rsidR="00E53404" w:rsidRPr="00437AAC" w:rsidRDefault="00E53404" w:rsidP="00E53404">
      <w:pPr>
        <w:pStyle w:val="ParaNoNdepar-AltN"/>
        <w:rPr>
          <w:rFonts w:cs="Times New Roman"/>
        </w:rPr>
      </w:pPr>
      <w:r w:rsidRPr="00437AAC">
        <w:rPr>
          <w:rFonts w:cs="Times New Roman"/>
        </w:rPr>
        <w:t xml:space="preserve">Ultimately, I understand the dispute between myself and my colleagues in this case to come down to this: should the Court continue to invoke the words “reasonable suspicion” when applying the </w:t>
      </w:r>
      <w:r w:rsidRPr="00437AAC">
        <w:rPr>
          <w:rFonts w:cs="Times New Roman"/>
          <w:i/>
        </w:rPr>
        <w:t xml:space="preserve">bona fide </w:t>
      </w:r>
      <w:r w:rsidRPr="00437AAC">
        <w:rPr>
          <w:rFonts w:cs="Times New Roman"/>
        </w:rPr>
        <w:t xml:space="preserve">inquiry prong, which, in light of </w:t>
      </w:r>
      <w:r w:rsidRPr="00437AAC">
        <w:rPr>
          <w:rFonts w:cs="Times New Roman"/>
          <w:i/>
        </w:rPr>
        <w:t>Chehil</w:t>
      </w:r>
      <w:r w:rsidRPr="00437AAC">
        <w:rPr>
          <w:rFonts w:cs="Times New Roman"/>
        </w:rPr>
        <w:t xml:space="preserve">, would preclude the type of investigation undertaken in </w:t>
      </w:r>
      <w:r w:rsidRPr="00437AAC">
        <w:rPr>
          <w:rFonts w:cs="Times New Roman"/>
          <w:i/>
        </w:rPr>
        <w:t>Barnes</w:t>
      </w:r>
      <w:r w:rsidRPr="00437AAC">
        <w:rPr>
          <w:rFonts w:cs="Times New Roman"/>
        </w:rPr>
        <w:t xml:space="preserve">; or, should the Court revise the </w:t>
      </w:r>
      <w:r w:rsidRPr="00437AAC">
        <w:rPr>
          <w:rFonts w:cs="Times New Roman"/>
          <w:i/>
        </w:rPr>
        <w:t xml:space="preserve">bona fide </w:t>
      </w:r>
      <w:r w:rsidRPr="00437AAC">
        <w:rPr>
          <w:rFonts w:cs="Times New Roman"/>
        </w:rPr>
        <w:t xml:space="preserve">inquiry prong so as to remain true to the fundamental balance between legitimate law enforcement and individual liberties struck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With respect to the contrary view, I am of the opinion that, while the </w:t>
      </w:r>
      <w:r w:rsidRPr="00437AAC">
        <w:rPr>
          <w:rFonts w:cs="Times New Roman"/>
          <w:i/>
        </w:rPr>
        <w:t>bona fide</w:t>
      </w:r>
      <w:r w:rsidRPr="00437AAC">
        <w:rPr>
          <w:rFonts w:cs="Times New Roman"/>
        </w:rPr>
        <w:t xml:space="preserve"> inquiry prong must be revised to address the doctrinal issues outlined above and the policy concerns that have arisen since its creation, the revised approach that I would adopt is more consistent with the holdings and underlying principles of this Court’s entrapment jurisprudence than the sol</w:t>
      </w:r>
      <w:r w:rsidR="006A59C5">
        <w:rPr>
          <w:rFonts w:cs="Times New Roman"/>
        </w:rPr>
        <w:t>ution offered by my colleagues.</w:t>
      </w:r>
    </w:p>
    <w:p w:rsidR="00E53404" w:rsidRPr="00437AAC" w:rsidRDefault="00E53404" w:rsidP="00E53404">
      <w:pPr>
        <w:pStyle w:val="Title2LevelTitre2Niveau"/>
        <w:jc w:val="both"/>
        <w:rPr>
          <w:rFonts w:cs="Times New Roman"/>
        </w:rPr>
      </w:pPr>
      <w:r w:rsidRPr="00437AAC">
        <w:rPr>
          <w:rFonts w:cs="Times New Roman"/>
        </w:rPr>
        <w:t xml:space="preserve">The Solution </w:t>
      </w:r>
      <w:r>
        <w:rPr>
          <w:rFonts w:cs="Times New Roman"/>
        </w:rPr>
        <w:t>I</w:t>
      </w:r>
      <w:r w:rsidRPr="00437AAC">
        <w:rPr>
          <w:rFonts w:cs="Times New Roman"/>
        </w:rPr>
        <w:t>s to Revise the Bona Fide Inquiry Prong</w:t>
      </w:r>
    </w:p>
    <w:p w:rsidR="00E53404" w:rsidRPr="00437AAC" w:rsidRDefault="00E53404" w:rsidP="00E53404">
      <w:pPr>
        <w:pStyle w:val="ParaNoNdepar-AltN"/>
        <w:rPr>
          <w:rFonts w:cs="Times New Roman"/>
        </w:rPr>
      </w:pPr>
      <w:r w:rsidRPr="00437AAC">
        <w:rPr>
          <w:rFonts w:cs="Times New Roman"/>
        </w:rPr>
        <w:t>As indicated, I take the view that the solution to the doctrinal incoherence and policy concerns revealed by the dial</w:t>
      </w:r>
      <w:r>
        <w:rPr>
          <w:rFonts w:cs="Times New Roman"/>
        </w:rPr>
        <w:noBreakHyphen/>
      </w:r>
      <w:r w:rsidRPr="00437AAC">
        <w:rPr>
          <w:rFonts w:cs="Times New Roman"/>
        </w:rPr>
        <w:t>a</w:t>
      </w:r>
      <w:r>
        <w:rPr>
          <w:rFonts w:cs="Times New Roman"/>
        </w:rPr>
        <w:noBreakHyphen/>
      </w:r>
      <w:r w:rsidRPr="00437AAC">
        <w:rPr>
          <w:rFonts w:cs="Times New Roman"/>
        </w:rPr>
        <w:t xml:space="preserve">dope entrapment jurisprudence is to revise the </w:t>
      </w:r>
      <w:r w:rsidRPr="00437AAC">
        <w:rPr>
          <w:rFonts w:cs="Times New Roman"/>
          <w:i/>
        </w:rPr>
        <w:t xml:space="preserve">bona fide </w:t>
      </w:r>
      <w:r w:rsidRPr="00437AAC">
        <w:rPr>
          <w:rFonts w:cs="Times New Roman"/>
        </w:rPr>
        <w:t>inquiry prong. However, before turning to what I believe is the best way to move forward in the law of entrapment, I will consider three potential solutions to the problems outlined above and explain why I do not believe that any of those solutions are appropriate.</w:t>
      </w:r>
    </w:p>
    <w:p w:rsidR="00E53404" w:rsidRPr="00437AAC" w:rsidRDefault="00E53404" w:rsidP="00E53404">
      <w:pPr>
        <w:pStyle w:val="ParaNoNdepar-AltN"/>
        <w:rPr>
          <w:rFonts w:cs="Times New Roman"/>
        </w:rPr>
      </w:pPr>
      <w:r w:rsidRPr="00437AAC">
        <w:rPr>
          <w:rFonts w:cs="Times New Roman"/>
        </w:rPr>
        <w:t>First, and with respect to my colleagues who would adopt this approach, I do not believe that this Court should bring the blurry line some courts have drawn between an “investigative step” and an “opportunity” into sharper relief. I have reviewed the principled concerns with this parsing approach earlier in these reasons. In sum, it creates an artificial distinction based on the specific words used by the undercover officer rather than focusing on whether society would view the officer’s conduct, considered in context, as simply intolerable. Indeed, the parsing approach strays so far from the abuse of process foundation that underlies the doctrine of entrapment as to appear entirely divorced from it. A “solution” that involves dancing on the head of a pin in this way is surely no solution at all.</w:t>
      </w:r>
    </w:p>
    <w:p w:rsidR="00E53404" w:rsidRPr="00437AAC" w:rsidRDefault="00E53404" w:rsidP="00E53404">
      <w:pPr>
        <w:pStyle w:val="ParaNoNdepar-AltN"/>
        <w:rPr>
          <w:rFonts w:cs="Times New Roman"/>
        </w:rPr>
      </w:pPr>
      <w:r w:rsidRPr="00437AAC">
        <w:rPr>
          <w:rFonts w:cs="Times New Roman"/>
        </w:rPr>
        <w:t xml:space="preserve">Second, I do not believe that the answer is to adjust the robust individualized reasonable suspicion standard set out in </w:t>
      </w:r>
      <w:r w:rsidRPr="00437AAC">
        <w:rPr>
          <w:rFonts w:cs="Times New Roman"/>
          <w:i/>
        </w:rPr>
        <w:t xml:space="preserve">Chehil </w:t>
      </w:r>
      <w:r w:rsidRPr="00437AAC">
        <w:rPr>
          <w:rFonts w:cs="Times New Roman"/>
        </w:rPr>
        <w:t>to the specific context of dial</w:t>
      </w:r>
      <w:r>
        <w:rPr>
          <w:rFonts w:cs="Times New Roman"/>
        </w:rPr>
        <w:noBreakHyphen/>
      </w:r>
      <w:r w:rsidRPr="00437AAC">
        <w:rPr>
          <w:rFonts w:cs="Times New Roman"/>
        </w:rPr>
        <w:t>a</w:t>
      </w:r>
      <w:r>
        <w:rPr>
          <w:rFonts w:cs="Times New Roman"/>
        </w:rPr>
        <w:noBreakHyphen/>
      </w:r>
      <w:r w:rsidRPr="00437AAC">
        <w:rPr>
          <w:rFonts w:cs="Times New Roman"/>
        </w:rPr>
        <w:t>dope investigations, or to water down the standard across the board. The Crown’s position in these appeals is that, at least in the dial</w:t>
      </w:r>
      <w:r>
        <w:rPr>
          <w:rFonts w:cs="Times New Roman"/>
        </w:rPr>
        <w:noBreakHyphen/>
      </w:r>
      <w:r w:rsidRPr="00437AAC">
        <w:rPr>
          <w:rFonts w:cs="Times New Roman"/>
        </w:rPr>
        <w:t>a</w:t>
      </w:r>
      <w:r>
        <w:rPr>
          <w:rFonts w:cs="Times New Roman"/>
        </w:rPr>
        <w:noBreakHyphen/>
      </w:r>
      <w:r w:rsidRPr="00437AAC">
        <w:rPr>
          <w:rFonts w:cs="Times New Roman"/>
        </w:rPr>
        <w:t xml:space="preserve">dope context, reasonable suspicion is made out on the basis of uncorroborated information obtained from an anonymous source. In my view, this would be an unwelcome development of the law. In </w:t>
      </w:r>
      <w:r w:rsidRPr="00437AAC">
        <w:rPr>
          <w:rFonts w:cs="Times New Roman"/>
          <w:i/>
        </w:rPr>
        <w:t>Chehil</w:t>
      </w:r>
      <w:r w:rsidRPr="00437AAC">
        <w:rPr>
          <w:rFonts w:cs="Times New Roman"/>
        </w:rPr>
        <w:t>, this Court acknowledged that the reasonable suspicion standard applies across a variety of contexts (</w:t>
      </w:r>
      <w:r>
        <w:rPr>
          <w:rFonts w:cs="Times New Roman"/>
        </w:rPr>
        <w:t>para. </w:t>
      </w:r>
      <w:r w:rsidRPr="00437AAC">
        <w:rPr>
          <w:rFonts w:cs="Times New Roman"/>
        </w:rPr>
        <w:t>21). To avoid uncertainty in the law of reasonable suspicion, the standard should remain cons</w:t>
      </w:r>
      <w:r w:rsidR="006A59C5">
        <w:rPr>
          <w:rFonts w:cs="Times New Roman"/>
        </w:rPr>
        <w:t>istent across those contexts.</w:t>
      </w:r>
    </w:p>
    <w:p w:rsidR="00E53404" w:rsidRPr="00437AAC" w:rsidRDefault="00E53404" w:rsidP="00E53404">
      <w:pPr>
        <w:pStyle w:val="ParaNoNdepar-AltN"/>
        <w:rPr>
          <w:rFonts w:cs="Times New Roman"/>
        </w:rPr>
      </w:pPr>
      <w:r w:rsidRPr="00437AAC">
        <w:rPr>
          <w:rFonts w:cs="Times New Roman"/>
        </w:rPr>
        <w:t xml:space="preserve">Further, under the individualized reasonable suspicion standard described in </w:t>
      </w:r>
      <w:r w:rsidRPr="00437AAC">
        <w:rPr>
          <w:rFonts w:cs="Times New Roman"/>
          <w:i/>
        </w:rPr>
        <w:t>Chehil</w:t>
      </w:r>
      <w:r w:rsidRPr="00437AAC">
        <w:rPr>
          <w:rFonts w:cs="Times New Roman"/>
        </w:rPr>
        <w:t>, it cannot be said that the investigating officers in either of the cases at bar reasonably suspected that Mr. Williams or Mr. Ahmad — or either phone line — was engaged in or associated with drug trafficking. My colleagues make a point of stressing that reasonable suspicion is not “unduly onerous” (</w:t>
      </w:r>
      <w:r>
        <w:rPr>
          <w:rFonts w:cs="Times New Roman"/>
        </w:rPr>
        <w:t>para. </w:t>
      </w:r>
      <w:r w:rsidRPr="00437AAC">
        <w:rPr>
          <w:rFonts w:cs="Times New Roman"/>
        </w:rPr>
        <w:t xml:space="preserve">45, quoting from </w:t>
      </w:r>
      <w:r w:rsidRPr="00437AAC">
        <w:rPr>
          <w:rFonts w:cs="Times New Roman"/>
          <w:i/>
        </w:rPr>
        <w:t>Mack</w:t>
      </w:r>
      <w:r w:rsidRPr="00437AAC">
        <w:rPr>
          <w:rFonts w:cs="Times New Roman"/>
        </w:rPr>
        <w:t xml:space="preserve">, at </w:t>
      </w:r>
      <w:r>
        <w:rPr>
          <w:rFonts w:cs="Times New Roman"/>
        </w:rPr>
        <w:t>p. </w:t>
      </w:r>
      <w:r w:rsidRPr="00437AAC">
        <w:rPr>
          <w:rFonts w:cs="Times New Roman"/>
        </w:rPr>
        <w:t>958, which pre</w:t>
      </w:r>
      <w:r>
        <w:rPr>
          <w:rFonts w:cs="Times New Roman"/>
        </w:rPr>
        <w:noBreakHyphen/>
      </w:r>
      <w:r w:rsidRPr="00437AAC">
        <w:rPr>
          <w:rFonts w:cs="Times New Roman"/>
        </w:rPr>
        <w:t xml:space="preserve">dated </w:t>
      </w:r>
      <w:r w:rsidRPr="00437AAC">
        <w:rPr>
          <w:rFonts w:cs="Times New Roman"/>
          <w:i/>
        </w:rPr>
        <w:t>Chehil</w:t>
      </w:r>
      <w:r w:rsidRPr="00437AAC">
        <w:rPr>
          <w:rFonts w:cs="Times New Roman"/>
        </w:rPr>
        <w:t>). While they note the “rigorous” nature of the judicial scrutiny that the reasonable suspicion standard attracts at the time of judicial review</w:t>
      </w:r>
      <w:r w:rsidRPr="00437AAC">
        <w:rPr>
          <w:rFonts w:cs="Times New Roman"/>
          <w:i/>
        </w:rPr>
        <w:t xml:space="preserve"> </w:t>
      </w:r>
      <w:r w:rsidRPr="00437AAC">
        <w:rPr>
          <w:rFonts w:cs="Times New Roman"/>
        </w:rPr>
        <w:t xml:space="preserve">(at </w:t>
      </w:r>
      <w:r>
        <w:rPr>
          <w:rFonts w:cs="Times New Roman"/>
        </w:rPr>
        <w:t>para. </w:t>
      </w:r>
      <w:r w:rsidRPr="00437AAC">
        <w:rPr>
          <w:rFonts w:cs="Times New Roman"/>
        </w:rPr>
        <w:t>46), neither their review of the law nor the result that they reach acknowledges or gives effect to the “robust” threshold the standard imposes on the police in conducting their investigation (</w:t>
      </w:r>
      <w:r w:rsidRPr="00437AAC">
        <w:rPr>
          <w:rFonts w:cs="Times New Roman"/>
          <w:i/>
        </w:rPr>
        <w:t>Chehil</w:t>
      </w:r>
      <w:r w:rsidRPr="00437AAC">
        <w:rPr>
          <w:rFonts w:cs="Times New Roman"/>
        </w:rPr>
        <w:t xml:space="preserve">, at </w:t>
      </w:r>
      <w:r>
        <w:rPr>
          <w:rFonts w:cs="Times New Roman"/>
        </w:rPr>
        <w:t>para. </w:t>
      </w:r>
      <w:r w:rsidRPr="00437AAC">
        <w:rPr>
          <w:rFonts w:cs="Times New Roman"/>
        </w:rPr>
        <w:t>3). My colleagues go on to conclude that the undercover officer built reasonable suspicion in the course of his phone call with Mr. Ahmad because Mr. Ahmad failed to deny that he was “Romeo”, did not ask who “Matt”</w:t>
      </w:r>
      <w:r w:rsidRPr="006A59C5">
        <w:rPr>
          <w:rStyle w:val="Hyperlink"/>
          <w:color w:val="auto"/>
          <w:u w:val="none"/>
          <w:vertAlign w:val="superscript"/>
        </w:rPr>
        <w:footnoteReference w:id="5"/>
      </w:r>
      <w:r w:rsidRPr="00437AAC">
        <w:rPr>
          <w:rFonts w:cs="Times New Roman"/>
        </w:rPr>
        <w:t xml:space="preserve"> was, and gave the ambiguous answer of “What do you need?” in response to the officer’s request for “help” — an answer that my colleagues acknowledge admits of an innocent explanation (</w:t>
      </w:r>
      <w:r>
        <w:rPr>
          <w:rFonts w:cs="Times New Roman"/>
        </w:rPr>
        <w:t>para. </w:t>
      </w:r>
      <w:r w:rsidRPr="00437AAC">
        <w:rPr>
          <w:rFonts w:cs="Times New Roman"/>
        </w:rPr>
        <w:t>76). In other words, the police did not obtain confirmation of any of the information they received from the confidential source or obtain any independent evidence of criminality before extending an opportunity to Mr. Ahmad to commit a crime by asking for “2 soft”. Nonetheless, my colleagues say this surpasses the threshold of reasonable suspicion. With respect, I see this result as constituting an erosion of the present individualized reasonable suspicion standard. Such an erosion is concerning, since it risks insulating police interference with individual liberties from judicial review across the various contexts where reasonable suspicion applies, including police</w:t>
      </w:r>
      <w:r>
        <w:rPr>
          <w:rFonts w:cs="Times New Roman"/>
        </w:rPr>
        <w:noBreakHyphen/>
      </w:r>
      <w:r w:rsidRPr="00437AAC">
        <w:rPr>
          <w:rFonts w:cs="Times New Roman"/>
        </w:rPr>
        <w:t>citizen interactions like investigative detentions, which are more intr</w:t>
      </w:r>
      <w:r w:rsidR="00203673">
        <w:rPr>
          <w:rFonts w:cs="Times New Roman"/>
        </w:rPr>
        <w:t>usive and susceptible to abuse.</w:t>
      </w:r>
    </w:p>
    <w:p w:rsidR="00E53404" w:rsidRPr="00437AAC" w:rsidRDefault="00E53404" w:rsidP="00E53404">
      <w:pPr>
        <w:pStyle w:val="ParaNoNdepar-AltN"/>
        <w:rPr>
          <w:rFonts w:cs="Times New Roman"/>
        </w:rPr>
      </w:pPr>
      <w:r w:rsidRPr="00437AAC">
        <w:rPr>
          <w:rFonts w:cs="Times New Roman"/>
        </w:rPr>
        <w:t xml:space="preserve">Third and finally, I would not undermine the balance struck by the </w:t>
      </w:r>
      <w:r w:rsidRPr="00437AAC">
        <w:rPr>
          <w:rFonts w:cs="Times New Roman"/>
          <w:i/>
        </w:rPr>
        <w:t>bona</w:t>
      </w:r>
      <w:r>
        <w:t> </w:t>
      </w:r>
      <w:r w:rsidRPr="00437AAC">
        <w:rPr>
          <w:rFonts w:cs="Times New Roman"/>
          <w:i/>
        </w:rPr>
        <w:t>fide</w:t>
      </w:r>
      <w:r w:rsidRPr="00437AAC">
        <w:rPr>
          <w:rFonts w:cs="Times New Roman"/>
        </w:rPr>
        <w:t xml:space="preserve"> inquiry prong by requiring </w:t>
      </w:r>
      <w:r w:rsidRPr="00437AAC">
        <w:rPr>
          <w:rFonts w:cs="Times New Roman"/>
          <w:i/>
        </w:rPr>
        <w:t>Chehil</w:t>
      </w:r>
      <w:r>
        <w:rPr>
          <w:rFonts w:cs="Times New Roman"/>
        </w:rPr>
        <w:noBreakHyphen/>
      </w:r>
      <w:r w:rsidRPr="00437AAC">
        <w:rPr>
          <w:rFonts w:cs="Times New Roman"/>
        </w:rPr>
        <w:t xml:space="preserve">compliant individualized reasonable suspicion before the police can offer an opportunity. By creating the </w:t>
      </w:r>
      <w:r w:rsidRPr="00437AAC">
        <w:rPr>
          <w:rFonts w:cs="Times New Roman"/>
          <w:i/>
        </w:rPr>
        <w:t xml:space="preserve">bona fide </w:t>
      </w:r>
      <w:r w:rsidRPr="00437AAC">
        <w:rPr>
          <w:rFonts w:cs="Times New Roman"/>
        </w:rPr>
        <w:t>inquiry prong in the first place, this Court acknowledged that individualized reasonable suspicion is not required in order for police to offer an op</w:t>
      </w:r>
      <w:r w:rsidR="00203673">
        <w:rPr>
          <w:rFonts w:cs="Times New Roman"/>
        </w:rPr>
        <w:t>portunity to commit an offence:</w:t>
      </w:r>
    </w:p>
    <w:p w:rsidR="00E53404" w:rsidRPr="00437AAC" w:rsidRDefault="00E53404" w:rsidP="00A04D54">
      <w:pPr>
        <w:pStyle w:val="Citation-AltC"/>
        <w:spacing w:after="480"/>
        <w:contextualSpacing w:val="0"/>
      </w:pPr>
      <w:r w:rsidRPr="00437AAC">
        <w:tab/>
        <w:t xml:space="preserve">. . . in certain situations the police may not know the identity of specific individuals, but they do know certain other facts, such as a particular location or area where it is reasonably suspected that certain criminal activity is occurring. In those cases </w:t>
      </w:r>
      <w:r w:rsidRPr="00437AAC">
        <w:rPr>
          <w:u w:val="single"/>
        </w:rPr>
        <w:t>it is clearly permissible to provide opportunities to people associated with the location under suspicion, even if these people are not themselves under suspicion</w:t>
      </w:r>
      <w:r w:rsidRPr="00DD513E">
        <w:t>.</w:t>
      </w:r>
      <w:r w:rsidRPr="00437AAC">
        <w:t xml:space="preserve"> [Emphasis added.]</w:t>
      </w:r>
    </w:p>
    <w:p w:rsidR="00E53404" w:rsidRPr="00437AAC" w:rsidRDefault="00E53404" w:rsidP="006A59C5">
      <w:pPr>
        <w:pStyle w:val="Citation-AltC"/>
        <w:ind w:left="0"/>
      </w:pPr>
      <w:r w:rsidRPr="00437AAC">
        <w:t>(</w:t>
      </w:r>
      <w:r w:rsidRPr="00437AAC">
        <w:rPr>
          <w:i/>
        </w:rPr>
        <w:t>Mack</w:t>
      </w:r>
      <w:r w:rsidRPr="00437AAC">
        <w:t xml:space="preserve">, at </w:t>
      </w:r>
      <w:r>
        <w:t>p. </w:t>
      </w:r>
      <w:r w:rsidRPr="00437AAC">
        <w:t>956)</w:t>
      </w:r>
      <w:r>
        <w:t>.</w:t>
      </w:r>
    </w:p>
    <w:p w:rsidR="00E53404" w:rsidRPr="00437AAC" w:rsidRDefault="00E53404" w:rsidP="00E53404">
      <w:pPr>
        <w:pStyle w:val="ParaNoNdepar-AltN"/>
        <w:rPr>
          <w:rFonts w:cs="Times New Roman"/>
        </w:rPr>
      </w:pPr>
      <w:r w:rsidRPr="00437AAC">
        <w:rPr>
          <w:rFonts w:cs="Times New Roman"/>
        </w:rPr>
        <w:t xml:space="preserve">The Court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did not require individualized reasonable suspicion because to do so would unduly hinder law enforcement efforts to combat crimes like drug trafficking, which may be difficult to detect through traditional means. Indeed, the Court recognized that the police must be given “substantial leeway” in investigating crimes of this nature in order to maintain an appropriate balance between the competing values of individual liberty and legitimate law enforcement (</w:t>
      </w:r>
      <w:r w:rsidRPr="00437AAC">
        <w:rPr>
          <w:rFonts w:cs="Times New Roman"/>
          <w:i/>
        </w:rPr>
        <w:t>Mack</w:t>
      </w:r>
      <w:r w:rsidRPr="00437AAC">
        <w:rPr>
          <w:rFonts w:cs="Times New Roman"/>
        </w:rPr>
        <w:t xml:space="preserve">, at </w:t>
      </w:r>
      <w:r>
        <w:rPr>
          <w:rFonts w:cs="Times New Roman"/>
        </w:rPr>
        <w:t>pp. </w:t>
      </w:r>
      <w:r w:rsidRPr="00437AAC">
        <w:rPr>
          <w:rFonts w:cs="Times New Roman"/>
        </w:rPr>
        <w:t>977</w:t>
      </w:r>
      <w:r>
        <w:rPr>
          <w:rFonts w:cs="Times New Roman"/>
        </w:rPr>
        <w:noBreakHyphen/>
      </w:r>
      <w:r w:rsidRPr="00437AAC">
        <w:rPr>
          <w:rFonts w:cs="Times New Roman"/>
        </w:rPr>
        <w:t>78).</w:t>
      </w:r>
    </w:p>
    <w:p w:rsidR="00E53404" w:rsidRPr="00437AAC" w:rsidRDefault="00E53404" w:rsidP="00E53404">
      <w:pPr>
        <w:pStyle w:val="ParaNoNdepar-AltN"/>
        <w:rPr>
          <w:rFonts w:cs="Times New Roman"/>
        </w:rPr>
      </w:pPr>
      <w:r w:rsidRPr="00437AAC">
        <w:rPr>
          <w:rFonts w:cs="Times New Roman"/>
        </w:rPr>
        <w:t xml:space="preserve">There is no reason to believe that this fundamental balance has shifted such that individualized reasonable suspicion should now be required in all cases to avoid a finding of entrapment. If anything, the need to afford substantial leeway to law enforcement has been made all the more pressing in the digital age. Crimes that were already difficult to detect at the time of </w:t>
      </w:r>
      <w:r w:rsidRPr="00437AAC">
        <w:rPr>
          <w:rFonts w:cs="Times New Roman"/>
          <w:i/>
        </w:rPr>
        <w:t xml:space="preserve">Mack </w:t>
      </w:r>
      <w:r w:rsidRPr="00437AAC">
        <w:rPr>
          <w:rFonts w:cs="Times New Roman"/>
        </w:rPr>
        <w:t xml:space="preserve">can now be committed more covertly than ever before. Even then, Lamer J. recognized that “[i]f the struggle against crime is to be won, the ingenuity of criminals must be matched by that of the police; as crimes become more sophisticated so too must be the methods employed to detect their commission” (at </w:t>
      </w:r>
      <w:r>
        <w:rPr>
          <w:rFonts w:cs="Times New Roman"/>
        </w:rPr>
        <w:t>p. </w:t>
      </w:r>
      <w:r w:rsidRPr="00437AAC">
        <w:rPr>
          <w:rFonts w:cs="Times New Roman"/>
        </w:rPr>
        <w:t>916), and that “[t]he state must be given substantial room to develop techniques which assist it in its fight against crime in society” (</w:t>
      </w:r>
      <w:r>
        <w:rPr>
          <w:rFonts w:cs="Times New Roman"/>
        </w:rPr>
        <w:t>p. </w:t>
      </w:r>
      <w:r w:rsidRPr="00437AAC">
        <w:rPr>
          <w:rFonts w:cs="Times New Roman"/>
        </w:rPr>
        <w:t xml:space="preserve">976). The law of entrapment must not unduly stifle law enforcement in developing </w:t>
      </w:r>
      <w:r w:rsidR="008576E7">
        <w:rPr>
          <w:rFonts w:cs="Times New Roman"/>
        </w:rPr>
        <w:t>and employing those techniques.</w:t>
      </w:r>
    </w:p>
    <w:p w:rsidR="00E53404" w:rsidRPr="00437AAC" w:rsidRDefault="00E53404" w:rsidP="00E53404">
      <w:pPr>
        <w:pStyle w:val="ParaNoNdepar-AltN"/>
        <w:rPr>
          <w:rFonts w:cs="Times New Roman"/>
        </w:rPr>
      </w:pPr>
      <w:r w:rsidRPr="00437AAC">
        <w:rPr>
          <w:rFonts w:cs="Times New Roman"/>
        </w:rPr>
        <w:t>That said, there will be cases where the police conduct an investigation into the information received, potentially forming individualized reasonable suspicion, before calling the suspected dial</w:t>
      </w:r>
      <w:r>
        <w:rPr>
          <w:rFonts w:cs="Times New Roman"/>
        </w:rPr>
        <w:noBreakHyphen/>
      </w:r>
      <w:r w:rsidRPr="00437AAC">
        <w:rPr>
          <w:rFonts w:cs="Times New Roman"/>
        </w:rPr>
        <w:t>a</w:t>
      </w:r>
      <w:r>
        <w:rPr>
          <w:rFonts w:cs="Times New Roman"/>
        </w:rPr>
        <w:noBreakHyphen/>
      </w:r>
      <w:r w:rsidRPr="00437AAC">
        <w:rPr>
          <w:rFonts w:cs="Times New Roman"/>
        </w:rPr>
        <w:t>dope line. Nothing in these reasons should be taken as discouraging the police from doing so. However, I am of the view that the police should not be required to conduct such an investigation or build individualized reasonable suspicion before making a call and offering an opportunity in order to avoid a finding of entrapment.</w:t>
      </w:r>
    </w:p>
    <w:p w:rsidR="00E53404" w:rsidRPr="00437AAC" w:rsidRDefault="00E53404" w:rsidP="00E53404">
      <w:pPr>
        <w:pStyle w:val="ParaNoNdepar-AltN"/>
        <w:rPr>
          <w:rFonts w:cs="Times New Roman"/>
        </w:rPr>
      </w:pPr>
      <w:r w:rsidRPr="00437AAC">
        <w:rPr>
          <w:rFonts w:cs="Times New Roman"/>
        </w:rPr>
        <w:t xml:space="preserve">It is worth noting here that no comparable jurisdictions that recognize the doctrine of entrapment require individualized reasonable suspicion in order to extend a mere opportunity to commit an offence (see K. Roach, “Entrapment and Equality in Terrorism Prosecutions: A Comparative Examination of North American and European Approaches” (2011), 80 </w:t>
      </w:r>
      <w:r w:rsidRPr="00437AAC">
        <w:rPr>
          <w:rFonts w:cs="Times New Roman"/>
          <w:i/>
        </w:rPr>
        <w:t>Mi</w:t>
      </w:r>
      <w:r>
        <w:rPr>
          <w:rFonts w:cs="Times New Roman"/>
          <w:i/>
        </w:rPr>
        <w:t>ss. </w:t>
      </w:r>
      <w:r w:rsidRPr="00437AAC">
        <w:rPr>
          <w:rFonts w:cs="Times New Roman"/>
          <w:i/>
        </w:rPr>
        <w:t>L.J.</w:t>
      </w:r>
      <w:r w:rsidRPr="00437AAC">
        <w:rPr>
          <w:rFonts w:cs="Times New Roman"/>
        </w:rPr>
        <w:t xml:space="preserve"> 1455; Penney (2019), at </w:t>
      </w:r>
      <w:r>
        <w:rPr>
          <w:rFonts w:cs="Times New Roman"/>
        </w:rPr>
        <w:t>pp. </w:t>
      </w:r>
      <w:r w:rsidRPr="00437AAC">
        <w:rPr>
          <w:rFonts w:cs="Times New Roman"/>
        </w:rPr>
        <w:t>366</w:t>
      </w:r>
      <w:r>
        <w:rPr>
          <w:rFonts w:cs="Times New Roman"/>
        </w:rPr>
        <w:noBreakHyphen/>
      </w:r>
      <w:r w:rsidR="008576E7">
        <w:rPr>
          <w:rFonts w:cs="Times New Roman"/>
        </w:rPr>
        <w:t>67, fn. 64).</w:t>
      </w:r>
    </w:p>
    <w:p w:rsidR="00E53404" w:rsidRPr="00437AAC" w:rsidRDefault="00E53404" w:rsidP="00E53404">
      <w:pPr>
        <w:pStyle w:val="ParaNoNdepar-AltN"/>
        <w:rPr>
          <w:rFonts w:cs="Times New Roman"/>
        </w:rPr>
      </w:pPr>
      <w:r w:rsidRPr="00437AAC">
        <w:rPr>
          <w:rFonts w:cs="Times New Roman"/>
        </w:rPr>
        <w:t>The House of Lords has held that in determining whether the police conduct was unacceptable, the courts must take a holistic approach to ascertain “whether the conduct of the police or other law enforcement agency was so seriously improper as to bring the administration of justice into disrepute” (</w:t>
      </w:r>
      <w:r w:rsidRPr="00437AAC">
        <w:rPr>
          <w:rFonts w:cs="Times New Roman"/>
          <w:i/>
        </w:rPr>
        <w:t>R. v. Looseley</w:t>
      </w:r>
      <w:r w:rsidRPr="00437AAC">
        <w:rPr>
          <w:rFonts w:cs="Times New Roman"/>
        </w:rPr>
        <w:t xml:space="preserve">, [2001] UKHL 53, [2001] 4 All E.R. 897, at </w:t>
      </w:r>
      <w:r>
        <w:rPr>
          <w:rFonts w:cs="Times New Roman"/>
        </w:rPr>
        <w:t>para. </w:t>
      </w:r>
      <w:r w:rsidRPr="00437AAC">
        <w:rPr>
          <w:rFonts w:cs="Times New Roman"/>
        </w:rPr>
        <w:t>25). This involves considering, among other things: the nature of the offence; the intrusiveness of the technique; the extent of the police involvement in the offence; whether the technique was “applied in a random fashion, and used for wholesale ‘virtue</w:t>
      </w:r>
      <w:r>
        <w:rPr>
          <w:rFonts w:cs="Times New Roman"/>
        </w:rPr>
        <w:noBreakHyphen/>
      </w:r>
      <w:r w:rsidRPr="00437AAC">
        <w:rPr>
          <w:rFonts w:cs="Times New Roman"/>
        </w:rPr>
        <w:t>testing’, without good reason”; and whether the polic</w:t>
      </w:r>
      <w:r w:rsidR="005913E9">
        <w:rPr>
          <w:rFonts w:cs="Times New Roman"/>
        </w:rPr>
        <w:t>e were acting in good faith (</w:t>
      </w:r>
      <w:r>
        <w:rPr>
          <w:rFonts w:cs="Times New Roman"/>
        </w:rPr>
        <w:t>paras. </w:t>
      </w:r>
      <w:r w:rsidRPr="00437AAC">
        <w:rPr>
          <w:rFonts w:cs="Times New Roman"/>
        </w:rPr>
        <w:t>23</w:t>
      </w:r>
      <w:r>
        <w:rPr>
          <w:rFonts w:cs="Times New Roman"/>
        </w:rPr>
        <w:noBreakHyphen/>
      </w:r>
      <w:r w:rsidRPr="00437AAC">
        <w:rPr>
          <w:rFonts w:cs="Times New Roman"/>
        </w:rPr>
        <w:t xml:space="preserve">28). Notably, on the requirement for good faith, Lord Nicholls of Birkenhead stated, at </w:t>
      </w:r>
      <w:r>
        <w:rPr>
          <w:rFonts w:cs="Times New Roman"/>
        </w:rPr>
        <w:t>para. </w:t>
      </w:r>
      <w:r w:rsidR="008576E7">
        <w:rPr>
          <w:rFonts w:cs="Times New Roman"/>
        </w:rPr>
        <w:t>27:</w:t>
      </w:r>
    </w:p>
    <w:p w:rsidR="00E53404" w:rsidRPr="00437AAC" w:rsidRDefault="00E53404" w:rsidP="001044DE">
      <w:pPr>
        <w:pStyle w:val="Citation-AltC"/>
        <w:spacing w:after="480"/>
        <w:contextualSpacing w:val="0"/>
      </w:pPr>
      <w:r w:rsidRPr="00437AAC">
        <w:t xml:space="preserve">It goes without saying that the police must act in good faith and not, for example, as part of a malicious vendetta against an individual or group of individuals. </w:t>
      </w:r>
      <w:r w:rsidRPr="00437AAC">
        <w:rPr>
          <w:u w:val="single"/>
        </w:rPr>
        <w:t>Having reasonable grounds for suspicion is one way good faith may be established, but having grounds for suspicion of a particular individual is not always essenti</w:t>
      </w:r>
      <w:r>
        <w:rPr>
          <w:u w:val="single"/>
        </w:rPr>
        <w:t>al.</w:t>
      </w:r>
      <w:r w:rsidR="008576E7">
        <w:t xml:space="preserve"> </w:t>
      </w:r>
      <w:r w:rsidRPr="00437AAC">
        <w:t>Sometimes suspicion may be centred on a particular place, such as a particular public house. Sometimes random testing may be the only practicable way of policing a particular trading activity. [Emphasis added.]</w:t>
      </w:r>
    </w:p>
    <w:p w:rsidR="00E53404" w:rsidRPr="00437AAC" w:rsidRDefault="001430E1" w:rsidP="008576E7">
      <w:pPr>
        <w:pStyle w:val="Citation-AltC"/>
        <w:ind w:left="0"/>
      </w:pPr>
      <w:r>
        <w:t>(S</w:t>
      </w:r>
      <w:r w:rsidR="00E53404" w:rsidRPr="00437AAC">
        <w:t xml:space="preserve">ee also </w:t>
      </w:r>
      <w:r w:rsidR="00E53404">
        <w:t>para. </w:t>
      </w:r>
      <w:r w:rsidR="00E53404" w:rsidRPr="00437AAC">
        <w:t>65, per Lord Hoffma</w:t>
      </w:r>
      <w:r>
        <w:t>nn, concurring.)</w:t>
      </w:r>
    </w:p>
    <w:p w:rsidR="00E53404" w:rsidRPr="00437AAC" w:rsidRDefault="00E53404" w:rsidP="00E53404">
      <w:pPr>
        <w:pStyle w:val="ParaNoNdepar-AltN"/>
        <w:rPr>
          <w:rFonts w:cs="Times New Roman"/>
        </w:rPr>
      </w:pPr>
      <w:r w:rsidRPr="00437AAC">
        <w:rPr>
          <w:rFonts w:cs="Times New Roman"/>
        </w:rPr>
        <w:t>Indeed, Lord Nicholls took the position that the provision of an unexceptional opportunity to commit an offence — i.e., where an undercover officer in the course of a drug offence investigation behaves in the same manner as a typical individual seeking to buy drugs — will typically not amount to entrapment in English law (</w:t>
      </w:r>
      <w:r>
        <w:rPr>
          <w:rFonts w:cs="Times New Roman"/>
        </w:rPr>
        <w:t>paras. </w:t>
      </w:r>
      <w:r w:rsidRPr="00437AAC">
        <w:rPr>
          <w:rFonts w:cs="Times New Roman"/>
        </w:rPr>
        <w:t xml:space="preserve">23 and 28; see also </w:t>
      </w:r>
      <w:r>
        <w:rPr>
          <w:rFonts w:cs="Times New Roman"/>
        </w:rPr>
        <w:t>paras. </w:t>
      </w:r>
      <w:r w:rsidRPr="00437AAC">
        <w:rPr>
          <w:rFonts w:cs="Times New Roman"/>
        </w:rPr>
        <w:t>77</w:t>
      </w:r>
      <w:r>
        <w:rPr>
          <w:rFonts w:cs="Times New Roman"/>
        </w:rPr>
        <w:noBreakHyphen/>
      </w:r>
      <w:r w:rsidRPr="00437AAC">
        <w:rPr>
          <w:rFonts w:cs="Times New Roman"/>
        </w:rPr>
        <w:t>78, per</w:t>
      </w:r>
      <w:r w:rsidRPr="00437AAC">
        <w:rPr>
          <w:rFonts w:cs="Times New Roman"/>
          <w:i/>
        </w:rPr>
        <w:t xml:space="preserve"> </w:t>
      </w:r>
      <w:r w:rsidRPr="00437AAC">
        <w:rPr>
          <w:rFonts w:cs="Times New Roman"/>
        </w:rPr>
        <w:t xml:space="preserve">Lord Hoffmann; S. Bronitt, “Sang is Dead, Loosely Speaking”, [2002] </w:t>
      </w:r>
      <w:r w:rsidRPr="00437AAC">
        <w:rPr>
          <w:rFonts w:cs="Times New Roman"/>
          <w:i/>
        </w:rPr>
        <w:t>Sing. J.L.S.</w:t>
      </w:r>
      <w:r w:rsidRPr="00437AAC">
        <w:rPr>
          <w:rFonts w:cs="Times New Roman"/>
        </w:rPr>
        <w:t xml:space="preserve"> 374, at </w:t>
      </w:r>
      <w:r>
        <w:rPr>
          <w:rFonts w:cs="Times New Roman"/>
        </w:rPr>
        <w:t>p. </w:t>
      </w:r>
      <w:r w:rsidRPr="00437AAC">
        <w:rPr>
          <w:rFonts w:cs="Times New Roman"/>
        </w:rPr>
        <w:t>381). However, Lord Nicholls stressed that all of the circumstances must be considered in answering the overarching question of whether the state conduct was abusive (</w:t>
      </w:r>
      <w:r w:rsidRPr="00437AAC">
        <w:rPr>
          <w:rFonts w:cs="Times New Roman"/>
          <w:i/>
        </w:rPr>
        <w:t>Looseley</w:t>
      </w:r>
      <w:r w:rsidRPr="00437AAC">
        <w:rPr>
          <w:rFonts w:cs="Times New Roman"/>
        </w:rPr>
        <w:t xml:space="preserve">, at </w:t>
      </w:r>
      <w:r>
        <w:rPr>
          <w:rFonts w:cs="Times New Roman"/>
        </w:rPr>
        <w:t>paras. </w:t>
      </w:r>
      <w:r w:rsidRPr="00437AAC">
        <w:rPr>
          <w:rFonts w:cs="Times New Roman"/>
        </w:rPr>
        <w:t>24</w:t>
      </w:r>
      <w:r>
        <w:rPr>
          <w:rFonts w:cs="Times New Roman"/>
        </w:rPr>
        <w:noBreakHyphen/>
      </w:r>
      <w:r w:rsidRPr="00437AAC">
        <w:rPr>
          <w:rFonts w:cs="Times New Roman"/>
        </w:rPr>
        <w:t>25). Lord Hoffmann’s and Lord Hutton’s respective concurring reasons are to similar effect (</w:t>
      </w:r>
      <w:r>
        <w:rPr>
          <w:rFonts w:cs="Times New Roman"/>
        </w:rPr>
        <w:t>paras. </w:t>
      </w:r>
      <w:r w:rsidRPr="00437AAC">
        <w:rPr>
          <w:rFonts w:cs="Times New Roman"/>
        </w:rPr>
        <w:t>50</w:t>
      </w:r>
      <w:r>
        <w:rPr>
          <w:rFonts w:cs="Times New Roman"/>
        </w:rPr>
        <w:noBreakHyphen/>
      </w:r>
      <w:r w:rsidRPr="00437AAC">
        <w:rPr>
          <w:rFonts w:cs="Times New Roman"/>
        </w:rPr>
        <w:t>59 and 69</w:t>
      </w:r>
      <w:r>
        <w:rPr>
          <w:rFonts w:cs="Times New Roman"/>
        </w:rPr>
        <w:noBreakHyphen/>
      </w:r>
      <w:r w:rsidRPr="00437AAC">
        <w:rPr>
          <w:rFonts w:cs="Times New Roman"/>
        </w:rPr>
        <w:t>71, per</w:t>
      </w:r>
      <w:r w:rsidRPr="00437AAC">
        <w:rPr>
          <w:rFonts w:cs="Times New Roman"/>
          <w:i/>
        </w:rPr>
        <w:t xml:space="preserve"> </w:t>
      </w:r>
      <w:r w:rsidRPr="00437AAC">
        <w:rPr>
          <w:rFonts w:cs="Times New Roman"/>
        </w:rPr>
        <w:t xml:space="preserve">Lord Hoffmann; </w:t>
      </w:r>
      <w:r>
        <w:rPr>
          <w:rFonts w:cs="Times New Roman"/>
        </w:rPr>
        <w:t>paras. </w:t>
      </w:r>
      <w:r w:rsidRPr="00437AAC">
        <w:rPr>
          <w:rFonts w:cs="Times New Roman"/>
        </w:rPr>
        <w:t>100</w:t>
      </w:r>
      <w:r>
        <w:rPr>
          <w:rFonts w:cs="Times New Roman"/>
        </w:rPr>
        <w:noBreakHyphen/>
      </w:r>
      <w:r w:rsidR="0012330A">
        <w:rPr>
          <w:rFonts w:cs="Times New Roman"/>
        </w:rPr>
        <w:t>102 and 112, per Lord Hutton).</w:t>
      </w:r>
    </w:p>
    <w:p w:rsidR="00E53404" w:rsidRPr="00437AAC" w:rsidRDefault="00E53404" w:rsidP="00E53404">
      <w:pPr>
        <w:pStyle w:val="ParaNoNdepar-AltN"/>
        <w:rPr>
          <w:rFonts w:cs="Times New Roman"/>
        </w:rPr>
      </w:pPr>
      <w:r w:rsidRPr="00437AAC">
        <w:rPr>
          <w:rFonts w:cs="Times New Roman"/>
        </w:rPr>
        <w:t xml:space="preserve">In the United States, the federal courts have held that merely providing an individual with an opportunity to commit a crime is unobjectionable; entrapment will only be found if the police induce the commission of an offence by an individual who was not already predisposed to commit that type of offence (see Roach, at </w:t>
      </w:r>
      <w:r>
        <w:rPr>
          <w:rFonts w:cs="Times New Roman"/>
        </w:rPr>
        <w:t>pp. </w:t>
      </w:r>
      <w:r w:rsidRPr="00437AAC">
        <w:rPr>
          <w:rFonts w:cs="Times New Roman"/>
        </w:rPr>
        <w:t>1467</w:t>
      </w:r>
      <w:r>
        <w:rPr>
          <w:rFonts w:cs="Times New Roman"/>
        </w:rPr>
        <w:noBreakHyphen/>
      </w:r>
      <w:r w:rsidRPr="00437AAC">
        <w:rPr>
          <w:rFonts w:cs="Times New Roman"/>
        </w:rPr>
        <w:t>68). This derives from the American federal courts’ understanding of entrapment as a substantive defence that impacts on individual culpability rather than as an aspect of abuse of process that focuses on the conduct of the state.</w:t>
      </w:r>
    </w:p>
    <w:p w:rsidR="00E53404" w:rsidRPr="00437AAC" w:rsidRDefault="00E53404" w:rsidP="00E53404">
      <w:pPr>
        <w:pStyle w:val="ParaNoNdepar-AltN"/>
        <w:rPr>
          <w:rFonts w:cs="Times New Roman"/>
        </w:rPr>
      </w:pPr>
      <w:r w:rsidRPr="00437AAC">
        <w:rPr>
          <w:rFonts w:cs="Times New Roman"/>
        </w:rPr>
        <w:t xml:space="preserve">In Australia, entrapment does not operate as a substantive defence or lead inevitably to a stay of proceedings for abuse of process, but it may be a relevant consideration in determining the admissibility of evidence or operate as a mitigating factor on sentence (see B. Murphy and J. Anderson, “‘Mates, Mr Big and the Unwary’: Ongoing Supply and its Relationship to Entrapment” (2007), 19 </w:t>
      </w:r>
      <w:r w:rsidRPr="00437AAC">
        <w:rPr>
          <w:rFonts w:cs="Times New Roman"/>
          <w:i/>
        </w:rPr>
        <w:t>C.I.C.J</w:t>
      </w:r>
      <w:r w:rsidRPr="00437AAC">
        <w:rPr>
          <w:rFonts w:cs="Times New Roman"/>
        </w:rPr>
        <w:t xml:space="preserve">. 5, at </w:t>
      </w:r>
      <w:r>
        <w:rPr>
          <w:rFonts w:cs="Times New Roman"/>
        </w:rPr>
        <w:t>p. </w:t>
      </w:r>
      <w:r w:rsidRPr="00437AAC">
        <w:rPr>
          <w:rFonts w:cs="Times New Roman"/>
        </w:rPr>
        <w:t>12; B. Murphy and J. Anderson, “After the Serpent Beguiled Me: Entrapment and Sentencing in Australia and Canada” (2014)</w:t>
      </w:r>
      <w:r>
        <w:rPr>
          <w:rFonts w:cs="Times New Roman"/>
        </w:rPr>
        <w:t>,</w:t>
      </w:r>
      <w:r w:rsidRPr="00437AAC">
        <w:rPr>
          <w:rFonts w:cs="Times New Roman"/>
        </w:rPr>
        <w:t xml:space="preserve"> 39 </w:t>
      </w:r>
      <w:r w:rsidRPr="00437AAC">
        <w:rPr>
          <w:rFonts w:cs="Times New Roman"/>
          <w:i/>
        </w:rPr>
        <w:t>Queen’s L.J.</w:t>
      </w:r>
      <w:r w:rsidRPr="00437AAC">
        <w:rPr>
          <w:rFonts w:cs="Times New Roman"/>
        </w:rPr>
        <w:t xml:space="preserve"> 621, at </w:t>
      </w:r>
      <w:r>
        <w:rPr>
          <w:rFonts w:cs="Times New Roman"/>
        </w:rPr>
        <w:t>pp. </w:t>
      </w:r>
      <w:r w:rsidRPr="00437AAC">
        <w:rPr>
          <w:rFonts w:cs="Times New Roman"/>
        </w:rPr>
        <w:t>629</w:t>
      </w:r>
      <w:r>
        <w:rPr>
          <w:rFonts w:cs="Times New Roman"/>
        </w:rPr>
        <w:noBreakHyphen/>
      </w:r>
      <w:r w:rsidRPr="00437AAC">
        <w:rPr>
          <w:rFonts w:cs="Times New Roman"/>
        </w:rPr>
        <w:t>30, 634 and 649). While the Australian courts have not offered a comprehensive definition of entrapment, instead preferring a discretionary case</w:t>
      </w:r>
      <w:r>
        <w:rPr>
          <w:rFonts w:cs="Times New Roman"/>
        </w:rPr>
        <w:noBreakHyphen/>
      </w:r>
      <w:r w:rsidRPr="00437AAC">
        <w:rPr>
          <w:rFonts w:cs="Times New Roman"/>
        </w:rPr>
        <w:t>by</w:t>
      </w:r>
      <w:r>
        <w:rPr>
          <w:rFonts w:cs="Times New Roman"/>
        </w:rPr>
        <w:noBreakHyphen/>
      </w:r>
      <w:r w:rsidRPr="00437AAC">
        <w:rPr>
          <w:rFonts w:cs="Times New Roman"/>
        </w:rPr>
        <w:t xml:space="preserve">case approach, it is notable that they equate entrapment with inducement — the provision of a mere opportunity does not amount to entrapment (Murphy and Anderson (2007), at </w:t>
      </w:r>
      <w:r>
        <w:rPr>
          <w:rFonts w:cs="Times New Roman"/>
        </w:rPr>
        <w:t>pp. </w:t>
      </w:r>
      <w:r w:rsidRPr="00437AAC">
        <w:rPr>
          <w:rFonts w:cs="Times New Roman"/>
        </w:rPr>
        <w:t>12</w:t>
      </w:r>
      <w:r>
        <w:rPr>
          <w:rFonts w:cs="Times New Roman"/>
        </w:rPr>
        <w:noBreakHyphen/>
      </w:r>
      <w:r w:rsidRPr="00437AAC">
        <w:rPr>
          <w:rFonts w:cs="Times New Roman"/>
        </w:rPr>
        <w:t xml:space="preserve">13; Murphy and Anderson (2014), at </w:t>
      </w:r>
      <w:r>
        <w:rPr>
          <w:rFonts w:cs="Times New Roman"/>
        </w:rPr>
        <w:t>pp. </w:t>
      </w:r>
      <w:r w:rsidRPr="00437AAC">
        <w:rPr>
          <w:rFonts w:cs="Times New Roman"/>
        </w:rPr>
        <w:t>628</w:t>
      </w:r>
      <w:r>
        <w:rPr>
          <w:rFonts w:cs="Times New Roman"/>
        </w:rPr>
        <w:noBreakHyphen/>
      </w:r>
      <w:r w:rsidRPr="00437AAC">
        <w:rPr>
          <w:rFonts w:cs="Times New Roman"/>
        </w:rPr>
        <w:t>29). It therefore goes without saying that individualized reasonable suspicion is not required for an officer to provide an individual with an opportunity to commit an offence.</w:t>
      </w:r>
    </w:p>
    <w:p w:rsidR="00E53404" w:rsidRPr="00437AAC" w:rsidRDefault="00E53404" w:rsidP="00E53404">
      <w:pPr>
        <w:pStyle w:val="ParaNoNdepar-AltN"/>
        <w:rPr>
          <w:rFonts w:cs="Times New Roman"/>
        </w:rPr>
      </w:pPr>
      <w:r w:rsidRPr="00437AAC">
        <w:rPr>
          <w:rFonts w:cs="Times New Roman"/>
        </w:rPr>
        <w:t xml:space="preserve">Having rejected these three alternative approaches — (1) endorsing the “investigative step” versus “opportunity” approach; (2) adopting a watered down version of reasonable suspicion; or (3) requiring individualized reasonable suspicion in all circumstances in order to provide an opportunity — I am of the view that the </w:t>
      </w:r>
      <w:r w:rsidRPr="00437AAC">
        <w:rPr>
          <w:rFonts w:cs="Times New Roman"/>
          <w:i/>
        </w:rPr>
        <w:t>bona</w:t>
      </w:r>
      <w:r>
        <w:rPr>
          <w:rFonts w:cs="Times New Roman"/>
          <w:i/>
        </w:rPr>
        <w:t> </w:t>
      </w:r>
      <w:r w:rsidRPr="00437AAC">
        <w:rPr>
          <w:rFonts w:cs="Times New Roman"/>
          <w:i/>
        </w:rPr>
        <w:t>fide</w:t>
      </w:r>
      <w:r w:rsidRPr="00437AAC">
        <w:rPr>
          <w:rFonts w:cs="Times New Roman"/>
        </w:rPr>
        <w:t xml:space="preserve"> inquiry prong should be revised to bring coherence to this area of the law and preserve the balance between individual liberties and legitimate law enforcement that this Court struck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As I explain below, this would also permit the Court to effectively address other criticisms of the </w:t>
      </w:r>
      <w:r w:rsidRPr="00437AAC">
        <w:rPr>
          <w:rFonts w:cs="Times New Roman"/>
          <w:i/>
        </w:rPr>
        <w:t xml:space="preserve">bona fide </w:t>
      </w:r>
      <w:r w:rsidRPr="00437AAC">
        <w:rPr>
          <w:rFonts w:cs="Times New Roman"/>
        </w:rPr>
        <w:t>inquiry prong, including how its current formulation creates the potential for large</w:t>
      </w:r>
      <w:r>
        <w:rPr>
          <w:rFonts w:cs="Times New Roman"/>
        </w:rPr>
        <w:noBreakHyphen/>
      </w:r>
      <w:r w:rsidRPr="00437AAC">
        <w:rPr>
          <w:rFonts w:cs="Times New Roman"/>
        </w:rPr>
        <w:t>scale random virtue testing, racial profiling, and targeting the marginalized and vulnerable.</w:t>
      </w:r>
    </w:p>
    <w:p w:rsidR="00E53404" w:rsidRPr="00437AAC" w:rsidRDefault="00E53404" w:rsidP="00E53404">
      <w:pPr>
        <w:pStyle w:val="Title2LevelTitre2Niveau"/>
        <w:jc w:val="both"/>
        <w:rPr>
          <w:rFonts w:cs="Times New Roman"/>
        </w:rPr>
      </w:pPr>
      <w:r w:rsidRPr="00437AAC">
        <w:rPr>
          <w:rFonts w:cs="Times New Roman"/>
        </w:rPr>
        <w:t xml:space="preserve"> How a Bona Fide</w:t>
      </w:r>
      <w:r w:rsidRPr="00437AAC">
        <w:rPr>
          <w:rFonts w:cs="Times New Roman"/>
          <w:i w:val="0"/>
        </w:rPr>
        <w:t xml:space="preserve"> </w:t>
      </w:r>
      <w:r w:rsidRPr="00437AAC">
        <w:rPr>
          <w:rFonts w:cs="Times New Roman"/>
        </w:rPr>
        <w:t>Inquiry Should Be Defined</w:t>
      </w:r>
    </w:p>
    <w:p w:rsidR="00E53404" w:rsidRPr="00437AAC" w:rsidRDefault="00E53404" w:rsidP="00E53404">
      <w:pPr>
        <w:pStyle w:val="Title3LevelTitre3Niveau"/>
        <w:jc w:val="both"/>
        <w:rPr>
          <w:rFonts w:cs="Times New Roman"/>
        </w:rPr>
      </w:pPr>
      <w:r w:rsidRPr="00437AAC">
        <w:rPr>
          <w:rFonts w:cs="Times New Roman"/>
        </w:rPr>
        <w:t>The Revised Framework</w:t>
      </w:r>
    </w:p>
    <w:p w:rsidR="00E53404" w:rsidRPr="00437AAC" w:rsidRDefault="00E53404" w:rsidP="00E53404">
      <w:pPr>
        <w:pStyle w:val="ParaNoNdepar-AltN"/>
        <w:tabs>
          <w:tab w:val="clear" w:pos="1152"/>
          <w:tab w:val="left" w:pos="1166"/>
        </w:tabs>
        <w:rPr>
          <w:rFonts w:cs="Times New Roman"/>
        </w:rPr>
      </w:pPr>
      <w:r w:rsidRPr="00437AAC">
        <w:rPr>
          <w:rFonts w:cs="Times New Roman"/>
        </w:rPr>
        <w:t xml:space="preserve">In my view, the police should be found to be acting pursuant to a </w:t>
      </w:r>
      <w:r w:rsidRPr="00437AAC">
        <w:rPr>
          <w:rFonts w:cs="Times New Roman"/>
          <w:i/>
        </w:rPr>
        <w:t>bona fide</w:t>
      </w:r>
      <w:r w:rsidRPr="00437AAC">
        <w:rPr>
          <w:rFonts w:cs="Times New Roman"/>
        </w:rPr>
        <w:t xml:space="preserve"> inquiry where:</w:t>
      </w:r>
    </w:p>
    <w:p w:rsidR="00E53404" w:rsidRPr="00437AAC" w:rsidRDefault="00E53404" w:rsidP="00D93B3C">
      <w:pPr>
        <w:pStyle w:val="Citation-AltC"/>
        <w:numPr>
          <w:ilvl w:val="4"/>
          <w:numId w:val="6"/>
        </w:numPr>
        <w:spacing w:after="240" w:line="480" w:lineRule="auto"/>
        <w:ind w:left="360"/>
        <w:contextualSpacing w:val="0"/>
        <w:rPr>
          <w:rFonts w:eastAsiaTheme="minorEastAsia"/>
        </w:rPr>
      </w:pPr>
      <w:r w:rsidRPr="00437AAC">
        <w:rPr>
          <w:rFonts w:eastAsiaTheme="minorEastAsia"/>
        </w:rPr>
        <w:t>Their investigation was motivated by genuine law enforcement purposes;</w:t>
      </w:r>
    </w:p>
    <w:p w:rsidR="00E53404" w:rsidRPr="00437AAC" w:rsidRDefault="00E53404" w:rsidP="00D93B3C">
      <w:pPr>
        <w:pStyle w:val="Citation-AltC"/>
        <w:numPr>
          <w:ilvl w:val="4"/>
          <w:numId w:val="6"/>
        </w:numPr>
        <w:spacing w:after="240" w:line="480" w:lineRule="auto"/>
        <w:ind w:left="360"/>
        <w:contextualSpacing w:val="0"/>
        <w:rPr>
          <w:rFonts w:eastAsiaTheme="minorEastAsia"/>
        </w:rPr>
      </w:pPr>
      <w:r w:rsidRPr="00437AAC">
        <w:rPr>
          <w:rFonts w:eastAsiaTheme="minorEastAsia"/>
        </w:rPr>
        <w:t>They had a factually</w:t>
      </w:r>
      <w:r>
        <w:rPr>
          <w:rFonts w:eastAsiaTheme="minorEastAsia"/>
        </w:rPr>
        <w:noBreakHyphen/>
      </w:r>
      <w:r w:rsidRPr="00437AAC">
        <w:rPr>
          <w:rFonts w:eastAsiaTheme="minorEastAsia"/>
        </w:rPr>
        <w:t>grounded basis for their investigation; and</w:t>
      </w:r>
    </w:p>
    <w:p w:rsidR="00E53404" w:rsidRPr="00437AAC" w:rsidRDefault="00E53404" w:rsidP="00D93B3C">
      <w:pPr>
        <w:pStyle w:val="Citation-AltC"/>
        <w:numPr>
          <w:ilvl w:val="4"/>
          <w:numId w:val="6"/>
        </w:numPr>
        <w:spacing w:line="480" w:lineRule="auto"/>
        <w:ind w:left="360"/>
        <w:contextualSpacing w:val="0"/>
        <w:rPr>
          <w:rFonts w:eastAsiaTheme="minorEastAsia"/>
        </w:rPr>
      </w:pPr>
      <w:r w:rsidRPr="00437AAC">
        <w:rPr>
          <w:rFonts w:eastAsiaTheme="minorEastAsia"/>
        </w:rPr>
        <w:t>Their investigation was directed at investigating a specific type of crime within a tightly circumscribed location (whether physical or virtual).</w:t>
      </w:r>
    </w:p>
    <w:p w:rsidR="00E53404" w:rsidRPr="00437AAC" w:rsidRDefault="00E53404" w:rsidP="00E53404">
      <w:pPr>
        <w:pStyle w:val="ParaNoNdepar-AltN"/>
        <w:rPr>
          <w:rFonts w:cs="Times New Roman"/>
        </w:rPr>
      </w:pPr>
      <w:r w:rsidRPr="00437AAC">
        <w:rPr>
          <w:rFonts w:cs="Times New Roman"/>
        </w:rPr>
        <w:t xml:space="preserve">Lest there be any doubt, this test places important restraints on the police; it does not give them “unrestricted licence to offer people the opportunity to commit crimes” (Karakatsanis, Brown and Martin JJ.’s reasons, at </w:t>
      </w:r>
      <w:r>
        <w:rPr>
          <w:rFonts w:cs="Times New Roman"/>
        </w:rPr>
        <w:t>para. </w:t>
      </w:r>
      <w:r w:rsidRPr="00437AAC">
        <w:rPr>
          <w:rFonts w:cs="Times New Roman"/>
        </w:rPr>
        <w:t>32). The end‑game of the </w:t>
      </w:r>
      <w:r w:rsidRPr="00437AAC">
        <w:rPr>
          <w:rFonts w:cs="Times New Roman"/>
          <w:i/>
        </w:rPr>
        <w:t>bona fide</w:t>
      </w:r>
      <w:r w:rsidRPr="00437AAC">
        <w:rPr>
          <w:rFonts w:cs="Times New Roman"/>
        </w:rPr>
        <w:t> inquiry prong remains ensuring that the police are not allowed to randomly test the virtue of citizens, and that their conduct is subject to independent and objective review by the courts. Consistent with the doctrine of entrapment generally, the test I propose is grounded in abuse of proce</w:t>
      </w:r>
      <w:r>
        <w:rPr>
          <w:rFonts w:cs="Times New Roman"/>
        </w:rPr>
        <w:t>ss. </w:t>
      </w:r>
      <w:r w:rsidRPr="00437AAC">
        <w:rPr>
          <w:rFonts w:cs="Times New Roman"/>
        </w:rPr>
        <w:t>Although this test differs from an analysis of whether the police met the reasonable suspicion standard, the judicial scrutiny it demands is no less meaningful.</w:t>
      </w:r>
    </w:p>
    <w:p w:rsidR="00E53404" w:rsidRPr="00437AAC" w:rsidRDefault="00E53404" w:rsidP="00E53404">
      <w:pPr>
        <w:pStyle w:val="ParaNoNdepar-AltN"/>
        <w:tabs>
          <w:tab w:val="clear" w:pos="1152"/>
          <w:tab w:val="left" w:pos="1166"/>
        </w:tabs>
        <w:rPr>
          <w:rFonts w:cs="Times New Roman"/>
        </w:rPr>
      </w:pPr>
      <w:r w:rsidRPr="00437AAC">
        <w:rPr>
          <w:rFonts w:cs="Times New Roman"/>
        </w:rPr>
        <w:t xml:space="preserve">First, the police officers’ investigation must be motivated by genuine law enforcement purposes. This was an integral component of the test set out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and it remains integral under this revised framework. It bears noting here that an investigation that is pursued in bad faith will not be one that is motivated by genuine law enforcement purposes (see </w:t>
      </w:r>
      <w:r w:rsidRPr="00437AAC">
        <w:rPr>
          <w:rFonts w:cs="Times New Roman"/>
          <w:i/>
        </w:rPr>
        <w:t>Mack</w:t>
      </w:r>
      <w:r w:rsidRPr="00437AAC">
        <w:rPr>
          <w:rFonts w:cs="Times New Roman"/>
        </w:rPr>
        <w:t xml:space="preserve">, at </w:t>
      </w:r>
      <w:r>
        <w:rPr>
          <w:rFonts w:cs="Times New Roman"/>
        </w:rPr>
        <w:t>pp. </w:t>
      </w:r>
      <w:r w:rsidRPr="00437AAC">
        <w:rPr>
          <w:rFonts w:cs="Times New Roman"/>
        </w:rPr>
        <w:t>956</w:t>
      </w:r>
      <w:r>
        <w:rPr>
          <w:rFonts w:cs="Times New Roman"/>
        </w:rPr>
        <w:noBreakHyphen/>
      </w:r>
      <w:r w:rsidRPr="00437AAC">
        <w:rPr>
          <w:rFonts w:cs="Times New Roman"/>
        </w:rPr>
        <w:t>57 and 959). Examples of bad faith in this context include pursuing an investigation that is motivated by racial profiling or based on information from a source that they know or have reason to believe is unreliable. Intentionally targeting marginalized or vulnerable individuals — for example, individuals who were previously involved in the drug trade or addicted to drugs, but whom the police know or have reason to believe are making efforts to reform or stay sober — is another example of bad faith conduct that cannot be accepted.</w:t>
      </w:r>
    </w:p>
    <w:p w:rsidR="00E53404" w:rsidRPr="00437AAC" w:rsidRDefault="00E53404" w:rsidP="00E53404">
      <w:pPr>
        <w:pStyle w:val="ParaNoNdepar-AltN"/>
        <w:rPr>
          <w:rFonts w:cs="Times New Roman"/>
        </w:rPr>
      </w:pPr>
      <w:r w:rsidRPr="00437AAC">
        <w:rPr>
          <w:rFonts w:cs="Times New Roman"/>
        </w:rPr>
        <w:t>Second, the police must have a factually</w:t>
      </w:r>
      <w:r>
        <w:rPr>
          <w:rFonts w:cs="Times New Roman"/>
        </w:rPr>
        <w:noBreakHyphen/>
      </w:r>
      <w:r w:rsidRPr="00437AAC">
        <w:rPr>
          <w:rFonts w:cs="Times New Roman"/>
        </w:rPr>
        <w:t>grounded basis for their investigation. The police must be able to point to a specific reason for their investigation beyond a mere hunch, though this need not rise to the level of reasonable suspicion as that standard is presently defined. For instance, the police may have a factually</w:t>
      </w:r>
      <w:r>
        <w:rPr>
          <w:rFonts w:cs="Times New Roman"/>
        </w:rPr>
        <w:noBreakHyphen/>
      </w:r>
      <w:r w:rsidRPr="00437AAC">
        <w:rPr>
          <w:rFonts w:cs="Times New Roman"/>
        </w:rPr>
        <w:t>grounded basis for their investigation into a suspected dial</w:t>
      </w:r>
      <w:r>
        <w:rPr>
          <w:rFonts w:cs="Times New Roman"/>
        </w:rPr>
        <w:noBreakHyphen/>
      </w:r>
      <w:r w:rsidRPr="00437AAC">
        <w:rPr>
          <w:rFonts w:cs="Times New Roman"/>
        </w:rPr>
        <w:t>a</w:t>
      </w:r>
      <w:r>
        <w:rPr>
          <w:rFonts w:cs="Times New Roman"/>
        </w:rPr>
        <w:noBreakHyphen/>
      </w:r>
      <w:r w:rsidRPr="00437AAC">
        <w:rPr>
          <w:rFonts w:cs="Times New Roman"/>
        </w:rPr>
        <w:t>dope line where they receive information from an anonymous source, such as Crime Stoppers, that a specific phone number is a dial</w:t>
      </w:r>
      <w:r>
        <w:rPr>
          <w:rFonts w:cs="Times New Roman"/>
        </w:rPr>
        <w:noBreakHyphen/>
      </w:r>
      <w:r w:rsidRPr="00437AAC">
        <w:rPr>
          <w:rFonts w:cs="Times New Roman"/>
        </w:rPr>
        <w:t>a</w:t>
      </w:r>
      <w:r>
        <w:rPr>
          <w:rFonts w:cs="Times New Roman"/>
        </w:rPr>
        <w:noBreakHyphen/>
      </w:r>
      <w:r w:rsidRPr="00437AAC">
        <w:rPr>
          <w:rFonts w:cs="Times New Roman"/>
        </w:rPr>
        <w:t>dope line and, consistent with the requirement that their investigation be motivated by genuine law enforcement purposes, they have no reason to believe that the information received is unreliable. Acting on information received from an anonymous source is not the same as acting on a hun</w:t>
      </w:r>
      <w:r w:rsidR="00D93B3C">
        <w:rPr>
          <w:rFonts w:cs="Times New Roman"/>
        </w:rPr>
        <w:t>ch.</w:t>
      </w:r>
    </w:p>
    <w:p w:rsidR="00E53404" w:rsidRPr="00437AAC" w:rsidRDefault="00E53404" w:rsidP="00E53404">
      <w:pPr>
        <w:pStyle w:val="ParaNoNdepar-AltN"/>
        <w:rPr>
          <w:rFonts w:cs="Times New Roman"/>
        </w:rPr>
      </w:pPr>
      <w:r w:rsidRPr="00437AAC">
        <w:rPr>
          <w:rFonts w:cs="Times New Roman"/>
        </w:rPr>
        <w:t>By requiring the police to have a factually</w:t>
      </w:r>
      <w:r>
        <w:rPr>
          <w:rFonts w:cs="Times New Roman"/>
        </w:rPr>
        <w:noBreakHyphen/>
      </w:r>
      <w:r w:rsidRPr="00437AAC">
        <w:rPr>
          <w:rFonts w:cs="Times New Roman"/>
        </w:rPr>
        <w:t>grounded basis for their investigation, the revised approach imposes a meaningful limit on the police. To answer the question, posed by my colleagues, of “what less</w:t>
      </w:r>
      <w:r w:rsidRPr="00437AAC">
        <w:rPr>
          <w:rFonts w:cs="Times New Roman"/>
          <w:i/>
        </w:rPr>
        <w:t xml:space="preserve"> </w:t>
      </w:r>
      <w:r w:rsidRPr="00437AAC">
        <w:rPr>
          <w:rFonts w:cs="Times New Roman"/>
        </w:rPr>
        <w:t>could possibly be required” (</w:t>
      </w:r>
      <w:r>
        <w:rPr>
          <w:rFonts w:cs="Times New Roman"/>
        </w:rPr>
        <w:t>at para. </w:t>
      </w:r>
      <w:r w:rsidRPr="00437AAC">
        <w:rPr>
          <w:rFonts w:cs="Times New Roman"/>
        </w:rPr>
        <w:t>32 (emphasis deleted)) if an undercover officer is permitted to make a phone call where they have received anonymous information consisting of a name, a phone number, and an allegation of criminal activity, I wish to make clear that the police will not have a factually</w:t>
      </w:r>
      <w:r>
        <w:rPr>
          <w:rFonts w:cs="Times New Roman"/>
        </w:rPr>
        <w:noBreakHyphen/>
      </w:r>
      <w:r w:rsidRPr="00437AAC">
        <w:rPr>
          <w:rFonts w:cs="Times New Roman"/>
        </w:rPr>
        <w:t>grounded basis for their investigation if they flip through the phone book or use a random number generator and call numbers at random, hoping to find a dial</w:t>
      </w:r>
      <w:r>
        <w:rPr>
          <w:rFonts w:cs="Times New Roman"/>
        </w:rPr>
        <w:noBreakHyphen/>
      </w:r>
      <w:r w:rsidRPr="00437AAC">
        <w:rPr>
          <w:rFonts w:cs="Times New Roman"/>
        </w:rPr>
        <w:t>a</w:t>
      </w:r>
      <w:r>
        <w:rPr>
          <w:rFonts w:cs="Times New Roman"/>
        </w:rPr>
        <w:noBreakHyphen/>
      </w:r>
      <w:r w:rsidRPr="00437AAC">
        <w:rPr>
          <w:rFonts w:cs="Times New Roman"/>
        </w:rPr>
        <w:t xml:space="preserve">dope line. That is the type of random virtue testing about which this Court was concerned in </w:t>
      </w:r>
      <w:r w:rsidRPr="00437AAC">
        <w:rPr>
          <w:rFonts w:cs="Times New Roman"/>
          <w:i/>
        </w:rPr>
        <w:t>Mack</w:t>
      </w:r>
      <w:r w:rsidRPr="00437AAC">
        <w:rPr>
          <w:rFonts w:cs="Times New Roman"/>
        </w:rPr>
        <w:t xml:space="preserve"> and </w:t>
      </w:r>
      <w:r w:rsidRPr="00437AAC">
        <w:rPr>
          <w:rFonts w:cs="Times New Roman"/>
          <w:i/>
        </w:rPr>
        <w:t>Barnes</w:t>
      </w:r>
      <w:r w:rsidRPr="00437AAC">
        <w:rPr>
          <w:rFonts w:cs="Times New Roman"/>
        </w:rPr>
        <w:t xml:space="preserve"> (</w:t>
      </w:r>
      <w:r w:rsidRPr="00437AAC">
        <w:rPr>
          <w:rFonts w:cs="Times New Roman"/>
          <w:i/>
        </w:rPr>
        <w:t>Mack</w:t>
      </w:r>
      <w:r w:rsidRPr="00437AAC">
        <w:rPr>
          <w:rFonts w:cs="Times New Roman"/>
        </w:rPr>
        <w:t xml:space="preserve">, at </w:t>
      </w:r>
      <w:r>
        <w:rPr>
          <w:rFonts w:cs="Times New Roman"/>
        </w:rPr>
        <w:t>p. </w:t>
      </w:r>
      <w:r w:rsidRPr="00437AAC">
        <w:rPr>
          <w:rFonts w:cs="Times New Roman"/>
        </w:rPr>
        <w:t>957; see also</w:t>
      </w:r>
      <w:r w:rsidRPr="00437AAC">
        <w:rPr>
          <w:rFonts w:cs="Times New Roman"/>
          <w:i/>
        </w:rPr>
        <w:t xml:space="preserve"> Le</w:t>
      </w:r>
      <w:r w:rsidRPr="00437AAC">
        <w:rPr>
          <w:rFonts w:cs="Times New Roman"/>
        </w:rPr>
        <w:t xml:space="preserve">, at </w:t>
      </w:r>
      <w:r>
        <w:rPr>
          <w:rFonts w:cs="Times New Roman"/>
        </w:rPr>
        <w:t>para. </w:t>
      </w:r>
      <w:r w:rsidRPr="00437AAC">
        <w:rPr>
          <w:rFonts w:cs="Times New Roman"/>
        </w:rPr>
        <w:t>84).</w:t>
      </w:r>
    </w:p>
    <w:p w:rsidR="00E53404" w:rsidRPr="00437AAC" w:rsidRDefault="00E53404" w:rsidP="00E53404">
      <w:pPr>
        <w:pStyle w:val="ParaNoNdepar-AltN"/>
        <w:rPr>
          <w:rFonts w:cs="Times New Roman"/>
        </w:rPr>
      </w:pPr>
      <w:r w:rsidRPr="00437AAC">
        <w:rPr>
          <w:rFonts w:cs="Times New Roman"/>
        </w:rPr>
        <w:t>Significantly, this requirement also provides an objective basis for judicial review.</w:t>
      </w:r>
      <w:r w:rsidRPr="00437AAC">
        <w:rPr>
          <w:rFonts w:cs="Times New Roman"/>
          <w:sz w:val="20"/>
          <w:szCs w:val="20"/>
        </w:rPr>
        <w:t xml:space="preserve"> </w:t>
      </w:r>
      <w:r w:rsidRPr="00437AAC">
        <w:rPr>
          <w:rFonts w:cs="Times New Roman"/>
        </w:rPr>
        <w:t xml:space="preserve">As explained earlier in these reasons, the type of “reasonable suspicion” that the Court incorporated into the </w:t>
      </w:r>
      <w:r w:rsidRPr="00437AAC">
        <w:rPr>
          <w:rFonts w:cs="Times New Roman"/>
          <w:i/>
        </w:rPr>
        <w:t>bona fide</w:t>
      </w:r>
      <w:r w:rsidRPr="00437AAC">
        <w:rPr>
          <w:rFonts w:cs="Times New Roman"/>
        </w:rPr>
        <w:t xml:space="preserve"> inquiry prong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 namely generalized suspicion — did not survive </w:t>
      </w:r>
      <w:r w:rsidRPr="00437AAC">
        <w:rPr>
          <w:rFonts w:cs="Times New Roman"/>
          <w:i/>
        </w:rPr>
        <w:t>Chehil</w:t>
      </w:r>
      <w:r w:rsidRPr="00437AAC">
        <w:rPr>
          <w:rFonts w:cs="Times New Roman"/>
        </w:rPr>
        <w:t>. Post</w:t>
      </w:r>
      <w:r>
        <w:rPr>
          <w:rFonts w:cs="Times New Roman"/>
        </w:rPr>
        <w:noBreakHyphen/>
      </w:r>
      <w:r w:rsidRPr="00437AAC">
        <w:rPr>
          <w:rFonts w:cs="Times New Roman"/>
          <w:i/>
        </w:rPr>
        <w:t>Chehil</w:t>
      </w:r>
      <w:r w:rsidRPr="00437AAC">
        <w:rPr>
          <w:rFonts w:cs="Times New Roman"/>
        </w:rPr>
        <w:t>, in which this Court determined that “reasonable suspicion” must be individualized, I am of the view that the requirement that the police have a “factually</w:t>
      </w:r>
      <w:r>
        <w:rPr>
          <w:rFonts w:cs="Times New Roman"/>
        </w:rPr>
        <w:noBreakHyphen/>
      </w:r>
      <w:r w:rsidRPr="00437AAC">
        <w:rPr>
          <w:rFonts w:cs="Times New Roman"/>
        </w:rPr>
        <w:t xml:space="preserve">grounded basis” for their investigation most accurately captures the type of objective requirement the Court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incorporated into the </w:t>
      </w:r>
      <w:r w:rsidRPr="00437AAC">
        <w:rPr>
          <w:rFonts w:cs="Times New Roman"/>
          <w:i/>
        </w:rPr>
        <w:t xml:space="preserve">bona fide </w:t>
      </w:r>
      <w:r w:rsidR="00D93B3C">
        <w:rPr>
          <w:rFonts w:cs="Times New Roman"/>
        </w:rPr>
        <w:t>inquiry prong.</w:t>
      </w:r>
    </w:p>
    <w:p w:rsidR="00E53404" w:rsidRPr="00437AAC" w:rsidRDefault="00E53404" w:rsidP="00E53404">
      <w:pPr>
        <w:pStyle w:val="ParaNoNdepar-AltN"/>
        <w:rPr>
          <w:rFonts w:cs="Times New Roman"/>
        </w:rPr>
      </w:pPr>
      <w:r w:rsidRPr="00437AAC">
        <w:rPr>
          <w:rFonts w:cs="Times New Roman"/>
        </w:rPr>
        <w:t xml:space="preserve">Third, the location of the inquiry must be tightly circumscribed. Whether the precision of the location meets this threshold should be determined by reference to the overarching question entrapment poses, that is, whether, in all the circumstances, society would view the inquiry as abusive. This requirement is in line with Lamer C.J.’s acknowledgment that the location of a </w:t>
      </w:r>
      <w:r w:rsidRPr="00437AAC">
        <w:rPr>
          <w:rFonts w:cs="Times New Roman"/>
          <w:i/>
        </w:rPr>
        <w:t xml:space="preserve">bona fide </w:t>
      </w:r>
      <w:r w:rsidRPr="00437AAC">
        <w:rPr>
          <w:rFonts w:cs="Times New Roman"/>
        </w:rPr>
        <w:t>inquiry must be “defined with sufficient precision” (</w:t>
      </w:r>
      <w:r w:rsidRPr="00437AAC">
        <w:rPr>
          <w:rFonts w:cs="Times New Roman"/>
          <w:i/>
        </w:rPr>
        <w:t>Barnes</w:t>
      </w:r>
      <w:r w:rsidRPr="00437AAC">
        <w:rPr>
          <w:rFonts w:cs="Times New Roman"/>
        </w:rPr>
        <w:t xml:space="preserve">, at </w:t>
      </w:r>
      <w:r>
        <w:rPr>
          <w:rFonts w:cs="Times New Roman"/>
        </w:rPr>
        <w:t>p. </w:t>
      </w:r>
      <w:r w:rsidRPr="00437AAC">
        <w:rPr>
          <w:rFonts w:cs="Times New Roman"/>
        </w:rPr>
        <w:t>463). Inevitably, whether a particular type of location is sufficiently circumscribed for the purposes of a particular type of investigation will need to be considered on a location</w:t>
      </w:r>
      <w:r>
        <w:rPr>
          <w:rFonts w:cs="Times New Roman"/>
        </w:rPr>
        <w:noBreakHyphen/>
      </w:r>
      <w:r w:rsidRPr="00437AAC">
        <w:rPr>
          <w:rFonts w:cs="Times New Roman"/>
        </w:rPr>
        <w:t>by</w:t>
      </w:r>
      <w:r>
        <w:rPr>
          <w:rFonts w:cs="Times New Roman"/>
        </w:rPr>
        <w:noBreakHyphen/>
      </w:r>
      <w:r w:rsidRPr="00437AAC">
        <w:rPr>
          <w:rFonts w:cs="Times New Roman"/>
        </w:rPr>
        <w:t>location basis, until a</w:t>
      </w:r>
      <w:r>
        <w:rPr>
          <w:rFonts w:cs="Times New Roman"/>
        </w:rPr>
        <w:t xml:space="preserve"> body of</w:t>
      </w:r>
      <w:r w:rsidRPr="00437AAC">
        <w:rPr>
          <w:rFonts w:cs="Times New Roman"/>
        </w:rPr>
        <w:t xml:space="preserve"> jurisprudence develops. As that happens, courts must ensure sensitivity to the problems of racial profiling and random virtue testing that have raised concerns about the current approach under the </w:t>
      </w:r>
      <w:r w:rsidRPr="00437AAC">
        <w:rPr>
          <w:rFonts w:cs="Times New Roman"/>
          <w:i/>
        </w:rPr>
        <w:t xml:space="preserve">bona fide </w:t>
      </w:r>
      <w:r w:rsidRPr="00437AAC">
        <w:rPr>
          <w:rFonts w:cs="Times New Roman"/>
        </w:rPr>
        <w:t>inquiry prong, which I will describe further below. That said, the following non</w:t>
      </w:r>
      <w:r>
        <w:rPr>
          <w:rFonts w:cs="Times New Roman"/>
        </w:rPr>
        <w:noBreakHyphen/>
      </w:r>
      <w:r w:rsidRPr="00437AAC">
        <w:rPr>
          <w:rFonts w:cs="Times New Roman"/>
        </w:rPr>
        <w:t>exhaustive list of factors may assist in making this determination:</w:t>
      </w:r>
    </w:p>
    <w:p w:rsidR="00E53404" w:rsidRPr="00437AAC" w:rsidRDefault="00E53404" w:rsidP="00D93B3C">
      <w:pPr>
        <w:pStyle w:val="Citation-AltC"/>
        <w:numPr>
          <w:ilvl w:val="0"/>
          <w:numId w:val="11"/>
        </w:numPr>
        <w:spacing w:after="240" w:line="480" w:lineRule="auto"/>
        <w:ind w:left="360"/>
        <w:contextualSpacing w:val="0"/>
        <w:rPr>
          <w:rFonts w:eastAsiaTheme="minorEastAsia"/>
        </w:rPr>
      </w:pPr>
      <w:r w:rsidRPr="00437AAC">
        <w:rPr>
          <w:rFonts w:eastAsiaTheme="minorEastAsia"/>
        </w:rPr>
        <w:t>The nature and seriousness of the type of crime under investigation (e.g., a</w:t>
      </w:r>
      <w:r w:rsidRPr="00437AAC">
        <w:t xml:space="preserve"> wider investigative net may be necessary to effectively capture certain types of criminal activity)</w:t>
      </w:r>
      <w:r w:rsidRPr="00437AAC">
        <w:rPr>
          <w:rFonts w:eastAsiaTheme="minorEastAsia"/>
        </w:rPr>
        <w:t>;</w:t>
      </w:r>
    </w:p>
    <w:p w:rsidR="00E53404" w:rsidRPr="00437AAC" w:rsidRDefault="00E53404" w:rsidP="00D93B3C">
      <w:pPr>
        <w:pStyle w:val="Citation-AltC"/>
        <w:numPr>
          <w:ilvl w:val="0"/>
          <w:numId w:val="11"/>
        </w:numPr>
        <w:spacing w:after="240" w:line="480" w:lineRule="auto"/>
        <w:ind w:left="360"/>
        <w:contextualSpacing w:val="0"/>
        <w:rPr>
          <w:rFonts w:eastAsiaTheme="minorEastAsia"/>
        </w:rPr>
      </w:pPr>
      <w:r w:rsidRPr="00437AAC">
        <w:rPr>
          <w:rFonts w:eastAsiaTheme="minorEastAsia"/>
        </w:rPr>
        <w:t>The</w:t>
      </w:r>
      <w:r w:rsidRPr="00437AAC">
        <w:t xml:space="preserve"> number of citizens that may be impacted by the investigation technique used by the police</w:t>
      </w:r>
      <w:r w:rsidRPr="00437AAC">
        <w:rPr>
          <w:rFonts w:eastAsiaTheme="minorEastAsia"/>
        </w:rPr>
        <w:t xml:space="preserve"> (e.g., a </w:t>
      </w:r>
      <w:r w:rsidRPr="00437AAC">
        <w:t>technique that sweeps in too many citizens, even in a relatively small geographic area, may not be sufficiently circumscribed)</w:t>
      </w:r>
      <w:r w:rsidRPr="00437AAC">
        <w:rPr>
          <w:rFonts w:eastAsiaTheme="minorEastAsia"/>
        </w:rPr>
        <w:t>;</w:t>
      </w:r>
    </w:p>
    <w:p w:rsidR="00E53404" w:rsidRPr="00437AAC" w:rsidRDefault="00E53404" w:rsidP="00D93B3C">
      <w:pPr>
        <w:pStyle w:val="Citation-AltC"/>
        <w:numPr>
          <w:ilvl w:val="0"/>
          <w:numId w:val="11"/>
        </w:numPr>
        <w:spacing w:after="240" w:line="480" w:lineRule="auto"/>
        <w:ind w:left="360"/>
        <w:contextualSpacing w:val="0"/>
        <w:rPr>
          <w:rFonts w:eastAsiaTheme="minorEastAsia"/>
        </w:rPr>
      </w:pPr>
      <w:r w:rsidRPr="00437AAC">
        <w:rPr>
          <w:rFonts w:eastAsiaTheme="minorEastAsia"/>
        </w:rPr>
        <w:t xml:space="preserve">The nature of the location under investigation (e.g., society may be more accepting of police opportuning in a shopping mall versus a </w:t>
      </w:r>
      <w:r w:rsidRPr="00437AAC">
        <w:t xml:space="preserve">residential neighbourhood or </w:t>
      </w:r>
      <w:r w:rsidRPr="00437AAC">
        <w:rPr>
          <w:rFonts w:eastAsiaTheme="minorEastAsia"/>
        </w:rPr>
        <w:t>housing complex, even if the same number of people are potentially implicated in each case);</w:t>
      </w:r>
      <w:r w:rsidRPr="00437AAC">
        <w:t xml:space="preserve"> and</w:t>
      </w:r>
    </w:p>
    <w:p w:rsidR="00E53404" w:rsidRPr="00437AAC" w:rsidRDefault="00E53404" w:rsidP="00D93B3C">
      <w:pPr>
        <w:pStyle w:val="Citation-AltC"/>
        <w:numPr>
          <w:ilvl w:val="0"/>
          <w:numId w:val="11"/>
        </w:numPr>
        <w:spacing w:after="600" w:line="480" w:lineRule="auto"/>
        <w:ind w:left="360"/>
        <w:contextualSpacing w:val="0"/>
        <w:rPr>
          <w:rFonts w:eastAsiaTheme="minorEastAsia"/>
        </w:rPr>
      </w:pPr>
      <w:r w:rsidRPr="00437AAC">
        <w:rPr>
          <w:rFonts w:eastAsiaTheme="minorEastAsia"/>
        </w:rPr>
        <w:t>The intrusiveness of the technique (e.g., if the police are employing a more intrusive technique, such as a face</w:t>
      </w:r>
      <w:r>
        <w:rPr>
          <w:rFonts w:eastAsiaTheme="minorEastAsia"/>
        </w:rPr>
        <w:noBreakHyphen/>
      </w:r>
      <w:r w:rsidRPr="00437AAC">
        <w:rPr>
          <w:rFonts w:eastAsiaTheme="minorEastAsia"/>
        </w:rPr>
        <w:t>to</w:t>
      </w:r>
      <w:r>
        <w:rPr>
          <w:rFonts w:eastAsiaTheme="minorEastAsia"/>
        </w:rPr>
        <w:noBreakHyphen/>
      </w:r>
      <w:r w:rsidRPr="00437AAC">
        <w:rPr>
          <w:rFonts w:eastAsiaTheme="minorEastAsia"/>
        </w:rPr>
        <w:t>face technique, they may need to restrict the area in which they are opportuning more than if they were engaged in a less intrusive technique).</w:t>
      </w:r>
    </w:p>
    <w:p w:rsidR="00E53404" w:rsidRPr="00437AAC" w:rsidRDefault="00E53404" w:rsidP="00E53404">
      <w:pPr>
        <w:pStyle w:val="ParaNoNdepar-AltN"/>
        <w:rPr>
          <w:rFonts w:cs="Times New Roman"/>
        </w:rPr>
      </w:pPr>
      <w:r w:rsidRPr="00437AAC">
        <w:rPr>
          <w:rFonts w:cs="Times New Roman"/>
        </w:rPr>
        <w:t>These factors apply equally to virtual and physical locations. As I will explain in applying this revised approach, Mr. Williams’s and Mr. Ahmad’s cases provide examples involving a vir</w:t>
      </w:r>
      <w:r w:rsidR="00D93B3C">
        <w:rPr>
          <w:rFonts w:cs="Times New Roman"/>
        </w:rPr>
        <w:t>tual location — a phone number.</w:t>
      </w:r>
    </w:p>
    <w:p w:rsidR="00E53404" w:rsidRPr="00437AAC" w:rsidRDefault="00E53404" w:rsidP="00E53404">
      <w:pPr>
        <w:pStyle w:val="Title3LevelTitre3Niveau"/>
        <w:jc w:val="both"/>
        <w:rPr>
          <w:rFonts w:cs="Times New Roman"/>
        </w:rPr>
      </w:pPr>
      <w:r w:rsidRPr="00437AAC">
        <w:rPr>
          <w:rFonts w:cs="Times New Roman"/>
        </w:rPr>
        <w:t xml:space="preserve">How the Revised Framework Improves Upon </w:t>
      </w:r>
      <w:r w:rsidRPr="00437AAC">
        <w:rPr>
          <w:rFonts w:cs="Times New Roman"/>
          <w:i/>
        </w:rPr>
        <w:t>Barnes</w:t>
      </w:r>
    </w:p>
    <w:p w:rsidR="00E53404" w:rsidRPr="00437AAC" w:rsidRDefault="00E53404" w:rsidP="00E53404">
      <w:pPr>
        <w:pStyle w:val="ParaNoNdepar-AltN"/>
        <w:rPr>
          <w:rFonts w:cs="Times New Roman"/>
        </w:rPr>
      </w:pPr>
      <w:r w:rsidRPr="00437AAC">
        <w:rPr>
          <w:rFonts w:cs="Times New Roman"/>
        </w:rPr>
        <w:t xml:space="preserve">In my view, this revision remedies the doctrinal incongruity between </w:t>
      </w:r>
      <w:r w:rsidRPr="00437AAC">
        <w:rPr>
          <w:rFonts w:cs="Times New Roman"/>
          <w:i/>
        </w:rPr>
        <w:t xml:space="preserve">Barnes </w:t>
      </w:r>
      <w:r w:rsidRPr="00437AAC">
        <w:rPr>
          <w:rFonts w:cs="Times New Roman"/>
        </w:rPr>
        <w:t xml:space="preserve">and </w:t>
      </w:r>
      <w:r w:rsidRPr="00437AAC">
        <w:rPr>
          <w:rFonts w:cs="Times New Roman"/>
          <w:i/>
        </w:rPr>
        <w:t>Chehil</w:t>
      </w:r>
      <w:r w:rsidRPr="00437AAC">
        <w:rPr>
          <w:rFonts w:cs="Times New Roman"/>
        </w:rPr>
        <w:t>,</w:t>
      </w:r>
      <w:r w:rsidRPr="00437AAC">
        <w:rPr>
          <w:rFonts w:cs="Times New Roman"/>
          <w:i/>
        </w:rPr>
        <w:t xml:space="preserve"> </w:t>
      </w:r>
      <w:r w:rsidRPr="00437AAC">
        <w:rPr>
          <w:rFonts w:cs="Times New Roman"/>
        </w:rPr>
        <w:t xml:space="preserve">and refocuses the </w:t>
      </w:r>
      <w:r w:rsidRPr="00437AAC">
        <w:rPr>
          <w:rFonts w:cs="Times New Roman"/>
          <w:i/>
        </w:rPr>
        <w:t xml:space="preserve">bona fide </w:t>
      </w:r>
      <w:r w:rsidRPr="00437AAC">
        <w:rPr>
          <w:rFonts w:cs="Times New Roman"/>
        </w:rPr>
        <w:t>inquiry prong on its principled origin: abuse of proce</w:t>
      </w:r>
      <w:r>
        <w:rPr>
          <w:rFonts w:cs="Times New Roman"/>
        </w:rPr>
        <w:t>ss. </w:t>
      </w:r>
      <w:r w:rsidRPr="00437AAC">
        <w:rPr>
          <w:rFonts w:cs="Times New Roman"/>
        </w:rPr>
        <w:t>It strikes the appropriate balance by ensuring that law enforcement techniques which society would not view as intolerable and which may be necessary in combatting certain types of crime are not caught by the entrapment doctrine, while still protecting individuals’ legitimate interest in being left alone</w:t>
      </w:r>
      <w:r w:rsidR="001B21DD">
        <w:rPr>
          <w:rFonts w:cs="Times New Roman"/>
        </w:rPr>
        <w:t xml:space="preserve"> by the state.</w:t>
      </w:r>
    </w:p>
    <w:p w:rsidR="00E53404" w:rsidRPr="00437AAC" w:rsidRDefault="00E53404" w:rsidP="00E53404">
      <w:pPr>
        <w:pStyle w:val="ParaNoNdepar-AltN"/>
        <w:rPr>
          <w:rFonts w:cs="Times New Roman"/>
        </w:rPr>
      </w:pPr>
      <w:r w:rsidRPr="00437AAC">
        <w:rPr>
          <w:rFonts w:cs="Times New Roman"/>
        </w:rPr>
        <w:t xml:space="preserve">Additionally, this revision addresses existing problems with the </w:t>
      </w:r>
      <w:r w:rsidRPr="00437AAC">
        <w:rPr>
          <w:rFonts w:cs="Times New Roman"/>
          <w:i/>
        </w:rPr>
        <w:t xml:space="preserve">bona fide </w:t>
      </w:r>
      <w:r w:rsidRPr="00437AAC">
        <w:rPr>
          <w:rFonts w:cs="Times New Roman"/>
        </w:rPr>
        <w:t>inquiry prong. By taking into account factors such as the number of citizens potentially impacted by the technique, the revision mitigates the risk that police may be able to indiscriminately offer opportunities within an expansive area (i.e., to conduct large</w:t>
      </w:r>
      <w:r>
        <w:rPr>
          <w:rFonts w:cs="Times New Roman"/>
        </w:rPr>
        <w:noBreakHyphen/>
      </w:r>
      <w:r w:rsidRPr="00437AAC">
        <w:rPr>
          <w:rFonts w:cs="Times New Roman"/>
        </w:rPr>
        <w:t>scale random virtue testing). The revision also effectively addresses the risks of police targeting the vulnerable and marginalized and engaging in racial profiling.</w:t>
      </w:r>
    </w:p>
    <w:p w:rsidR="00E53404" w:rsidRPr="00437AAC" w:rsidRDefault="00E53404" w:rsidP="00E53404">
      <w:pPr>
        <w:pStyle w:val="ParaNoNdepar-AltN"/>
        <w:rPr>
          <w:rFonts w:cs="Times New Roman"/>
        </w:rPr>
      </w:pPr>
      <w:r w:rsidRPr="00437AAC">
        <w:rPr>
          <w:rFonts w:cs="Times New Roman"/>
        </w:rPr>
        <w:t xml:space="preserve">If the police deliberately target the marginalized and vulnerable, that will amount to impermissible bad faith conduct. Society will not tolerate that type of police conduct. Additionally, by considering the nature of the location under investigation and the number of citizens potentially impacted, together with other relevant factors, reviewing courts will be able to discern whether the risk of ensnaring the marginalized and vulnerable was so high in a given case that society would not tolerate that risk, notwithstanding the legitimate law </w:t>
      </w:r>
      <w:r w:rsidR="001B21DD">
        <w:rPr>
          <w:rFonts w:cs="Times New Roman"/>
        </w:rPr>
        <w:t>enforcement interests at stake.</w:t>
      </w:r>
    </w:p>
    <w:p w:rsidR="00E53404" w:rsidRPr="00437AAC" w:rsidRDefault="00E53404" w:rsidP="00E53404">
      <w:pPr>
        <w:pStyle w:val="ParaNoNdepar-AltN"/>
        <w:rPr>
          <w:rFonts w:cs="Times New Roman"/>
        </w:rPr>
      </w:pPr>
      <w:r w:rsidRPr="00437AAC">
        <w:rPr>
          <w:rFonts w:cs="Times New Roman"/>
        </w:rPr>
        <w:t xml:space="preserve">Before turning to those considerations, however, it must be recognized that the balance struck between individual liberties and law enforcement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contemplates that the mere risk that a particularly vulnerable individual may inadvertently be caught by a </w:t>
      </w:r>
      <w:r w:rsidRPr="00437AAC">
        <w:rPr>
          <w:rFonts w:cs="Times New Roman"/>
          <w:i/>
        </w:rPr>
        <w:t xml:space="preserve">bona fide </w:t>
      </w:r>
      <w:r w:rsidRPr="00437AAC">
        <w:rPr>
          <w:rFonts w:cs="Times New Roman"/>
        </w:rPr>
        <w:t xml:space="preserve">inquiry does not, in itself, make the police technique intolerable. Taking, for instance, the facts of the investigation in </w:t>
      </w:r>
      <w:r w:rsidRPr="00437AAC">
        <w:rPr>
          <w:rFonts w:cs="Times New Roman"/>
          <w:i/>
        </w:rPr>
        <w:t>Barnes</w:t>
      </w:r>
      <w:r w:rsidRPr="00437AAC">
        <w:rPr>
          <w:rFonts w:cs="Times New Roman"/>
        </w:rPr>
        <w:t>, there was no doubt a risk that street</w:t>
      </w:r>
      <w:r>
        <w:rPr>
          <w:rFonts w:cs="Times New Roman"/>
        </w:rPr>
        <w:noBreakHyphen/>
      </w:r>
      <w:r w:rsidRPr="00437AAC">
        <w:rPr>
          <w:rFonts w:cs="Times New Roman"/>
        </w:rPr>
        <w:t>involved persons within the six</w:t>
      </w:r>
      <w:r>
        <w:rPr>
          <w:rFonts w:cs="Times New Roman"/>
        </w:rPr>
        <w:noBreakHyphen/>
      </w:r>
      <w:r w:rsidRPr="00437AAC">
        <w:rPr>
          <w:rFonts w:cs="Times New Roman"/>
        </w:rPr>
        <w:t>block area who knew the lingo of the drug trade and who knew where to access the drugs requested by the undercover officer would find themselves unable to resist the opportunity to make some easy money. So too for an individual involved in a dial</w:t>
      </w:r>
      <w:r>
        <w:rPr>
          <w:rFonts w:cs="Times New Roman"/>
        </w:rPr>
        <w:noBreakHyphen/>
      </w:r>
      <w:r w:rsidRPr="00437AAC">
        <w:rPr>
          <w:rFonts w:cs="Times New Roman"/>
        </w:rPr>
        <w:t>a</w:t>
      </w:r>
      <w:r>
        <w:rPr>
          <w:rFonts w:cs="Times New Roman"/>
        </w:rPr>
        <w:noBreakHyphen/>
      </w:r>
      <w:r w:rsidRPr="00437AAC">
        <w:rPr>
          <w:rFonts w:cs="Times New Roman"/>
        </w:rPr>
        <w:t>dope investigation. Nonetheless, the risk associated with a dial</w:t>
      </w:r>
      <w:r>
        <w:rPr>
          <w:rFonts w:cs="Times New Roman"/>
        </w:rPr>
        <w:noBreakHyphen/>
      </w:r>
      <w:r w:rsidRPr="00437AAC">
        <w:rPr>
          <w:rFonts w:cs="Times New Roman"/>
        </w:rPr>
        <w:t>a</w:t>
      </w:r>
      <w:r>
        <w:rPr>
          <w:rFonts w:cs="Times New Roman"/>
        </w:rPr>
        <w:noBreakHyphen/>
      </w:r>
      <w:r w:rsidRPr="00437AAC">
        <w:rPr>
          <w:rFonts w:cs="Times New Roman"/>
        </w:rPr>
        <w:t>dope investigation is acceptable due to the tightly circumscribed and minimally intrusive nature of these investigations, which target a type of crime that is prevalent in our society and difficult to detect through reactive, as opposed to proactive, policing.</w:t>
      </w:r>
    </w:p>
    <w:p w:rsidR="00E53404" w:rsidRPr="00437AAC" w:rsidRDefault="00E53404" w:rsidP="00E53404">
      <w:pPr>
        <w:pStyle w:val="ParaNoNdepar-AltN"/>
        <w:tabs>
          <w:tab w:val="clear" w:pos="1152"/>
          <w:tab w:val="num" w:pos="1170"/>
        </w:tabs>
        <w:rPr>
          <w:rFonts w:cs="Times New Roman"/>
        </w:rPr>
      </w:pPr>
      <w:r w:rsidRPr="00437AAC">
        <w:rPr>
          <w:rFonts w:cs="Times New Roman"/>
        </w:rPr>
        <w:t xml:space="preserve">In the event that a </w:t>
      </w:r>
      <w:r w:rsidRPr="00437AAC">
        <w:rPr>
          <w:rFonts w:cs="Times New Roman"/>
          <w:i/>
        </w:rPr>
        <w:t xml:space="preserve">bona fide </w:t>
      </w:r>
      <w:r w:rsidRPr="00437AAC">
        <w:rPr>
          <w:rFonts w:cs="Times New Roman"/>
        </w:rPr>
        <w:t xml:space="preserve">inquiry captures a particularly vulnerable individual, there are two potential pathways to relief. First, the individual may be able to establish, under the second branch of entrapment, that they were induced into committing the offence (see </w:t>
      </w:r>
      <w:r w:rsidRPr="00437AAC">
        <w:rPr>
          <w:rFonts w:cs="Times New Roman"/>
          <w:i/>
        </w:rPr>
        <w:t>Mack</w:t>
      </w:r>
      <w:r w:rsidRPr="00437AAC">
        <w:rPr>
          <w:rFonts w:cs="Times New Roman"/>
        </w:rPr>
        <w:t xml:space="preserve">, at </w:t>
      </w:r>
      <w:r>
        <w:rPr>
          <w:rFonts w:cs="Times New Roman"/>
        </w:rPr>
        <w:t>pp. </w:t>
      </w:r>
      <w:r w:rsidRPr="00437AAC">
        <w:rPr>
          <w:rFonts w:cs="Times New Roman"/>
        </w:rPr>
        <w:t xml:space="preserve">960 and 963). In </w:t>
      </w:r>
      <w:r w:rsidRPr="00437AAC">
        <w:rPr>
          <w:rFonts w:cs="Times New Roman"/>
          <w:i/>
        </w:rPr>
        <w:t>Mack</w:t>
      </w:r>
      <w:r w:rsidRPr="00437AAC">
        <w:rPr>
          <w:rFonts w:cs="Times New Roman"/>
        </w:rPr>
        <w:t>, Lamer J. observed that in cases where a particularly vulnerable individual, such as someone suffering from an addiction, takes the opportunity offered by the police, “it is desirable for the purposes of [the inducement] analysis to consider whether the conduct was likely to induce criminal conduct in those people who share the characteristic” (</w:t>
      </w:r>
      <w:r>
        <w:rPr>
          <w:rFonts w:cs="Times New Roman"/>
        </w:rPr>
        <w:t>p. </w:t>
      </w:r>
      <w:r w:rsidRPr="00437AAC">
        <w:rPr>
          <w:rFonts w:cs="Times New Roman"/>
        </w:rPr>
        <w:t>960). Alternatively, if the evidence falls short of establishing inducement and a conviction is entered, the individual’s circumstances may be taken into account by the sentencing judge in fash</w:t>
      </w:r>
      <w:r w:rsidR="001B21DD">
        <w:rPr>
          <w:rFonts w:cs="Times New Roman"/>
        </w:rPr>
        <w:t>ioning an appropriate sentence.</w:t>
      </w:r>
    </w:p>
    <w:p w:rsidR="00E53404" w:rsidRPr="00437AAC" w:rsidRDefault="00E53404" w:rsidP="00E53404">
      <w:pPr>
        <w:pStyle w:val="ParaNoNdepar-AltN"/>
        <w:tabs>
          <w:tab w:val="clear" w:pos="1152"/>
          <w:tab w:val="num" w:pos="1170"/>
        </w:tabs>
        <w:rPr>
          <w:rFonts w:cs="Times New Roman"/>
        </w:rPr>
      </w:pPr>
      <w:r w:rsidRPr="00437AAC">
        <w:rPr>
          <w:rFonts w:cs="Times New Roman"/>
        </w:rPr>
        <w:t xml:space="preserve">This revision also improves upon the formulation set out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by explicitly instructing courts to consider whether racial profiling played a role in the police investigation. If the race of the individual who was offered an opportunity in the course of a purported </w:t>
      </w:r>
      <w:r w:rsidRPr="00437AAC">
        <w:rPr>
          <w:rFonts w:cs="Times New Roman"/>
          <w:i/>
        </w:rPr>
        <w:t xml:space="preserve">bona fide </w:t>
      </w:r>
      <w:r w:rsidRPr="00437AAC">
        <w:rPr>
          <w:rFonts w:cs="Times New Roman"/>
        </w:rPr>
        <w:t xml:space="preserve">inquiry — or the racial composition of the area said to be the subject of that inquiry — motivated the police investigation, the </w:t>
      </w:r>
      <w:r w:rsidRPr="00437AAC">
        <w:rPr>
          <w:rFonts w:cs="Times New Roman"/>
          <w:i/>
        </w:rPr>
        <w:t>bona fide</w:t>
      </w:r>
      <w:r w:rsidRPr="00437AAC">
        <w:rPr>
          <w:rFonts w:cs="Times New Roman"/>
        </w:rPr>
        <w:t xml:space="preserve"> inquiry prong will have no application. Put simply, an investigation based on racial profiling is a bad faith investigation (see </w:t>
      </w:r>
      <w:r w:rsidRPr="00437AAC">
        <w:rPr>
          <w:rFonts w:cs="Times New Roman"/>
          <w:i/>
        </w:rPr>
        <w:t>R. v. Dudhi</w:t>
      </w:r>
      <w:r w:rsidRPr="00437AAC">
        <w:rPr>
          <w:rFonts w:cs="Times New Roman"/>
        </w:rPr>
        <w:t xml:space="preserve">, 2019 ONCA 665, 147 O.R. (3d) 546, at </w:t>
      </w:r>
      <w:r>
        <w:rPr>
          <w:rFonts w:cs="Times New Roman"/>
        </w:rPr>
        <w:t>paras. </w:t>
      </w:r>
      <w:r w:rsidRPr="00437AAC">
        <w:rPr>
          <w:rFonts w:cs="Times New Roman"/>
        </w:rPr>
        <w:t>56</w:t>
      </w:r>
      <w:r>
        <w:rPr>
          <w:rFonts w:cs="Times New Roman"/>
        </w:rPr>
        <w:noBreakHyphen/>
      </w:r>
      <w:r w:rsidRPr="00437AAC">
        <w:rPr>
          <w:rFonts w:cs="Times New Roman"/>
        </w:rPr>
        <w:t xml:space="preserve">62; </w:t>
      </w:r>
      <w:r w:rsidRPr="00437AAC">
        <w:rPr>
          <w:rFonts w:cs="Times New Roman"/>
          <w:i/>
        </w:rPr>
        <w:t>Peart v. Peel Regional Police Services Board</w:t>
      </w:r>
      <w:r w:rsidRPr="00437AAC">
        <w:rPr>
          <w:rFonts w:cs="Times New Roman"/>
        </w:rPr>
        <w:t xml:space="preserve"> (2006), 43 C.R. (6th) 175 (Ont. C.A.), at </w:t>
      </w:r>
      <w:r>
        <w:rPr>
          <w:rFonts w:cs="Times New Roman"/>
        </w:rPr>
        <w:t>para. </w:t>
      </w:r>
      <w:r w:rsidR="001B21DD">
        <w:rPr>
          <w:rFonts w:cs="Times New Roman"/>
        </w:rPr>
        <w:t>91).</w:t>
      </w:r>
    </w:p>
    <w:p w:rsidR="00E53404" w:rsidRPr="00437AAC" w:rsidRDefault="00E53404" w:rsidP="00E53404">
      <w:pPr>
        <w:pStyle w:val="ParaNoNdepar-AltN"/>
        <w:tabs>
          <w:tab w:val="clear" w:pos="1152"/>
          <w:tab w:val="num" w:pos="1170"/>
        </w:tabs>
        <w:rPr>
          <w:rFonts w:cs="Times New Roman"/>
        </w:rPr>
      </w:pPr>
      <w:r w:rsidRPr="00437AAC">
        <w:rPr>
          <w:rFonts w:cs="Times New Roman"/>
        </w:rPr>
        <w:t xml:space="preserve">Since the time when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were decided, the courts have recognized the realities of racial profiling and the differential impact of proactive police techniques on racialized communities (see e.g. </w:t>
      </w:r>
      <w:r w:rsidRPr="00437AAC">
        <w:rPr>
          <w:rFonts w:cs="Times New Roman"/>
          <w:i/>
        </w:rPr>
        <w:t>Peart</w:t>
      </w:r>
      <w:r w:rsidRPr="00437AAC">
        <w:rPr>
          <w:rFonts w:cs="Times New Roman"/>
        </w:rPr>
        <w:t xml:space="preserve">, at </w:t>
      </w:r>
      <w:r>
        <w:rPr>
          <w:rFonts w:cs="Times New Roman"/>
        </w:rPr>
        <w:t>para. </w:t>
      </w:r>
      <w:r w:rsidRPr="00437AAC">
        <w:rPr>
          <w:rFonts w:cs="Times New Roman"/>
        </w:rPr>
        <w:t>94 (stating that there is now “an acceptance by the courts that racial profiling occurs and is a day</w:t>
      </w:r>
      <w:r>
        <w:rPr>
          <w:rFonts w:cs="Times New Roman"/>
        </w:rPr>
        <w:noBreakHyphen/>
      </w:r>
      <w:r w:rsidRPr="00437AAC">
        <w:rPr>
          <w:rFonts w:cs="Times New Roman"/>
        </w:rPr>
        <w:t>to</w:t>
      </w:r>
      <w:r>
        <w:rPr>
          <w:rFonts w:cs="Times New Roman"/>
        </w:rPr>
        <w:noBreakHyphen/>
      </w:r>
      <w:r w:rsidRPr="00437AAC">
        <w:rPr>
          <w:rFonts w:cs="Times New Roman"/>
        </w:rPr>
        <w:t xml:space="preserve">day reality in the lives of </w:t>
      </w:r>
      <w:r w:rsidR="001B21DD">
        <w:rPr>
          <w:rFonts w:cs="Times New Roman"/>
        </w:rPr>
        <w:t>those minorities affected by it</w:t>
      </w:r>
      <w:r w:rsidRPr="00437AAC">
        <w:rPr>
          <w:rFonts w:cs="Times New Roman"/>
        </w:rPr>
        <w:t>”)). As Professor Tanovich has observed:</w:t>
      </w:r>
    </w:p>
    <w:p w:rsidR="00E53404" w:rsidRPr="00437AAC" w:rsidRDefault="00E53404" w:rsidP="00E53404">
      <w:pPr>
        <w:pStyle w:val="ParaNoNdepar-AltN"/>
        <w:numPr>
          <w:ilvl w:val="0"/>
          <w:numId w:val="0"/>
        </w:numPr>
        <w:spacing w:after="720" w:line="240" w:lineRule="auto"/>
        <w:ind w:left="1260"/>
        <w:rPr>
          <w:rFonts w:cs="Times New Roman"/>
        </w:rPr>
      </w:pPr>
      <w:r w:rsidRPr="00437AAC">
        <w:rPr>
          <w:rFonts w:cs="Times New Roman"/>
        </w:rPr>
        <w:t xml:space="preserve">. . . entrapment is a breeding ground for racial profiling, as evidenced by the number of drug cases involving racialized individuals. This social reality provides compelling justification, in addition to the doctrinal developments discussed in the next section, for reconsideration of the </w:t>
      </w:r>
      <w:r w:rsidRPr="00437AAC">
        <w:rPr>
          <w:rFonts w:cs="Times New Roman"/>
          <w:i/>
        </w:rPr>
        <w:t>Barnes</w:t>
      </w:r>
      <w:r w:rsidRPr="00437AAC">
        <w:rPr>
          <w:rFonts w:cs="Times New Roman"/>
        </w:rPr>
        <w:t xml:space="preserve"> test. [Footnote omitted; </w:t>
      </w:r>
      <w:r>
        <w:rPr>
          <w:rFonts w:cs="Times New Roman"/>
        </w:rPr>
        <w:t>p. </w:t>
      </w:r>
      <w:r w:rsidRPr="00437AAC">
        <w:rPr>
          <w:rFonts w:cs="Times New Roman"/>
        </w:rPr>
        <w:t>432.]</w:t>
      </w:r>
    </w:p>
    <w:p w:rsidR="00E53404" w:rsidRPr="00437AAC" w:rsidRDefault="00E53404" w:rsidP="00E53404">
      <w:pPr>
        <w:pStyle w:val="ParaNoNdepar-AltN"/>
        <w:rPr>
          <w:rFonts w:cs="Times New Roman"/>
        </w:rPr>
      </w:pPr>
      <w:r w:rsidRPr="00437AAC">
        <w:rPr>
          <w:rFonts w:cs="Times New Roman"/>
        </w:rPr>
        <w:t xml:space="preserve">Although these realities were not considered in the original formulation of the </w:t>
      </w:r>
      <w:r w:rsidRPr="00437AAC">
        <w:rPr>
          <w:rFonts w:cs="Times New Roman"/>
          <w:i/>
        </w:rPr>
        <w:t xml:space="preserve">bona fide </w:t>
      </w:r>
      <w:r w:rsidRPr="00437AAC">
        <w:rPr>
          <w:rFonts w:cs="Times New Roman"/>
        </w:rPr>
        <w:t>inquiry branch of entrapment, they must now be taken into account in determining whether the police conduct at issue would be viewed as intolerable by our society.</w:t>
      </w:r>
    </w:p>
    <w:p w:rsidR="00E53404" w:rsidRPr="00437AAC" w:rsidRDefault="00E53404" w:rsidP="00E53404">
      <w:pPr>
        <w:pStyle w:val="ParaNoNdepar-AltN"/>
        <w:rPr>
          <w:rFonts w:cs="Times New Roman"/>
        </w:rPr>
      </w:pPr>
      <w:r w:rsidRPr="00437AAC">
        <w:rPr>
          <w:rFonts w:cs="Times New Roman"/>
        </w:rPr>
        <w:t xml:space="preserve">Under the revised approach, a consideration of the factors outlined above may reveal a racialized dimension to the investigation that would not have been exposed under the </w:t>
      </w:r>
      <w:r w:rsidRPr="00437AAC">
        <w:rPr>
          <w:rFonts w:cs="Times New Roman"/>
          <w:i/>
        </w:rPr>
        <w:t xml:space="preserve">Barnes </w:t>
      </w:r>
      <w:r w:rsidRPr="00437AAC">
        <w:rPr>
          <w:rFonts w:cs="Times New Roman"/>
        </w:rPr>
        <w:t xml:space="preserve">framework. The nature of the location under investigation will be a particularly relevant factor to consider in this regard. To borrow an example from Professor Roach, writing in the terrorism context: if the Crown argues that a police officer was engaged in a </w:t>
      </w:r>
      <w:r w:rsidRPr="00437AAC">
        <w:rPr>
          <w:rFonts w:cs="Times New Roman"/>
          <w:i/>
        </w:rPr>
        <w:t xml:space="preserve">bona fide </w:t>
      </w:r>
      <w:r w:rsidRPr="00437AAC">
        <w:rPr>
          <w:rFonts w:cs="Times New Roman"/>
        </w:rPr>
        <w:t>inquiry into terrorist offences by offering opportunities at a mosque, this may raise a red flag signaling that the police were engaged in discriminatory targeting (</w:t>
      </w:r>
      <w:r>
        <w:rPr>
          <w:rFonts w:cs="Times New Roman"/>
        </w:rPr>
        <w:t>pp. </w:t>
      </w:r>
      <w:r w:rsidRPr="00437AAC">
        <w:rPr>
          <w:rFonts w:cs="Times New Roman"/>
        </w:rPr>
        <w:t>1473</w:t>
      </w:r>
      <w:r>
        <w:rPr>
          <w:rFonts w:cs="Times New Roman"/>
        </w:rPr>
        <w:noBreakHyphen/>
      </w:r>
      <w:r w:rsidRPr="00437AAC">
        <w:rPr>
          <w:rFonts w:cs="Times New Roman"/>
        </w:rPr>
        <w:t xml:space="preserve">74). The court in such a case would need to carefully consider all the facts to determine whether the police investigation was based on discriminatory stereotypes or biases rather than </w:t>
      </w:r>
      <w:r w:rsidR="001B21DD">
        <w:rPr>
          <w:rFonts w:cs="Times New Roman"/>
        </w:rPr>
        <w:t>legitimate investigative leads.</w:t>
      </w:r>
    </w:p>
    <w:p w:rsidR="00E53404" w:rsidRPr="00437AAC" w:rsidRDefault="00E53404" w:rsidP="00E53404">
      <w:pPr>
        <w:pStyle w:val="ParaNoNdepar-AltN"/>
        <w:rPr>
          <w:rFonts w:cs="Times New Roman"/>
        </w:rPr>
      </w:pPr>
      <w:r w:rsidRPr="00437AAC">
        <w:rPr>
          <w:rFonts w:cs="Times New Roman"/>
        </w:rPr>
        <w:t xml:space="preserve">In this way, the revised framework preserves the fundamental balance struck by this Court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by ensuring that the police are able to engage in genuinely motivated investigations that society would not find intolerable. However, it offers significant improvements to the </w:t>
      </w:r>
      <w:r w:rsidRPr="00437AAC">
        <w:rPr>
          <w:rFonts w:cs="Times New Roman"/>
          <w:i/>
        </w:rPr>
        <w:t>bona fide</w:t>
      </w:r>
      <w:r w:rsidRPr="00437AAC">
        <w:rPr>
          <w:rFonts w:cs="Times New Roman"/>
        </w:rPr>
        <w:t xml:space="preserve"> inquiry prong by bringing it in line with recent doctrinal developments, and by placing limitations on the scope of the location under investigation that are responsive to, among other things, the concerns about racial profiling that have arisen since </w:t>
      </w:r>
      <w:r w:rsidRPr="00437AAC">
        <w:rPr>
          <w:rFonts w:cs="Times New Roman"/>
          <w:i/>
        </w:rPr>
        <w:t xml:space="preserve">Mack </w:t>
      </w:r>
      <w:r w:rsidRPr="00437AAC">
        <w:rPr>
          <w:rFonts w:cs="Times New Roman"/>
        </w:rPr>
        <w:t xml:space="preserve">and </w:t>
      </w:r>
      <w:r w:rsidRPr="00437AAC">
        <w:rPr>
          <w:rFonts w:cs="Times New Roman"/>
          <w:i/>
        </w:rPr>
        <w:t xml:space="preserve">Barnes </w:t>
      </w:r>
      <w:r w:rsidRPr="00437AAC">
        <w:rPr>
          <w:rFonts w:cs="Times New Roman"/>
        </w:rPr>
        <w:t>were decided.</w:t>
      </w:r>
    </w:p>
    <w:p w:rsidR="00E53404" w:rsidRPr="00437AAC" w:rsidRDefault="00E53404" w:rsidP="00E53404">
      <w:pPr>
        <w:pStyle w:val="Title1LevelTitre1Niveau-AltL"/>
        <w:jc w:val="both"/>
        <w:rPr>
          <w:rFonts w:cs="Times New Roman"/>
        </w:rPr>
      </w:pPr>
      <w:r w:rsidRPr="00437AAC">
        <w:rPr>
          <w:rFonts w:cs="Times New Roman"/>
        </w:rPr>
        <w:t>Application to Mr. Williams’s and Mr. Ahmad’s Appeals</w:t>
      </w:r>
    </w:p>
    <w:p w:rsidR="00E53404" w:rsidRPr="00437AAC" w:rsidRDefault="00E53404" w:rsidP="00E53404">
      <w:pPr>
        <w:pStyle w:val="ParaNoNdepar-AltN"/>
        <w:rPr>
          <w:rFonts w:cs="Times New Roman"/>
        </w:rPr>
      </w:pPr>
      <w:r w:rsidRPr="00437AAC">
        <w:rPr>
          <w:rFonts w:cs="Times New Roman"/>
        </w:rPr>
        <w:t>Turning to the facts of the cases at bar, I am of the view that neither Mr.</w:t>
      </w:r>
      <w:r>
        <w:rPr>
          <w:rFonts w:cs="Times New Roman"/>
        </w:rPr>
        <w:t> </w:t>
      </w:r>
      <w:r w:rsidRPr="00437AAC">
        <w:rPr>
          <w:rFonts w:cs="Times New Roman"/>
        </w:rPr>
        <w:t xml:space="preserve">Williams nor Mr. Ahmad were entrapped. The police in both cases were acting in the course of </w:t>
      </w:r>
      <w:r w:rsidRPr="00437AAC">
        <w:rPr>
          <w:rFonts w:cs="Times New Roman"/>
          <w:i/>
        </w:rPr>
        <w:t>bona fide</w:t>
      </w:r>
      <w:r w:rsidRPr="00437AAC">
        <w:rPr>
          <w:rFonts w:cs="Times New Roman"/>
        </w:rPr>
        <w:t xml:space="preserve"> inquiries into the cell phone numbers in issue at the time they extended the respective opportu</w:t>
      </w:r>
      <w:r w:rsidR="001B21DD">
        <w:rPr>
          <w:rFonts w:cs="Times New Roman"/>
        </w:rPr>
        <w:t>nities to traffic in narcotics.</w:t>
      </w:r>
    </w:p>
    <w:p w:rsidR="00E53404" w:rsidRPr="00437AAC" w:rsidRDefault="00E53404" w:rsidP="00E53404">
      <w:pPr>
        <w:pStyle w:val="ParaNoNdepar-AltN"/>
        <w:rPr>
          <w:rFonts w:cs="Times New Roman"/>
        </w:rPr>
      </w:pPr>
      <w:r w:rsidRPr="00437AAC">
        <w:rPr>
          <w:rFonts w:cs="Times New Roman"/>
        </w:rPr>
        <w:t>Applying the new framework, there is no suggestion that the police were not motivated by genuine law enforcement purposes, nor is there is any evidence of bad faith. Further, they had factually</w:t>
      </w:r>
      <w:r>
        <w:rPr>
          <w:rFonts w:cs="Times New Roman"/>
        </w:rPr>
        <w:noBreakHyphen/>
      </w:r>
      <w:r w:rsidRPr="00437AAC">
        <w:rPr>
          <w:rFonts w:cs="Times New Roman"/>
        </w:rPr>
        <w:t>grounded basis for their investigations, having received information containing the names and phone numbers of alleged drug dealers. Finally, their inquiry was sufficiently tightly circumscribed. As already noted, whether a location is sufficiently circumscribed for the purposes of a particular type of investigation will need to be developed in future cases. However, it is clear that no matter how the courts choose to define “tightly circumscribed”, a single phone number in a dial</w:t>
      </w:r>
      <w:r>
        <w:rPr>
          <w:rFonts w:cs="Times New Roman"/>
        </w:rPr>
        <w:noBreakHyphen/>
      </w:r>
      <w:r w:rsidRPr="00437AAC">
        <w:rPr>
          <w:rFonts w:cs="Times New Roman"/>
        </w:rPr>
        <w:t>a</w:t>
      </w:r>
      <w:r>
        <w:rPr>
          <w:rFonts w:cs="Times New Roman"/>
        </w:rPr>
        <w:noBreakHyphen/>
      </w:r>
      <w:r w:rsidRPr="00437AAC">
        <w:rPr>
          <w:rFonts w:cs="Times New Roman"/>
        </w:rPr>
        <w:t xml:space="preserve">dope investigation will be included. This is borne out when one considers the factors outlined above, at </w:t>
      </w:r>
      <w:r>
        <w:rPr>
          <w:rFonts w:cs="Times New Roman"/>
        </w:rPr>
        <w:t>para. 161</w:t>
      </w:r>
      <w:r w:rsidRPr="00437AAC">
        <w:rPr>
          <w:rFonts w:cs="Times New Roman"/>
        </w:rPr>
        <w:t>.</w:t>
      </w:r>
    </w:p>
    <w:p w:rsidR="00E53404" w:rsidRPr="00437AAC" w:rsidRDefault="00E53404" w:rsidP="00E53404">
      <w:pPr>
        <w:pStyle w:val="ParaNoNdepar-AltN"/>
        <w:rPr>
          <w:rFonts w:cs="Times New Roman"/>
        </w:rPr>
      </w:pPr>
      <w:r w:rsidRPr="00437AAC">
        <w:rPr>
          <w:rFonts w:cs="Times New Roman"/>
        </w:rPr>
        <w:t>Turning first to the</w:t>
      </w:r>
      <w:r w:rsidRPr="00437AAC">
        <w:rPr>
          <w:rFonts w:cs="Times New Roman"/>
          <w:b/>
        </w:rPr>
        <w:t xml:space="preserve"> </w:t>
      </w:r>
      <w:r w:rsidRPr="00437AAC">
        <w:rPr>
          <w:rFonts w:cs="Times New Roman"/>
        </w:rPr>
        <w:t xml:space="preserve">nature and seriousness of the crime: drug trafficking is a serious crime. Additionally, the mobile and “consensual” nature of this type of crime makes it difficult to investigate using traditional investigative techniques. With the proliferation of cell phones, drug dealers are able to traffic in dangerous substances without associating </w:t>
      </w:r>
      <w:r w:rsidR="001B21DD">
        <w:rPr>
          <w:rFonts w:cs="Times New Roman"/>
        </w:rPr>
        <w:t>with a fixed physical location.</w:t>
      </w:r>
    </w:p>
    <w:p w:rsidR="00E53404" w:rsidRPr="00437AAC" w:rsidRDefault="00E53404" w:rsidP="00E53404">
      <w:pPr>
        <w:pStyle w:val="ParaNoNdepar-AltN"/>
        <w:rPr>
          <w:rFonts w:cs="Times New Roman"/>
        </w:rPr>
      </w:pPr>
      <w:r w:rsidRPr="00437AAC">
        <w:rPr>
          <w:rFonts w:cs="Times New Roman"/>
        </w:rPr>
        <w:t>Second, it is instructive to consider how many citizens may be impacted by the investigation technique used by the police. In these appeals, the information the police received from each of the sources only related to one phone number. The number of individuals potentially impacted by the police conduct is accordingly extremely low. Further, the police tactic used does not engage the “serious [and] unnecessary risk of attracting innocent and otherwise law</w:t>
      </w:r>
      <w:r>
        <w:rPr>
          <w:rFonts w:cs="Times New Roman"/>
        </w:rPr>
        <w:noBreakHyphen/>
      </w:r>
      <w:r w:rsidRPr="00437AAC">
        <w:rPr>
          <w:rFonts w:cs="Times New Roman"/>
        </w:rPr>
        <w:t>abiding individuals into the commission of a criminal offence” (</w:t>
      </w:r>
      <w:r w:rsidRPr="00437AAC">
        <w:rPr>
          <w:rFonts w:cs="Times New Roman"/>
          <w:i/>
        </w:rPr>
        <w:t>Mack</w:t>
      </w:r>
      <w:r w:rsidRPr="00437AAC">
        <w:rPr>
          <w:rFonts w:cs="Times New Roman"/>
        </w:rPr>
        <w:t xml:space="preserve">, at </w:t>
      </w:r>
      <w:r>
        <w:rPr>
          <w:rFonts w:cs="Times New Roman"/>
        </w:rPr>
        <w:t>p. </w:t>
      </w:r>
      <w:r w:rsidRPr="00437AAC">
        <w:rPr>
          <w:rFonts w:cs="Times New Roman"/>
        </w:rPr>
        <w:t>957) — most citizens would not understand the “coded drug language” used on these calls or be tempted to start trafficking in drugs as a result of the call. Indeed, the risk of an innocent person being tempted to commit a crime is much lower than the street</w:t>
      </w:r>
      <w:r>
        <w:rPr>
          <w:rFonts w:cs="Times New Roman"/>
        </w:rPr>
        <w:noBreakHyphen/>
      </w:r>
      <w:r w:rsidRPr="00437AAC">
        <w:rPr>
          <w:rFonts w:cs="Times New Roman"/>
        </w:rPr>
        <w:t xml:space="preserve">level opportuning that </w:t>
      </w:r>
      <w:r w:rsidRPr="00437AAC">
        <w:rPr>
          <w:rFonts w:cs="Times New Roman"/>
          <w:i/>
        </w:rPr>
        <w:t xml:space="preserve">Barnes </w:t>
      </w:r>
      <w:r w:rsidRPr="00437AAC">
        <w:rPr>
          <w:rFonts w:cs="Times New Roman"/>
        </w:rPr>
        <w:t xml:space="preserve">contemplated. Since the technique in </w:t>
      </w:r>
      <w:r w:rsidRPr="00437AAC">
        <w:rPr>
          <w:rFonts w:cs="Times New Roman"/>
          <w:i/>
        </w:rPr>
        <w:t>Barnes</w:t>
      </w:r>
      <w:r w:rsidRPr="00437AAC">
        <w:rPr>
          <w:rFonts w:cs="Times New Roman"/>
        </w:rPr>
        <w:t xml:space="preserve"> was held not to be entrapment, this factor militates in favour of finding that a typical dial</w:t>
      </w:r>
      <w:r>
        <w:rPr>
          <w:rFonts w:cs="Times New Roman"/>
        </w:rPr>
        <w:noBreakHyphen/>
      </w:r>
      <w:r w:rsidRPr="00437AAC">
        <w:rPr>
          <w:rFonts w:cs="Times New Roman"/>
        </w:rPr>
        <w:t>a</w:t>
      </w:r>
      <w:r>
        <w:rPr>
          <w:rFonts w:cs="Times New Roman"/>
        </w:rPr>
        <w:noBreakHyphen/>
      </w:r>
      <w:r w:rsidRPr="00437AAC">
        <w:rPr>
          <w:rFonts w:cs="Times New Roman"/>
        </w:rPr>
        <w:t>dope investigation is not one that society would view as intolerable.</w:t>
      </w:r>
    </w:p>
    <w:p w:rsidR="00E53404" w:rsidRPr="00437AAC" w:rsidRDefault="00E53404" w:rsidP="00E53404">
      <w:pPr>
        <w:pStyle w:val="ParaNoNdepar-AltN"/>
        <w:rPr>
          <w:rFonts w:cs="Times New Roman"/>
        </w:rPr>
      </w:pPr>
      <w:r w:rsidRPr="00437AAC">
        <w:rPr>
          <w:rFonts w:cs="Times New Roman"/>
        </w:rPr>
        <w:t xml:space="preserve">Third, the “location” under investigation in each of these appeals was a phone number. As a result, any concerns that racial profiling or other unconscious biases may have played a role in the investigations are highly attenuated — the opportunities were extended to whomever answered the phones and engaged in coded conversation with the undercover officers. Additionally, notwithstanding the locations at issue were phone numbers, the investigatory technique did not involve accessing any of the information on either Mr. Ahmad’s or Mr. Williams’s cell phone. As examined in more detail below, an individual’s privacy interest in respect of their phone number in this context is limited to their interest in being left alone by the state. The state is not accessing the biographical core of information that has led this Court to extend significant protections to the contents of cell phones in the context of s. 8 of the </w:t>
      </w:r>
      <w:r w:rsidRPr="00437AAC">
        <w:rPr>
          <w:rFonts w:cs="Times New Roman"/>
          <w:i/>
        </w:rPr>
        <w:t>Charter</w:t>
      </w:r>
      <w:r w:rsidR="001B21DD">
        <w:rPr>
          <w:rFonts w:cs="Times New Roman"/>
        </w:rPr>
        <w:t>.</w:t>
      </w:r>
    </w:p>
    <w:p w:rsidR="00E53404" w:rsidRPr="00437AAC" w:rsidRDefault="00E53404" w:rsidP="00E53404">
      <w:pPr>
        <w:pStyle w:val="ParaNoNdepar-AltN"/>
        <w:rPr>
          <w:rFonts w:cs="Times New Roman"/>
        </w:rPr>
      </w:pPr>
      <w:r w:rsidRPr="00437AAC">
        <w:rPr>
          <w:rFonts w:cs="Times New Roman"/>
        </w:rPr>
        <w:t xml:space="preserve">My colleagues invoke this Court’s jurisprudence under s. 8 of the </w:t>
      </w:r>
      <w:r w:rsidRPr="00437AAC">
        <w:rPr>
          <w:rFonts w:cs="Times New Roman"/>
          <w:i/>
        </w:rPr>
        <w:t xml:space="preserve">Charter </w:t>
      </w:r>
      <w:r w:rsidRPr="00437AAC">
        <w:rPr>
          <w:rFonts w:cs="Times New Roman"/>
        </w:rPr>
        <w:t>to suggest that the police must have reasonable suspicion to conduct a typical dial</w:t>
      </w:r>
      <w:r>
        <w:rPr>
          <w:rFonts w:cs="Times New Roman"/>
        </w:rPr>
        <w:noBreakHyphen/>
      </w:r>
      <w:r w:rsidRPr="00437AAC">
        <w:rPr>
          <w:rFonts w:cs="Times New Roman"/>
        </w:rPr>
        <w:t>a</w:t>
      </w:r>
      <w:r>
        <w:rPr>
          <w:rFonts w:cs="Times New Roman"/>
        </w:rPr>
        <w:noBreakHyphen/>
      </w:r>
      <w:r w:rsidRPr="00437AAC">
        <w:rPr>
          <w:rFonts w:cs="Times New Roman"/>
        </w:rPr>
        <w:t xml:space="preserve">dope investigation because “[v]irtual spaces raise unique concerns for the intrusion of the state into individuals’ private lives”, owing in part to the reasonable expectation of privacy individuals hold in certain “digital communications” (Karakatsanis, Brown and Martin JJ.’s reasons., at </w:t>
      </w:r>
      <w:r>
        <w:rPr>
          <w:rFonts w:cs="Times New Roman"/>
        </w:rPr>
        <w:t>para. </w:t>
      </w:r>
      <w:r w:rsidRPr="00437AAC">
        <w:rPr>
          <w:rFonts w:cs="Times New Roman"/>
        </w:rPr>
        <w:t>36). They argue that “cell phones are a 24/7 gateway into a person’s private life” and that “[i]ndividuals must be able</w:t>
      </w:r>
      <w:r>
        <w:rPr>
          <w:rFonts w:cs="Times New Roman"/>
        </w:rPr>
        <w:t xml:space="preserve"> to enjoy that privacy</w:t>
      </w:r>
      <w:r w:rsidRPr="00437AAC">
        <w:rPr>
          <w:rFonts w:cs="Times New Roman"/>
        </w:rPr>
        <w:t xml:space="preserve"> free from state intrusion, subject only to the police meeting an objective and reviewable standard allowing them to intrude” (</w:t>
      </w:r>
      <w:r>
        <w:rPr>
          <w:rFonts w:cs="Times New Roman"/>
        </w:rPr>
        <w:t>para. </w:t>
      </w:r>
      <w:r w:rsidRPr="00437AAC">
        <w:rPr>
          <w:rFonts w:cs="Times New Roman"/>
        </w:rPr>
        <w:t xml:space="preserve">37). While these statements are no doubt true, my colleagues’ reliance on this Court’s s. 8 </w:t>
      </w:r>
      <w:r w:rsidRPr="00437AAC">
        <w:rPr>
          <w:rFonts w:cs="Times New Roman"/>
          <w:i/>
        </w:rPr>
        <w:t>Charter</w:t>
      </w:r>
      <w:r w:rsidRPr="00437AAC">
        <w:rPr>
          <w:rFonts w:cs="Times New Roman"/>
        </w:rPr>
        <w:t xml:space="preserve"> jurisprudence in this conte</w:t>
      </w:r>
      <w:r w:rsidR="001B21DD">
        <w:rPr>
          <w:rFonts w:cs="Times New Roman"/>
        </w:rPr>
        <w:t>xt is, with respect, misplaced.</w:t>
      </w:r>
    </w:p>
    <w:p w:rsidR="00E53404" w:rsidRPr="00437AAC" w:rsidRDefault="00E53404" w:rsidP="00E53404">
      <w:pPr>
        <w:pStyle w:val="ParaNoNdepar-AltN"/>
        <w:rPr>
          <w:rFonts w:cs="Times New Roman"/>
        </w:rPr>
      </w:pPr>
      <w:r w:rsidRPr="00437AAC">
        <w:rPr>
          <w:rFonts w:cs="Times New Roman"/>
        </w:rPr>
        <w:t xml:space="preserve">In its jurisprudence respecting searches of electronic devices, this Court has been concerned with protecting individuals’ informational privacy interests (see e.g., </w:t>
      </w:r>
      <w:r w:rsidRPr="00437AAC">
        <w:rPr>
          <w:rFonts w:cs="Times New Roman"/>
          <w:i/>
        </w:rPr>
        <w:t>R. v. Marakah</w:t>
      </w:r>
      <w:r w:rsidRPr="00437AAC">
        <w:rPr>
          <w:rFonts w:cs="Times New Roman"/>
        </w:rPr>
        <w:t xml:space="preserve">, 2017 SCC 59, [2017] 2 S.C.R. 608, at </w:t>
      </w:r>
      <w:r>
        <w:rPr>
          <w:rFonts w:cs="Times New Roman"/>
        </w:rPr>
        <w:t>paras. </w:t>
      </w:r>
      <w:r w:rsidRPr="00437AAC">
        <w:rPr>
          <w:rFonts w:cs="Times New Roman"/>
        </w:rPr>
        <w:t>31</w:t>
      </w:r>
      <w:r>
        <w:rPr>
          <w:rFonts w:cs="Times New Roman"/>
        </w:rPr>
        <w:noBreakHyphen/>
      </w:r>
      <w:r w:rsidRPr="00437AAC">
        <w:rPr>
          <w:rFonts w:cs="Times New Roman"/>
        </w:rPr>
        <w:t xml:space="preserve">34 and 37; </w:t>
      </w:r>
      <w:r w:rsidRPr="00437AAC">
        <w:rPr>
          <w:rFonts w:cs="Times New Roman"/>
          <w:i/>
        </w:rPr>
        <w:t>R. v. Fearon</w:t>
      </w:r>
      <w:r w:rsidRPr="00437AAC">
        <w:rPr>
          <w:rFonts w:cs="Times New Roman"/>
        </w:rPr>
        <w:t xml:space="preserve">, 2014 SCC 77, [2014] 3 S.C.R. 621, at </w:t>
      </w:r>
      <w:r>
        <w:rPr>
          <w:rFonts w:cs="Times New Roman"/>
        </w:rPr>
        <w:t>paras. </w:t>
      </w:r>
      <w:r w:rsidRPr="00437AAC">
        <w:rPr>
          <w:rFonts w:cs="Times New Roman"/>
        </w:rPr>
        <w:t xml:space="preserve">51 and 63; </w:t>
      </w:r>
      <w:r w:rsidRPr="00437AAC">
        <w:rPr>
          <w:rFonts w:cs="Times New Roman"/>
          <w:i/>
        </w:rPr>
        <w:t>R. v. Spencer</w:t>
      </w:r>
      <w:r w:rsidRPr="00437AAC">
        <w:rPr>
          <w:rFonts w:cs="Times New Roman"/>
        </w:rPr>
        <w:t xml:space="preserve">, 2014 SCC 43, [2014] 2 S.C.R. 212, at </w:t>
      </w:r>
      <w:r>
        <w:rPr>
          <w:rFonts w:cs="Times New Roman"/>
        </w:rPr>
        <w:t>para. </w:t>
      </w:r>
      <w:r w:rsidRPr="00437AAC">
        <w:rPr>
          <w:rFonts w:cs="Times New Roman"/>
        </w:rPr>
        <w:t>37). Specifically, this Court has recognized that in today’s society, searching an individual’s electronic device may uncover core biographical information, including “information which tends to reveal intimate details of the [individual’s] lifestyle and personal choices” (</w:t>
      </w:r>
      <w:r w:rsidRPr="00437AAC">
        <w:rPr>
          <w:rFonts w:cs="Times New Roman"/>
          <w:i/>
        </w:rPr>
        <w:t>Marakah</w:t>
      </w:r>
      <w:r w:rsidRPr="00437AAC">
        <w:rPr>
          <w:rFonts w:cs="Times New Roman"/>
        </w:rPr>
        <w:t xml:space="preserve">, at </w:t>
      </w:r>
      <w:r>
        <w:rPr>
          <w:rFonts w:cs="Times New Roman"/>
        </w:rPr>
        <w:t>para. </w:t>
      </w:r>
      <w:r w:rsidRPr="00437AAC">
        <w:rPr>
          <w:rFonts w:cs="Times New Roman"/>
        </w:rPr>
        <w:t xml:space="preserve">32, per McLachlin C.J., quoting </w:t>
      </w:r>
      <w:r w:rsidRPr="00437AAC">
        <w:rPr>
          <w:rFonts w:cs="Times New Roman"/>
          <w:i/>
        </w:rPr>
        <w:t>R. v. Plant</w:t>
      </w:r>
      <w:r w:rsidRPr="00437AAC">
        <w:rPr>
          <w:rFonts w:cs="Times New Roman"/>
        </w:rPr>
        <w:t xml:space="preserve">, [1993] 3 S.C.R. 281, at </w:t>
      </w:r>
      <w:r>
        <w:rPr>
          <w:rFonts w:cs="Times New Roman"/>
        </w:rPr>
        <w:t>p. </w:t>
      </w:r>
      <w:r w:rsidRPr="00437AAC">
        <w:rPr>
          <w:rFonts w:cs="Times New Roman"/>
        </w:rPr>
        <w:t xml:space="preserve">293; see also </w:t>
      </w:r>
      <w:r>
        <w:rPr>
          <w:rFonts w:cs="Times New Roman"/>
        </w:rPr>
        <w:t>para. </w:t>
      </w:r>
      <w:r w:rsidRPr="00437AAC">
        <w:rPr>
          <w:rFonts w:cs="Times New Roman"/>
        </w:rPr>
        <w:t>92, per</w:t>
      </w:r>
      <w:r w:rsidRPr="00437AAC">
        <w:rPr>
          <w:rFonts w:cs="Times New Roman"/>
          <w:i/>
        </w:rPr>
        <w:t xml:space="preserve"> </w:t>
      </w:r>
      <w:r w:rsidRPr="00437AAC">
        <w:rPr>
          <w:rFonts w:cs="Times New Roman"/>
        </w:rPr>
        <w:t xml:space="preserve">Moldaver J., dissenting; </w:t>
      </w:r>
      <w:r w:rsidRPr="00437AAC">
        <w:rPr>
          <w:rFonts w:cs="Times New Roman"/>
          <w:i/>
        </w:rPr>
        <w:t>Spencer</w:t>
      </w:r>
      <w:r w:rsidRPr="00437AAC">
        <w:rPr>
          <w:rFonts w:cs="Times New Roman"/>
        </w:rPr>
        <w:t xml:space="preserve">, at </w:t>
      </w:r>
      <w:r>
        <w:rPr>
          <w:rFonts w:cs="Times New Roman"/>
        </w:rPr>
        <w:t>para. </w:t>
      </w:r>
      <w:r w:rsidRPr="00437AAC">
        <w:rPr>
          <w:rFonts w:cs="Times New Roman"/>
        </w:rPr>
        <w:t>27). This is so because of the capacity modern electronic devices have to store vast quantities of information and because of the manner in which individuals engage with and through their electronic devices in today’s society.</w:t>
      </w:r>
    </w:p>
    <w:p w:rsidR="00E53404" w:rsidRPr="00437AAC" w:rsidRDefault="00E53404" w:rsidP="00E53404">
      <w:pPr>
        <w:pStyle w:val="ParaNoNdepar-AltN"/>
        <w:rPr>
          <w:rFonts w:cs="Times New Roman"/>
        </w:rPr>
      </w:pPr>
      <w:r w:rsidRPr="00437AAC">
        <w:rPr>
          <w:rFonts w:cs="Times New Roman"/>
        </w:rPr>
        <w:t xml:space="preserve">However, the informational privacy interests that find protection under s. 8 of the </w:t>
      </w:r>
      <w:r w:rsidRPr="00437AAC">
        <w:rPr>
          <w:rFonts w:cs="Times New Roman"/>
          <w:i/>
        </w:rPr>
        <w:t xml:space="preserve">Charter </w:t>
      </w:r>
      <w:r w:rsidRPr="00437AAC">
        <w:rPr>
          <w:rFonts w:cs="Times New Roman"/>
        </w:rPr>
        <w:t>do not come into play in the context of dial</w:t>
      </w:r>
      <w:r>
        <w:rPr>
          <w:rFonts w:cs="Times New Roman"/>
        </w:rPr>
        <w:noBreakHyphen/>
      </w:r>
      <w:r w:rsidRPr="00437AAC">
        <w:rPr>
          <w:rFonts w:cs="Times New Roman"/>
        </w:rPr>
        <w:t>a</w:t>
      </w:r>
      <w:r>
        <w:rPr>
          <w:rFonts w:cs="Times New Roman"/>
        </w:rPr>
        <w:noBreakHyphen/>
      </w:r>
      <w:r w:rsidRPr="00437AAC">
        <w:rPr>
          <w:rFonts w:cs="Times New Roman"/>
        </w:rPr>
        <w:t xml:space="preserve">dope investigations. These investigations do not involve “state surveillance over virtual spaces”, nor does the undercover officer “investigate virtual communications” (Karakatsanis, Brown and Martin JJ.’s reasons, at </w:t>
      </w:r>
      <w:r>
        <w:rPr>
          <w:rFonts w:cs="Times New Roman"/>
        </w:rPr>
        <w:t>paras. </w:t>
      </w:r>
      <w:r w:rsidRPr="00437AAC">
        <w:rPr>
          <w:rFonts w:cs="Times New Roman"/>
        </w:rPr>
        <w:t>37 and 40). Dial</w:t>
      </w:r>
      <w:r>
        <w:rPr>
          <w:rFonts w:cs="Times New Roman"/>
        </w:rPr>
        <w:noBreakHyphen/>
      </w:r>
      <w:r w:rsidRPr="00437AAC">
        <w:rPr>
          <w:rFonts w:cs="Times New Roman"/>
        </w:rPr>
        <w:t>a</w:t>
      </w:r>
      <w:r>
        <w:rPr>
          <w:rFonts w:cs="Times New Roman"/>
        </w:rPr>
        <w:noBreakHyphen/>
      </w:r>
      <w:r w:rsidRPr="00437AAC">
        <w:rPr>
          <w:rFonts w:cs="Times New Roman"/>
        </w:rPr>
        <w:t>dope investigations do not involve a search or seizure of the person’s phone, or any of the information it contains. All that dial</w:t>
      </w:r>
      <w:r>
        <w:rPr>
          <w:rFonts w:cs="Times New Roman"/>
        </w:rPr>
        <w:noBreakHyphen/>
      </w:r>
      <w:r w:rsidRPr="00437AAC">
        <w:rPr>
          <w:rFonts w:cs="Times New Roman"/>
        </w:rPr>
        <w:t>a</w:t>
      </w:r>
      <w:r>
        <w:rPr>
          <w:rFonts w:cs="Times New Roman"/>
        </w:rPr>
        <w:noBreakHyphen/>
      </w:r>
      <w:r w:rsidRPr="00437AAC">
        <w:rPr>
          <w:rFonts w:cs="Times New Roman"/>
        </w:rPr>
        <w:t>dope investigations involve is a conversation between an undercover officer and the person on the other end of the line. As such, I cannot agree with my colleagues’ suggestion that merely “calling a [phone] number . . . is an inherently private activity” (</w:t>
      </w:r>
      <w:r>
        <w:rPr>
          <w:rFonts w:cs="Times New Roman"/>
        </w:rPr>
        <w:t>para. </w:t>
      </w:r>
      <w:r w:rsidRPr="00437AAC">
        <w:rPr>
          <w:rFonts w:cs="Times New Roman"/>
        </w:rPr>
        <w:t>36).</w:t>
      </w:r>
    </w:p>
    <w:p w:rsidR="00E53404" w:rsidRPr="00437AAC" w:rsidRDefault="00E53404" w:rsidP="00E53404">
      <w:pPr>
        <w:pStyle w:val="ParaNoNdepar-AltN"/>
        <w:rPr>
          <w:rFonts w:cs="Times New Roman"/>
        </w:rPr>
      </w:pPr>
      <w:r w:rsidRPr="00437AAC">
        <w:rPr>
          <w:rFonts w:cs="Times New Roman"/>
        </w:rPr>
        <w:t>The untenability of the position taken by my colleagues on the privacy interests at stake in a typical dial</w:t>
      </w:r>
      <w:r>
        <w:rPr>
          <w:rFonts w:cs="Times New Roman"/>
        </w:rPr>
        <w:noBreakHyphen/>
      </w:r>
      <w:r w:rsidRPr="00437AAC">
        <w:rPr>
          <w:rFonts w:cs="Times New Roman"/>
        </w:rPr>
        <w:t>a</w:t>
      </w:r>
      <w:r>
        <w:rPr>
          <w:rFonts w:cs="Times New Roman"/>
        </w:rPr>
        <w:noBreakHyphen/>
      </w:r>
      <w:r w:rsidRPr="00437AAC">
        <w:rPr>
          <w:rFonts w:cs="Times New Roman"/>
        </w:rPr>
        <w:t xml:space="preserve">dope investigation is made clear by the result they reach in Mr. Ahmad’s case and, more generally, their position that it is open to the police to cold call a phone number </w:t>
      </w:r>
      <w:r w:rsidRPr="00437AAC">
        <w:rPr>
          <w:rFonts w:cs="Times New Roman"/>
          <w:i/>
        </w:rPr>
        <w:t xml:space="preserve">without reasonable suspicion </w:t>
      </w:r>
      <w:r w:rsidRPr="00437AAC">
        <w:rPr>
          <w:rFonts w:cs="Times New Roman"/>
        </w:rPr>
        <w:t>and attempt to form reasonable suspicion over the phone. My colleagues’ acceptance that the police may phone an individual and engage them in potentially extensive conversation without first holding reasonable suspicion — indeed, as I understand it, absent any objective and verifiable basis — belies their contention that a typical dial</w:t>
      </w:r>
      <w:r>
        <w:rPr>
          <w:rFonts w:cs="Times New Roman"/>
        </w:rPr>
        <w:noBreakHyphen/>
      </w:r>
      <w:r w:rsidRPr="00437AAC">
        <w:rPr>
          <w:rFonts w:cs="Times New Roman"/>
        </w:rPr>
        <w:t>a</w:t>
      </w:r>
      <w:r>
        <w:rPr>
          <w:rFonts w:cs="Times New Roman"/>
        </w:rPr>
        <w:noBreakHyphen/>
      </w:r>
      <w:r w:rsidRPr="00437AAC">
        <w:rPr>
          <w:rFonts w:cs="Times New Roman"/>
        </w:rPr>
        <w:t xml:space="preserve">dope investigation engages the privacy interests that s. 8 of the </w:t>
      </w:r>
      <w:r w:rsidRPr="00437AAC">
        <w:rPr>
          <w:rFonts w:cs="Times New Roman"/>
          <w:i/>
        </w:rPr>
        <w:t xml:space="preserve">Charter </w:t>
      </w:r>
      <w:r w:rsidRPr="00437AAC">
        <w:rPr>
          <w:rFonts w:cs="Times New Roman"/>
        </w:rPr>
        <w:t xml:space="preserve">protects. While my colleagues suggest that “[t]he reasonably informed observer would be dismayed to learn” that the police may “intrud[e] upon [an individual’s] private life” by phoning that individual when the only information the police have at the time they make the call is a name, a phone number, and an allegation of drug dealing (at </w:t>
      </w:r>
      <w:r>
        <w:rPr>
          <w:rFonts w:cs="Times New Roman"/>
        </w:rPr>
        <w:t>paras. </w:t>
      </w:r>
      <w:r w:rsidRPr="00437AAC">
        <w:rPr>
          <w:rFonts w:cs="Times New Roman"/>
        </w:rPr>
        <w:t>32 and 54), I see nothing in their approach prevents the po</w:t>
      </w:r>
      <w:r w:rsidR="000D79E6">
        <w:rPr>
          <w:rFonts w:cs="Times New Roman"/>
        </w:rPr>
        <w:t>lice from doing precisely that.</w:t>
      </w:r>
    </w:p>
    <w:p w:rsidR="00E53404" w:rsidRPr="00437AAC" w:rsidRDefault="00E53404" w:rsidP="00E53404">
      <w:pPr>
        <w:pStyle w:val="ParaNoNdepar-AltN"/>
        <w:rPr>
          <w:rFonts w:cs="Times New Roman"/>
        </w:rPr>
      </w:pPr>
      <w:r w:rsidRPr="00437AAC">
        <w:rPr>
          <w:rFonts w:cs="Times New Roman"/>
        </w:rPr>
        <w:t xml:space="preserve">Respectfully, my colleagues do not explain why calling an individual and asking “are you working” does not engage the “considerable privacy interests” (at </w:t>
      </w:r>
      <w:r>
        <w:rPr>
          <w:rFonts w:cs="Times New Roman"/>
        </w:rPr>
        <w:t>para. </w:t>
      </w:r>
      <w:r w:rsidRPr="00437AAC">
        <w:rPr>
          <w:rFonts w:cs="Times New Roman"/>
        </w:rPr>
        <w:t>40) they see as inherent in cell phones, while calling that same individual and stating “I need 80” does engage those interests such that the police must first hold reasonable suspicion. In my view, this dissonance flows from a failure to account for the fundamentally different considerations at play in this Court’s s. 8 jurisprudence — considerations which simply do not come into play in a typical dial</w:t>
      </w:r>
      <w:r>
        <w:rPr>
          <w:rFonts w:cs="Times New Roman"/>
        </w:rPr>
        <w:noBreakHyphen/>
      </w:r>
      <w:r w:rsidRPr="00437AAC">
        <w:rPr>
          <w:rFonts w:cs="Times New Roman"/>
        </w:rPr>
        <w:t>a</w:t>
      </w:r>
      <w:r>
        <w:rPr>
          <w:rFonts w:cs="Times New Roman"/>
        </w:rPr>
        <w:noBreakHyphen/>
      </w:r>
      <w:r w:rsidRPr="00437AAC">
        <w:rPr>
          <w:rFonts w:cs="Times New Roman"/>
        </w:rPr>
        <w:t>dope case. Both of these interactions are equally intrusive from a privacy perspective, yet my colleagues suggest that the police need reasonable suspicion to initiate the latter interaction but not the former. In truth, however, a call to a potential dial</w:t>
      </w:r>
      <w:r>
        <w:rPr>
          <w:rFonts w:cs="Times New Roman"/>
        </w:rPr>
        <w:noBreakHyphen/>
      </w:r>
      <w:r w:rsidRPr="00437AAC">
        <w:rPr>
          <w:rFonts w:cs="Times New Roman"/>
        </w:rPr>
        <w:t>a</w:t>
      </w:r>
      <w:r>
        <w:rPr>
          <w:rFonts w:cs="Times New Roman"/>
        </w:rPr>
        <w:noBreakHyphen/>
      </w:r>
      <w:r w:rsidRPr="00437AAC">
        <w:rPr>
          <w:rFonts w:cs="Times New Roman"/>
        </w:rPr>
        <w:t>dope line does not engage the informational privacy interests protected by s. 8 and accordingly does not demand the imposition of a standard as “robust” as the individualized reasonable suspicion standard developed in this Court’s s. 8 jurisprudence. As I have already indicated, the nature of the individual privacy interests at play in this context are limited to individuals’ interest in</w:t>
      </w:r>
      <w:r w:rsidR="001B21DD">
        <w:rPr>
          <w:rFonts w:cs="Times New Roman"/>
        </w:rPr>
        <w:t xml:space="preserve"> being left alone by the state.</w:t>
      </w:r>
    </w:p>
    <w:p w:rsidR="00E53404" w:rsidRPr="00437AAC" w:rsidRDefault="00E53404" w:rsidP="00E53404">
      <w:pPr>
        <w:pStyle w:val="ParaNoNdepar-AltN"/>
        <w:rPr>
          <w:rFonts w:cs="Times New Roman"/>
        </w:rPr>
      </w:pPr>
      <w:r w:rsidRPr="00437AAC">
        <w:rPr>
          <w:rFonts w:cs="Times New Roman"/>
        </w:rPr>
        <w:t xml:space="preserve"> Finally, I find it difficult to imagine a less intrusive technique than those used in typical dial</w:t>
      </w:r>
      <w:r>
        <w:rPr>
          <w:rFonts w:cs="Times New Roman"/>
        </w:rPr>
        <w:noBreakHyphen/>
      </w:r>
      <w:r w:rsidRPr="00437AAC">
        <w:rPr>
          <w:rFonts w:cs="Times New Roman"/>
        </w:rPr>
        <w:t>a</w:t>
      </w:r>
      <w:r>
        <w:rPr>
          <w:rFonts w:cs="Times New Roman"/>
        </w:rPr>
        <w:noBreakHyphen/>
      </w:r>
      <w:r w:rsidRPr="00437AAC">
        <w:rPr>
          <w:rFonts w:cs="Times New Roman"/>
        </w:rPr>
        <w:t>dope cases like these ones. The impacted individual can terminate the interaction at any time by hanging up the phone; the language used and the substance of the conversation are not threatening or offensive; and there is no face</w:t>
      </w:r>
      <w:r>
        <w:rPr>
          <w:rFonts w:cs="Times New Roman"/>
        </w:rPr>
        <w:noBreakHyphen/>
      </w:r>
      <w:r w:rsidRPr="00437AAC">
        <w:rPr>
          <w:rFonts w:cs="Times New Roman"/>
        </w:rPr>
        <w:t>to</w:t>
      </w:r>
      <w:r>
        <w:rPr>
          <w:rFonts w:cs="Times New Roman"/>
        </w:rPr>
        <w:noBreakHyphen/>
      </w:r>
      <w:r w:rsidRPr="00437AAC">
        <w:rPr>
          <w:rFonts w:cs="Times New Roman"/>
        </w:rPr>
        <w:t>face interaction.</w:t>
      </w:r>
    </w:p>
    <w:p w:rsidR="00E53404" w:rsidRPr="00437AAC" w:rsidRDefault="00E53404" w:rsidP="00E53404">
      <w:pPr>
        <w:pStyle w:val="ParaNoNdepar-AltN"/>
        <w:rPr>
          <w:rFonts w:cs="Times New Roman"/>
        </w:rPr>
      </w:pPr>
      <w:r w:rsidRPr="00437AAC">
        <w:rPr>
          <w:rFonts w:cs="Times New Roman"/>
        </w:rPr>
        <w:t>In sum, the police conduct in these cases cannot be said to be conduct that society would find intolerable. Neither of these cases are among the “clearest of cases” warranting a stay of proceedings.</w:t>
      </w:r>
    </w:p>
    <w:p w:rsidR="00E53404" w:rsidRPr="00437AAC" w:rsidRDefault="00E53404" w:rsidP="00E53404">
      <w:pPr>
        <w:pStyle w:val="Title1LevelTitre1Niveau-AltL"/>
        <w:jc w:val="both"/>
        <w:rPr>
          <w:rFonts w:cs="Times New Roman"/>
        </w:rPr>
      </w:pPr>
      <w:r w:rsidRPr="00437AAC">
        <w:rPr>
          <w:rFonts w:cs="Times New Roman"/>
        </w:rPr>
        <w:t>Conclusion</w:t>
      </w:r>
    </w:p>
    <w:p w:rsidR="00E53404" w:rsidRPr="00437AAC" w:rsidRDefault="00E53404" w:rsidP="00E53404">
      <w:pPr>
        <w:pStyle w:val="ParaNoNdepar-AltN"/>
        <w:rPr>
          <w:rFonts w:cs="Times New Roman"/>
        </w:rPr>
      </w:pPr>
      <w:r w:rsidRPr="00437AAC">
        <w:rPr>
          <w:rFonts w:cs="Times New Roman"/>
        </w:rPr>
        <w:t>The state is limited in how it may deal with its citizens. The doctrine of entrapment restricts the police to investigating — rather than creating — crime, and ensures that the state is not permitted to randomly test the virtue of its citizens. At the same time, however, the doctrine of entrapment has always recognized that the police must be afforded substantial leeway to</w:t>
      </w:r>
      <w:r w:rsidR="001B21DD">
        <w:rPr>
          <w:rFonts w:cs="Times New Roman"/>
        </w:rPr>
        <w:t xml:space="preserve"> investigate and prevent crime.</w:t>
      </w:r>
    </w:p>
    <w:p w:rsidR="00E53404" w:rsidRPr="00437AAC" w:rsidRDefault="00E53404" w:rsidP="00E53404">
      <w:pPr>
        <w:pStyle w:val="ParaNoNdepar-AltN"/>
        <w:rPr>
          <w:rFonts w:cs="Times New Roman"/>
        </w:rPr>
      </w:pPr>
      <w:r w:rsidRPr="00437AAC">
        <w:rPr>
          <w:rFonts w:cs="Times New Roman"/>
        </w:rPr>
        <w:t xml:space="preserve">The criminal landscape has evolved significantly in the decades since this Court decided the seminal entrapment cases of </w:t>
      </w:r>
      <w:r w:rsidRPr="00437AAC">
        <w:rPr>
          <w:rFonts w:cs="Times New Roman"/>
          <w:i/>
        </w:rPr>
        <w:t>Mack</w:t>
      </w:r>
      <w:r w:rsidRPr="00437AAC">
        <w:rPr>
          <w:rFonts w:cs="Times New Roman"/>
        </w:rPr>
        <w:t xml:space="preserve"> and </w:t>
      </w:r>
      <w:r w:rsidRPr="00437AAC">
        <w:rPr>
          <w:rFonts w:cs="Times New Roman"/>
          <w:i/>
        </w:rPr>
        <w:t>Barnes</w:t>
      </w:r>
      <w:r w:rsidRPr="00437AAC">
        <w:rPr>
          <w:rFonts w:cs="Times New Roman"/>
        </w:rPr>
        <w:t>. Attempting to apply the doctrine of entrapment as it was formulated in those cases to modern day dial</w:t>
      </w:r>
      <w:r>
        <w:rPr>
          <w:rFonts w:cs="Times New Roman"/>
        </w:rPr>
        <w:noBreakHyphen/>
      </w:r>
      <w:r w:rsidRPr="00437AAC">
        <w:rPr>
          <w:rFonts w:cs="Times New Roman"/>
        </w:rPr>
        <w:t>a</w:t>
      </w:r>
      <w:r>
        <w:rPr>
          <w:rFonts w:cs="Times New Roman"/>
        </w:rPr>
        <w:noBreakHyphen/>
      </w:r>
      <w:r w:rsidRPr="00437AAC">
        <w:rPr>
          <w:rFonts w:cs="Times New Roman"/>
        </w:rPr>
        <w:t xml:space="preserve">dope operations has revealed issues with the doctrine’s present articulation. The revisions I would make to the </w:t>
      </w:r>
      <w:r w:rsidRPr="00437AAC">
        <w:rPr>
          <w:rFonts w:cs="Times New Roman"/>
          <w:i/>
        </w:rPr>
        <w:t>bona fide</w:t>
      </w:r>
      <w:r w:rsidRPr="00437AAC">
        <w:rPr>
          <w:rFonts w:cs="Times New Roman"/>
        </w:rPr>
        <w:t xml:space="preserve"> inquiry prong of the first branch of entrapment are necessary to preserve the fundamental balance struck in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between protecting individual liberties and fostering effective law enforcement while also bringing the doctrine in line with th</w:t>
      </w:r>
      <w:r w:rsidR="001B21DD">
        <w:rPr>
          <w:rFonts w:cs="Times New Roman"/>
        </w:rPr>
        <w:t>e realities of the digital age.</w:t>
      </w:r>
    </w:p>
    <w:p w:rsidR="00E53404" w:rsidRPr="00437AAC" w:rsidRDefault="00E53404" w:rsidP="00E53404">
      <w:pPr>
        <w:pStyle w:val="ParaNoNdepar-AltN"/>
        <w:rPr>
          <w:rFonts w:cs="Times New Roman"/>
        </w:rPr>
      </w:pPr>
      <w:r w:rsidRPr="00437AAC">
        <w:rPr>
          <w:rFonts w:cs="Times New Roman"/>
        </w:rPr>
        <w:t xml:space="preserve">Fundamentally, the approach I would adopt refocuses the entrapment doctrine on its principled abuse of process underpinnings, so as to ensure that stays of proceedings are only issued in the clearest of cases of intolerable state conduct. It avoids the minute parsing of conversations between the suspected drug dealer and the undercover officer, which results in dubious distinctions between cases where stays are granted and cases where the convictions are upheld. Additionally, it remedies a doctrinal inconsistency that has arisen from the manner in which the reasonable suspicion standard has developed in the Canadian jurisprudence since the time when </w:t>
      </w:r>
      <w:r w:rsidRPr="00437AAC">
        <w:rPr>
          <w:rFonts w:cs="Times New Roman"/>
          <w:i/>
        </w:rPr>
        <w:t xml:space="preserve">Mack </w:t>
      </w:r>
      <w:r w:rsidRPr="00437AAC">
        <w:rPr>
          <w:rFonts w:cs="Times New Roman"/>
        </w:rPr>
        <w:t xml:space="preserve">and </w:t>
      </w:r>
      <w:r w:rsidRPr="00437AAC">
        <w:rPr>
          <w:rFonts w:cs="Times New Roman"/>
          <w:i/>
        </w:rPr>
        <w:t>Barnes</w:t>
      </w:r>
      <w:r w:rsidRPr="00437AAC">
        <w:rPr>
          <w:rFonts w:cs="Times New Roman"/>
        </w:rPr>
        <w:t xml:space="preserve"> were decided. With respect to those who see the matter differently, the approach I would adopt is, in my view, the best way to remain faithful to the holdings and underlying principles of this Co</w:t>
      </w:r>
      <w:r w:rsidR="001B21DD">
        <w:rPr>
          <w:rFonts w:cs="Times New Roman"/>
        </w:rPr>
        <w:t>urt’s entrapment jurisprudence.</w:t>
      </w:r>
    </w:p>
    <w:p w:rsidR="00E53404" w:rsidRPr="00437AAC" w:rsidRDefault="00E53404" w:rsidP="00E53404">
      <w:pPr>
        <w:pStyle w:val="ParaNoNdepar-AltN"/>
        <w:rPr>
          <w:rFonts w:cs="Times New Roman"/>
        </w:rPr>
      </w:pPr>
      <w:r w:rsidRPr="00437AAC">
        <w:rPr>
          <w:rFonts w:cs="Times New Roman"/>
        </w:rPr>
        <w:t>For these reasons, I would dismiss the appeals.</w:t>
      </w:r>
    </w:p>
    <w:p w:rsidR="00E53404" w:rsidRDefault="00E53404" w:rsidP="00E53404">
      <w:pPr>
        <w:pStyle w:val="SCCNormalDoubleSpacing"/>
        <w:spacing w:after="480"/>
      </w:pPr>
    </w:p>
    <w:p w:rsidR="00A46F31" w:rsidRPr="003D1C8A" w:rsidRDefault="00EB5EC8" w:rsidP="00D84897">
      <w:pPr>
        <w:pStyle w:val="SCCNormalDoubleSpacing"/>
        <w:spacing w:after="480"/>
        <w:rPr>
          <w:i/>
        </w:rPr>
      </w:pPr>
      <w:r w:rsidRPr="003D1C8A">
        <w:tab/>
      </w:r>
      <w:r w:rsidR="00656313" w:rsidRPr="003D1C8A">
        <w:rPr>
          <w:i/>
        </w:rPr>
        <w:t>Appeal</w:t>
      </w:r>
      <w:r w:rsidR="00A46F31" w:rsidRPr="003D1C8A">
        <w:rPr>
          <w:i/>
        </w:rPr>
        <w:t xml:space="preserve"> of </w:t>
      </w:r>
      <w:r w:rsidR="0082434C">
        <w:rPr>
          <w:i/>
        </w:rPr>
        <w:t xml:space="preserve">Javid </w:t>
      </w:r>
      <w:r w:rsidR="001B21DD">
        <w:rPr>
          <w:i/>
        </w:rPr>
        <w:t>Ahmad dismissed.</w:t>
      </w:r>
    </w:p>
    <w:p w:rsidR="009B57B3" w:rsidRPr="003D1C8A" w:rsidRDefault="00A46F31" w:rsidP="00D84897">
      <w:pPr>
        <w:pStyle w:val="SCCNormalDoubleSpacing"/>
        <w:spacing w:after="480"/>
      </w:pPr>
      <w:r w:rsidRPr="003D1C8A">
        <w:rPr>
          <w:i/>
        </w:rPr>
        <w:tab/>
        <w:t>Appeal of</w:t>
      </w:r>
      <w:r w:rsidR="0082434C">
        <w:rPr>
          <w:i/>
        </w:rPr>
        <w:t xml:space="preserve"> Landon</w:t>
      </w:r>
      <w:r w:rsidRPr="003D1C8A">
        <w:rPr>
          <w:i/>
        </w:rPr>
        <w:t xml:space="preserve"> Williams allowed, </w:t>
      </w:r>
      <w:r w:rsidR="003D1C8A" w:rsidRPr="003D1C8A">
        <w:rPr>
          <w:smallCaps/>
        </w:rPr>
        <w:t>Wagner </w:t>
      </w:r>
      <w:r w:rsidRPr="003D1C8A">
        <w:rPr>
          <w:smallCaps/>
        </w:rPr>
        <w:t xml:space="preserve">C.J. </w:t>
      </w:r>
      <w:r w:rsidRPr="003D1C8A">
        <w:rPr>
          <w:i/>
        </w:rPr>
        <w:t>and</w:t>
      </w:r>
      <w:r w:rsidRPr="003D1C8A">
        <w:rPr>
          <w:smallCaps/>
        </w:rPr>
        <w:t xml:space="preserve"> Moldaver</w:t>
      </w:r>
      <w:r w:rsidRPr="003D1C8A">
        <w:rPr>
          <w:i/>
        </w:rPr>
        <w:t>,</w:t>
      </w:r>
      <w:r w:rsidRPr="003D1C8A">
        <w:rPr>
          <w:smallCaps/>
        </w:rPr>
        <w:t xml:space="preserve"> </w:t>
      </w:r>
      <w:r w:rsidR="00FC406F" w:rsidRPr="003D1C8A">
        <w:rPr>
          <w:smallCaps/>
        </w:rPr>
        <w:t>Côté</w:t>
      </w:r>
      <w:r w:rsidRPr="003D1C8A">
        <w:t xml:space="preserve"> </w:t>
      </w:r>
      <w:r w:rsidRPr="003D1C8A">
        <w:rPr>
          <w:i/>
        </w:rPr>
        <w:t>and</w:t>
      </w:r>
      <w:r w:rsidRPr="003D1C8A">
        <w:t xml:space="preserve"> </w:t>
      </w:r>
      <w:r w:rsidRPr="003D1C8A">
        <w:rPr>
          <w:smallCaps/>
        </w:rPr>
        <w:t>Rowe JJ</w:t>
      </w:r>
      <w:r w:rsidRPr="003D1C8A">
        <w:t xml:space="preserve">. </w:t>
      </w:r>
      <w:r w:rsidRPr="003D1C8A">
        <w:rPr>
          <w:i/>
        </w:rPr>
        <w:t>dissenting.</w:t>
      </w:r>
    </w:p>
    <w:p w:rsidR="00E24061" w:rsidRPr="003D1C8A" w:rsidRDefault="00FF71C3" w:rsidP="00D84897">
      <w:pPr>
        <w:pStyle w:val="SCCLawFirm"/>
        <w:spacing w:after="480"/>
      </w:pPr>
      <w:r w:rsidRPr="003D1C8A">
        <w:tab/>
      </w:r>
      <w:r w:rsidR="002F7146" w:rsidRPr="003D1C8A">
        <w:t>Solicitor</w:t>
      </w:r>
      <w:r w:rsidR="00E92B4F" w:rsidRPr="003D1C8A">
        <w:t>s for the appellant</w:t>
      </w:r>
      <w:r w:rsidR="002F7146" w:rsidRPr="003D1C8A">
        <w:t xml:space="preserve"> Javid Ahmad</w:t>
      </w:r>
      <w:r w:rsidR="00D84897" w:rsidRPr="003D1C8A">
        <w:t>: </w:t>
      </w:r>
      <w:r w:rsidR="002F7146" w:rsidRPr="003D1C8A">
        <w:t>Brauti Thorning</w:t>
      </w:r>
      <w:r w:rsidRPr="003D1C8A">
        <w:t>, Toronto.</w:t>
      </w:r>
    </w:p>
    <w:p w:rsidR="00E92B4F" w:rsidRPr="003D1C8A" w:rsidRDefault="002F7146" w:rsidP="00D84897">
      <w:pPr>
        <w:pStyle w:val="SCCLawFirm"/>
        <w:spacing w:after="480"/>
      </w:pPr>
      <w:r w:rsidRPr="003D1C8A">
        <w:tab/>
        <w:t>Solicitor</w:t>
      </w:r>
      <w:r w:rsidR="00E92B4F" w:rsidRPr="003D1C8A">
        <w:t>s for the appellant</w:t>
      </w:r>
      <w:r w:rsidRPr="003D1C8A">
        <w:t xml:space="preserve"> Landon Williams</w:t>
      </w:r>
      <w:r w:rsidR="00D84897" w:rsidRPr="003D1C8A">
        <w:t>: </w:t>
      </w:r>
      <w:r w:rsidR="00E92B4F" w:rsidRPr="003D1C8A">
        <w:t>Goddard Nasseri, Toronto.</w:t>
      </w:r>
    </w:p>
    <w:p w:rsidR="00E24061" w:rsidRPr="003D1C8A" w:rsidRDefault="00FF71C3" w:rsidP="00D84897">
      <w:pPr>
        <w:pStyle w:val="SCCLawFirm"/>
        <w:spacing w:after="480"/>
      </w:pPr>
      <w:r w:rsidRPr="003D1C8A">
        <w:tab/>
        <w:t>S</w:t>
      </w:r>
      <w:r w:rsidR="002F7146" w:rsidRPr="003D1C8A">
        <w:t>olicitor</w:t>
      </w:r>
      <w:r w:rsidR="00E92B4F" w:rsidRPr="003D1C8A">
        <w:t xml:space="preserve"> for the respondent</w:t>
      </w:r>
      <w:r w:rsidR="00D84897" w:rsidRPr="003D1C8A">
        <w:t>: </w:t>
      </w:r>
      <w:r w:rsidRPr="003D1C8A">
        <w:t>Public Prosecution Service of Canada, Vancouver.</w:t>
      </w:r>
    </w:p>
    <w:p w:rsidR="00E24061" w:rsidRPr="003D1C8A" w:rsidRDefault="00735524" w:rsidP="00D84897">
      <w:pPr>
        <w:pStyle w:val="SCCLawFirm"/>
        <w:spacing w:after="480"/>
      </w:pPr>
      <w:r w:rsidRPr="003D1C8A">
        <w:tab/>
        <w:t>Solicitors</w:t>
      </w:r>
      <w:r w:rsidR="00FF71C3" w:rsidRPr="003D1C8A">
        <w:t xml:space="preserve"> for the intervener </w:t>
      </w:r>
      <w:r w:rsidRPr="003D1C8A">
        <w:t xml:space="preserve">the </w:t>
      </w:r>
      <w:r w:rsidR="00FF71C3" w:rsidRPr="003D1C8A">
        <w:t>British Columbia Civil Liberties Association</w:t>
      </w:r>
      <w:r w:rsidR="00D84897" w:rsidRPr="003D1C8A">
        <w:t>: </w:t>
      </w:r>
      <w:r w:rsidR="00FF71C3" w:rsidRPr="003D1C8A">
        <w:t>Ritchie Sandford McGowan, Vancouver</w:t>
      </w:r>
      <w:r w:rsidR="00461131" w:rsidRPr="003D1C8A">
        <w:t>; Michael Sobkin, Ottawa; Kate Oja, Yellowknife</w:t>
      </w:r>
      <w:r w:rsidR="00FF71C3" w:rsidRPr="003D1C8A">
        <w:t>.</w:t>
      </w:r>
    </w:p>
    <w:p w:rsidR="00E24061" w:rsidRPr="003D1C8A" w:rsidRDefault="00735524" w:rsidP="00D84897">
      <w:pPr>
        <w:pStyle w:val="SCCLawFirm"/>
        <w:spacing w:after="480"/>
      </w:pPr>
      <w:r w:rsidRPr="003D1C8A">
        <w:tab/>
        <w:t>Solicitor</w:t>
      </w:r>
      <w:r w:rsidR="00FF71C3" w:rsidRPr="003D1C8A">
        <w:t xml:space="preserve">s for the intervener </w:t>
      </w:r>
      <w:r w:rsidRPr="003D1C8A">
        <w:t xml:space="preserve">the </w:t>
      </w:r>
      <w:r w:rsidR="00FF71C3" w:rsidRPr="003D1C8A">
        <w:t>Criminal Lawyers</w:t>
      </w:r>
      <w:r w:rsidR="00CC04D3" w:rsidRPr="003D1C8A">
        <w:t>’</w:t>
      </w:r>
      <w:r w:rsidR="00E92B4F" w:rsidRPr="003D1C8A">
        <w:t xml:space="preserve"> Association of Ontario</w:t>
      </w:r>
      <w:r w:rsidR="00D84897" w:rsidRPr="003D1C8A">
        <w:t>: </w:t>
      </w:r>
      <w:r w:rsidR="00FF71C3" w:rsidRPr="003D1C8A">
        <w:t>Grant &amp; Marshman</w:t>
      </w:r>
      <w:r w:rsidRPr="003D1C8A">
        <w:t>, Toronto; Goldbloom Law, Toronto.</w:t>
      </w:r>
    </w:p>
    <w:p w:rsidR="00E24061" w:rsidRPr="003D1C8A" w:rsidRDefault="003242E3" w:rsidP="00D84897">
      <w:pPr>
        <w:pStyle w:val="SCCLawFirm"/>
        <w:spacing w:after="480"/>
      </w:pPr>
      <w:r w:rsidRPr="003D1C8A">
        <w:tab/>
        <w:t>Solicitor</w:t>
      </w:r>
      <w:r w:rsidR="00FF71C3" w:rsidRPr="003D1C8A">
        <w:t xml:space="preserve">s for the intervener </w:t>
      </w:r>
      <w:r w:rsidR="00140B04" w:rsidRPr="003D1C8A">
        <w:t xml:space="preserve">the </w:t>
      </w:r>
      <w:r w:rsidR="00FF71C3" w:rsidRPr="003D1C8A">
        <w:t>Canadian A</w:t>
      </w:r>
      <w:r w:rsidR="00E92B4F" w:rsidRPr="003D1C8A">
        <w:t>ssociation of Chiefs of Police</w:t>
      </w:r>
      <w:r w:rsidR="00D84897" w:rsidRPr="003D1C8A">
        <w:t>: </w:t>
      </w:r>
      <w:r w:rsidR="00FF71C3" w:rsidRPr="003D1C8A">
        <w:t>Edmonton Police Service, Edmonton</w:t>
      </w:r>
      <w:r w:rsidR="00140B04" w:rsidRPr="003D1C8A">
        <w:t>; Delta Police Service, Delta</w:t>
      </w:r>
      <w:r w:rsidR="00FD40A5" w:rsidRPr="003D1C8A">
        <w:t>, B.C.</w:t>
      </w:r>
    </w:p>
    <w:p w:rsidR="00E92B4F" w:rsidRPr="003D1C8A" w:rsidRDefault="004275E7" w:rsidP="00E92B4F">
      <w:pPr>
        <w:pStyle w:val="SCCLawFirm"/>
      </w:pPr>
      <w:r w:rsidRPr="003D1C8A">
        <w:tab/>
        <w:t>Solicitor</w:t>
      </w:r>
      <w:r w:rsidR="00E92B4F" w:rsidRPr="003D1C8A">
        <w:t xml:space="preserve">s for the intervener </w:t>
      </w:r>
      <w:r w:rsidRPr="003D1C8A">
        <w:t xml:space="preserve">the </w:t>
      </w:r>
      <w:r w:rsidR="00E92B4F" w:rsidRPr="003D1C8A">
        <w:t>Independent Cri</w:t>
      </w:r>
      <w:r w:rsidRPr="003D1C8A">
        <w:t>minal Defence Advocacy Society</w:t>
      </w:r>
      <w:r w:rsidR="00D84897" w:rsidRPr="003D1C8A">
        <w:t>: </w:t>
      </w:r>
      <w:r w:rsidR="00E92B4F" w:rsidRPr="003D1C8A">
        <w:t>Arvay Finlay, Vancouver.</w:t>
      </w:r>
    </w:p>
    <w:sectPr w:rsidR="00E92B4F" w:rsidRPr="003D1C8A"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D4" w:rsidRDefault="00F410D4">
      <w:r>
        <w:separator/>
      </w:r>
    </w:p>
  </w:endnote>
  <w:endnote w:type="continuationSeparator" w:id="0">
    <w:p w:rsidR="00F410D4" w:rsidRDefault="00F4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D4" w:rsidRDefault="00F410D4">
      <w:r>
        <w:separator/>
      </w:r>
    </w:p>
  </w:footnote>
  <w:footnote w:type="continuationSeparator" w:id="0">
    <w:p w:rsidR="00F410D4" w:rsidRDefault="00F410D4">
      <w:r>
        <w:continuationSeparator/>
      </w:r>
    </w:p>
  </w:footnote>
  <w:footnote w:id="1">
    <w:p w:rsidR="00DD513E" w:rsidRPr="00BC0AE7" w:rsidRDefault="00DD513E" w:rsidP="000954DC">
      <w:pPr>
        <w:pStyle w:val="FootnoteText"/>
        <w:ind w:left="173" w:hanging="173"/>
      </w:pPr>
      <w:r>
        <w:rPr>
          <w:rStyle w:val="FootnoteReference"/>
        </w:rPr>
        <w:footnoteRef/>
      </w:r>
      <w:r w:rsidRPr="00DF3356">
        <w:rPr>
          <w:lang w:val="en-US"/>
        </w:rPr>
        <w:t>  </w:t>
      </w:r>
      <w:r w:rsidRPr="00BC0AE7">
        <w:rPr>
          <w:lang w:val="en"/>
        </w:rPr>
        <w:t>While that case addressed the standard of “reasonable and probable grounds</w:t>
      </w:r>
      <w:r>
        <w:rPr>
          <w:lang w:val="en"/>
        </w:rPr>
        <w:t>,</w:t>
      </w:r>
      <w:r w:rsidRPr="00BC0AE7">
        <w:rPr>
          <w:lang w:val="en"/>
        </w:rPr>
        <w:t>” it is still helpful “in screening for objective markers when applying the reasonable suspicion standard” (</w:t>
      </w:r>
      <w:r w:rsidRPr="00BC0AE7">
        <w:rPr>
          <w:i/>
          <w:lang w:val="en"/>
        </w:rPr>
        <w:t>Williams</w:t>
      </w:r>
      <w:r>
        <w:rPr>
          <w:lang w:val="en"/>
        </w:rPr>
        <w:t xml:space="preserve"> stay</w:t>
      </w:r>
      <w:r w:rsidRPr="00EB5335">
        <w:rPr>
          <w:lang w:val="en"/>
        </w:rPr>
        <w:t xml:space="preserve"> decision</w:t>
      </w:r>
      <w:r w:rsidRPr="00BC0AE7">
        <w:rPr>
          <w:lang w:val="en"/>
        </w:rPr>
        <w:t>, at para. 12)</w:t>
      </w:r>
      <w:r>
        <w:rPr>
          <w:lang w:val="en"/>
        </w:rPr>
        <w:t>, even if those markers are to be assessed more leniently in the latter context</w:t>
      </w:r>
      <w:r w:rsidRPr="00BC0AE7">
        <w:rPr>
          <w:lang w:val="en"/>
        </w:rPr>
        <w:t>.</w:t>
      </w:r>
    </w:p>
  </w:footnote>
  <w:footnote w:id="2">
    <w:p w:rsidR="00DD513E" w:rsidRPr="00D54FC0" w:rsidRDefault="00DD513E" w:rsidP="00E53404">
      <w:pPr>
        <w:pStyle w:val="FootnoteText"/>
        <w:rPr>
          <w:lang w:val="en-US"/>
        </w:rPr>
      </w:pPr>
      <w:r>
        <w:rPr>
          <w:rStyle w:val="FootnoteReference"/>
        </w:rPr>
        <w:footnoteRef/>
      </w:r>
      <w:r w:rsidRPr="00DF3356">
        <w:rPr>
          <w:lang w:val="en-US"/>
        </w:rPr>
        <w:t>  </w:t>
      </w:r>
      <w:r w:rsidRPr="008B52C8">
        <w:rPr>
          <w:lang w:val="en-US"/>
        </w:rPr>
        <w:t>I</w:t>
      </w:r>
      <w:r>
        <w:rPr>
          <w:lang w:val="en-US"/>
        </w:rPr>
        <w:t xml:space="preserve">n </w:t>
      </w:r>
      <w:r>
        <w:rPr>
          <w:szCs w:val="24"/>
          <w:lang w:val="en-US"/>
        </w:rPr>
        <w:t>each case, the meaning of the specific slang term at issue will have to be established.</w:t>
      </w:r>
    </w:p>
  </w:footnote>
  <w:footnote w:id="3">
    <w:p w:rsidR="00DD513E" w:rsidRPr="00987D11" w:rsidRDefault="00DD513E" w:rsidP="00E53404">
      <w:pPr>
        <w:pStyle w:val="FootnoteText"/>
        <w:rPr>
          <w:lang w:val="en-US"/>
        </w:rPr>
      </w:pPr>
      <w:r>
        <w:rPr>
          <w:rStyle w:val="FootnoteReference"/>
        </w:rPr>
        <w:footnoteRef/>
      </w:r>
      <w:r w:rsidRPr="00275D70">
        <w:rPr>
          <w:lang w:val="en-US"/>
        </w:rPr>
        <w:t> </w:t>
      </w:r>
      <w:r w:rsidRPr="003A7F03">
        <w:rPr>
          <w:lang w:val="en-US"/>
        </w:rPr>
        <w:t> </w:t>
      </w:r>
      <w:r>
        <w:rPr>
          <w:lang w:val="en-US"/>
        </w:rPr>
        <w:t xml:space="preserve">A “drop name” is a name that the </w:t>
      </w:r>
      <w:r w:rsidRPr="00F643F5">
        <w:rPr>
          <w:lang w:val="en-US"/>
        </w:rPr>
        <w:t>would-be buyer</w:t>
      </w:r>
      <w:r>
        <w:rPr>
          <w:lang w:val="en-US"/>
        </w:rPr>
        <w:t xml:space="preserve"> “drops” into the conversation to put the </w:t>
      </w:r>
      <w:r w:rsidRPr="00F643F5">
        <w:rPr>
          <w:lang w:val="en-US"/>
        </w:rPr>
        <w:t>seller</w:t>
      </w:r>
      <w:r>
        <w:rPr>
          <w:lang w:val="en-US"/>
        </w:rPr>
        <w:t xml:space="preserve"> at ease.</w:t>
      </w:r>
    </w:p>
  </w:footnote>
  <w:footnote w:id="4">
    <w:p w:rsidR="00DD513E" w:rsidRPr="00E72A23" w:rsidRDefault="00DD513E" w:rsidP="00E53404">
      <w:pPr>
        <w:pStyle w:val="FootnoteText"/>
        <w:rPr>
          <w:lang w:val="en-US"/>
        </w:rPr>
      </w:pPr>
      <w:r>
        <w:rPr>
          <w:rStyle w:val="FootnoteReference"/>
        </w:rPr>
        <w:footnoteRef/>
      </w:r>
      <w:r w:rsidRPr="003A7F03">
        <w:rPr>
          <w:lang w:val="en-US"/>
        </w:rPr>
        <w:t> </w:t>
      </w:r>
      <w:r w:rsidRPr="00203673">
        <w:rPr>
          <w:lang w:val="en-US"/>
        </w:rPr>
        <w:t> </w:t>
      </w:r>
      <w:r>
        <w:t xml:space="preserve">The </w:t>
      </w:r>
      <w:r>
        <w:rPr>
          <w:lang w:val="en-US"/>
        </w:rPr>
        <w:t>Criminal Lawyers’ Association of Ontario and the Canadian Association of Chiefs of Police.</w:t>
      </w:r>
    </w:p>
  </w:footnote>
  <w:footnote w:id="5">
    <w:p w:rsidR="00DD513E" w:rsidRPr="0020753A" w:rsidRDefault="00DD513E" w:rsidP="00E53404">
      <w:pPr>
        <w:pStyle w:val="FootnoteText"/>
        <w:rPr>
          <w:lang w:val="en-US"/>
        </w:rPr>
      </w:pPr>
      <w:r w:rsidRPr="0020753A">
        <w:rPr>
          <w:rStyle w:val="FootnoteReference"/>
        </w:rPr>
        <w:footnoteRef/>
      </w:r>
      <w:r w:rsidRPr="00203673">
        <w:rPr>
          <w:lang w:val="en-US"/>
        </w:rPr>
        <w:t>  </w:t>
      </w:r>
      <w:r w:rsidRPr="0020753A">
        <w:rPr>
          <w:lang w:val="en-US"/>
        </w:rPr>
        <w:t>“</w:t>
      </w:r>
      <w:r w:rsidRPr="008359AA">
        <w:rPr>
          <w:lang w:val="en-US"/>
        </w:rPr>
        <w:t>Matt</w:t>
      </w:r>
      <w:r w:rsidRPr="0020753A">
        <w:rPr>
          <w:lang w:val="en-US"/>
        </w:rPr>
        <w:t>” was the name the undercover officer</w:t>
      </w:r>
      <w:r w:rsidRPr="00F643F5">
        <w:rPr>
          <w:lang w:val="en-US"/>
        </w:rPr>
        <w:t xml:space="preserve"> invented in the place of a “drop name”</w:t>
      </w:r>
      <w:r w:rsidRPr="0020753A">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491E3A"/>
    <w:multiLevelType w:val="hybridMultilevel"/>
    <w:tmpl w:val="B82E5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AC5C11"/>
    <w:multiLevelType w:val="multilevel"/>
    <w:tmpl w:val="9C249308"/>
    <w:lvl w:ilvl="0">
      <w:start w:val="1"/>
      <w:numFmt w:val="decimal"/>
      <w:lvlText w:val="[%1]"/>
      <w:lvlJc w:val="left"/>
      <w:pPr>
        <w:tabs>
          <w:tab w:val="num" w:pos="1152"/>
        </w:tabs>
        <w:ind w:left="0" w:firstLine="0"/>
      </w:pPr>
      <w:rPr>
        <w:rFonts w:ascii="Times New Roman" w:hAnsi="Times New Roman" w:hint="default"/>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871FEB"/>
    <w:multiLevelType w:val="hybridMultilevel"/>
    <w:tmpl w:val="51F0D674"/>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5"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842BF6"/>
    <w:multiLevelType w:val="hybridMultilevel"/>
    <w:tmpl w:val="54CC8F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4E1212"/>
    <w:multiLevelType w:val="hybridMultilevel"/>
    <w:tmpl w:val="43F69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283EE8"/>
    <w:multiLevelType w:val="multilevel"/>
    <w:tmpl w:val="AA7829F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F311CB4"/>
    <w:multiLevelType w:val="hybridMultilevel"/>
    <w:tmpl w:val="8E700B2C"/>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F4685D"/>
    <w:multiLevelType w:val="hybridMultilevel"/>
    <w:tmpl w:val="6F125FCE"/>
    <w:lvl w:ilvl="0" w:tplc="CF521B32">
      <w:start w:val="1"/>
      <w:numFmt w:val="upperLetter"/>
      <w:lvlText w:val="%1."/>
      <w:lvlJc w:val="left"/>
      <w:pPr>
        <w:ind w:left="2465" w:hanging="360"/>
      </w:pPr>
      <w:rPr>
        <w:rFonts w:ascii="Times New Roman" w:eastAsia="Times New Roman" w:hAnsi="Times New Roman" w:cs="Times New Roman"/>
      </w:rPr>
    </w:lvl>
    <w:lvl w:ilvl="1" w:tplc="04090019" w:tentative="1">
      <w:start w:val="1"/>
      <w:numFmt w:val="lowerLetter"/>
      <w:lvlText w:val="%2."/>
      <w:lvlJc w:val="left"/>
      <w:pPr>
        <w:ind w:left="3185" w:hanging="360"/>
      </w:pPr>
    </w:lvl>
    <w:lvl w:ilvl="2" w:tplc="0409001B" w:tentative="1">
      <w:start w:val="1"/>
      <w:numFmt w:val="lowerRoman"/>
      <w:lvlText w:val="%3."/>
      <w:lvlJc w:val="right"/>
      <w:pPr>
        <w:ind w:left="3905" w:hanging="180"/>
      </w:pPr>
    </w:lvl>
    <w:lvl w:ilvl="3" w:tplc="0409000F" w:tentative="1">
      <w:start w:val="1"/>
      <w:numFmt w:val="decimal"/>
      <w:lvlText w:val="%4."/>
      <w:lvlJc w:val="left"/>
      <w:pPr>
        <w:ind w:left="4625" w:hanging="360"/>
      </w:pPr>
    </w:lvl>
    <w:lvl w:ilvl="4" w:tplc="04090019" w:tentative="1">
      <w:start w:val="1"/>
      <w:numFmt w:val="lowerLetter"/>
      <w:lvlText w:val="%5."/>
      <w:lvlJc w:val="left"/>
      <w:pPr>
        <w:ind w:left="5345" w:hanging="360"/>
      </w:pPr>
    </w:lvl>
    <w:lvl w:ilvl="5" w:tplc="0409001B" w:tentative="1">
      <w:start w:val="1"/>
      <w:numFmt w:val="lowerRoman"/>
      <w:lvlText w:val="%6."/>
      <w:lvlJc w:val="right"/>
      <w:pPr>
        <w:ind w:left="6065" w:hanging="180"/>
      </w:pPr>
    </w:lvl>
    <w:lvl w:ilvl="6" w:tplc="0409000F" w:tentative="1">
      <w:start w:val="1"/>
      <w:numFmt w:val="decimal"/>
      <w:lvlText w:val="%7."/>
      <w:lvlJc w:val="left"/>
      <w:pPr>
        <w:ind w:left="6785" w:hanging="360"/>
      </w:pPr>
    </w:lvl>
    <w:lvl w:ilvl="7" w:tplc="04090019" w:tentative="1">
      <w:start w:val="1"/>
      <w:numFmt w:val="lowerLetter"/>
      <w:lvlText w:val="%8."/>
      <w:lvlJc w:val="left"/>
      <w:pPr>
        <w:ind w:left="7505" w:hanging="360"/>
      </w:pPr>
    </w:lvl>
    <w:lvl w:ilvl="8" w:tplc="0409001B" w:tentative="1">
      <w:start w:val="1"/>
      <w:numFmt w:val="lowerRoman"/>
      <w:lvlText w:val="%9."/>
      <w:lvlJc w:val="right"/>
      <w:pPr>
        <w:ind w:left="8225" w:hanging="180"/>
      </w:pPr>
    </w:lvl>
  </w:abstractNum>
  <w:abstractNum w:abstractNumId="26" w15:restartNumberingAfterBreak="0">
    <w:nsid w:val="692449C0"/>
    <w:multiLevelType w:val="hybridMultilevel"/>
    <w:tmpl w:val="11CE816A"/>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7" w15:restartNumberingAfterBreak="0">
    <w:nsid w:val="6CDA45C2"/>
    <w:multiLevelType w:val="hybridMultilevel"/>
    <w:tmpl w:val="D5DE4246"/>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num w:numId="1">
    <w:abstractNumId w:val="24"/>
  </w:num>
  <w:num w:numId="2">
    <w:abstractNumId w:val="13"/>
  </w:num>
  <w:num w:numId="3">
    <w:abstractNumId w:val="10"/>
  </w:num>
  <w:num w:numId="4">
    <w:abstractNumId w:val="19"/>
  </w:num>
  <w:num w:numId="5">
    <w:abstractNumId w:val="21"/>
  </w:num>
  <w:num w:numId="6">
    <w:abstractNumId w:val="22"/>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6"/>
  </w:num>
  <w:num w:numId="10">
    <w:abstractNumId w:val="23"/>
  </w:num>
  <w:num w:numId="11">
    <w:abstractNumId w:val="27"/>
  </w:num>
  <w:num w:numId="12">
    <w:abstractNumId w:val="26"/>
  </w:num>
  <w:num w:numId="13">
    <w:abstractNumId w:val="14"/>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20"/>
  </w:num>
  <w:num w:numId="27">
    <w:abstractNumId w:val="11"/>
  </w:num>
  <w:num w:numId="28">
    <w:abstractNumId w:val="1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8E3"/>
    <w:rsid w:val="00013CDE"/>
    <w:rsid w:val="000171CF"/>
    <w:rsid w:val="0002082C"/>
    <w:rsid w:val="00025198"/>
    <w:rsid w:val="0003035C"/>
    <w:rsid w:val="000438BC"/>
    <w:rsid w:val="000557E1"/>
    <w:rsid w:val="00056DA3"/>
    <w:rsid w:val="000578A3"/>
    <w:rsid w:val="00062561"/>
    <w:rsid w:val="00063DBF"/>
    <w:rsid w:val="000648CC"/>
    <w:rsid w:val="00065E75"/>
    <w:rsid w:val="00075A98"/>
    <w:rsid w:val="000868D3"/>
    <w:rsid w:val="00086FB6"/>
    <w:rsid w:val="000954DC"/>
    <w:rsid w:val="000C59B8"/>
    <w:rsid w:val="000C5D64"/>
    <w:rsid w:val="000C6AF0"/>
    <w:rsid w:val="000D5DE2"/>
    <w:rsid w:val="000D79E6"/>
    <w:rsid w:val="000E5014"/>
    <w:rsid w:val="001044DE"/>
    <w:rsid w:val="00104F33"/>
    <w:rsid w:val="00111DE2"/>
    <w:rsid w:val="00116AEB"/>
    <w:rsid w:val="00116B38"/>
    <w:rsid w:val="00120040"/>
    <w:rsid w:val="0012330A"/>
    <w:rsid w:val="0012692E"/>
    <w:rsid w:val="00135406"/>
    <w:rsid w:val="00135972"/>
    <w:rsid w:val="00137902"/>
    <w:rsid w:val="00140B04"/>
    <w:rsid w:val="00140DEC"/>
    <w:rsid w:val="001426A9"/>
    <w:rsid w:val="001430E1"/>
    <w:rsid w:val="00145FE4"/>
    <w:rsid w:val="001503A4"/>
    <w:rsid w:val="00154D7C"/>
    <w:rsid w:val="00156799"/>
    <w:rsid w:val="001570B0"/>
    <w:rsid w:val="001572E2"/>
    <w:rsid w:val="0015752C"/>
    <w:rsid w:val="00157737"/>
    <w:rsid w:val="00165277"/>
    <w:rsid w:val="00170592"/>
    <w:rsid w:val="00173D00"/>
    <w:rsid w:val="001845CC"/>
    <w:rsid w:val="00186351"/>
    <w:rsid w:val="00195D83"/>
    <w:rsid w:val="0019701C"/>
    <w:rsid w:val="001A00C1"/>
    <w:rsid w:val="001A502D"/>
    <w:rsid w:val="001B21DD"/>
    <w:rsid w:val="001B33E0"/>
    <w:rsid w:val="001B4573"/>
    <w:rsid w:val="001C22F5"/>
    <w:rsid w:val="001C4ABB"/>
    <w:rsid w:val="001C779F"/>
    <w:rsid w:val="001D2AC1"/>
    <w:rsid w:val="001D4E88"/>
    <w:rsid w:val="001E2DDF"/>
    <w:rsid w:val="00203673"/>
    <w:rsid w:val="00212333"/>
    <w:rsid w:val="00220FC2"/>
    <w:rsid w:val="002222F4"/>
    <w:rsid w:val="00224FC0"/>
    <w:rsid w:val="00225EA4"/>
    <w:rsid w:val="00226EAF"/>
    <w:rsid w:val="00231F3A"/>
    <w:rsid w:val="00234199"/>
    <w:rsid w:val="002341FE"/>
    <w:rsid w:val="00236A92"/>
    <w:rsid w:val="00236EAD"/>
    <w:rsid w:val="00237F52"/>
    <w:rsid w:val="0024004E"/>
    <w:rsid w:val="002406EE"/>
    <w:rsid w:val="00242C7D"/>
    <w:rsid w:val="00243EC8"/>
    <w:rsid w:val="002449B1"/>
    <w:rsid w:val="00250B5B"/>
    <w:rsid w:val="0025529A"/>
    <w:rsid w:val="00262035"/>
    <w:rsid w:val="00270D42"/>
    <w:rsid w:val="00270D93"/>
    <w:rsid w:val="002745CC"/>
    <w:rsid w:val="00275D70"/>
    <w:rsid w:val="002917C4"/>
    <w:rsid w:val="00295A00"/>
    <w:rsid w:val="00296B6F"/>
    <w:rsid w:val="002A30C7"/>
    <w:rsid w:val="002B3749"/>
    <w:rsid w:val="002B6C7A"/>
    <w:rsid w:val="002B7924"/>
    <w:rsid w:val="002D28C3"/>
    <w:rsid w:val="002D39A4"/>
    <w:rsid w:val="002D6A80"/>
    <w:rsid w:val="002E6705"/>
    <w:rsid w:val="002F2563"/>
    <w:rsid w:val="002F7146"/>
    <w:rsid w:val="00301835"/>
    <w:rsid w:val="00301D08"/>
    <w:rsid w:val="0030329A"/>
    <w:rsid w:val="00306666"/>
    <w:rsid w:val="0031086F"/>
    <w:rsid w:val="00313D0D"/>
    <w:rsid w:val="0031414C"/>
    <w:rsid w:val="00314E01"/>
    <w:rsid w:val="0032089D"/>
    <w:rsid w:val="003242E3"/>
    <w:rsid w:val="0032583E"/>
    <w:rsid w:val="00327D74"/>
    <w:rsid w:val="003310DE"/>
    <w:rsid w:val="00331F05"/>
    <w:rsid w:val="003323B0"/>
    <w:rsid w:val="003443FB"/>
    <w:rsid w:val="0035169A"/>
    <w:rsid w:val="0035259D"/>
    <w:rsid w:val="003530FF"/>
    <w:rsid w:val="00357E31"/>
    <w:rsid w:val="00364B18"/>
    <w:rsid w:val="00375EFE"/>
    <w:rsid w:val="003824B4"/>
    <w:rsid w:val="003874D1"/>
    <w:rsid w:val="00394707"/>
    <w:rsid w:val="003A0BD0"/>
    <w:rsid w:val="003A125D"/>
    <w:rsid w:val="003A4AD2"/>
    <w:rsid w:val="003A4C70"/>
    <w:rsid w:val="003A7F03"/>
    <w:rsid w:val="003B0537"/>
    <w:rsid w:val="003B215F"/>
    <w:rsid w:val="003B5D8E"/>
    <w:rsid w:val="003B6A36"/>
    <w:rsid w:val="003C03CC"/>
    <w:rsid w:val="003C799C"/>
    <w:rsid w:val="003D0399"/>
    <w:rsid w:val="003D1C8A"/>
    <w:rsid w:val="003D2CB3"/>
    <w:rsid w:val="003E1C71"/>
    <w:rsid w:val="003F327B"/>
    <w:rsid w:val="003F72F1"/>
    <w:rsid w:val="00406166"/>
    <w:rsid w:val="0040704B"/>
    <w:rsid w:val="00410A55"/>
    <w:rsid w:val="00411300"/>
    <w:rsid w:val="0041153B"/>
    <w:rsid w:val="00415417"/>
    <w:rsid w:val="00423A98"/>
    <w:rsid w:val="00426659"/>
    <w:rsid w:val="004275E7"/>
    <w:rsid w:val="00427775"/>
    <w:rsid w:val="004324B6"/>
    <w:rsid w:val="00432818"/>
    <w:rsid w:val="00450352"/>
    <w:rsid w:val="00450BE4"/>
    <w:rsid w:val="00454BDB"/>
    <w:rsid w:val="0045536E"/>
    <w:rsid w:val="00461131"/>
    <w:rsid w:val="00464800"/>
    <w:rsid w:val="00465132"/>
    <w:rsid w:val="00480C90"/>
    <w:rsid w:val="0048396F"/>
    <w:rsid w:val="00493C18"/>
    <w:rsid w:val="004A30D9"/>
    <w:rsid w:val="004A3DFA"/>
    <w:rsid w:val="004A600C"/>
    <w:rsid w:val="004A6118"/>
    <w:rsid w:val="004B67F1"/>
    <w:rsid w:val="004C1C49"/>
    <w:rsid w:val="004C478D"/>
    <w:rsid w:val="004D3F6D"/>
    <w:rsid w:val="004E2C26"/>
    <w:rsid w:val="004E3591"/>
    <w:rsid w:val="004E6715"/>
    <w:rsid w:val="004F0994"/>
    <w:rsid w:val="004F33F4"/>
    <w:rsid w:val="004F36FF"/>
    <w:rsid w:val="004F472D"/>
    <w:rsid w:val="004F52F3"/>
    <w:rsid w:val="004F541D"/>
    <w:rsid w:val="005125A8"/>
    <w:rsid w:val="00521AE8"/>
    <w:rsid w:val="00527180"/>
    <w:rsid w:val="00540112"/>
    <w:rsid w:val="0054201E"/>
    <w:rsid w:val="0054226C"/>
    <w:rsid w:val="005426CC"/>
    <w:rsid w:val="00547A07"/>
    <w:rsid w:val="00555291"/>
    <w:rsid w:val="005572C5"/>
    <w:rsid w:val="0055766E"/>
    <w:rsid w:val="00557D53"/>
    <w:rsid w:val="00561802"/>
    <w:rsid w:val="00566879"/>
    <w:rsid w:val="00566AD1"/>
    <w:rsid w:val="00583EDE"/>
    <w:rsid w:val="005913E9"/>
    <w:rsid w:val="00594A30"/>
    <w:rsid w:val="005A46DD"/>
    <w:rsid w:val="005A6079"/>
    <w:rsid w:val="005C00DF"/>
    <w:rsid w:val="005E4698"/>
    <w:rsid w:val="005F3C41"/>
    <w:rsid w:val="005F5469"/>
    <w:rsid w:val="00610539"/>
    <w:rsid w:val="006105A4"/>
    <w:rsid w:val="00611F52"/>
    <w:rsid w:val="00613969"/>
    <w:rsid w:val="0061654E"/>
    <w:rsid w:val="00625008"/>
    <w:rsid w:val="00625C35"/>
    <w:rsid w:val="00634C45"/>
    <w:rsid w:val="00636388"/>
    <w:rsid w:val="00647586"/>
    <w:rsid w:val="00650FEF"/>
    <w:rsid w:val="00656313"/>
    <w:rsid w:val="006565F4"/>
    <w:rsid w:val="00657083"/>
    <w:rsid w:val="00673BCC"/>
    <w:rsid w:val="006764C2"/>
    <w:rsid w:val="00681473"/>
    <w:rsid w:val="00684EEA"/>
    <w:rsid w:val="006959AB"/>
    <w:rsid w:val="0069689B"/>
    <w:rsid w:val="00697BBA"/>
    <w:rsid w:val="006A1551"/>
    <w:rsid w:val="006A59C5"/>
    <w:rsid w:val="006B5FF5"/>
    <w:rsid w:val="006C2DE3"/>
    <w:rsid w:val="006D4C3B"/>
    <w:rsid w:val="006E183B"/>
    <w:rsid w:val="006E495F"/>
    <w:rsid w:val="006E68D4"/>
    <w:rsid w:val="006F30AF"/>
    <w:rsid w:val="006F331B"/>
    <w:rsid w:val="00701759"/>
    <w:rsid w:val="00705C15"/>
    <w:rsid w:val="00712BA6"/>
    <w:rsid w:val="007136EC"/>
    <w:rsid w:val="0071600E"/>
    <w:rsid w:val="00716089"/>
    <w:rsid w:val="007208D1"/>
    <w:rsid w:val="00722B71"/>
    <w:rsid w:val="00723F5D"/>
    <w:rsid w:val="00725E43"/>
    <w:rsid w:val="00733B18"/>
    <w:rsid w:val="00735524"/>
    <w:rsid w:val="00735A83"/>
    <w:rsid w:val="007368C8"/>
    <w:rsid w:val="007427BE"/>
    <w:rsid w:val="00743BB4"/>
    <w:rsid w:val="00747288"/>
    <w:rsid w:val="00747DD3"/>
    <w:rsid w:val="007549C8"/>
    <w:rsid w:val="00754A0B"/>
    <w:rsid w:val="007561FC"/>
    <w:rsid w:val="00766D14"/>
    <w:rsid w:val="00767A0F"/>
    <w:rsid w:val="00775972"/>
    <w:rsid w:val="007777B2"/>
    <w:rsid w:val="00780512"/>
    <w:rsid w:val="00783D2A"/>
    <w:rsid w:val="00785F04"/>
    <w:rsid w:val="00786155"/>
    <w:rsid w:val="00786201"/>
    <w:rsid w:val="00791CAC"/>
    <w:rsid w:val="00795698"/>
    <w:rsid w:val="007A05F6"/>
    <w:rsid w:val="007B6F4A"/>
    <w:rsid w:val="007C177C"/>
    <w:rsid w:val="007D1D5A"/>
    <w:rsid w:val="007E0E00"/>
    <w:rsid w:val="007E1C47"/>
    <w:rsid w:val="007E337A"/>
    <w:rsid w:val="007E4BB8"/>
    <w:rsid w:val="007E5C70"/>
    <w:rsid w:val="007F2FF5"/>
    <w:rsid w:val="007F3F08"/>
    <w:rsid w:val="00804CC6"/>
    <w:rsid w:val="00817190"/>
    <w:rsid w:val="008178DF"/>
    <w:rsid w:val="00817AF2"/>
    <w:rsid w:val="00820EE5"/>
    <w:rsid w:val="0082434C"/>
    <w:rsid w:val="008260E2"/>
    <w:rsid w:val="00831C3D"/>
    <w:rsid w:val="008322BD"/>
    <w:rsid w:val="00833E0A"/>
    <w:rsid w:val="00834F73"/>
    <w:rsid w:val="0084132D"/>
    <w:rsid w:val="008530E7"/>
    <w:rsid w:val="00853823"/>
    <w:rsid w:val="008576E7"/>
    <w:rsid w:val="00861847"/>
    <w:rsid w:val="00864CF8"/>
    <w:rsid w:val="00872554"/>
    <w:rsid w:val="00872819"/>
    <w:rsid w:val="00874914"/>
    <w:rsid w:val="00883F67"/>
    <w:rsid w:val="00891422"/>
    <w:rsid w:val="0089232E"/>
    <w:rsid w:val="00892E1A"/>
    <w:rsid w:val="00895FBB"/>
    <w:rsid w:val="00897242"/>
    <w:rsid w:val="008A0C6A"/>
    <w:rsid w:val="008A3F29"/>
    <w:rsid w:val="008B660A"/>
    <w:rsid w:val="008C01DA"/>
    <w:rsid w:val="008C0940"/>
    <w:rsid w:val="008D33D0"/>
    <w:rsid w:val="008E426A"/>
    <w:rsid w:val="008E4F2F"/>
    <w:rsid w:val="008E587A"/>
    <w:rsid w:val="008E7859"/>
    <w:rsid w:val="008F78E9"/>
    <w:rsid w:val="00904D1C"/>
    <w:rsid w:val="00907176"/>
    <w:rsid w:val="00910CA5"/>
    <w:rsid w:val="00911989"/>
    <w:rsid w:val="009131D9"/>
    <w:rsid w:val="009179F9"/>
    <w:rsid w:val="00922BAC"/>
    <w:rsid w:val="00933E5E"/>
    <w:rsid w:val="00935218"/>
    <w:rsid w:val="009403F3"/>
    <w:rsid w:val="00943E40"/>
    <w:rsid w:val="009555B7"/>
    <w:rsid w:val="009566A7"/>
    <w:rsid w:val="009567AA"/>
    <w:rsid w:val="00957D54"/>
    <w:rsid w:val="00960131"/>
    <w:rsid w:val="00963EE1"/>
    <w:rsid w:val="00967374"/>
    <w:rsid w:val="00970B72"/>
    <w:rsid w:val="009770C6"/>
    <w:rsid w:val="00986F23"/>
    <w:rsid w:val="00997B79"/>
    <w:rsid w:val="009A2698"/>
    <w:rsid w:val="009A343A"/>
    <w:rsid w:val="009A676F"/>
    <w:rsid w:val="009B2F23"/>
    <w:rsid w:val="009B57B3"/>
    <w:rsid w:val="009B5B1D"/>
    <w:rsid w:val="009C3402"/>
    <w:rsid w:val="009C5B92"/>
    <w:rsid w:val="009D14B2"/>
    <w:rsid w:val="009D2920"/>
    <w:rsid w:val="009D5AEB"/>
    <w:rsid w:val="009D7BCB"/>
    <w:rsid w:val="009E2883"/>
    <w:rsid w:val="009E2B0C"/>
    <w:rsid w:val="009E396A"/>
    <w:rsid w:val="009E572F"/>
    <w:rsid w:val="009E65FA"/>
    <w:rsid w:val="009F0E33"/>
    <w:rsid w:val="00A00998"/>
    <w:rsid w:val="00A030CE"/>
    <w:rsid w:val="00A04D54"/>
    <w:rsid w:val="00A149DF"/>
    <w:rsid w:val="00A15C47"/>
    <w:rsid w:val="00A1755C"/>
    <w:rsid w:val="00A21B90"/>
    <w:rsid w:val="00A40458"/>
    <w:rsid w:val="00A41805"/>
    <w:rsid w:val="00A42DCD"/>
    <w:rsid w:val="00A4630F"/>
    <w:rsid w:val="00A46F31"/>
    <w:rsid w:val="00A47672"/>
    <w:rsid w:val="00A52AFB"/>
    <w:rsid w:val="00A53FB4"/>
    <w:rsid w:val="00A548CB"/>
    <w:rsid w:val="00A5521C"/>
    <w:rsid w:val="00A56258"/>
    <w:rsid w:val="00A61D5D"/>
    <w:rsid w:val="00A61DCF"/>
    <w:rsid w:val="00A6265A"/>
    <w:rsid w:val="00A643E7"/>
    <w:rsid w:val="00A70790"/>
    <w:rsid w:val="00A73C38"/>
    <w:rsid w:val="00A76FD9"/>
    <w:rsid w:val="00A97253"/>
    <w:rsid w:val="00AA22D8"/>
    <w:rsid w:val="00AB0BED"/>
    <w:rsid w:val="00AB3012"/>
    <w:rsid w:val="00AB670D"/>
    <w:rsid w:val="00AB680D"/>
    <w:rsid w:val="00AC0A16"/>
    <w:rsid w:val="00AD4E05"/>
    <w:rsid w:val="00AD5CB3"/>
    <w:rsid w:val="00AD5F17"/>
    <w:rsid w:val="00AE3860"/>
    <w:rsid w:val="00AE435C"/>
    <w:rsid w:val="00AE4535"/>
    <w:rsid w:val="00AE7698"/>
    <w:rsid w:val="00AF03C5"/>
    <w:rsid w:val="00B000D8"/>
    <w:rsid w:val="00B00F75"/>
    <w:rsid w:val="00B0348A"/>
    <w:rsid w:val="00B06801"/>
    <w:rsid w:val="00B117E2"/>
    <w:rsid w:val="00B145B6"/>
    <w:rsid w:val="00B2266D"/>
    <w:rsid w:val="00B279EB"/>
    <w:rsid w:val="00B34083"/>
    <w:rsid w:val="00B42F3E"/>
    <w:rsid w:val="00B50C81"/>
    <w:rsid w:val="00B519E1"/>
    <w:rsid w:val="00B557F8"/>
    <w:rsid w:val="00B815FC"/>
    <w:rsid w:val="00B83962"/>
    <w:rsid w:val="00B93FBC"/>
    <w:rsid w:val="00B95DE5"/>
    <w:rsid w:val="00BA7DA0"/>
    <w:rsid w:val="00BB0BE6"/>
    <w:rsid w:val="00BB2EE4"/>
    <w:rsid w:val="00BB3800"/>
    <w:rsid w:val="00BC2108"/>
    <w:rsid w:val="00BD0E9E"/>
    <w:rsid w:val="00BD1BEC"/>
    <w:rsid w:val="00BD32FF"/>
    <w:rsid w:val="00BD5FE7"/>
    <w:rsid w:val="00BE2075"/>
    <w:rsid w:val="00BF5217"/>
    <w:rsid w:val="00BF78AE"/>
    <w:rsid w:val="00C02092"/>
    <w:rsid w:val="00C02898"/>
    <w:rsid w:val="00C07C67"/>
    <w:rsid w:val="00C113EA"/>
    <w:rsid w:val="00C24D91"/>
    <w:rsid w:val="00C26D57"/>
    <w:rsid w:val="00C32C83"/>
    <w:rsid w:val="00C337F7"/>
    <w:rsid w:val="00C37457"/>
    <w:rsid w:val="00C37AE9"/>
    <w:rsid w:val="00C4417D"/>
    <w:rsid w:val="00C53F14"/>
    <w:rsid w:val="00C600CF"/>
    <w:rsid w:val="00C60362"/>
    <w:rsid w:val="00C6084F"/>
    <w:rsid w:val="00C62A66"/>
    <w:rsid w:val="00C71458"/>
    <w:rsid w:val="00C773CD"/>
    <w:rsid w:val="00C77613"/>
    <w:rsid w:val="00C811D1"/>
    <w:rsid w:val="00C82685"/>
    <w:rsid w:val="00C828E7"/>
    <w:rsid w:val="00C833AC"/>
    <w:rsid w:val="00C8432C"/>
    <w:rsid w:val="00C86719"/>
    <w:rsid w:val="00C86840"/>
    <w:rsid w:val="00C921DD"/>
    <w:rsid w:val="00C9584E"/>
    <w:rsid w:val="00CA4CA2"/>
    <w:rsid w:val="00CA6391"/>
    <w:rsid w:val="00CB3F8C"/>
    <w:rsid w:val="00CC04D3"/>
    <w:rsid w:val="00CC34BD"/>
    <w:rsid w:val="00CC56E8"/>
    <w:rsid w:val="00CD4F5B"/>
    <w:rsid w:val="00CE161A"/>
    <w:rsid w:val="00CE3171"/>
    <w:rsid w:val="00CF1601"/>
    <w:rsid w:val="00CF4297"/>
    <w:rsid w:val="00D00E43"/>
    <w:rsid w:val="00D00F98"/>
    <w:rsid w:val="00D0172F"/>
    <w:rsid w:val="00D04900"/>
    <w:rsid w:val="00D068A7"/>
    <w:rsid w:val="00D12FBD"/>
    <w:rsid w:val="00D17153"/>
    <w:rsid w:val="00D17476"/>
    <w:rsid w:val="00D2269B"/>
    <w:rsid w:val="00D32086"/>
    <w:rsid w:val="00D33A17"/>
    <w:rsid w:val="00D36298"/>
    <w:rsid w:val="00D37A3F"/>
    <w:rsid w:val="00D42140"/>
    <w:rsid w:val="00D4431D"/>
    <w:rsid w:val="00D44C8A"/>
    <w:rsid w:val="00D45652"/>
    <w:rsid w:val="00D4667A"/>
    <w:rsid w:val="00D51F8D"/>
    <w:rsid w:val="00D52E2B"/>
    <w:rsid w:val="00D543D5"/>
    <w:rsid w:val="00D578F6"/>
    <w:rsid w:val="00D61615"/>
    <w:rsid w:val="00D63A1C"/>
    <w:rsid w:val="00D7082B"/>
    <w:rsid w:val="00D7516F"/>
    <w:rsid w:val="00D84897"/>
    <w:rsid w:val="00D8579F"/>
    <w:rsid w:val="00D87F50"/>
    <w:rsid w:val="00D90F57"/>
    <w:rsid w:val="00D93B3C"/>
    <w:rsid w:val="00D957DD"/>
    <w:rsid w:val="00D95F8E"/>
    <w:rsid w:val="00DA0590"/>
    <w:rsid w:val="00DA37C1"/>
    <w:rsid w:val="00DA5B9B"/>
    <w:rsid w:val="00DB00D4"/>
    <w:rsid w:val="00DB01B4"/>
    <w:rsid w:val="00DB0D2E"/>
    <w:rsid w:val="00DB7BEA"/>
    <w:rsid w:val="00DB7CE8"/>
    <w:rsid w:val="00DC07CB"/>
    <w:rsid w:val="00DC1739"/>
    <w:rsid w:val="00DC1788"/>
    <w:rsid w:val="00DC4F5A"/>
    <w:rsid w:val="00DD513E"/>
    <w:rsid w:val="00DE1B35"/>
    <w:rsid w:val="00DE319C"/>
    <w:rsid w:val="00DF0CA8"/>
    <w:rsid w:val="00DF2B48"/>
    <w:rsid w:val="00DF3356"/>
    <w:rsid w:val="00DF38EA"/>
    <w:rsid w:val="00DF49A7"/>
    <w:rsid w:val="00DF75B5"/>
    <w:rsid w:val="00DF7EC9"/>
    <w:rsid w:val="00E03041"/>
    <w:rsid w:val="00E07EE2"/>
    <w:rsid w:val="00E07F32"/>
    <w:rsid w:val="00E07FD1"/>
    <w:rsid w:val="00E10F9B"/>
    <w:rsid w:val="00E11E44"/>
    <w:rsid w:val="00E1702F"/>
    <w:rsid w:val="00E176D8"/>
    <w:rsid w:val="00E20D31"/>
    <w:rsid w:val="00E24061"/>
    <w:rsid w:val="00E24573"/>
    <w:rsid w:val="00E25E1E"/>
    <w:rsid w:val="00E27EE7"/>
    <w:rsid w:val="00E34032"/>
    <w:rsid w:val="00E35404"/>
    <w:rsid w:val="00E40B8E"/>
    <w:rsid w:val="00E45109"/>
    <w:rsid w:val="00E47B7A"/>
    <w:rsid w:val="00E5315C"/>
    <w:rsid w:val="00E53404"/>
    <w:rsid w:val="00E544E5"/>
    <w:rsid w:val="00E564A3"/>
    <w:rsid w:val="00E56A44"/>
    <w:rsid w:val="00E60269"/>
    <w:rsid w:val="00E6092F"/>
    <w:rsid w:val="00E66621"/>
    <w:rsid w:val="00E7309C"/>
    <w:rsid w:val="00E7401D"/>
    <w:rsid w:val="00E748AD"/>
    <w:rsid w:val="00E74904"/>
    <w:rsid w:val="00E77932"/>
    <w:rsid w:val="00E876DE"/>
    <w:rsid w:val="00E92B4F"/>
    <w:rsid w:val="00E958E7"/>
    <w:rsid w:val="00E97830"/>
    <w:rsid w:val="00EA13D5"/>
    <w:rsid w:val="00EB5EC8"/>
    <w:rsid w:val="00EC3E96"/>
    <w:rsid w:val="00ED1337"/>
    <w:rsid w:val="00ED259D"/>
    <w:rsid w:val="00EE0D07"/>
    <w:rsid w:val="00EE1F68"/>
    <w:rsid w:val="00EE37CA"/>
    <w:rsid w:val="00EE643C"/>
    <w:rsid w:val="00EF04E4"/>
    <w:rsid w:val="00EF0683"/>
    <w:rsid w:val="00EF5DE6"/>
    <w:rsid w:val="00EF69D2"/>
    <w:rsid w:val="00EF766E"/>
    <w:rsid w:val="00F0070C"/>
    <w:rsid w:val="00F00EB7"/>
    <w:rsid w:val="00F01B47"/>
    <w:rsid w:val="00F10BC7"/>
    <w:rsid w:val="00F11A53"/>
    <w:rsid w:val="00F15345"/>
    <w:rsid w:val="00F30EC7"/>
    <w:rsid w:val="00F36AB6"/>
    <w:rsid w:val="00F37A09"/>
    <w:rsid w:val="00F409CE"/>
    <w:rsid w:val="00F410D4"/>
    <w:rsid w:val="00F4379D"/>
    <w:rsid w:val="00F443A4"/>
    <w:rsid w:val="00F502BD"/>
    <w:rsid w:val="00F50C6D"/>
    <w:rsid w:val="00F50D2D"/>
    <w:rsid w:val="00F515BA"/>
    <w:rsid w:val="00F51FF8"/>
    <w:rsid w:val="00F53D7E"/>
    <w:rsid w:val="00F54989"/>
    <w:rsid w:val="00F56C8B"/>
    <w:rsid w:val="00F57F6C"/>
    <w:rsid w:val="00F66810"/>
    <w:rsid w:val="00F76284"/>
    <w:rsid w:val="00F846D9"/>
    <w:rsid w:val="00F84DF4"/>
    <w:rsid w:val="00F85C97"/>
    <w:rsid w:val="00FB37D2"/>
    <w:rsid w:val="00FC00D9"/>
    <w:rsid w:val="00FC2CB6"/>
    <w:rsid w:val="00FC406F"/>
    <w:rsid w:val="00FC4EFB"/>
    <w:rsid w:val="00FD068D"/>
    <w:rsid w:val="00FD0D1C"/>
    <w:rsid w:val="00FD12D2"/>
    <w:rsid w:val="00FD40A5"/>
    <w:rsid w:val="00FD4F28"/>
    <w:rsid w:val="00FD7E94"/>
    <w:rsid w:val="00FE6784"/>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CC"/>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404"/>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E5340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5340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5340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5340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5340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5340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E53404"/>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E5340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5340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5340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5340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5340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53404"/>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E53404"/>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E53404"/>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E53404"/>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E53404"/>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E53404"/>
    <w:rPr>
      <w:b/>
      <w:sz w:val="24"/>
    </w:rPr>
  </w:style>
  <w:style w:type="table" w:styleId="TableGrid">
    <w:name w:val="Table Grid"/>
    <w:basedOn w:val="TableNormal"/>
    <w:uiPriority w:val="59"/>
    <w:rsid w:val="00E5340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5340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E5340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53404"/>
    <w:pPr>
      <w:tabs>
        <w:tab w:val="left" w:pos="1260"/>
      </w:tabs>
      <w:spacing w:after="480" w:line="480" w:lineRule="auto"/>
    </w:pPr>
    <w:rPr>
      <w:smallCaps/>
      <w:sz w:val="24"/>
    </w:rPr>
  </w:style>
  <w:style w:type="paragraph" w:customStyle="1" w:styleId="ParaNoNdepar-AltN">
    <w:name w:val="Para. No. / Nº de par. - Alt N"/>
    <w:qFormat/>
    <w:rsid w:val="00E53404"/>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53404"/>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5340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53404"/>
    <w:pPr>
      <w:numPr>
        <w:ilvl w:val="2"/>
      </w:numPr>
      <w:outlineLvl w:val="2"/>
    </w:pPr>
  </w:style>
  <w:style w:type="paragraph" w:customStyle="1" w:styleId="Title4LevelTitre4Niveau">
    <w:name w:val="Title 4 Level / Titre 4 Niveau"/>
    <w:basedOn w:val="Title3LevelTitre3Niveau"/>
    <w:next w:val="ParaNoNdepar-AltN"/>
    <w:uiPriority w:val="4"/>
    <w:qFormat/>
    <w:rsid w:val="00E53404"/>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E53404"/>
    <w:pPr>
      <w:numPr>
        <w:ilvl w:val="4"/>
      </w:numPr>
      <w:tabs>
        <w:tab w:val="clear" w:pos="1728"/>
        <w:tab w:val="num" w:pos="1440"/>
      </w:tabs>
      <w:outlineLvl w:val="4"/>
    </w:pPr>
  </w:style>
  <w:style w:type="paragraph" w:styleId="TOC1">
    <w:name w:val="toc 1"/>
    <w:basedOn w:val="Normal"/>
    <w:next w:val="Normal"/>
    <w:autoRedefine/>
    <w:uiPriority w:val="39"/>
    <w:unhideWhenUsed/>
    <w:rsid w:val="00E53404"/>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E53404"/>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E53404"/>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E53404"/>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E53404"/>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E53404"/>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E5340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5340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53404"/>
    <w:pPr>
      <w:numPr>
        <w:ilvl w:val="5"/>
      </w:numPr>
      <w:jc w:val="both"/>
      <w:outlineLvl w:val="5"/>
    </w:pPr>
    <w:rPr>
      <w:i/>
      <w:u w:val="none"/>
    </w:rPr>
  </w:style>
  <w:style w:type="paragraph" w:styleId="FootnoteText">
    <w:name w:val="footnote text"/>
    <w:basedOn w:val="Normal"/>
    <w:link w:val="FootnoteTextChar"/>
    <w:uiPriority w:val="99"/>
    <w:unhideWhenUsed/>
    <w:rsid w:val="00E5340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53404"/>
  </w:style>
  <w:style w:type="character" w:styleId="FootnoteReference">
    <w:name w:val="footnote reference"/>
    <w:basedOn w:val="DefaultParagraphFont"/>
    <w:uiPriority w:val="99"/>
    <w:semiHidden/>
    <w:unhideWhenUsed/>
    <w:rsid w:val="00E53404"/>
    <w:rPr>
      <w:vertAlign w:val="superscript"/>
    </w:rPr>
  </w:style>
  <w:style w:type="character" w:styleId="CommentReference">
    <w:name w:val="annotation reference"/>
    <w:basedOn w:val="DefaultParagraphFont"/>
    <w:uiPriority w:val="99"/>
    <w:semiHidden/>
    <w:unhideWhenUsed/>
    <w:rsid w:val="00E53404"/>
    <w:rPr>
      <w:sz w:val="16"/>
      <w:szCs w:val="16"/>
    </w:rPr>
  </w:style>
  <w:style w:type="paragraph" w:styleId="CommentText">
    <w:name w:val="annotation text"/>
    <w:basedOn w:val="Normal"/>
    <w:link w:val="CommentTextChar"/>
    <w:uiPriority w:val="99"/>
    <w:unhideWhenUsed/>
    <w:rsid w:val="00E53404"/>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E53404"/>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E53404"/>
    <w:rPr>
      <w:b/>
      <w:bCs/>
    </w:rPr>
  </w:style>
  <w:style w:type="character" w:customStyle="1" w:styleId="CommentSubjectChar">
    <w:name w:val="Comment Subject Char"/>
    <w:basedOn w:val="CommentTextChar"/>
    <w:link w:val="CommentSubject"/>
    <w:uiPriority w:val="99"/>
    <w:semiHidden/>
    <w:rsid w:val="00E53404"/>
    <w:rPr>
      <w:rFonts w:eastAsiaTheme="minorHAnsi" w:cstheme="minorBidi"/>
      <w:b/>
      <w:bCs/>
      <w:szCs w:val="22"/>
      <w:lang w:val="en-US" w:eastAsia="en-US" w:bidi="en-US"/>
    </w:rPr>
  </w:style>
  <w:style w:type="character" w:styleId="Emphasis">
    <w:name w:val="Emphasis"/>
    <w:basedOn w:val="DefaultParagraphFont"/>
    <w:uiPriority w:val="20"/>
    <w:qFormat/>
    <w:rsid w:val="00E53404"/>
    <w:rPr>
      <w:i/>
      <w:iCs/>
    </w:rPr>
  </w:style>
  <w:style w:type="paragraph" w:styleId="Revision">
    <w:name w:val="Revision"/>
    <w:hidden/>
    <w:uiPriority w:val="99"/>
    <w:semiHidden/>
    <w:rsid w:val="00E53404"/>
    <w:rPr>
      <w:rFonts w:eastAsiaTheme="minorHAnsi" w:cstheme="minorBidi"/>
      <w:sz w:val="24"/>
      <w:szCs w:val="22"/>
      <w:lang w:val="en-US" w:eastAsia="en-US" w:bidi="en-US"/>
    </w:rPr>
  </w:style>
  <w:style w:type="character" w:styleId="Hyperlink">
    <w:name w:val="Hyperlink"/>
    <w:basedOn w:val="DefaultParagraphFont"/>
    <w:uiPriority w:val="99"/>
    <w:unhideWhenUsed/>
    <w:rsid w:val="00E53404"/>
    <w:rPr>
      <w:color w:val="0000FF" w:themeColor="hyperlink"/>
      <w:u w:val="single"/>
    </w:rPr>
  </w:style>
  <w:style w:type="character" w:customStyle="1" w:styleId="JudgeJugeChar">
    <w:name w:val="Judge / Juge Char"/>
    <w:basedOn w:val="DefaultParagraphFont"/>
    <w:link w:val="JudgeJuge"/>
    <w:uiPriority w:val="3"/>
    <w:rsid w:val="00E53404"/>
    <w:rPr>
      <w:smallCaps/>
      <w:sz w:val="24"/>
    </w:rPr>
  </w:style>
  <w:style w:type="paragraph" w:styleId="NoSpacing">
    <w:name w:val="No Spacing"/>
    <w:uiPriority w:val="1"/>
    <w:qFormat/>
    <w:rsid w:val="00E5340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5340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5340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53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5340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5340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53404"/>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E53404"/>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E5340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5340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53404"/>
    <w:rPr>
      <w:i/>
      <w:iCs/>
      <w:color w:val="808080" w:themeColor="text1" w:themeTint="7F"/>
    </w:rPr>
  </w:style>
  <w:style w:type="character" w:styleId="IntenseEmphasis">
    <w:name w:val="Intense Emphasis"/>
    <w:basedOn w:val="DefaultParagraphFont"/>
    <w:uiPriority w:val="21"/>
    <w:rsid w:val="00E53404"/>
    <w:rPr>
      <w:b/>
      <w:bCs/>
      <w:i/>
      <w:iCs/>
      <w:color w:val="4F81BD" w:themeColor="accent1"/>
    </w:rPr>
  </w:style>
  <w:style w:type="character" w:styleId="SubtleReference">
    <w:name w:val="Subtle Reference"/>
    <w:basedOn w:val="DefaultParagraphFont"/>
    <w:uiPriority w:val="31"/>
    <w:rsid w:val="00E53404"/>
    <w:rPr>
      <w:smallCaps/>
      <w:color w:val="C0504D" w:themeColor="accent2"/>
      <w:u w:val="single"/>
    </w:rPr>
  </w:style>
  <w:style w:type="character" w:styleId="IntenseReference">
    <w:name w:val="Intense Reference"/>
    <w:basedOn w:val="DefaultParagraphFont"/>
    <w:uiPriority w:val="32"/>
    <w:rsid w:val="00E53404"/>
    <w:rPr>
      <w:b/>
      <w:bCs/>
      <w:smallCaps/>
      <w:color w:val="C0504D" w:themeColor="accent2"/>
      <w:spacing w:val="5"/>
      <w:u w:val="single"/>
    </w:rPr>
  </w:style>
  <w:style w:type="character" w:styleId="BookTitle">
    <w:name w:val="Book Title"/>
    <w:basedOn w:val="DefaultParagraphFont"/>
    <w:uiPriority w:val="33"/>
    <w:rsid w:val="00E53404"/>
    <w:rPr>
      <w:b/>
      <w:bCs/>
      <w:smallCaps/>
      <w:spacing w:val="5"/>
    </w:rPr>
  </w:style>
  <w:style w:type="paragraph" w:customStyle="1" w:styleId="definition">
    <w:name w:val="definition"/>
    <w:basedOn w:val="Normal"/>
    <w:rsid w:val="00E53404"/>
    <w:pPr>
      <w:spacing w:before="100" w:beforeAutospacing="1" w:after="100" w:afterAutospacing="1"/>
    </w:pPr>
    <w:rPr>
      <w:rFonts w:eastAsiaTheme="minorHAnsi" w:cstheme="minorBidi"/>
      <w:szCs w:val="22"/>
      <w:lang w:val="en-US" w:eastAsia="en-US" w:bidi="en-US"/>
    </w:rPr>
  </w:style>
  <w:style w:type="character" w:styleId="FollowedHyperlink">
    <w:name w:val="FollowedHyperlink"/>
    <w:basedOn w:val="DefaultParagraphFont"/>
    <w:uiPriority w:val="99"/>
    <w:semiHidden/>
    <w:unhideWhenUsed/>
    <w:rsid w:val="00E53404"/>
    <w:rPr>
      <w:color w:val="800080" w:themeColor="followedHyperlink"/>
      <w:u w:val="single"/>
    </w:rPr>
  </w:style>
  <w:style w:type="table" w:customStyle="1" w:styleId="TableGrid2">
    <w:name w:val="Table Grid2"/>
    <w:basedOn w:val="TableNormal"/>
    <w:next w:val="TableGrid"/>
    <w:uiPriority w:val="59"/>
    <w:rsid w:val="00E5340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1153B"/>
    <w:rPr>
      <w:lang w:val="en-CA"/>
    </w:rPr>
  </w:style>
  <w:style w:type="paragraph" w:customStyle="1" w:styleId="SCCLsocPrefix">
    <w:name w:val="SCC.Lsoc.Prefix"/>
    <w:basedOn w:val="Normal"/>
    <w:next w:val="Normal"/>
    <w:link w:val="SCCLsocPrefixChar"/>
    <w:rsid w:val="0041153B"/>
    <w:rPr>
      <w:rFonts w:eastAsiaTheme="minorHAnsi" w:cstheme="minorBidi"/>
      <w:b/>
      <w:smallCaps/>
      <w:szCs w:val="24"/>
      <w:lang w:eastAsia="en-US"/>
    </w:rPr>
  </w:style>
  <w:style w:type="character" w:customStyle="1" w:styleId="SCCLsocPrefixChar">
    <w:name w:val="SCC.Lsoc.Prefix Char"/>
    <w:basedOn w:val="DefaultParagraphFont"/>
    <w:link w:val="SCCLsocPrefix"/>
    <w:rsid w:val="0041153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54C9-9A1C-48DD-AB8C-C78C7743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29449</Words>
  <Characters>152735</Characters>
  <Application>Microsoft Office Word</Application>
  <DocSecurity>0</DocSecurity>
  <Lines>1272</Lines>
  <Paragraphs>363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2021-05-18T17:59:00Z</dcterms:created>
  <dcterms:modified xsi:type="dcterms:W3CDTF">2023-03-04T21:48:00Z</dcterms:modified>
</cp:coreProperties>
</file>