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A3C59" w14:textId="77777777" w:rsidR="00733F35" w:rsidRDefault="00733F35" w:rsidP="00733F35">
      <w:pPr>
        <w:pStyle w:val="Header"/>
      </w:pPr>
      <w:r>
        <w:ptab w:relativeTo="margin" w:alignment="center" w:leader="none"/>
      </w:r>
      <w:r w:rsidRPr="00F72014">
        <w:t xml:space="preserve"> </w:t>
      </w:r>
      <w:r>
        <w:object w:dxaOrig="1365" w:dyaOrig="1440" w14:anchorId="6A779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5.25pt" o:ole="">
            <v:imagedata r:id="rId7" o:title=""/>
          </v:shape>
          <o:OLEObject Type="Embed" ProgID="Presentations.Drawing.13" ShapeID="_x0000_i1025" DrawAspect="Content" ObjectID="_1739452878" r:id="rId8"/>
        </w:object>
      </w:r>
      <w:r>
        <w:t xml:space="preserve"> </w:t>
      </w:r>
      <w:r>
        <w:ptab w:relativeTo="margin" w:alignment="right" w:leader="none"/>
      </w:r>
    </w:p>
    <w:p w14:paraId="22F9D2D0" w14:textId="77777777" w:rsidR="00733F35" w:rsidRDefault="00733F35" w:rsidP="00733F35">
      <w:pPr>
        <w:pStyle w:val="Header"/>
      </w:pPr>
    </w:p>
    <w:p w14:paraId="65193D0B" w14:textId="77777777" w:rsidR="00733F35" w:rsidRPr="006B210C" w:rsidRDefault="00733F35" w:rsidP="00733F35">
      <w:pPr>
        <w:jc w:val="center"/>
        <w:rPr>
          <w:b/>
        </w:rPr>
      </w:pPr>
      <w:r w:rsidRPr="006B210C">
        <w:rPr>
          <w:b/>
        </w:rPr>
        <w:t>SUPREME COURT OF CANADA</w:t>
      </w:r>
    </w:p>
    <w:p w14:paraId="1447B3C7" w14:textId="77777777" w:rsidR="00733F35" w:rsidRDefault="00733F35" w:rsidP="00733F3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733F35" w:rsidRPr="006B210C" w14:paraId="25769377" w14:textId="77777777" w:rsidTr="004775EA">
        <w:trPr>
          <w:cantSplit/>
        </w:trPr>
        <w:tc>
          <w:tcPr>
            <w:tcW w:w="5670" w:type="dxa"/>
          </w:tcPr>
          <w:p w14:paraId="1DC89889" w14:textId="25CE32C8" w:rsidR="00733F35" w:rsidRPr="00290F5C" w:rsidRDefault="00733F35" w:rsidP="00E32788">
            <w:pPr>
              <w:rPr>
                <w:lang w:val="fr-CA"/>
              </w:rPr>
            </w:pPr>
            <w:r w:rsidRPr="00290F5C">
              <w:rPr>
                <w:b/>
                <w:smallCaps/>
                <w:lang w:val="fr-CA"/>
              </w:rPr>
              <w:t>Citation:</w:t>
            </w:r>
            <w:r w:rsidRPr="00290F5C">
              <w:rPr>
                <w:lang w:val="fr-CA"/>
              </w:rPr>
              <w:t xml:space="preserve"> R. </w:t>
            </w:r>
            <w:r w:rsidRPr="00290F5C">
              <w:rPr>
                <w:i/>
                <w:lang w:val="fr-CA"/>
              </w:rPr>
              <w:t xml:space="preserve">v. </w:t>
            </w:r>
            <w:r w:rsidRPr="00290F5C">
              <w:rPr>
                <w:lang w:val="fr-CA"/>
              </w:rPr>
              <w:t xml:space="preserve">Li, 2020 </w:t>
            </w:r>
            <w:proofErr w:type="spellStart"/>
            <w:r w:rsidRPr="00290F5C">
              <w:rPr>
                <w:lang w:val="fr-CA"/>
              </w:rPr>
              <w:t>SCC</w:t>
            </w:r>
            <w:proofErr w:type="spellEnd"/>
            <w:r w:rsidRPr="00290F5C">
              <w:rPr>
                <w:lang w:val="fr-CA"/>
              </w:rPr>
              <w:t xml:space="preserve"> 12</w:t>
            </w:r>
            <w:r>
              <w:rPr>
                <w:lang w:val="fr-CA"/>
              </w:rPr>
              <w:t>,</w:t>
            </w:r>
            <w:r w:rsidR="00E32788">
              <w:rPr>
                <w:lang w:val="fr-CA"/>
              </w:rPr>
              <w:t xml:space="preserve"> [2020] 1</w:t>
            </w:r>
            <w:r w:rsidRPr="00733F35">
              <w:rPr>
                <w:lang w:val="fr-CA"/>
              </w:rPr>
              <w:t xml:space="preserve"> </w:t>
            </w:r>
            <w:proofErr w:type="spellStart"/>
            <w:r w:rsidRPr="00733F35">
              <w:rPr>
                <w:lang w:val="fr-CA"/>
              </w:rPr>
              <w:t>S.C.R</w:t>
            </w:r>
            <w:proofErr w:type="spellEnd"/>
            <w:r w:rsidRPr="00733F35">
              <w:rPr>
                <w:lang w:val="fr-CA"/>
              </w:rPr>
              <w:t xml:space="preserve">. </w:t>
            </w:r>
            <w:r w:rsidR="00E32788">
              <w:rPr>
                <w:lang w:val="fr-CA"/>
              </w:rPr>
              <w:t>675</w:t>
            </w:r>
          </w:p>
        </w:tc>
        <w:tc>
          <w:tcPr>
            <w:tcW w:w="3906" w:type="dxa"/>
          </w:tcPr>
          <w:p w14:paraId="33907EEF" w14:textId="77777777" w:rsidR="00733F35" w:rsidRDefault="00733F35" w:rsidP="004775EA">
            <w:pPr>
              <w:rPr>
                <w:b/>
                <w:smallCaps/>
              </w:rPr>
            </w:pPr>
            <w:r>
              <w:rPr>
                <w:b/>
                <w:smallCaps/>
              </w:rPr>
              <w:t xml:space="preserve">Appeal Heard: </w:t>
            </w:r>
            <w:r w:rsidRPr="00290F5C">
              <w:t>June 11, 2020</w:t>
            </w:r>
          </w:p>
          <w:p w14:paraId="49627562" w14:textId="77777777" w:rsidR="00733F35" w:rsidRPr="006B210C" w:rsidRDefault="00733F35" w:rsidP="004775EA">
            <w:r>
              <w:rPr>
                <w:b/>
                <w:smallCaps/>
              </w:rPr>
              <w:t>Judgment Rendered:</w:t>
            </w:r>
            <w:r w:rsidRPr="006B210C">
              <w:t xml:space="preserve"> </w:t>
            </w:r>
            <w:r>
              <w:t>June 11, 2020</w:t>
            </w:r>
          </w:p>
          <w:p w14:paraId="613E1348" w14:textId="77777777" w:rsidR="00733F35" w:rsidRPr="006B210C" w:rsidRDefault="00733F35" w:rsidP="004775EA">
            <w:r w:rsidRPr="006B210C">
              <w:rPr>
                <w:b/>
                <w:smallCaps/>
              </w:rPr>
              <w:t>Docket</w:t>
            </w:r>
            <w:r>
              <w:rPr>
                <w:b/>
                <w:smallCaps/>
              </w:rPr>
              <w:t>:</w:t>
            </w:r>
            <w:r w:rsidRPr="006B210C">
              <w:t xml:space="preserve"> </w:t>
            </w:r>
            <w:r>
              <w:t>38903</w:t>
            </w:r>
          </w:p>
        </w:tc>
      </w:tr>
    </w:tbl>
    <w:p w14:paraId="5103FBB2" w14:textId="77777777" w:rsidR="00733F35" w:rsidRPr="006B210C" w:rsidRDefault="00733F35" w:rsidP="00733F35"/>
    <w:p w14:paraId="20DBAFBC" w14:textId="77777777" w:rsidR="00733F35" w:rsidRDefault="00733F35" w:rsidP="00733F35">
      <w:pPr>
        <w:pStyle w:val="SCCLsocPrefix"/>
      </w:pPr>
      <w:r>
        <w:t>Between:</w:t>
      </w:r>
    </w:p>
    <w:p w14:paraId="26F1917F" w14:textId="77777777" w:rsidR="00733F35" w:rsidRDefault="00733F35" w:rsidP="00733F35">
      <w:pPr>
        <w:pStyle w:val="SCCLsocParty"/>
        <w:jc w:val="center"/>
      </w:pPr>
      <w:r>
        <w:t>Cheung Wai Wallace Li</w:t>
      </w:r>
    </w:p>
    <w:p w14:paraId="1C677295" w14:textId="77777777" w:rsidR="00733F35" w:rsidRDefault="00733F35" w:rsidP="00733F35">
      <w:pPr>
        <w:jc w:val="center"/>
      </w:pPr>
      <w:r>
        <w:t>Appellant</w:t>
      </w:r>
    </w:p>
    <w:p w14:paraId="47A36F82" w14:textId="77777777" w:rsidR="00733F35" w:rsidRDefault="00733F35" w:rsidP="00733F35">
      <w:pPr>
        <w:pStyle w:val="SCCLsocVersus"/>
        <w:spacing w:after="0"/>
      </w:pPr>
    </w:p>
    <w:p w14:paraId="63F99C9A" w14:textId="77777777" w:rsidR="00733F35" w:rsidRPr="00290F5C" w:rsidRDefault="00733F35" w:rsidP="00733F35"/>
    <w:p w14:paraId="79F999A2" w14:textId="77777777" w:rsidR="00733F35" w:rsidRPr="00733F35" w:rsidRDefault="00733F35" w:rsidP="00733F35">
      <w:pPr>
        <w:pStyle w:val="SCCLsocVersus"/>
        <w:spacing w:after="0"/>
        <w:jc w:val="center"/>
        <w:rPr>
          <w:i w:val="0"/>
        </w:rPr>
      </w:pPr>
      <w:proofErr w:type="gramStart"/>
      <w:r w:rsidRPr="00733F35">
        <w:rPr>
          <w:i w:val="0"/>
        </w:rPr>
        <w:t>and</w:t>
      </w:r>
      <w:proofErr w:type="gramEnd"/>
    </w:p>
    <w:p w14:paraId="7787C5F2" w14:textId="77777777" w:rsidR="00733F35" w:rsidRDefault="00733F35" w:rsidP="00733F35">
      <w:pPr>
        <w:pStyle w:val="SCCLsocParty"/>
      </w:pPr>
    </w:p>
    <w:p w14:paraId="2EC1DCE9" w14:textId="77777777" w:rsidR="00733F35" w:rsidRDefault="00733F35" w:rsidP="00733F35">
      <w:pPr>
        <w:pStyle w:val="SCCLsocParty"/>
      </w:pPr>
    </w:p>
    <w:p w14:paraId="5E44A432" w14:textId="77777777" w:rsidR="00733F35" w:rsidRDefault="00733F35" w:rsidP="00733F35">
      <w:pPr>
        <w:pStyle w:val="SCCLsocParty"/>
        <w:jc w:val="center"/>
      </w:pPr>
      <w:r>
        <w:t xml:space="preserve">Her Majesty </w:t>
      </w:r>
      <w:proofErr w:type="gramStart"/>
      <w:r>
        <w:t>The</w:t>
      </w:r>
      <w:proofErr w:type="gramEnd"/>
      <w:r>
        <w:t xml:space="preserve"> Queen</w:t>
      </w:r>
    </w:p>
    <w:p w14:paraId="0A5BEBEF" w14:textId="77777777" w:rsidR="00733F35" w:rsidRDefault="00733F35" w:rsidP="00733F35">
      <w:pPr>
        <w:jc w:val="center"/>
      </w:pPr>
      <w:r>
        <w:t>Respondent</w:t>
      </w:r>
    </w:p>
    <w:p w14:paraId="0376D42B" w14:textId="77777777" w:rsidR="00733F35" w:rsidRDefault="00733F35" w:rsidP="00733F35"/>
    <w:p w14:paraId="00B62CC6" w14:textId="77777777" w:rsidR="00733F35" w:rsidRPr="006B210C" w:rsidRDefault="00733F35" w:rsidP="00733F35"/>
    <w:p w14:paraId="67E04F6A" w14:textId="77777777" w:rsidR="00733F35" w:rsidRPr="006B210C" w:rsidRDefault="00733F35" w:rsidP="00733F35"/>
    <w:p w14:paraId="23538B26" w14:textId="77777777" w:rsidR="00733F35" w:rsidRPr="006B210C" w:rsidRDefault="00733F35" w:rsidP="00733F35">
      <w:r w:rsidRPr="006B210C">
        <w:rPr>
          <w:b/>
          <w:smallCaps/>
        </w:rPr>
        <w:t>Coram</w:t>
      </w:r>
      <w:r>
        <w:rPr>
          <w:b/>
          <w:smallCaps/>
        </w:rPr>
        <w:t>:</w:t>
      </w:r>
      <w:r w:rsidRPr="006B210C">
        <w:t xml:space="preserve"> </w:t>
      </w:r>
      <w:r>
        <w:t xml:space="preserve">Wagner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Côté, Brown, Rowe, Martin and </w:t>
      </w:r>
      <w:proofErr w:type="spellStart"/>
      <w:r>
        <w:t>Kasirer</w:t>
      </w:r>
      <w:proofErr w:type="spellEnd"/>
      <w:r>
        <w:t> </w:t>
      </w:r>
      <w:proofErr w:type="spellStart"/>
      <w:r>
        <w:t>JJ</w:t>
      </w:r>
      <w:proofErr w:type="spellEnd"/>
      <w:r>
        <w:t>.</w:t>
      </w:r>
    </w:p>
    <w:p w14:paraId="570DF67D" w14:textId="77777777" w:rsidR="00733F35" w:rsidRPr="006B210C" w:rsidRDefault="00733F35" w:rsidP="00733F3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33F35" w:rsidRPr="006B210C" w14:paraId="52DEADED" w14:textId="77777777" w:rsidTr="004775EA">
        <w:trPr>
          <w:cantSplit/>
        </w:trPr>
        <w:tc>
          <w:tcPr>
            <w:tcW w:w="3618" w:type="dxa"/>
          </w:tcPr>
          <w:p w14:paraId="4DB5F067" w14:textId="77777777" w:rsidR="00733F35" w:rsidRDefault="00733F35" w:rsidP="004775EA">
            <w:pPr>
              <w:rPr>
                <w:b/>
                <w:smallCaps/>
              </w:rPr>
            </w:pPr>
            <w:r>
              <w:rPr>
                <w:b/>
                <w:smallCaps/>
              </w:rPr>
              <w:t xml:space="preserve">Unanimous </w:t>
            </w:r>
            <w:r w:rsidRPr="00402209">
              <w:rPr>
                <w:b/>
                <w:smallCaps/>
              </w:rPr>
              <w:t>Judgment</w:t>
            </w:r>
            <w:r>
              <w:rPr>
                <w:b/>
                <w:smallCaps/>
              </w:rPr>
              <w:t xml:space="preserve"> Read By</w:t>
            </w:r>
            <w:r w:rsidRPr="00402209">
              <w:rPr>
                <w:b/>
                <w:smallCaps/>
              </w:rPr>
              <w:t>:</w:t>
            </w:r>
          </w:p>
          <w:p w14:paraId="57D474D6" w14:textId="77777777" w:rsidR="00733F35" w:rsidRDefault="00733F35" w:rsidP="004775EA">
            <w:r w:rsidRPr="00402209">
              <w:t>(paras. 1 to 4)</w:t>
            </w:r>
          </w:p>
          <w:p w14:paraId="0C931248" w14:textId="77777777" w:rsidR="00733F35" w:rsidRPr="006B210C" w:rsidRDefault="00733F35" w:rsidP="004775EA"/>
        </w:tc>
        <w:tc>
          <w:tcPr>
            <w:tcW w:w="5958" w:type="dxa"/>
          </w:tcPr>
          <w:p w14:paraId="01311426" w14:textId="77777777" w:rsidR="00733F35" w:rsidRPr="006B210C" w:rsidRDefault="00733F35" w:rsidP="004775EA">
            <w:r>
              <w:t xml:space="preserve">Martin J. </w:t>
            </w:r>
          </w:p>
        </w:tc>
      </w:tr>
    </w:tbl>
    <w:p w14:paraId="721FAFE1" w14:textId="77777777" w:rsidR="00733F35" w:rsidRPr="006B210C" w:rsidRDefault="00733F35" w:rsidP="00733F35"/>
    <w:p w14:paraId="44AB5162" w14:textId="77777777" w:rsidR="00733F35" w:rsidRPr="006B210C" w:rsidRDefault="00733F35" w:rsidP="00733F35">
      <w:r>
        <w:rPr>
          <w:noProof/>
          <w:lang w:val="fr-CA" w:eastAsia="fr-CA"/>
        </w:rPr>
        <mc:AlternateContent>
          <mc:Choice Requires="wps">
            <w:drawing>
              <wp:anchor distT="0" distB="0" distL="114300" distR="114300" simplePos="0" relativeHeight="251659264" behindDoc="0" locked="0" layoutInCell="1" allowOverlap="1" wp14:anchorId="7B5E062C" wp14:editId="611FC39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0992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1A9E55A3" w14:textId="16652A8E" w:rsidR="00733F35" w:rsidRDefault="00733F35" w:rsidP="00D7386E">
      <w:pPr>
        <w:spacing w:after="480" w:line="480" w:lineRule="auto"/>
        <w:jc w:val="both"/>
        <w:rPr>
          <w:rStyle w:val="SCCAppellantForRunningHeadChar"/>
        </w:rPr>
      </w:pPr>
      <w:r>
        <w:rPr>
          <w:rStyle w:val="SCCAppellantForRunningHeadChar"/>
        </w:rPr>
        <w:br w:type="page"/>
      </w:r>
    </w:p>
    <w:p w14:paraId="7BF3ED57" w14:textId="77777777" w:rsidR="00562132" w:rsidRPr="00300590" w:rsidRDefault="00E1685E" w:rsidP="00D7386E">
      <w:pPr>
        <w:pStyle w:val="SCCLsocLastPartyInRole"/>
        <w:spacing w:after="480"/>
        <w:rPr>
          <w:lang w:val="fr-CA"/>
        </w:rPr>
      </w:pPr>
      <w:bookmarkStart w:id="0" w:name="_GoBack"/>
      <w:bookmarkEnd w:id="0"/>
      <w:r w:rsidRPr="00300590">
        <w:rPr>
          <w:lang w:val="fr-CA"/>
        </w:rPr>
        <w:lastRenderedPageBreak/>
        <w:t>Cheung Wai Wallace Li</w:t>
      </w:r>
      <w:r w:rsidRPr="00300590">
        <w:rPr>
          <w:rStyle w:val="SCCLsocPartyRole"/>
          <w:lang w:val="fr-CA"/>
        </w:rPr>
        <w:tab/>
      </w:r>
      <w:proofErr w:type="spellStart"/>
      <w:r w:rsidRPr="00300590">
        <w:rPr>
          <w:rStyle w:val="SCCLsocPartyRole"/>
          <w:lang w:val="fr-CA"/>
        </w:rPr>
        <w:t>Appellant</w:t>
      </w:r>
      <w:proofErr w:type="spellEnd"/>
    </w:p>
    <w:p w14:paraId="57E5285A" w14:textId="77777777" w:rsidR="00562132" w:rsidRPr="00870F49" w:rsidRDefault="00E1685E" w:rsidP="00D7386E">
      <w:pPr>
        <w:pStyle w:val="SCCLsocVersus"/>
        <w:spacing w:after="480"/>
        <w:rPr>
          <w:lang w:val="en-US"/>
        </w:rPr>
      </w:pPr>
      <w:proofErr w:type="gramStart"/>
      <w:r w:rsidRPr="00870F49">
        <w:rPr>
          <w:lang w:val="en-US"/>
        </w:rPr>
        <w:t>v</w:t>
      </w:r>
      <w:proofErr w:type="gramEnd"/>
      <w:r w:rsidRPr="00870F49">
        <w:rPr>
          <w:lang w:val="en-US"/>
        </w:rPr>
        <w:t>.</w:t>
      </w:r>
    </w:p>
    <w:p w14:paraId="0D49E761" w14:textId="77777777" w:rsidR="00562132" w:rsidRDefault="00300590" w:rsidP="00D7386E">
      <w:pPr>
        <w:pStyle w:val="SCCLsocLastPartyInRole"/>
        <w:spacing w:after="480"/>
      </w:pPr>
      <w:r>
        <w:t xml:space="preserve">Her Majesty </w:t>
      </w:r>
      <w:proofErr w:type="gramStart"/>
      <w:r>
        <w:t>T</w:t>
      </w:r>
      <w:r w:rsidR="00E1685E">
        <w:t>he</w:t>
      </w:r>
      <w:proofErr w:type="gramEnd"/>
      <w:r w:rsidR="00E1685E">
        <w:t xml:space="preserve"> Queen</w:t>
      </w:r>
      <w:r w:rsidR="00E1685E">
        <w:rPr>
          <w:rStyle w:val="SCCLsocPartyRole"/>
        </w:rPr>
        <w:tab/>
        <w:t>Respondent</w:t>
      </w:r>
    </w:p>
    <w:p w14:paraId="2DEF6117" w14:textId="2FCD040E" w:rsidR="00426659" w:rsidRPr="00426659" w:rsidRDefault="00426659" w:rsidP="00D7386E">
      <w:pPr>
        <w:spacing w:after="480"/>
        <w:jc w:val="both"/>
        <w:rPr>
          <w:b/>
        </w:rPr>
      </w:pPr>
      <w:r w:rsidRPr="00426659">
        <w:rPr>
          <w:b/>
        </w:rPr>
        <w:t>Indexed as:</w:t>
      </w:r>
      <w:r>
        <w:rPr>
          <w:b/>
        </w:rPr>
        <w:t xml:space="preserve"> </w:t>
      </w:r>
      <w:r w:rsidR="00300590">
        <w:rPr>
          <w:b/>
        </w:rPr>
        <w:t>R</w:t>
      </w:r>
      <w:r w:rsidR="00393799">
        <w:rPr>
          <w:b/>
        </w:rPr>
        <w:t>.</w:t>
      </w:r>
      <w:r w:rsidR="00300590">
        <w:rPr>
          <w:b/>
        </w:rPr>
        <w:t xml:space="preserve"> </w:t>
      </w:r>
      <w:r w:rsidR="00300590">
        <w:rPr>
          <w:b/>
          <w:i/>
        </w:rPr>
        <w:t xml:space="preserve">v. </w:t>
      </w:r>
      <w:r>
        <w:rPr>
          <w:rStyle w:val="SCCAppellantForIndexChar"/>
        </w:rPr>
        <w:t>Li</w:t>
      </w:r>
    </w:p>
    <w:p w14:paraId="4CB63CBB" w14:textId="77777777" w:rsidR="00426659" w:rsidRPr="00C02092" w:rsidRDefault="00AE4535" w:rsidP="00D7386E">
      <w:pPr>
        <w:pStyle w:val="SCCSystemYear"/>
        <w:spacing w:after="480"/>
        <w:jc w:val="both"/>
      </w:pPr>
      <w:r>
        <w:t>2020</w:t>
      </w:r>
      <w:r w:rsidR="003D0399">
        <w:t xml:space="preserve"> </w:t>
      </w:r>
      <w:r w:rsidR="00426659" w:rsidRPr="00C02092">
        <w:t>SCC </w:t>
      </w:r>
      <w:r w:rsidR="00E1685E">
        <w:t>12</w:t>
      </w:r>
    </w:p>
    <w:p w14:paraId="2E17BCD5" w14:textId="77777777" w:rsidR="008322BD" w:rsidRDefault="009B57B3" w:rsidP="00D7386E">
      <w:pPr>
        <w:spacing w:after="480"/>
        <w:jc w:val="both"/>
      </w:pPr>
      <w:r w:rsidRPr="001426A9">
        <w:t xml:space="preserve">File No.:  </w:t>
      </w:r>
      <w:r>
        <w:t>38903</w:t>
      </w:r>
      <w:r w:rsidRPr="001426A9">
        <w:t>.</w:t>
      </w:r>
    </w:p>
    <w:p w14:paraId="2CDFE9F4" w14:textId="77777777" w:rsidR="008322BD" w:rsidRDefault="00AE4535" w:rsidP="00D7386E">
      <w:pPr>
        <w:spacing w:after="480"/>
        <w:jc w:val="both"/>
      </w:pPr>
      <w:r>
        <w:t>2020:  June 11</w:t>
      </w:r>
      <w:r w:rsidR="00300590">
        <w:t>.</w:t>
      </w:r>
    </w:p>
    <w:p w14:paraId="61057A12" w14:textId="77777777" w:rsidR="008322BD" w:rsidRDefault="009B57B3" w:rsidP="00D7386E">
      <w:pPr>
        <w:spacing w:after="480"/>
        <w:jc w:val="both"/>
      </w:pPr>
      <w:r w:rsidRPr="001426A9">
        <w:t xml:space="preserve">Present:  </w:t>
      </w:r>
      <w:r>
        <w:t xml:space="preserve">Wagner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Côté, Brown, Rowe, Martin and </w:t>
      </w:r>
      <w:proofErr w:type="spellStart"/>
      <w:r>
        <w:t>Kasirer</w:t>
      </w:r>
      <w:proofErr w:type="spellEnd"/>
      <w:r>
        <w:t> </w:t>
      </w:r>
      <w:proofErr w:type="spellStart"/>
      <w:r>
        <w:t>JJ</w:t>
      </w:r>
      <w:proofErr w:type="spellEnd"/>
      <w:r>
        <w:t>.</w:t>
      </w:r>
    </w:p>
    <w:p w14:paraId="60233B87" w14:textId="26D7C929" w:rsidR="008322BD" w:rsidRPr="001C779F" w:rsidRDefault="00656313" w:rsidP="00D7386E">
      <w:pPr>
        <w:pStyle w:val="SCCLowerCourtNameLowercase"/>
        <w:spacing w:after="48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w:t>
      </w:r>
      <w:r w:rsidR="00815D53">
        <w:t xml:space="preserve"> of appeal for </w:t>
      </w:r>
      <w:proofErr w:type="spellStart"/>
      <w:proofErr w:type="gramStart"/>
      <w:r w:rsidR="00815D53">
        <w:t>british</w:t>
      </w:r>
      <w:proofErr w:type="spellEnd"/>
      <w:r w:rsidR="00815D53">
        <w:t xml:space="preserve"> </w:t>
      </w:r>
      <w:proofErr w:type="spellStart"/>
      <w:r w:rsidR="00815D53">
        <w:t>columbia</w:t>
      </w:r>
      <w:proofErr w:type="spellEnd"/>
      <w:proofErr w:type="gramEnd"/>
    </w:p>
    <w:p w14:paraId="2DFDB65F" w14:textId="69E2EB2A" w:rsidR="006822F7" w:rsidRPr="004C6A4C" w:rsidRDefault="009B57B3" w:rsidP="00D7386E">
      <w:pPr>
        <w:pStyle w:val="SCCNormalDoubleSpacing"/>
        <w:spacing w:after="480"/>
      </w:pPr>
      <w:r w:rsidRPr="00583EDE">
        <w:tab/>
      </w:r>
      <w:r w:rsidR="00514AE7">
        <w:rPr>
          <w:i/>
          <w:iCs/>
          <w:color w:val="000000"/>
        </w:rPr>
        <w:t xml:space="preserve">Criminal law — Appeals — Appeals to Supreme Court of Canada — Appeal as of right — </w:t>
      </w:r>
      <w:r w:rsidR="00B036D9">
        <w:rPr>
          <w:i/>
          <w:iCs/>
          <w:color w:val="000000"/>
        </w:rPr>
        <w:t>Accused pleading guilty</w:t>
      </w:r>
      <w:r w:rsidR="002A141A">
        <w:rPr>
          <w:i/>
          <w:iCs/>
          <w:color w:val="000000"/>
        </w:rPr>
        <w:t xml:space="preserve"> to drug offence</w:t>
      </w:r>
      <w:r w:rsidR="00B036D9">
        <w:rPr>
          <w:i/>
          <w:iCs/>
          <w:color w:val="000000"/>
        </w:rPr>
        <w:t xml:space="preserve"> — Trial judge entering stay of proceedings — Court of Appeal lifting stay — Accused filing appeal as of right </w:t>
      </w:r>
      <w:r w:rsidR="000D048F">
        <w:rPr>
          <w:i/>
          <w:iCs/>
          <w:color w:val="000000"/>
        </w:rPr>
        <w:t>under s. 691(2)(b) of Criminal Code —</w:t>
      </w:r>
      <w:r w:rsidR="00397740">
        <w:rPr>
          <w:i/>
          <w:iCs/>
          <w:color w:val="000000"/>
        </w:rPr>
        <w:t xml:space="preserve"> </w:t>
      </w:r>
      <w:r w:rsidR="000D048F">
        <w:rPr>
          <w:i/>
          <w:iCs/>
          <w:color w:val="000000"/>
        </w:rPr>
        <w:t>Phrase</w:t>
      </w:r>
      <w:r w:rsidR="00514AE7">
        <w:rPr>
          <w:i/>
          <w:iCs/>
          <w:color w:val="000000"/>
        </w:rPr>
        <w:t xml:space="preserve"> “enters a verdict of guilty”</w:t>
      </w:r>
      <w:r w:rsidR="000D048F" w:rsidRPr="000D048F">
        <w:rPr>
          <w:i/>
          <w:iCs/>
          <w:color w:val="000000"/>
        </w:rPr>
        <w:t xml:space="preserve"> </w:t>
      </w:r>
      <w:r w:rsidR="000D048F" w:rsidRPr="00094F5D">
        <w:rPr>
          <w:i/>
        </w:rPr>
        <w:t xml:space="preserve">includes making order </w:t>
      </w:r>
      <w:r w:rsidR="000D048F">
        <w:rPr>
          <w:i/>
        </w:rPr>
        <w:t>setting</w:t>
      </w:r>
      <w:r w:rsidR="000D048F" w:rsidRPr="00094F5D">
        <w:rPr>
          <w:i/>
        </w:rPr>
        <w:t xml:space="preserve"> aside permanent stay where order is tantamount to entering verdict of guilty</w:t>
      </w:r>
      <w:r w:rsidR="00514AE7">
        <w:rPr>
          <w:i/>
          <w:iCs/>
          <w:color w:val="000000"/>
        </w:rPr>
        <w:t xml:space="preserve"> </w:t>
      </w:r>
      <w:r w:rsidR="000D048F">
        <w:rPr>
          <w:i/>
          <w:iCs/>
          <w:color w:val="000000"/>
        </w:rPr>
        <w:t xml:space="preserve">— Accused’s appeal properly brought as of right </w:t>
      </w:r>
      <w:r w:rsidR="00514AE7">
        <w:rPr>
          <w:i/>
          <w:iCs/>
          <w:color w:val="000000"/>
        </w:rPr>
        <w:t xml:space="preserve">— </w:t>
      </w:r>
      <w:r w:rsidR="006822F7" w:rsidRPr="004C6A4C">
        <w:rPr>
          <w:i/>
        </w:rPr>
        <w:t>Criminal Code, R.S.C. 1985, c. C</w:t>
      </w:r>
      <w:r w:rsidR="006822F7" w:rsidRPr="004C6A4C">
        <w:rPr>
          <w:i/>
        </w:rPr>
        <w:noBreakHyphen/>
        <w:t>46, s. </w:t>
      </w:r>
      <w:r w:rsidR="006822F7">
        <w:rPr>
          <w:i/>
        </w:rPr>
        <w:t>691(2)</w:t>
      </w:r>
      <w:r w:rsidR="006822F7" w:rsidRPr="004C6A4C">
        <w:rPr>
          <w:i/>
        </w:rPr>
        <w:t>(b).</w:t>
      </w:r>
    </w:p>
    <w:p w14:paraId="21130853" w14:textId="28892A8F" w:rsidR="00A149DF" w:rsidRDefault="00A149DF" w:rsidP="00D7386E">
      <w:pPr>
        <w:pStyle w:val="SCCNormalDoubleSpacing"/>
        <w:spacing w:after="480"/>
        <w:rPr>
          <w:i/>
        </w:rPr>
      </w:pPr>
    </w:p>
    <w:p w14:paraId="4DBD1314" w14:textId="716C768C" w:rsidR="00A0172B" w:rsidRPr="00826B0C" w:rsidRDefault="00A0172B" w:rsidP="00D7386E">
      <w:pPr>
        <w:pStyle w:val="SCCNormalDoubleSpacing"/>
        <w:spacing w:after="480"/>
        <w:rPr>
          <w:i/>
        </w:rPr>
      </w:pPr>
      <w:r>
        <w:rPr>
          <w:i/>
        </w:rPr>
        <w:lastRenderedPageBreak/>
        <w:tab/>
        <w:t xml:space="preserve">Criminal </w:t>
      </w:r>
      <w:r w:rsidRPr="00826B0C">
        <w:rPr>
          <w:i/>
        </w:rPr>
        <w:t>law — Abuse of process — Entrapment — Dial‑a‑dope operations —</w:t>
      </w:r>
      <w:r>
        <w:rPr>
          <w:i/>
        </w:rPr>
        <w:t xml:space="preserve"> Accused pleading guilty to drug offence but </w:t>
      </w:r>
      <w:r w:rsidR="00DA06C5">
        <w:rPr>
          <w:i/>
        </w:rPr>
        <w:t>seeking</w:t>
      </w:r>
      <w:r>
        <w:rPr>
          <w:i/>
        </w:rPr>
        <w:t xml:space="preserve"> stay of proceedings based on entrapment</w:t>
      </w:r>
      <w:r w:rsidRPr="00826B0C">
        <w:rPr>
          <w:i/>
        </w:rPr>
        <w:t xml:space="preserve"> —</w:t>
      </w:r>
      <w:r>
        <w:rPr>
          <w:i/>
        </w:rPr>
        <w:t xml:space="preserve"> Trial judge finding</w:t>
      </w:r>
      <w:r w:rsidR="00DA06C5">
        <w:rPr>
          <w:i/>
        </w:rPr>
        <w:t xml:space="preserve"> that</w:t>
      </w:r>
      <w:r>
        <w:rPr>
          <w:i/>
        </w:rPr>
        <w:t xml:space="preserve"> police did not have </w:t>
      </w:r>
      <w:r w:rsidR="002A141A">
        <w:rPr>
          <w:i/>
        </w:rPr>
        <w:t xml:space="preserve">required </w:t>
      </w:r>
      <w:r>
        <w:rPr>
          <w:i/>
        </w:rPr>
        <w:t xml:space="preserve">reasonable suspicion and entering stay </w:t>
      </w:r>
      <w:r w:rsidRPr="00826B0C">
        <w:rPr>
          <w:i/>
        </w:rPr>
        <w:t>—</w:t>
      </w:r>
      <w:r>
        <w:rPr>
          <w:i/>
        </w:rPr>
        <w:t xml:space="preserve"> Court of Appeal </w:t>
      </w:r>
      <w:r w:rsidR="00DA06C5">
        <w:rPr>
          <w:i/>
        </w:rPr>
        <w:t xml:space="preserve">holding that </w:t>
      </w:r>
      <w:r w:rsidR="00F360D1">
        <w:rPr>
          <w:i/>
        </w:rPr>
        <w:t xml:space="preserve">trial judge misapprehended portions of evidence, misapplied legal test for entrapment and reached conclusion not available on evidence </w:t>
      </w:r>
      <w:r w:rsidR="00F360D1" w:rsidRPr="00826B0C">
        <w:rPr>
          <w:i/>
        </w:rPr>
        <w:t>—</w:t>
      </w:r>
      <w:r w:rsidR="006F615D">
        <w:rPr>
          <w:i/>
        </w:rPr>
        <w:t xml:space="preserve"> </w:t>
      </w:r>
      <w:r>
        <w:rPr>
          <w:i/>
        </w:rPr>
        <w:t>Court of Appeal lifting stay</w:t>
      </w:r>
      <w:r w:rsidRPr="00826B0C">
        <w:rPr>
          <w:i/>
        </w:rPr>
        <w:t xml:space="preserve"> </w:t>
      </w:r>
      <w:r>
        <w:rPr>
          <w:i/>
        </w:rPr>
        <w:t xml:space="preserve">and remitting matter for sentencing </w:t>
      </w:r>
      <w:r w:rsidRPr="00826B0C">
        <w:rPr>
          <w:i/>
        </w:rPr>
        <w:t>—</w:t>
      </w:r>
      <w:r>
        <w:rPr>
          <w:i/>
        </w:rPr>
        <w:t xml:space="preserve"> </w:t>
      </w:r>
      <w:r w:rsidR="001414F6">
        <w:rPr>
          <w:i/>
        </w:rPr>
        <w:t>Police had reasonable suspicion</w:t>
      </w:r>
      <w:r w:rsidR="00DA06C5">
        <w:rPr>
          <w:i/>
        </w:rPr>
        <w:t xml:space="preserve"> </w:t>
      </w:r>
      <w:r w:rsidR="00DA06C5" w:rsidRPr="00DA06C5">
        <w:rPr>
          <w:i/>
        </w:rPr>
        <w:t>before making call that phone number was being used for drug dealing</w:t>
      </w:r>
      <w:r w:rsidR="001414F6">
        <w:rPr>
          <w:i/>
        </w:rPr>
        <w:t xml:space="preserve"> </w:t>
      </w:r>
      <w:r w:rsidR="001414F6" w:rsidRPr="00826B0C">
        <w:rPr>
          <w:i/>
        </w:rPr>
        <w:t>—</w:t>
      </w:r>
      <w:r w:rsidR="001414F6">
        <w:rPr>
          <w:i/>
        </w:rPr>
        <w:t xml:space="preserve"> </w:t>
      </w:r>
      <w:r w:rsidR="00DA06C5">
        <w:rPr>
          <w:i/>
        </w:rPr>
        <w:t>No entrapment</w:t>
      </w:r>
      <w:r>
        <w:rPr>
          <w:i/>
        </w:rPr>
        <w:t>.</w:t>
      </w:r>
    </w:p>
    <w:p w14:paraId="2F206552" w14:textId="77777777" w:rsidR="00870F49" w:rsidRDefault="002E6705" w:rsidP="00D7386E">
      <w:pPr>
        <w:pStyle w:val="SCCNormalDoubleSpacing"/>
        <w:widowControl w:val="0"/>
        <w:spacing w:after="480"/>
        <w:rPr>
          <w:b/>
        </w:rPr>
      </w:pPr>
      <w:r w:rsidRPr="00314E01">
        <w:rPr>
          <w:b/>
        </w:rPr>
        <w:t>Cases Cited</w:t>
      </w:r>
    </w:p>
    <w:p w14:paraId="7206525A" w14:textId="7679EA31" w:rsidR="004E2C26" w:rsidRPr="007E1C47" w:rsidRDefault="002E6705" w:rsidP="00D7386E">
      <w:pPr>
        <w:pStyle w:val="SCCNormalDoubleSpacing"/>
        <w:widowControl w:val="0"/>
        <w:spacing w:after="480"/>
      </w:pPr>
      <w:r>
        <w:tab/>
      </w:r>
      <w:r w:rsidRPr="006968B6">
        <w:rPr>
          <w:b/>
        </w:rPr>
        <w:t>Referred to:</w:t>
      </w:r>
      <w:r w:rsidR="00BD0E9E" w:rsidRPr="006968B6">
        <w:t xml:space="preserve"> </w:t>
      </w:r>
      <w:r w:rsidR="00870F49" w:rsidRPr="006968B6">
        <w:rPr>
          <w:i/>
          <w:iCs/>
        </w:rPr>
        <w:t>R. v.</w:t>
      </w:r>
      <w:r w:rsidR="00870F49" w:rsidRPr="00870F49">
        <w:rPr>
          <w:i/>
          <w:iCs/>
        </w:rPr>
        <w:t xml:space="preserve"> </w:t>
      </w:r>
      <w:proofErr w:type="spellStart"/>
      <w:r w:rsidR="00870F49" w:rsidRPr="00870F49">
        <w:rPr>
          <w:i/>
          <w:iCs/>
        </w:rPr>
        <w:t>Magoon</w:t>
      </w:r>
      <w:proofErr w:type="spellEnd"/>
      <w:r w:rsidR="00870F49" w:rsidRPr="00870F49">
        <w:t>, 2018 SCC 14, [2018] 1 S.C.R. 309</w:t>
      </w:r>
      <w:r w:rsidR="00870F49">
        <w:t xml:space="preserve">; </w:t>
      </w:r>
      <w:r w:rsidR="00870F49" w:rsidRPr="00870F49">
        <w:rPr>
          <w:i/>
          <w:iCs/>
        </w:rPr>
        <w:t>R. v. Ahmad</w:t>
      </w:r>
      <w:r w:rsidR="00870F49" w:rsidRPr="00870F49">
        <w:t>, 2020 SCC 11</w:t>
      </w:r>
      <w:r w:rsidR="00815D53">
        <w:t xml:space="preserve">, [2020] </w:t>
      </w:r>
      <w:r w:rsidR="009C5A1F">
        <w:t>1</w:t>
      </w:r>
      <w:r w:rsidR="00946DB4">
        <w:t xml:space="preserve"> </w:t>
      </w:r>
      <w:proofErr w:type="spellStart"/>
      <w:r w:rsidR="00946DB4">
        <w:t>S.C.R</w:t>
      </w:r>
      <w:proofErr w:type="spellEnd"/>
      <w:r w:rsidR="00946DB4">
        <w:t>. 577</w:t>
      </w:r>
      <w:r w:rsidR="00815D53">
        <w:t>.</w:t>
      </w:r>
    </w:p>
    <w:p w14:paraId="3E4CDE9E" w14:textId="77777777" w:rsidR="003B215F" w:rsidRDefault="002E6705" w:rsidP="00D7386E">
      <w:pPr>
        <w:pStyle w:val="SCCNormalDoubleSpacing"/>
        <w:spacing w:after="480"/>
        <w:rPr>
          <w:b/>
        </w:rPr>
      </w:pPr>
      <w:r w:rsidRPr="00314E01">
        <w:rPr>
          <w:b/>
        </w:rPr>
        <w:t>Statutes and Regulations Cite</w:t>
      </w:r>
      <w:r w:rsidR="00A41805">
        <w:rPr>
          <w:b/>
        </w:rPr>
        <w:t>d</w:t>
      </w:r>
    </w:p>
    <w:p w14:paraId="2EA85A37" w14:textId="77777777" w:rsidR="00A149DF" w:rsidRPr="00733F35" w:rsidRDefault="00870F49" w:rsidP="00D7386E">
      <w:pPr>
        <w:pStyle w:val="SCCNormalDoubleSpacing"/>
        <w:spacing w:after="480"/>
        <w:ind w:left="540" w:hanging="540"/>
        <w:rPr>
          <w:lang w:val="fr-CA"/>
        </w:rPr>
      </w:pPr>
      <w:proofErr w:type="spellStart"/>
      <w:r w:rsidRPr="00733F35">
        <w:rPr>
          <w:i/>
          <w:iCs/>
          <w:lang w:val="fr-CA"/>
        </w:rPr>
        <w:t>Criminal</w:t>
      </w:r>
      <w:proofErr w:type="spellEnd"/>
      <w:r w:rsidRPr="00733F35">
        <w:rPr>
          <w:i/>
          <w:iCs/>
          <w:lang w:val="fr-CA"/>
        </w:rPr>
        <w:t xml:space="preserve"> Code</w:t>
      </w:r>
      <w:r w:rsidRPr="00733F35">
        <w:rPr>
          <w:lang w:val="fr-CA"/>
        </w:rPr>
        <w:t xml:space="preserve">, </w:t>
      </w:r>
      <w:proofErr w:type="spellStart"/>
      <w:r w:rsidRPr="00733F35">
        <w:rPr>
          <w:lang w:val="fr-CA"/>
        </w:rPr>
        <w:t>R.S.C</w:t>
      </w:r>
      <w:proofErr w:type="spellEnd"/>
      <w:r w:rsidRPr="00733F35">
        <w:rPr>
          <w:lang w:val="fr-CA"/>
        </w:rPr>
        <w:t>. 1985, c. C-46, s. 691(2</w:t>
      </w:r>
      <w:proofErr w:type="gramStart"/>
      <w:r w:rsidRPr="00733F35">
        <w:rPr>
          <w:lang w:val="fr-CA"/>
        </w:rPr>
        <w:t>)(</w:t>
      </w:r>
      <w:proofErr w:type="gramEnd"/>
      <w:r w:rsidRPr="00733F35">
        <w:rPr>
          <w:lang w:val="fr-CA"/>
        </w:rPr>
        <w:t>b).</w:t>
      </w:r>
    </w:p>
    <w:p w14:paraId="22AA33F3" w14:textId="3FF417C4" w:rsidR="00656313" w:rsidRDefault="00300590" w:rsidP="00D7386E">
      <w:pPr>
        <w:pStyle w:val="SCCNormalDoubleSpacing"/>
        <w:spacing w:after="480"/>
      </w:pPr>
      <w:r w:rsidRPr="00733F35">
        <w:rPr>
          <w:lang w:val="fr-CA"/>
        </w:rPr>
        <w:tab/>
      </w:r>
      <w:r w:rsidR="009B57B3" w:rsidRPr="001426A9">
        <w:t xml:space="preserve">APPEAL from a judgment of the </w:t>
      </w:r>
      <w:r w:rsidR="00826B0C">
        <w:t xml:space="preserve">British Columbia </w:t>
      </w:r>
      <w:r w:rsidR="009B57B3">
        <w:t xml:space="preserve">Court of Appeal </w:t>
      </w:r>
      <w:r w:rsidR="003208EF">
        <w:t>(</w:t>
      </w:r>
      <w:proofErr w:type="spellStart"/>
      <w:r w:rsidR="003208EF">
        <w:t>Groberman</w:t>
      </w:r>
      <w:proofErr w:type="spellEnd"/>
      <w:r w:rsidR="003208EF">
        <w:t xml:space="preserve">, Fisher and </w:t>
      </w:r>
      <w:proofErr w:type="spellStart"/>
      <w:r w:rsidR="003208EF">
        <w:t>Abrioux</w:t>
      </w:r>
      <w:proofErr w:type="spellEnd"/>
      <w:r w:rsidR="003208EF">
        <w:t xml:space="preserve"> JJ.A</w:t>
      </w:r>
      <w:r w:rsidR="00427A7C">
        <w:t>.</w:t>
      </w:r>
      <w:r w:rsidR="003208EF">
        <w:t>)</w:t>
      </w:r>
      <w:r w:rsidR="003208EF" w:rsidRPr="00173A02">
        <w:t xml:space="preserve">, </w:t>
      </w:r>
      <w:r w:rsidR="003208EF">
        <w:t xml:space="preserve">2019 BCCA 344, 381 C.C.C. (3d) 363, </w:t>
      </w:r>
      <w:r w:rsidR="003208EF">
        <w:rPr>
          <w:lang w:val="en-US"/>
        </w:rPr>
        <w:t>[2019] B.C.J. No. 1898 (</w:t>
      </w:r>
      <w:proofErr w:type="spellStart"/>
      <w:r w:rsidR="003208EF">
        <w:rPr>
          <w:lang w:val="en-US"/>
        </w:rPr>
        <w:t>QL</w:t>
      </w:r>
      <w:proofErr w:type="spellEnd"/>
      <w:r w:rsidR="003208EF">
        <w:rPr>
          <w:lang w:val="en-US"/>
        </w:rPr>
        <w:t xml:space="preserve">), 2019 </w:t>
      </w:r>
      <w:proofErr w:type="spellStart"/>
      <w:r w:rsidR="003208EF">
        <w:rPr>
          <w:lang w:val="en-US"/>
        </w:rPr>
        <w:t>CarswellBC</w:t>
      </w:r>
      <w:proofErr w:type="spellEnd"/>
      <w:r w:rsidR="003208EF">
        <w:rPr>
          <w:lang w:val="en-US"/>
        </w:rPr>
        <w:t xml:space="preserve"> 2941 (WL Can.),</w:t>
      </w:r>
      <w:r w:rsidR="003208EF" w:rsidRPr="00173A02">
        <w:t xml:space="preserve"> </w:t>
      </w:r>
      <w:r w:rsidR="008430B8">
        <w:t xml:space="preserve">setting aside the stay of proceedings </w:t>
      </w:r>
      <w:r w:rsidR="005962FA">
        <w:t>entered by the trial judge and remitting the matter for sentencing</w:t>
      </w:r>
      <w:r w:rsidR="001C5E8F">
        <w:t xml:space="preserve">. </w:t>
      </w:r>
      <w:r w:rsidR="003208EF">
        <w:t xml:space="preserve">Appeal </w:t>
      </w:r>
      <w:r w:rsidR="00870F49" w:rsidRPr="00870F49">
        <w:t>dismissed</w:t>
      </w:r>
      <w:r w:rsidR="003208EF" w:rsidRPr="00870F49">
        <w:t>.</w:t>
      </w:r>
    </w:p>
    <w:p w14:paraId="36AEA2B6" w14:textId="77777777" w:rsidR="00562132" w:rsidRDefault="00E1685E" w:rsidP="00D7386E">
      <w:pPr>
        <w:pStyle w:val="SCCNormalDoubleSpacing"/>
        <w:spacing w:after="480"/>
      </w:pPr>
      <w:r>
        <w:rPr>
          <w:rStyle w:val="SCCCounselNameChar"/>
        </w:rPr>
        <w:lastRenderedPageBreak/>
        <w:tab/>
        <w:t xml:space="preserve">Eric </w:t>
      </w:r>
      <w:proofErr w:type="spellStart"/>
      <w:r>
        <w:rPr>
          <w:rStyle w:val="SCCCounselNameChar"/>
        </w:rPr>
        <w:t>Purtzki</w:t>
      </w:r>
      <w:proofErr w:type="spellEnd"/>
      <w:r>
        <w:rPr>
          <w:rStyle w:val="SCCCounselPartyRoleChar"/>
        </w:rPr>
        <w:t>, for the appellant.</w:t>
      </w:r>
    </w:p>
    <w:p w14:paraId="277504EB" w14:textId="2742D49F" w:rsidR="00921CC4" w:rsidRDefault="00E1685E" w:rsidP="00D7386E">
      <w:pPr>
        <w:pStyle w:val="SCCNormalDoubleSpacing"/>
        <w:spacing w:after="480"/>
        <w:rPr>
          <w:rStyle w:val="SCCCounselPartyRoleChar"/>
        </w:rPr>
      </w:pPr>
      <w:r>
        <w:rPr>
          <w:rStyle w:val="SCCCounselNameChar"/>
        </w:rPr>
        <w:tab/>
      </w:r>
      <w:r w:rsidRPr="006968B6">
        <w:rPr>
          <w:rStyle w:val="SCCCounselNameChar"/>
        </w:rPr>
        <w:t>Chris Greenwood</w:t>
      </w:r>
      <w:r w:rsidRPr="006968B6">
        <w:rPr>
          <w:rStyle w:val="SCCCounselPartyRoleChar"/>
        </w:rPr>
        <w:t>, for the</w:t>
      </w:r>
      <w:r>
        <w:rPr>
          <w:rStyle w:val="SCCCounselPartyRoleChar"/>
        </w:rPr>
        <w:t xml:space="preserve"> respondent</w:t>
      </w:r>
      <w:r w:rsidR="00BD36EE">
        <w:rPr>
          <w:rStyle w:val="SCCCounselPartyRoleChar"/>
        </w:rPr>
        <w:t>.</w:t>
      </w:r>
    </w:p>
    <w:p w14:paraId="78EAFA07" w14:textId="77777777" w:rsidR="00921CC4" w:rsidRPr="00870F49" w:rsidRDefault="00921CC4" w:rsidP="00D7386E">
      <w:pPr>
        <w:pStyle w:val="SCCNormalDoubleSpacing"/>
        <w:spacing w:after="480"/>
        <w:rPr>
          <w:smallCaps/>
        </w:rPr>
      </w:pPr>
      <w:r>
        <w:rPr>
          <w:rStyle w:val="SCCCounselPartyRoleChar"/>
        </w:rPr>
        <w:tab/>
      </w:r>
      <w:r>
        <w:t>The judgment of the Court was delivered orally by</w:t>
      </w:r>
    </w:p>
    <w:p w14:paraId="74CEA622" w14:textId="38D07417" w:rsidR="00870F49" w:rsidRPr="00870F49" w:rsidRDefault="00870F49" w:rsidP="00D7386E">
      <w:pPr>
        <w:pStyle w:val="SCCNormalDoubleSpacing"/>
        <w:spacing w:after="480"/>
      </w:pPr>
      <w:r w:rsidRPr="00870F49">
        <w:t>[1]</w:t>
      </w:r>
      <w:r>
        <w:tab/>
      </w:r>
      <w:r w:rsidR="00921CC4">
        <w:rPr>
          <w:smallCaps/>
        </w:rPr>
        <w:t>M</w:t>
      </w:r>
      <w:r w:rsidR="00921CC4" w:rsidRPr="00870F49">
        <w:rPr>
          <w:smallCaps/>
        </w:rPr>
        <w:t>artin J.</w:t>
      </w:r>
      <w:r w:rsidR="00921CC4" w:rsidRPr="00870F49">
        <w:t xml:space="preserve"> —</w:t>
      </w:r>
      <w:r w:rsidR="00921CC4">
        <w:t xml:space="preserve"> </w:t>
      </w:r>
      <w:r w:rsidRPr="00870F49">
        <w:t>Mr. Li pled guilty at trial, the trial judge entered a stay of proceedings based on entrapment, and the Court of Appeal lifted the stay and remitted the matter for sentencing. In this case, Mr. Li has a right of appeal to this Court under s. 691(2</w:t>
      </w:r>
      <w:proofErr w:type="gramStart"/>
      <w:r w:rsidRPr="00870F49">
        <w:t>)(</w:t>
      </w:r>
      <w:proofErr w:type="gramEnd"/>
      <w:r w:rsidRPr="00870F49">
        <w:t xml:space="preserve">b) of the </w:t>
      </w:r>
      <w:r w:rsidRPr="00870F49">
        <w:rPr>
          <w:i/>
          <w:iCs/>
        </w:rPr>
        <w:t>Criminal Code</w:t>
      </w:r>
      <w:r w:rsidRPr="00870F49">
        <w:t xml:space="preserve">, R.S.C. 1985, c. C-46. The phrase “enters a verdict of guilty” includes making an order that sets aside a permanent stay where that order is tantamount to entering a verdict of guilty, thus securing the purpose of this provision, which is to ensure that an accused person has one level of appeal to raise a question of law arising from their conviction (see </w:t>
      </w:r>
      <w:r w:rsidRPr="00870F49">
        <w:rPr>
          <w:i/>
          <w:iCs/>
        </w:rPr>
        <w:t xml:space="preserve">R. v. </w:t>
      </w:r>
      <w:proofErr w:type="spellStart"/>
      <w:r w:rsidRPr="00870F49">
        <w:rPr>
          <w:i/>
          <w:iCs/>
        </w:rPr>
        <w:t>Magoon</w:t>
      </w:r>
      <w:proofErr w:type="spellEnd"/>
      <w:r w:rsidRPr="00870F49">
        <w:t>, 2018 SCC 14, [2018] 1 S.C.R. 309, at para. 38).</w:t>
      </w:r>
    </w:p>
    <w:p w14:paraId="3EF3DFDA" w14:textId="13F8CA51" w:rsidR="00870F49" w:rsidRPr="00870F49" w:rsidRDefault="00921CC4" w:rsidP="00D7386E">
      <w:pPr>
        <w:pStyle w:val="SCCNormalDoubleSpacing"/>
        <w:widowControl w:val="0"/>
        <w:spacing w:after="480"/>
      </w:pPr>
      <w:r>
        <w:t>[2]</w:t>
      </w:r>
      <w:r w:rsidR="00870F49">
        <w:tab/>
      </w:r>
      <w:r w:rsidR="00870F49" w:rsidRPr="00870F49">
        <w:t xml:space="preserve">We recognize that neither level of court in this appeal had the benefit of this Court’s reasons in </w:t>
      </w:r>
      <w:r w:rsidR="00870F49" w:rsidRPr="00870F49">
        <w:rPr>
          <w:i/>
          <w:iCs/>
        </w:rPr>
        <w:t>R. v. Ahmad</w:t>
      </w:r>
      <w:r w:rsidR="00870F49" w:rsidRPr="00870F49">
        <w:t>, 2020 SCC 11</w:t>
      </w:r>
      <w:r w:rsidR="00815D53">
        <w:t xml:space="preserve">, [2020] </w:t>
      </w:r>
      <w:r w:rsidR="009C5A1F">
        <w:t>1</w:t>
      </w:r>
      <w:r w:rsidR="00946DB4">
        <w:t xml:space="preserve"> </w:t>
      </w:r>
      <w:proofErr w:type="spellStart"/>
      <w:r w:rsidR="00946DB4">
        <w:t>S.C.R</w:t>
      </w:r>
      <w:proofErr w:type="spellEnd"/>
      <w:r w:rsidR="00946DB4">
        <w:t>. 577</w:t>
      </w:r>
      <w:r w:rsidR="00870F49" w:rsidRPr="00870F49">
        <w:t xml:space="preserve">. As explained in </w:t>
      </w:r>
      <w:r w:rsidR="00870F49" w:rsidRPr="00870F49">
        <w:rPr>
          <w:i/>
          <w:iCs/>
        </w:rPr>
        <w:t>Ahmad</w:t>
      </w:r>
      <w:r w:rsidR="00870F49" w:rsidRPr="00870F49">
        <w:t xml:space="preserve">, when investigating a suspected dial-a-dope operation, the police must have reasonable suspicion over the individual or over the phone number or over a combination of both, before they can ask to purchase drugs from </w:t>
      </w:r>
      <w:r w:rsidR="00815D53">
        <w:t>the person answering the phone.</w:t>
      </w:r>
    </w:p>
    <w:p w14:paraId="1475C9D6" w14:textId="77777777" w:rsidR="00870F49" w:rsidRPr="00870F49" w:rsidRDefault="00921CC4" w:rsidP="00D7386E">
      <w:pPr>
        <w:pStyle w:val="SCCNormalDoubleSpacing"/>
        <w:spacing w:after="480"/>
      </w:pPr>
      <w:r>
        <w:lastRenderedPageBreak/>
        <w:t>[3]</w:t>
      </w:r>
      <w:r w:rsidR="00870F49">
        <w:tab/>
      </w:r>
      <w:r w:rsidR="00870F49" w:rsidRPr="00870F49">
        <w:t xml:space="preserve">Applying this framework and considering the totality of the circumstances, the police had reasonable suspicion, before making the call, that the phone number was being used for drug dealing. The police </w:t>
      </w:r>
      <w:r w:rsidR="00393799">
        <w:t>used a</w:t>
      </w:r>
      <w:r w:rsidR="00870F49" w:rsidRPr="00870F49">
        <w:t xml:space="preserve"> </w:t>
      </w:r>
      <w:r w:rsidR="00870F49" w:rsidRPr="00870F49">
        <w:rPr>
          <w:i/>
          <w:iCs/>
        </w:rPr>
        <w:t>Swan</w:t>
      </w:r>
      <w:r w:rsidR="00870F49" w:rsidRPr="00870F49">
        <w:t xml:space="preserve"> sheet to record what actions they took to verify this tip. The tip was that a specific phone number was being used in a dial-a-dope operation to sell cocaine, the sales took place near a particular mall and involved a tan Honda Odyssey with a specific licence plate. In addition to the phone number, the tip provided details such as which drug was for sale, the area of operation, a vehicle description, and licence plate number. The police confirmed the assertion of illegality by connecting this car and licence plate, and five other vehicles, to a person with an extensive and recent history of suspected dial-a-dope drug dealings.</w:t>
      </w:r>
    </w:p>
    <w:p w14:paraId="1C7977E4" w14:textId="77777777" w:rsidR="00870F49" w:rsidRPr="00870F49" w:rsidRDefault="00921CC4" w:rsidP="00D7386E">
      <w:pPr>
        <w:pStyle w:val="SCCNormalDoubleSpacing"/>
        <w:spacing w:after="480"/>
        <w:rPr>
          <w:lang w:val="en-US"/>
        </w:rPr>
      </w:pPr>
      <w:r>
        <w:t>[4]</w:t>
      </w:r>
      <w:r w:rsidR="00870F49">
        <w:tab/>
      </w:r>
      <w:r w:rsidR="00870F49" w:rsidRPr="00870F49">
        <w:t>Therefore, there was no entrapment. As a result, we dismiss the appeal, enter a verdict of guilty, and remit the matter for sentencing.</w:t>
      </w:r>
    </w:p>
    <w:p w14:paraId="409D3EE6" w14:textId="77777777" w:rsidR="009B57B3" w:rsidRPr="0034495C" w:rsidRDefault="009B57B3" w:rsidP="00D7386E">
      <w:pPr>
        <w:pStyle w:val="SCCNormalDoubleSpacing"/>
        <w:spacing w:after="480"/>
        <w:rPr>
          <w:i/>
        </w:rPr>
      </w:pPr>
      <w:r w:rsidRPr="001426A9">
        <w:tab/>
      </w:r>
      <w:r w:rsidR="0034495C">
        <w:rPr>
          <w:i/>
        </w:rPr>
        <w:t>Judgment accordingly.</w:t>
      </w:r>
    </w:p>
    <w:p w14:paraId="12ED6DA1" w14:textId="77777777" w:rsidR="00562132" w:rsidRDefault="00300590" w:rsidP="00D7386E">
      <w:pPr>
        <w:pStyle w:val="SCCLawFirm"/>
        <w:spacing w:after="480"/>
      </w:pPr>
      <w:r>
        <w:tab/>
        <w:t>Solicitors</w:t>
      </w:r>
      <w:r w:rsidR="00E1685E">
        <w:t xml:space="preserve"> for the appellant:  Melville Law Chambers, Vancouver.</w:t>
      </w:r>
    </w:p>
    <w:p w14:paraId="5D1D7CF7" w14:textId="5BB114E8" w:rsidR="009B57B3" w:rsidRPr="00975937" w:rsidRDefault="00300590" w:rsidP="00D7386E">
      <w:pPr>
        <w:pStyle w:val="SCCLawFirm"/>
        <w:spacing w:after="480"/>
        <w:rPr>
          <w:i w:val="0"/>
        </w:rPr>
      </w:pPr>
      <w:r>
        <w:tab/>
        <w:t xml:space="preserve">Solicitor </w:t>
      </w:r>
      <w:r w:rsidR="00E1685E">
        <w:t>for the respondent:  Public Prosecution Service of Canada, Vancouver.</w:t>
      </w:r>
    </w:p>
    <w:sectPr w:rsidR="009B57B3" w:rsidRPr="00975937"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658BF" w14:textId="77777777" w:rsidR="00EB5451" w:rsidRDefault="00EB5451">
      <w:r>
        <w:separator/>
      </w:r>
    </w:p>
  </w:endnote>
  <w:endnote w:type="continuationSeparator" w:id="0">
    <w:p w14:paraId="1C6FA673" w14:textId="77777777" w:rsidR="00EB5451" w:rsidRDefault="00EB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94BAF" w14:textId="77777777" w:rsidR="00EB5451" w:rsidRDefault="00EB5451">
      <w:r>
        <w:separator/>
      </w:r>
    </w:p>
  </w:footnote>
  <w:footnote w:type="continuationSeparator" w:id="0">
    <w:p w14:paraId="6908D89F" w14:textId="77777777" w:rsidR="00EB5451" w:rsidRDefault="00EB5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E09FF" w14:textId="77777777" w:rsidR="00450352" w:rsidRPr="00450352" w:rsidRDefault="00450352" w:rsidP="00450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7B5B"/>
    <w:rsid w:val="000578A3"/>
    <w:rsid w:val="000648CC"/>
    <w:rsid w:val="00094F5D"/>
    <w:rsid w:val="000C59B8"/>
    <w:rsid w:val="000C6AF0"/>
    <w:rsid w:val="000D048F"/>
    <w:rsid w:val="000D72DE"/>
    <w:rsid w:val="000E56E1"/>
    <w:rsid w:val="00104F33"/>
    <w:rsid w:val="00111DE2"/>
    <w:rsid w:val="00116B38"/>
    <w:rsid w:val="00120152"/>
    <w:rsid w:val="00135406"/>
    <w:rsid w:val="00135972"/>
    <w:rsid w:val="001414F6"/>
    <w:rsid w:val="001426A9"/>
    <w:rsid w:val="00154D7C"/>
    <w:rsid w:val="001570B0"/>
    <w:rsid w:val="0015752C"/>
    <w:rsid w:val="00157737"/>
    <w:rsid w:val="00165277"/>
    <w:rsid w:val="00170592"/>
    <w:rsid w:val="00186351"/>
    <w:rsid w:val="00195D83"/>
    <w:rsid w:val="001A00C1"/>
    <w:rsid w:val="001B33E0"/>
    <w:rsid w:val="001B4573"/>
    <w:rsid w:val="001C5E8F"/>
    <w:rsid w:val="001C779F"/>
    <w:rsid w:val="001D2AC1"/>
    <w:rsid w:val="001D4E88"/>
    <w:rsid w:val="00220FC2"/>
    <w:rsid w:val="002222F4"/>
    <w:rsid w:val="00224FC0"/>
    <w:rsid w:val="00225EA4"/>
    <w:rsid w:val="00226EAF"/>
    <w:rsid w:val="00231F3A"/>
    <w:rsid w:val="00234199"/>
    <w:rsid w:val="002406EE"/>
    <w:rsid w:val="00243EC8"/>
    <w:rsid w:val="002657AC"/>
    <w:rsid w:val="00270D93"/>
    <w:rsid w:val="002745CC"/>
    <w:rsid w:val="00293C2B"/>
    <w:rsid w:val="002961B6"/>
    <w:rsid w:val="002A141A"/>
    <w:rsid w:val="002B7924"/>
    <w:rsid w:val="002D28C3"/>
    <w:rsid w:val="002D39A4"/>
    <w:rsid w:val="002E6705"/>
    <w:rsid w:val="00300590"/>
    <w:rsid w:val="00301D08"/>
    <w:rsid w:val="0030329A"/>
    <w:rsid w:val="0031086F"/>
    <w:rsid w:val="0031414C"/>
    <w:rsid w:val="00314E01"/>
    <w:rsid w:val="0032089D"/>
    <w:rsid w:val="003208EF"/>
    <w:rsid w:val="003310DE"/>
    <w:rsid w:val="003323B0"/>
    <w:rsid w:val="0034495C"/>
    <w:rsid w:val="0035169A"/>
    <w:rsid w:val="0035259D"/>
    <w:rsid w:val="00364B18"/>
    <w:rsid w:val="00374D07"/>
    <w:rsid w:val="003919F9"/>
    <w:rsid w:val="00393799"/>
    <w:rsid w:val="00397740"/>
    <w:rsid w:val="003A125D"/>
    <w:rsid w:val="003A4C70"/>
    <w:rsid w:val="003B215F"/>
    <w:rsid w:val="003C799C"/>
    <w:rsid w:val="003D0399"/>
    <w:rsid w:val="003E1C71"/>
    <w:rsid w:val="003F327B"/>
    <w:rsid w:val="00406166"/>
    <w:rsid w:val="0040704B"/>
    <w:rsid w:val="00410A55"/>
    <w:rsid w:val="00411300"/>
    <w:rsid w:val="00415417"/>
    <w:rsid w:val="00426659"/>
    <w:rsid w:val="00427A7C"/>
    <w:rsid w:val="00450352"/>
    <w:rsid w:val="00454BDB"/>
    <w:rsid w:val="00464800"/>
    <w:rsid w:val="00465132"/>
    <w:rsid w:val="00480C90"/>
    <w:rsid w:val="0048396F"/>
    <w:rsid w:val="00493C18"/>
    <w:rsid w:val="004A588D"/>
    <w:rsid w:val="004A600C"/>
    <w:rsid w:val="004A6118"/>
    <w:rsid w:val="004C1372"/>
    <w:rsid w:val="004C478D"/>
    <w:rsid w:val="004D4BF1"/>
    <w:rsid w:val="004E2C26"/>
    <w:rsid w:val="004F36FF"/>
    <w:rsid w:val="005125A8"/>
    <w:rsid w:val="00514AE7"/>
    <w:rsid w:val="00521AE8"/>
    <w:rsid w:val="00527180"/>
    <w:rsid w:val="0054201E"/>
    <w:rsid w:val="00555291"/>
    <w:rsid w:val="00561630"/>
    <w:rsid w:val="00562132"/>
    <w:rsid w:val="00566AD1"/>
    <w:rsid w:val="00582D99"/>
    <w:rsid w:val="00583EDE"/>
    <w:rsid w:val="005962FA"/>
    <w:rsid w:val="005A6079"/>
    <w:rsid w:val="005E4698"/>
    <w:rsid w:val="00610539"/>
    <w:rsid w:val="00613969"/>
    <w:rsid w:val="00625C35"/>
    <w:rsid w:val="00656313"/>
    <w:rsid w:val="006565F4"/>
    <w:rsid w:val="006822F7"/>
    <w:rsid w:val="00684EEA"/>
    <w:rsid w:val="0069689B"/>
    <w:rsid w:val="006968B6"/>
    <w:rsid w:val="006A1551"/>
    <w:rsid w:val="006B5FF5"/>
    <w:rsid w:val="006F30AF"/>
    <w:rsid w:val="006F615D"/>
    <w:rsid w:val="00701759"/>
    <w:rsid w:val="00705C15"/>
    <w:rsid w:val="0071600E"/>
    <w:rsid w:val="007208D1"/>
    <w:rsid w:val="00733F35"/>
    <w:rsid w:val="00747288"/>
    <w:rsid w:val="00747DD3"/>
    <w:rsid w:val="007549C8"/>
    <w:rsid w:val="00754A0B"/>
    <w:rsid w:val="00766D14"/>
    <w:rsid w:val="00767A0F"/>
    <w:rsid w:val="007A05F6"/>
    <w:rsid w:val="007B6F4A"/>
    <w:rsid w:val="007C46AB"/>
    <w:rsid w:val="007E1C47"/>
    <w:rsid w:val="007E337A"/>
    <w:rsid w:val="007E5C70"/>
    <w:rsid w:val="007F2FF5"/>
    <w:rsid w:val="007F3F08"/>
    <w:rsid w:val="00804CC6"/>
    <w:rsid w:val="00815D53"/>
    <w:rsid w:val="00817190"/>
    <w:rsid w:val="00820EE5"/>
    <w:rsid w:val="008260E2"/>
    <w:rsid w:val="00826B0C"/>
    <w:rsid w:val="008322BD"/>
    <w:rsid w:val="00833E0A"/>
    <w:rsid w:val="00834F73"/>
    <w:rsid w:val="008430B8"/>
    <w:rsid w:val="00864CF8"/>
    <w:rsid w:val="00870F49"/>
    <w:rsid w:val="00872819"/>
    <w:rsid w:val="00874914"/>
    <w:rsid w:val="00891422"/>
    <w:rsid w:val="00892E1A"/>
    <w:rsid w:val="008A3F29"/>
    <w:rsid w:val="008B660A"/>
    <w:rsid w:val="008C01DA"/>
    <w:rsid w:val="008E37D5"/>
    <w:rsid w:val="008F78E9"/>
    <w:rsid w:val="00911989"/>
    <w:rsid w:val="00916673"/>
    <w:rsid w:val="009179F9"/>
    <w:rsid w:val="00921CC4"/>
    <w:rsid w:val="00933E5E"/>
    <w:rsid w:val="00935218"/>
    <w:rsid w:val="009403F3"/>
    <w:rsid w:val="00946DB4"/>
    <w:rsid w:val="00946FB5"/>
    <w:rsid w:val="009555B7"/>
    <w:rsid w:val="009567AA"/>
    <w:rsid w:val="00967374"/>
    <w:rsid w:val="00975937"/>
    <w:rsid w:val="009821A8"/>
    <w:rsid w:val="009A343A"/>
    <w:rsid w:val="009B2F23"/>
    <w:rsid w:val="009B57B3"/>
    <w:rsid w:val="009C5A1F"/>
    <w:rsid w:val="009C5B92"/>
    <w:rsid w:val="009D2920"/>
    <w:rsid w:val="009D5AEB"/>
    <w:rsid w:val="009F0E33"/>
    <w:rsid w:val="009F4015"/>
    <w:rsid w:val="00A0172B"/>
    <w:rsid w:val="00A030CE"/>
    <w:rsid w:val="00A149DF"/>
    <w:rsid w:val="00A1755C"/>
    <w:rsid w:val="00A21B90"/>
    <w:rsid w:val="00A41805"/>
    <w:rsid w:val="00A42DCD"/>
    <w:rsid w:val="00A52AFB"/>
    <w:rsid w:val="00A548CB"/>
    <w:rsid w:val="00A5521C"/>
    <w:rsid w:val="00A643E7"/>
    <w:rsid w:val="00A73C38"/>
    <w:rsid w:val="00A866A9"/>
    <w:rsid w:val="00AB670D"/>
    <w:rsid w:val="00AE4535"/>
    <w:rsid w:val="00AF03C5"/>
    <w:rsid w:val="00B000D8"/>
    <w:rsid w:val="00B00990"/>
    <w:rsid w:val="00B00F75"/>
    <w:rsid w:val="00B036D9"/>
    <w:rsid w:val="00B145B6"/>
    <w:rsid w:val="00B279EB"/>
    <w:rsid w:val="00B50C81"/>
    <w:rsid w:val="00B557F8"/>
    <w:rsid w:val="00B815FC"/>
    <w:rsid w:val="00B93FBC"/>
    <w:rsid w:val="00BA7DA0"/>
    <w:rsid w:val="00BB2EE4"/>
    <w:rsid w:val="00BC2108"/>
    <w:rsid w:val="00BD0E9E"/>
    <w:rsid w:val="00BD1BEC"/>
    <w:rsid w:val="00BD32FF"/>
    <w:rsid w:val="00BD36EE"/>
    <w:rsid w:val="00BF739C"/>
    <w:rsid w:val="00C02092"/>
    <w:rsid w:val="00C24D91"/>
    <w:rsid w:val="00C4649D"/>
    <w:rsid w:val="00C53F14"/>
    <w:rsid w:val="00C600CF"/>
    <w:rsid w:val="00C6084F"/>
    <w:rsid w:val="00C62A66"/>
    <w:rsid w:val="00C71458"/>
    <w:rsid w:val="00C77613"/>
    <w:rsid w:val="00C77BC1"/>
    <w:rsid w:val="00C828E7"/>
    <w:rsid w:val="00C86719"/>
    <w:rsid w:val="00C921DD"/>
    <w:rsid w:val="00C977BD"/>
    <w:rsid w:val="00CA6391"/>
    <w:rsid w:val="00CC1742"/>
    <w:rsid w:val="00CC34BD"/>
    <w:rsid w:val="00CE161A"/>
    <w:rsid w:val="00CE3171"/>
    <w:rsid w:val="00CF1601"/>
    <w:rsid w:val="00D0172F"/>
    <w:rsid w:val="00D068A7"/>
    <w:rsid w:val="00D17476"/>
    <w:rsid w:val="00D32086"/>
    <w:rsid w:val="00D37A3F"/>
    <w:rsid w:val="00D4431D"/>
    <w:rsid w:val="00D4667A"/>
    <w:rsid w:val="00D63A1C"/>
    <w:rsid w:val="00D7386E"/>
    <w:rsid w:val="00D7516F"/>
    <w:rsid w:val="00D8579F"/>
    <w:rsid w:val="00D95F8E"/>
    <w:rsid w:val="00DA0590"/>
    <w:rsid w:val="00DA06C5"/>
    <w:rsid w:val="00DB7BEA"/>
    <w:rsid w:val="00DC1739"/>
    <w:rsid w:val="00DC1788"/>
    <w:rsid w:val="00DE0CB7"/>
    <w:rsid w:val="00DE319C"/>
    <w:rsid w:val="00DF0CA8"/>
    <w:rsid w:val="00DF2B48"/>
    <w:rsid w:val="00DF49A7"/>
    <w:rsid w:val="00E07EE2"/>
    <w:rsid w:val="00E07FD1"/>
    <w:rsid w:val="00E1685E"/>
    <w:rsid w:val="00E176D8"/>
    <w:rsid w:val="00E24573"/>
    <w:rsid w:val="00E25E1E"/>
    <w:rsid w:val="00E27EE7"/>
    <w:rsid w:val="00E32788"/>
    <w:rsid w:val="00E35404"/>
    <w:rsid w:val="00E45109"/>
    <w:rsid w:val="00E47B7A"/>
    <w:rsid w:val="00E56A44"/>
    <w:rsid w:val="00E60269"/>
    <w:rsid w:val="00E77932"/>
    <w:rsid w:val="00E97830"/>
    <w:rsid w:val="00EB5451"/>
    <w:rsid w:val="00ED0D59"/>
    <w:rsid w:val="00ED485C"/>
    <w:rsid w:val="00EE643C"/>
    <w:rsid w:val="00EF0683"/>
    <w:rsid w:val="00EF69D2"/>
    <w:rsid w:val="00EF766E"/>
    <w:rsid w:val="00F0070C"/>
    <w:rsid w:val="00F00EB7"/>
    <w:rsid w:val="00F360D1"/>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8430B8"/>
    <w:rPr>
      <w:sz w:val="16"/>
      <w:szCs w:val="16"/>
    </w:rPr>
  </w:style>
  <w:style w:type="paragraph" w:styleId="CommentText">
    <w:name w:val="annotation text"/>
    <w:basedOn w:val="Normal"/>
    <w:link w:val="CommentTextChar"/>
    <w:uiPriority w:val="99"/>
    <w:semiHidden/>
    <w:unhideWhenUsed/>
    <w:rsid w:val="008430B8"/>
    <w:rPr>
      <w:sz w:val="20"/>
    </w:rPr>
  </w:style>
  <w:style w:type="character" w:customStyle="1" w:styleId="CommentTextChar">
    <w:name w:val="Comment Text Char"/>
    <w:basedOn w:val="DefaultParagraphFont"/>
    <w:link w:val="CommentText"/>
    <w:uiPriority w:val="99"/>
    <w:semiHidden/>
    <w:rsid w:val="008430B8"/>
  </w:style>
  <w:style w:type="paragraph" w:styleId="CommentSubject">
    <w:name w:val="annotation subject"/>
    <w:basedOn w:val="CommentText"/>
    <w:next w:val="CommentText"/>
    <w:link w:val="CommentSubjectChar"/>
    <w:uiPriority w:val="99"/>
    <w:semiHidden/>
    <w:unhideWhenUsed/>
    <w:rsid w:val="008430B8"/>
    <w:rPr>
      <w:b/>
      <w:bCs/>
    </w:rPr>
  </w:style>
  <w:style w:type="character" w:customStyle="1" w:styleId="CommentSubjectChar">
    <w:name w:val="Comment Subject Char"/>
    <w:basedOn w:val="CommentTextChar"/>
    <w:link w:val="CommentSubject"/>
    <w:uiPriority w:val="99"/>
    <w:semiHidden/>
    <w:rsid w:val="008430B8"/>
    <w:rPr>
      <w:b/>
      <w:bCs/>
    </w:rPr>
  </w:style>
  <w:style w:type="table" w:styleId="TableGrid">
    <w:name w:val="Table Grid"/>
    <w:basedOn w:val="TableNormal"/>
    <w:uiPriority w:val="59"/>
    <w:rsid w:val="00733F3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33F35"/>
    <w:rPr>
      <w:lang w:val="en-CA"/>
    </w:rPr>
  </w:style>
  <w:style w:type="paragraph" w:customStyle="1" w:styleId="SCCLsocPrefix">
    <w:name w:val="SCC.Lsoc.Prefix"/>
    <w:basedOn w:val="Normal"/>
    <w:next w:val="Normal"/>
    <w:link w:val="SCCLsocPrefixChar"/>
    <w:rsid w:val="00733F35"/>
    <w:rPr>
      <w:rFonts w:eastAsiaTheme="minorHAnsi" w:cstheme="minorBidi"/>
      <w:b/>
      <w:smallCaps/>
      <w:szCs w:val="24"/>
      <w:lang w:eastAsia="en-US"/>
    </w:rPr>
  </w:style>
  <w:style w:type="character" w:customStyle="1" w:styleId="SCCLsocPrefixChar">
    <w:name w:val="SCC.Lsoc.Prefix Char"/>
    <w:basedOn w:val="DefaultParagraphFont"/>
    <w:link w:val="SCCLsocPrefix"/>
    <w:rsid w:val="00733F35"/>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7D62C-7299-4FDF-8EA4-160FA526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2021-02-19T14:23:00Z</dcterms:created>
  <dcterms:modified xsi:type="dcterms:W3CDTF">2023-03-04T21:35:00Z</dcterms:modified>
</cp:coreProperties>
</file>