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D5" w:rsidRPr="007612B8" w:rsidRDefault="009710D5" w:rsidP="009710D5">
      <w:pPr>
        <w:tabs>
          <w:tab w:val="center" w:pos="4680"/>
          <w:tab w:val="right" w:pos="9360"/>
        </w:tabs>
        <w:jc w:val="center"/>
        <w:rPr>
          <w:rFonts w:eastAsiaTheme="minorHAnsi" w:cstheme="minorBidi"/>
          <w:szCs w:val="24"/>
          <w:lang w:eastAsia="en-US"/>
        </w:rPr>
      </w:pPr>
      <w:r w:rsidRPr="007612B8">
        <w:rPr>
          <w:rFonts w:eastAsiaTheme="minorHAnsi" w:cstheme="minorBidi"/>
          <w:szCs w:val="24"/>
          <w:lang w:eastAsia="en-US"/>
        </w:rPr>
        <w:ptab w:relativeTo="margin" w:alignment="center" w:leader="none"/>
      </w:r>
      <w:r w:rsidRPr="007612B8">
        <w:rPr>
          <w:rFonts w:eastAsiaTheme="minorHAnsi" w:cstheme="minorBidi"/>
          <w:szCs w:val="24"/>
          <w:lang w:eastAsia="en-US"/>
        </w:rPr>
        <w:t xml:space="preserve"> </w:t>
      </w:r>
      <w:r w:rsidRPr="007612B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7pt" o:ole="">
            <v:imagedata r:id="rId7" o:title=""/>
          </v:shape>
          <o:OLEObject Type="Embed" ProgID="Presentations.Drawing.13" ShapeID="_x0000_i1025" DrawAspect="Content" ObjectID="_1740306557" r:id="rId8"/>
        </w:object>
      </w:r>
      <w:r w:rsidRPr="007612B8">
        <w:rPr>
          <w:rFonts w:eastAsiaTheme="minorHAnsi" w:cstheme="minorBidi"/>
          <w:szCs w:val="24"/>
          <w:lang w:eastAsia="en-US"/>
        </w:rPr>
        <w:t xml:space="preserve"> </w:t>
      </w:r>
      <w:r w:rsidRPr="007612B8">
        <w:rPr>
          <w:rFonts w:eastAsiaTheme="minorHAnsi" w:cstheme="minorBidi"/>
          <w:szCs w:val="24"/>
          <w:lang w:eastAsia="en-US"/>
        </w:rPr>
        <w:ptab w:relativeTo="margin" w:alignment="right" w:leader="none"/>
      </w:r>
    </w:p>
    <w:p w:rsidR="009710D5" w:rsidRPr="007612B8" w:rsidRDefault="009710D5" w:rsidP="009710D5">
      <w:pPr>
        <w:tabs>
          <w:tab w:val="center" w:pos="4680"/>
          <w:tab w:val="right" w:pos="9360"/>
        </w:tabs>
        <w:rPr>
          <w:rFonts w:eastAsiaTheme="minorHAnsi" w:cstheme="minorBidi"/>
          <w:szCs w:val="24"/>
          <w:lang w:eastAsia="en-US"/>
        </w:rPr>
      </w:pPr>
    </w:p>
    <w:p w:rsidR="009710D5" w:rsidRPr="007612B8" w:rsidRDefault="009710D5" w:rsidP="009710D5">
      <w:pPr>
        <w:jc w:val="center"/>
        <w:rPr>
          <w:rFonts w:eastAsiaTheme="minorHAnsi" w:cstheme="minorBidi"/>
          <w:b/>
          <w:szCs w:val="24"/>
          <w:lang w:eastAsia="en-US"/>
        </w:rPr>
      </w:pPr>
      <w:r w:rsidRPr="007612B8">
        <w:rPr>
          <w:rFonts w:eastAsiaTheme="minorHAnsi" w:cstheme="minorBidi"/>
          <w:b/>
          <w:szCs w:val="24"/>
          <w:lang w:eastAsia="en-US"/>
        </w:rPr>
        <w:t>SUPREME COURT OF CANADA</w:t>
      </w:r>
    </w:p>
    <w:p w:rsidR="009710D5" w:rsidRPr="007612B8" w:rsidRDefault="009710D5" w:rsidP="009710D5">
      <w:pPr>
        <w:rPr>
          <w:rFonts w:eastAsiaTheme="minorHAnsi" w:cstheme="minorBidi"/>
          <w:szCs w:val="24"/>
          <w:lang w:eastAsia="en-US"/>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3870"/>
      </w:tblGrid>
      <w:tr w:rsidR="009710D5" w:rsidRPr="007612B8" w:rsidTr="00CC167C">
        <w:trPr>
          <w:cantSplit/>
        </w:trPr>
        <w:tc>
          <w:tcPr>
            <w:tcW w:w="5400" w:type="dxa"/>
          </w:tcPr>
          <w:p w:rsidR="009710D5" w:rsidRPr="007612B8" w:rsidRDefault="009710D5" w:rsidP="00CC167C">
            <w:r w:rsidRPr="007612B8">
              <w:rPr>
                <w:b/>
                <w:smallCaps/>
              </w:rPr>
              <w:t>Citation:</w:t>
            </w:r>
            <w:r w:rsidRPr="007612B8">
              <w:t xml:space="preserve"> R. </w:t>
            </w:r>
            <w:r w:rsidRPr="007612B8">
              <w:rPr>
                <w:i/>
              </w:rPr>
              <w:t>v.</w:t>
            </w:r>
            <w:r w:rsidRPr="007612B8">
              <w:t xml:space="preserve"> </w:t>
            </w:r>
            <w:proofErr w:type="spellStart"/>
            <w:r w:rsidRPr="007612B8">
              <w:t>Thanabalasingham</w:t>
            </w:r>
            <w:proofErr w:type="spellEnd"/>
            <w:r w:rsidRPr="007612B8">
              <w:t>, 2020 SCC 18</w:t>
            </w:r>
            <w:r>
              <w:t>, [2020] 2 S.C.R. 413</w:t>
            </w:r>
          </w:p>
        </w:tc>
        <w:tc>
          <w:tcPr>
            <w:tcW w:w="3870" w:type="dxa"/>
          </w:tcPr>
          <w:p w:rsidR="009710D5" w:rsidRPr="007612B8" w:rsidRDefault="009710D5" w:rsidP="00CC167C">
            <w:r w:rsidRPr="007612B8">
              <w:rPr>
                <w:b/>
                <w:smallCaps/>
              </w:rPr>
              <w:t>Appeal Heard:</w:t>
            </w:r>
            <w:r w:rsidRPr="007612B8">
              <w:t xml:space="preserve"> June 10, 2020</w:t>
            </w:r>
          </w:p>
          <w:p w:rsidR="009710D5" w:rsidRPr="007612B8" w:rsidRDefault="009710D5" w:rsidP="00CC167C">
            <w:r w:rsidRPr="007612B8">
              <w:rPr>
                <w:b/>
                <w:smallCaps/>
              </w:rPr>
              <w:t>Judgment Rendered:</w:t>
            </w:r>
            <w:r w:rsidRPr="007612B8">
              <w:t xml:space="preserve"> July 17, 2020</w:t>
            </w:r>
          </w:p>
          <w:p w:rsidR="009710D5" w:rsidRPr="007612B8" w:rsidRDefault="009710D5" w:rsidP="00CC167C">
            <w:r w:rsidRPr="007612B8">
              <w:rPr>
                <w:b/>
                <w:smallCaps/>
              </w:rPr>
              <w:t>Docket:</w:t>
            </w:r>
            <w:r w:rsidRPr="007612B8">
              <w:t xml:space="preserve"> 37984</w:t>
            </w:r>
          </w:p>
        </w:tc>
      </w:tr>
    </w:tbl>
    <w:p w:rsidR="009710D5" w:rsidRPr="007612B8" w:rsidRDefault="009710D5" w:rsidP="009710D5">
      <w:pPr>
        <w:rPr>
          <w:rFonts w:eastAsiaTheme="minorHAnsi" w:cstheme="minorBidi"/>
          <w:szCs w:val="24"/>
          <w:lang w:eastAsia="en-US"/>
        </w:rPr>
      </w:pPr>
    </w:p>
    <w:p w:rsidR="009710D5" w:rsidRPr="007612B8" w:rsidRDefault="009710D5" w:rsidP="009710D5">
      <w:pPr>
        <w:rPr>
          <w:rFonts w:eastAsiaTheme="minorHAnsi" w:cstheme="minorBidi"/>
          <w:b/>
          <w:smallCaps/>
          <w:szCs w:val="24"/>
          <w:lang w:eastAsia="en-US"/>
        </w:rPr>
      </w:pPr>
      <w:r w:rsidRPr="007612B8">
        <w:rPr>
          <w:rFonts w:eastAsiaTheme="minorHAnsi" w:cstheme="minorBidi"/>
          <w:b/>
          <w:smallCaps/>
          <w:szCs w:val="24"/>
          <w:lang w:eastAsia="en-US"/>
        </w:rPr>
        <w:t>Between:</w:t>
      </w:r>
    </w:p>
    <w:p w:rsidR="009710D5" w:rsidRPr="007612B8" w:rsidRDefault="009710D5" w:rsidP="009710D5">
      <w:pPr>
        <w:jc w:val="center"/>
        <w:rPr>
          <w:rFonts w:eastAsiaTheme="minorHAnsi" w:cstheme="minorBidi"/>
          <w:b/>
          <w:szCs w:val="24"/>
          <w:lang w:eastAsia="en-US"/>
        </w:rPr>
      </w:pPr>
      <w:r w:rsidRPr="007612B8">
        <w:rPr>
          <w:rFonts w:eastAsiaTheme="minorHAnsi" w:cstheme="minorBidi"/>
          <w:b/>
          <w:szCs w:val="24"/>
          <w:lang w:eastAsia="en-US"/>
        </w:rPr>
        <w:t xml:space="preserve">Her Majesty </w:t>
      </w:r>
      <w:proofErr w:type="gramStart"/>
      <w:r w:rsidRPr="007612B8">
        <w:rPr>
          <w:rFonts w:eastAsiaTheme="minorHAnsi" w:cstheme="minorBidi"/>
          <w:b/>
          <w:szCs w:val="24"/>
          <w:lang w:eastAsia="en-US"/>
        </w:rPr>
        <w:t>The</w:t>
      </w:r>
      <w:proofErr w:type="gramEnd"/>
      <w:r w:rsidRPr="007612B8">
        <w:rPr>
          <w:rFonts w:eastAsiaTheme="minorHAnsi" w:cstheme="minorBidi"/>
          <w:b/>
          <w:szCs w:val="24"/>
          <w:lang w:eastAsia="en-US"/>
        </w:rPr>
        <w:t xml:space="preserve"> Queen</w:t>
      </w:r>
    </w:p>
    <w:p w:rsidR="009710D5" w:rsidRPr="007612B8" w:rsidRDefault="009710D5" w:rsidP="009710D5">
      <w:pPr>
        <w:jc w:val="center"/>
        <w:rPr>
          <w:rFonts w:eastAsiaTheme="minorHAnsi" w:cstheme="minorBidi"/>
          <w:szCs w:val="24"/>
          <w:lang w:eastAsia="en-US"/>
        </w:rPr>
      </w:pPr>
      <w:r w:rsidRPr="007612B8">
        <w:rPr>
          <w:rFonts w:eastAsiaTheme="minorHAnsi" w:cstheme="minorBidi"/>
          <w:szCs w:val="24"/>
          <w:lang w:eastAsia="en-US"/>
        </w:rPr>
        <w:t>Appellant</w:t>
      </w:r>
    </w:p>
    <w:p w:rsidR="009710D5" w:rsidRPr="007612B8" w:rsidRDefault="009710D5" w:rsidP="009710D5">
      <w:pPr>
        <w:jc w:val="center"/>
        <w:rPr>
          <w:rFonts w:eastAsiaTheme="minorHAnsi" w:cstheme="minorBidi"/>
          <w:szCs w:val="24"/>
          <w:lang w:eastAsia="en-US"/>
        </w:rPr>
      </w:pPr>
    </w:p>
    <w:p w:rsidR="009710D5" w:rsidRPr="007612B8" w:rsidRDefault="009710D5" w:rsidP="009710D5">
      <w:pPr>
        <w:jc w:val="center"/>
        <w:rPr>
          <w:rFonts w:eastAsiaTheme="minorHAnsi" w:cstheme="minorBidi"/>
          <w:szCs w:val="24"/>
          <w:lang w:eastAsia="en-US"/>
        </w:rPr>
      </w:pPr>
      <w:proofErr w:type="gramStart"/>
      <w:r w:rsidRPr="007612B8">
        <w:rPr>
          <w:rFonts w:eastAsiaTheme="minorHAnsi" w:cstheme="minorBidi"/>
          <w:szCs w:val="24"/>
          <w:lang w:eastAsia="en-US"/>
        </w:rPr>
        <w:t>and</w:t>
      </w:r>
      <w:proofErr w:type="gramEnd"/>
    </w:p>
    <w:p w:rsidR="009710D5" w:rsidRPr="007612B8" w:rsidRDefault="009710D5" w:rsidP="009710D5">
      <w:pPr>
        <w:rPr>
          <w:rFonts w:eastAsiaTheme="minorHAnsi" w:cstheme="minorBidi"/>
          <w:szCs w:val="24"/>
          <w:lang w:eastAsia="en-US"/>
        </w:rPr>
      </w:pPr>
    </w:p>
    <w:p w:rsidR="009710D5" w:rsidRPr="007612B8" w:rsidRDefault="009710D5" w:rsidP="009710D5">
      <w:pPr>
        <w:jc w:val="center"/>
        <w:rPr>
          <w:rFonts w:eastAsiaTheme="minorHAnsi" w:cstheme="minorBidi"/>
          <w:b/>
          <w:szCs w:val="24"/>
          <w:lang w:eastAsia="en-US"/>
        </w:rPr>
      </w:pPr>
      <w:proofErr w:type="spellStart"/>
      <w:r w:rsidRPr="007612B8">
        <w:rPr>
          <w:rFonts w:eastAsiaTheme="minorHAnsi" w:cstheme="minorBidi"/>
          <w:b/>
          <w:szCs w:val="24"/>
          <w:lang w:eastAsia="en-US"/>
        </w:rPr>
        <w:t>Sivaloganathan</w:t>
      </w:r>
      <w:proofErr w:type="spellEnd"/>
      <w:r w:rsidRPr="007612B8">
        <w:rPr>
          <w:rFonts w:eastAsiaTheme="minorHAnsi" w:cstheme="minorBidi"/>
          <w:b/>
          <w:szCs w:val="24"/>
          <w:lang w:eastAsia="en-US"/>
        </w:rPr>
        <w:t xml:space="preserve"> </w:t>
      </w:r>
      <w:proofErr w:type="spellStart"/>
      <w:r w:rsidRPr="007612B8">
        <w:rPr>
          <w:rFonts w:eastAsiaTheme="minorHAnsi" w:cstheme="minorBidi"/>
          <w:b/>
          <w:szCs w:val="24"/>
          <w:lang w:eastAsia="en-US"/>
        </w:rPr>
        <w:t>Thanabalasingham</w:t>
      </w:r>
      <w:proofErr w:type="spellEnd"/>
    </w:p>
    <w:p w:rsidR="009710D5" w:rsidRPr="007612B8" w:rsidRDefault="009710D5" w:rsidP="009710D5">
      <w:pPr>
        <w:jc w:val="center"/>
        <w:rPr>
          <w:rFonts w:eastAsiaTheme="minorHAnsi" w:cstheme="minorBidi"/>
          <w:szCs w:val="24"/>
          <w:lang w:eastAsia="en-US"/>
        </w:rPr>
      </w:pPr>
      <w:r w:rsidRPr="007612B8">
        <w:rPr>
          <w:rFonts w:eastAsiaTheme="minorHAnsi" w:cstheme="minorBidi"/>
          <w:szCs w:val="24"/>
          <w:lang w:eastAsia="en-US"/>
        </w:rPr>
        <w:t>Respondent</w:t>
      </w:r>
    </w:p>
    <w:p w:rsidR="009710D5" w:rsidRPr="007612B8" w:rsidRDefault="009710D5" w:rsidP="009710D5">
      <w:pPr>
        <w:rPr>
          <w:rFonts w:eastAsiaTheme="minorHAnsi" w:cstheme="minorBidi"/>
          <w:szCs w:val="24"/>
          <w:lang w:eastAsia="en-US"/>
        </w:rPr>
      </w:pPr>
    </w:p>
    <w:p w:rsidR="009710D5" w:rsidRPr="007612B8" w:rsidRDefault="009710D5" w:rsidP="009710D5">
      <w:pPr>
        <w:rPr>
          <w:rFonts w:eastAsiaTheme="minorHAnsi" w:cstheme="minorBidi"/>
          <w:szCs w:val="24"/>
          <w:lang w:eastAsia="en-US"/>
        </w:rPr>
      </w:pPr>
    </w:p>
    <w:p w:rsidR="009710D5" w:rsidRPr="007612B8" w:rsidRDefault="009710D5" w:rsidP="009710D5">
      <w:pPr>
        <w:rPr>
          <w:rFonts w:eastAsiaTheme="minorHAnsi" w:cstheme="minorBidi"/>
          <w:szCs w:val="24"/>
          <w:lang w:eastAsia="en-US"/>
        </w:rPr>
      </w:pPr>
      <w:r w:rsidRPr="007612B8">
        <w:rPr>
          <w:rFonts w:eastAsiaTheme="minorHAnsi" w:cstheme="minorBidi"/>
          <w:b/>
          <w:smallCaps/>
          <w:szCs w:val="24"/>
          <w:lang w:eastAsia="en-US"/>
        </w:rPr>
        <w:t>Coram:</w:t>
      </w:r>
      <w:r w:rsidRPr="007612B8">
        <w:rPr>
          <w:rFonts w:eastAsiaTheme="minorHAnsi" w:cstheme="minorBidi"/>
          <w:szCs w:val="24"/>
          <w:lang w:eastAsia="en-US"/>
        </w:rPr>
        <w:t xml:space="preserve"> Wagner C.J. and </w:t>
      </w:r>
      <w:proofErr w:type="spellStart"/>
      <w:r w:rsidRPr="007612B8">
        <w:rPr>
          <w:rFonts w:eastAsiaTheme="minorHAnsi" w:cstheme="minorBidi"/>
          <w:szCs w:val="24"/>
          <w:lang w:eastAsia="en-US"/>
        </w:rPr>
        <w:t>Abella</w:t>
      </w:r>
      <w:proofErr w:type="spellEnd"/>
      <w:r w:rsidRPr="007612B8">
        <w:rPr>
          <w:rFonts w:eastAsiaTheme="minorHAnsi" w:cstheme="minorBidi"/>
          <w:szCs w:val="24"/>
          <w:lang w:eastAsia="en-US"/>
        </w:rPr>
        <w:t xml:space="preserve">, </w:t>
      </w:r>
      <w:proofErr w:type="spellStart"/>
      <w:r w:rsidRPr="007612B8">
        <w:rPr>
          <w:rFonts w:eastAsiaTheme="minorHAnsi" w:cstheme="minorBidi"/>
          <w:szCs w:val="24"/>
          <w:lang w:eastAsia="en-US"/>
        </w:rPr>
        <w:t>Moldaver</w:t>
      </w:r>
      <w:proofErr w:type="spellEnd"/>
      <w:r w:rsidRPr="007612B8">
        <w:rPr>
          <w:rFonts w:eastAsiaTheme="minorHAnsi" w:cstheme="minorBidi"/>
          <w:szCs w:val="24"/>
          <w:lang w:eastAsia="en-US"/>
        </w:rPr>
        <w:t xml:space="preserve">, </w:t>
      </w:r>
      <w:proofErr w:type="spellStart"/>
      <w:r w:rsidRPr="007612B8">
        <w:rPr>
          <w:rFonts w:eastAsiaTheme="minorHAnsi" w:cstheme="minorBidi"/>
          <w:szCs w:val="24"/>
          <w:lang w:eastAsia="en-US"/>
        </w:rPr>
        <w:t>Karakatsanis</w:t>
      </w:r>
      <w:proofErr w:type="spellEnd"/>
      <w:r w:rsidRPr="007612B8">
        <w:rPr>
          <w:rFonts w:eastAsiaTheme="minorHAnsi" w:cstheme="minorBidi"/>
          <w:szCs w:val="24"/>
          <w:lang w:eastAsia="en-US"/>
        </w:rPr>
        <w:t xml:space="preserve">, Côté, Brown, Rowe, Martin and </w:t>
      </w:r>
      <w:proofErr w:type="spellStart"/>
      <w:r w:rsidRPr="007612B8">
        <w:rPr>
          <w:rFonts w:eastAsiaTheme="minorHAnsi" w:cstheme="minorBidi"/>
          <w:szCs w:val="24"/>
          <w:lang w:eastAsia="en-US"/>
        </w:rPr>
        <w:t>Kasirer</w:t>
      </w:r>
      <w:proofErr w:type="spellEnd"/>
      <w:r w:rsidRPr="007612B8">
        <w:rPr>
          <w:rFonts w:eastAsiaTheme="minorHAnsi" w:cstheme="minorBidi"/>
          <w:szCs w:val="24"/>
          <w:lang w:eastAsia="en-US"/>
        </w:rPr>
        <w:t> </w:t>
      </w:r>
      <w:proofErr w:type="spellStart"/>
      <w:r w:rsidRPr="007612B8">
        <w:rPr>
          <w:rFonts w:eastAsiaTheme="minorHAnsi" w:cstheme="minorBidi"/>
          <w:szCs w:val="24"/>
          <w:lang w:eastAsia="en-US"/>
        </w:rPr>
        <w:t>JJ</w:t>
      </w:r>
      <w:proofErr w:type="spellEnd"/>
      <w:r w:rsidRPr="007612B8">
        <w:rPr>
          <w:rFonts w:eastAsiaTheme="minorHAnsi" w:cstheme="minorBidi"/>
          <w:szCs w:val="24"/>
          <w:lang w:eastAsia="en-US"/>
        </w:rPr>
        <w:t>.</w:t>
      </w:r>
    </w:p>
    <w:p w:rsidR="009710D5" w:rsidRPr="007612B8" w:rsidRDefault="009710D5" w:rsidP="009710D5">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710D5" w:rsidRPr="007612B8" w:rsidTr="00CC167C">
        <w:trPr>
          <w:cantSplit/>
        </w:trPr>
        <w:tc>
          <w:tcPr>
            <w:tcW w:w="3618" w:type="dxa"/>
          </w:tcPr>
          <w:p w:rsidR="009710D5" w:rsidRPr="007612B8" w:rsidRDefault="009710D5" w:rsidP="00CC167C">
            <w:pPr>
              <w:rPr>
                <w:b/>
                <w:smallCaps/>
              </w:rPr>
            </w:pPr>
            <w:r w:rsidRPr="007612B8">
              <w:rPr>
                <w:b/>
                <w:smallCaps/>
              </w:rPr>
              <w:t>Reasons for Judgment:</w:t>
            </w:r>
          </w:p>
          <w:p w:rsidR="009710D5" w:rsidRPr="007612B8" w:rsidRDefault="009710D5" w:rsidP="00CC167C">
            <w:r w:rsidRPr="007612B8">
              <w:t>(paras. 1 to 10)</w:t>
            </w:r>
          </w:p>
        </w:tc>
        <w:tc>
          <w:tcPr>
            <w:tcW w:w="5958" w:type="dxa"/>
          </w:tcPr>
          <w:p w:rsidR="009710D5" w:rsidRPr="007612B8" w:rsidRDefault="009710D5" w:rsidP="00CC167C">
            <w:r w:rsidRPr="007612B8">
              <w:t>The Court</w:t>
            </w:r>
          </w:p>
        </w:tc>
      </w:tr>
    </w:tbl>
    <w:p w:rsidR="009710D5" w:rsidRPr="007612B8" w:rsidRDefault="009710D5" w:rsidP="009710D5">
      <w:pPr>
        <w:rPr>
          <w:rFonts w:eastAsiaTheme="minorHAnsi" w:cstheme="minorBidi"/>
          <w:szCs w:val="24"/>
          <w:lang w:eastAsia="en-US"/>
        </w:rPr>
      </w:pPr>
    </w:p>
    <w:p w:rsidR="009710D5" w:rsidRPr="007612B8" w:rsidRDefault="009710D5" w:rsidP="009710D5">
      <w:pPr>
        <w:rPr>
          <w:rFonts w:eastAsiaTheme="minorHAnsi" w:cstheme="minorBidi"/>
          <w:szCs w:val="24"/>
          <w:lang w:eastAsia="en-US"/>
        </w:rPr>
      </w:pPr>
      <w:r w:rsidRPr="007612B8">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114A9FE1" wp14:editId="76E42E9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F159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710D5" w:rsidRDefault="009710D5" w:rsidP="009710D5">
      <w:pPr>
        <w:rPr>
          <w:rStyle w:val="SCCAppellantForRunningHeadChar"/>
        </w:rPr>
      </w:pPr>
      <w:r>
        <w:rPr>
          <w:rStyle w:val="SCCAppellantForRunningHeadChar"/>
        </w:rPr>
        <w:br w:type="page"/>
      </w:r>
    </w:p>
    <w:p w:rsidR="00F6401C" w:rsidRPr="000D6EA9" w:rsidRDefault="00112642" w:rsidP="008A4FC5">
      <w:pPr>
        <w:pStyle w:val="SCCLsocLastPartyInRole"/>
      </w:pPr>
      <w:bookmarkStart w:id="0" w:name="_GoBack"/>
      <w:bookmarkEnd w:id="0"/>
      <w:r w:rsidRPr="000D6EA9">
        <w:lastRenderedPageBreak/>
        <w:t>Her Majesty T</w:t>
      </w:r>
      <w:r w:rsidR="0008407A" w:rsidRPr="000D6EA9">
        <w:t>he Queen</w:t>
      </w:r>
      <w:r w:rsidR="0008407A" w:rsidRPr="000D6EA9">
        <w:rPr>
          <w:rStyle w:val="SCCLsocPartyRole"/>
        </w:rPr>
        <w:tab/>
        <w:t>Appellant</w:t>
      </w:r>
    </w:p>
    <w:p w:rsidR="00F6401C" w:rsidRPr="000D6EA9" w:rsidRDefault="0008407A" w:rsidP="008A4FC5">
      <w:pPr>
        <w:pStyle w:val="SCCLsocVersus"/>
      </w:pPr>
      <w:proofErr w:type="gramStart"/>
      <w:r w:rsidRPr="000D6EA9">
        <w:t>v</w:t>
      </w:r>
      <w:proofErr w:type="gramEnd"/>
      <w:r w:rsidRPr="000D6EA9">
        <w:t>.</w:t>
      </w:r>
    </w:p>
    <w:p w:rsidR="00F6401C" w:rsidRPr="000D6EA9" w:rsidRDefault="0008407A" w:rsidP="008A4FC5">
      <w:pPr>
        <w:pStyle w:val="SCCLsocLastPartyInRole"/>
      </w:pPr>
      <w:r w:rsidRPr="000D6EA9">
        <w:t>Sivaloganathan Thanabalasingham</w:t>
      </w:r>
      <w:r w:rsidRPr="000D6EA9">
        <w:rPr>
          <w:rStyle w:val="SCCLsocPartyRole"/>
        </w:rPr>
        <w:tab/>
        <w:t>Respondent</w:t>
      </w:r>
    </w:p>
    <w:p w:rsidR="00426659" w:rsidRPr="000D6EA9" w:rsidRDefault="00426659" w:rsidP="008A4FC5">
      <w:pPr>
        <w:spacing w:after="720"/>
        <w:jc w:val="both"/>
        <w:rPr>
          <w:b/>
        </w:rPr>
      </w:pPr>
      <w:r w:rsidRPr="000D6EA9">
        <w:rPr>
          <w:b/>
        </w:rPr>
        <w:t>Indexed as:</w:t>
      </w:r>
      <w:r w:rsidR="00112642" w:rsidRPr="000D6EA9">
        <w:rPr>
          <w:b/>
        </w:rPr>
        <w:t xml:space="preserve"> </w:t>
      </w:r>
      <w:r w:rsidRPr="000D6EA9">
        <w:rPr>
          <w:rStyle w:val="SCCAppellantForIndexChar"/>
        </w:rPr>
        <w:t>R.</w:t>
      </w:r>
      <w:r w:rsidRPr="000D6EA9">
        <w:rPr>
          <w:b/>
        </w:rPr>
        <w:t xml:space="preserve"> </w:t>
      </w:r>
      <w:r w:rsidRPr="000D6EA9">
        <w:rPr>
          <w:b/>
          <w:i/>
        </w:rPr>
        <w:t>v.</w:t>
      </w:r>
      <w:r w:rsidRPr="000D6EA9">
        <w:rPr>
          <w:b/>
        </w:rPr>
        <w:t xml:space="preserve"> </w:t>
      </w:r>
      <w:r w:rsidRPr="000D6EA9">
        <w:rPr>
          <w:rStyle w:val="SCCRespondentForIndexChar"/>
        </w:rPr>
        <w:t>Thanabalasingham</w:t>
      </w:r>
    </w:p>
    <w:p w:rsidR="00426659" w:rsidRPr="000D6EA9" w:rsidRDefault="00AE4535" w:rsidP="008A4FC5">
      <w:pPr>
        <w:pStyle w:val="SCCSystemYear"/>
        <w:spacing w:after="720"/>
        <w:jc w:val="both"/>
      </w:pPr>
      <w:r w:rsidRPr="000D6EA9">
        <w:t>2020</w:t>
      </w:r>
      <w:r w:rsidR="003D0399" w:rsidRPr="000D6EA9">
        <w:t xml:space="preserve"> </w:t>
      </w:r>
      <w:r w:rsidR="00426659" w:rsidRPr="000D6EA9">
        <w:t>SCC </w:t>
      </w:r>
      <w:r w:rsidR="002805E8" w:rsidRPr="000D6EA9">
        <w:t>18</w:t>
      </w:r>
    </w:p>
    <w:p w:rsidR="008322BD" w:rsidRPr="000D6EA9" w:rsidRDefault="008B3C78" w:rsidP="008A4FC5">
      <w:pPr>
        <w:spacing w:after="720"/>
        <w:jc w:val="both"/>
      </w:pPr>
      <w:r w:rsidRPr="000D6EA9">
        <w:t xml:space="preserve">File No.: </w:t>
      </w:r>
      <w:r w:rsidR="009B57B3" w:rsidRPr="000D6EA9">
        <w:t>37984.</w:t>
      </w:r>
    </w:p>
    <w:p w:rsidR="008322BD" w:rsidRPr="000D6EA9" w:rsidRDefault="00112642" w:rsidP="008A4FC5">
      <w:pPr>
        <w:spacing w:after="720"/>
        <w:jc w:val="both"/>
      </w:pPr>
      <w:r w:rsidRPr="000D6EA9">
        <w:t>20</w:t>
      </w:r>
      <w:r w:rsidR="006002D9" w:rsidRPr="000D6EA9">
        <w:t>20</w:t>
      </w:r>
      <w:r w:rsidR="008A4FC5" w:rsidRPr="000D6EA9">
        <w:t>: </w:t>
      </w:r>
      <w:r w:rsidR="006002D9" w:rsidRPr="000D6EA9">
        <w:t>June</w:t>
      </w:r>
      <w:r w:rsidR="008A4FC5" w:rsidRPr="000D6EA9">
        <w:t> </w:t>
      </w:r>
      <w:r w:rsidR="00AE4535" w:rsidRPr="000D6EA9">
        <w:t>1</w:t>
      </w:r>
      <w:r w:rsidR="006002D9" w:rsidRPr="000D6EA9">
        <w:t>0</w:t>
      </w:r>
      <w:r w:rsidRPr="000D6EA9">
        <w:t>;</w:t>
      </w:r>
      <w:r w:rsidR="008A4FC5" w:rsidRPr="000D6EA9">
        <w:t xml:space="preserve"> 2020: July </w:t>
      </w:r>
      <w:r w:rsidR="008F11C2" w:rsidRPr="000D6EA9">
        <w:t>17</w:t>
      </w:r>
      <w:r w:rsidR="009B57B3" w:rsidRPr="000D6EA9">
        <w:t>.</w:t>
      </w:r>
    </w:p>
    <w:p w:rsidR="008322BD" w:rsidRPr="000D6EA9" w:rsidRDefault="008B3C78" w:rsidP="008A4FC5">
      <w:pPr>
        <w:spacing w:after="720"/>
        <w:jc w:val="both"/>
      </w:pPr>
      <w:r w:rsidRPr="000D6EA9">
        <w:t>Present:</w:t>
      </w:r>
      <w:r w:rsidR="009B57B3" w:rsidRPr="000D6EA9">
        <w:t xml:space="preserve"> Wagner C.J. and Abella, Moldaver, Karakatsanis, Côté, Brown, Rowe</w:t>
      </w:r>
      <w:r w:rsidR="006002D9" w:rsidRPr="000D6EA9">
        <w:t>,</w:t>
      </w:r>
      <w:r w:rsidR="009B57B3" w:rsidRPr="000D6EA9">
        <w:t xml:space="preserve"> Martin</w:t>
      </w:r>
      <w:r w:rsidR="006002D9" w:rsidRPr="000D6EA9">
        <w:t xml:space="preserve"> and Kasirer</w:t>
      </w:r>
      <w:r w:rsidR="009B57B3" w:rsidRPr="000D6EA9">
        <w:t> JJ.</w:t>
      </w:r>
    </w:p>
    <w:p w:rsidR="008322BD" w:rsidRPr="000D6EA9" w:rsidRDefault="00656313" w:rsidP="008A4FC5">
      <w:pPr>
        <w:spacing w:after="720"/>
        <w:jc w:val="both"/>
        <w:rPr>
          <w:smallCaps/>
        </w:rPr>
      </w:pPr>
      <w:r w:rsidRPr="000D6EA9">
        <w:rPr>
          <w:smallCaps/>
        </w:rPr>
        <w:t>o</w:t>
      </w:r>
      <w:r w:rsidR="00170592" w:rsidRPr="000D6EA9">
        <w:rPr>
          <w:smallCaps/>
        </w:rPr>
        <w:t>n</w:t>
      </w:r>
      <w:r w:rsidR="00224FC0" w:rsidRPr="000D6EA9">
        <w:rPr>
          <w:smallCaps/>
        </w:rPr>
        <w:t xml:space="preserve"> </w:t>
      </w:r>
      <w:r w:rsidRPr="000D6EA9">
        <w:rPr>
          <w:smallCaps/>
        </w:rPr>
        <w:t>a</w:t>
      </w:r>
      <w:r w:rsidR="00170592" w:rsidRPr="000D6EA9">
        <w:rPr>
          <w:smallCaps/>
        </w:rPr>
        <w:t>ppeal</w:t>
      </w:r>
      <w:r w:rsidR="00224FC0" w:rsidRPr="000D6EA9">
        <w:rPr>
          <w:smallCaps/>
        </w:rPr>
        <w:t xml:space="preserve"> </w:t>
      </w:r>
      <w:r w:rsidR="00170592" w:rsidRPr="000D6EA9">
        <w:rPr>
          <w:smallCaps/>
        </w:rPr>
        <w:t>from</w:t>
      </w:r>
      <w:r w:rsidR="009567AA" w:rsidRPr="000D6EA9">
        <w:rPr>
          <w:smallCaps/>
        </w:rPr>
        <w:t xml:space="preserve"> the</w:t>
      </w:r>
      <w:r w:rsidR="00224FC0" w:rsidRPr="000D6EA9">
        <w:rPr>
          <w:smallCaps/>
        </w:rPr>
        <w:t xml:space="preserve"> </w:t>
      </w:r>
      <w:r w:rsidR="003F0EA2" w:rsidRPr="000D6EA9">
        <w:rPr>
          <w:smallCaps/>
        </w:rPr>
        <w:t xml:space="preserve">court of appeal </w:t>
      </w:r>
      <w:r w:rsidR="009B57B3" w:rsidRPr="000D6EA9">
        <w:rPr>
          <w:smallCaps/>
        </w:rPr>
        <w:t>f</w:t>
      </w:r>
      <w:r w:rsidR="003F0EA2" w:rsidRPr="000D6EA9">
        <w:rPr>
          <w:smallCaps/>
        </w:rPr>
        <w:t>or</w:t>
      </w:r>
      <w:r w:rsidR="00BE1544">
        <w:rPr>
          <w:smallCaps/>
        </w:rPr>
        <w:t xml:space="preserve"> </w:t>
      </w:r>
      <w:proofErr w:type="spellStart"/>
      <w:r w:rsidR="00BE1544">
        <w:rPr>
          <w:smallCaps/>
        </w:rPr>
        <w:t>quebec</w:t>
      </w:r>
      <w:proofErr w:type="spellEnd"/>
    </w:p>
    <w:p w:rsidR="006772A2" w:rsidRPr="00BE1544" w:rsidRDefault="006772A2" w:rsidP="006772A2">
      <w:pPr>
        <w:pStyle w:val="SCCNormalDoubleSpacing"/>
        <w:spacing w:after="480"/>
      </w:pPr>
      <w:r w:rsidRPr="000D6EA9">
        <w:tab/>
      </w:r>
      <w:r w:rsidRPr="000D6EA9">
        <w:rPr>
          <w:i/>
        </w:rPr>
        <w:t>Constitutional law — Charter of Rights — Right to be tried within a reasonable time — Accused charged with second degree murder in death of spouse — Delay of almost five years between charge and anticipated end of trial — Whether accused’s right to be tried within reasonable time under s. 11(b) of the Canadian Charter of Rights and Freedoms infringed — Framework for determining s. 11(b) infringe</w:t>
      </w:r>
      <w:r w:rsidR="00BE1544">
        <w:rPr>
          <w:i/>
        </w:rPr>
        <w:t>ment set out in Jordan applied.</w:t>
      </w:r>
    </w:p>
    <w:p w:rsidR="006772A2" w:rsidRPr="000D6EA9" w:rsidRDefault="006772A2" w:rsidP="006772A2">
      <w:pPr>
        <w:pStyle w:val="SCCNormalDoubleSpacing"/>
        <w:spacing w:after="480"/>
      </w:pPr>
      <w:r w:rsidRPr="000D6EA9">
        <w:rPr>
          <w:i/>
        </w:rPr>
        <w:lastRenderedPageBreak/>
        <w:tab/>
      </w:r>
      <w:r w:rsidRPr="000D6EA9">
        <w:t>T was charged with the second degree murder of his spouse in August 2012. The preliminary hearing lasted more than a year. In June 2015, T’s trial was scheduled for February 2018, but it was later rescheduled to proceed in April 2017. Shortly before his trial, T brought a motion for a stay of proceedings pursuant to s. 11(</w:t>
      </w:r>
      <w:r w:rsidRPr="000D6EA9">
        <w:rPr>
          <w:i/>
        </w:rPr>
        <w:t>b</w:t>
      </w:r>
      <w:r w:rsidRPr="000D6EA9">
        <w:t xml:space="preserve">) of the </w:t>
      </w:r>
      <w:r w:rsidRPr="000D6EA9">
        <w:rPr>
          <w:i/>
        </w:rPr>
        <w:t>Charter</w:t>
      </w:r>
      <w:r w:rsidRPr="000D6EA9">
        <w:t>. The trial judge ordered the stay. The Court of Appeal upheld the trial judge’s order.</w:t>
      </w:r>
    </w:p>
    <w:p w:rsidR="006772A2" w:rsidRPr="000D6EA9" w:rsidRDefault="006772A2" w:rsidP="008A4FC5">
      <w:pPr>
        <w:pStyle w:val="SCCNormalDoubleSpacing"/>
        <w:spacing w:after="720" w:line="240" w:lineRule="auto"/>
      </w:pPr>
      <w:r w:rsidRPr="000D6EA9">
        <w:tab/>
      </w:r>
      <w:r w:rsidRPr="000D6EA9">
        <w:rPr>
          <w:rStyle w:val="QuoteChar"/>
          <w:color w:val="auto"/>
          <w:lang w:val="en-CA"/>
        </w:rPr>
        <w:t>Held</w:t>
      </w:r>
      <w:r w:rsidRPr="000D6EA9">
        <w:rPr>
          <w:rStyle w:val="QuoteChar"/>
          <w:i w:val="0"/>
          <w:color w:val="auto"/>
          <w:lang w:val="en-CA"/>
        </w:rPr>
        <w:t>:</w:t>
      </w:r>
      <w:r w:rsidRPr="000D6EA9">
        <w:t xml:space="preserve"> The appeal should be dismissed.</w:t>
      </w:r>
    </w:p>
    <w:p w:rsidR="006772A2" w:rsidRPr="000D6EA9" w:rsidRDefault="006772A2" w:rsidP="00BD27A1">
      <w:pPr>
        <w:pStyle w:val="SCCNormalDoubleSpacing"/>
        <w:spacing w:after="480"/>
        <w:rPr>
          <w:lang w:val="en-US"/>
        </w:rPr>
      </w:pPr>
      <w:r w:rsidRPr="000D6EA9">
        <w:tab/>
      </w:r>
      <w:r w:rsidRPr="000D6EA9">
        <w:rPr>
          <w:lang w:val="en-US"/>
        </w:rPr>
        <w:t>The delay between the charge and the anticipated end of trial gave rise to a breach of T’s s. 11(</w:t>
      </w:r>
      <w:r w:rsidRPr="000D6EA9">
        <w:rPr>
          <w:i/>
          <w:lang w:val="en-US"/>
        </w:rPr>
        <w:t>b</w:t>
      </w:r>
      <w:r w:rsidRPr="000D6EA9">
        <w:rPr>
          <w:lang w:val="en-US"/>
        </w:rPr>
        <w:t xml:space="preserve">) </w:t>
      </w:r>
      <w:r w:rsidRPr="000D6EA9">
        <w:rPr>
          <w:i/>
          <w:lang w:val="en-US"/>
        </w:rPr>
        <w:t xml:space="preserve">Charter </w:t>
      </w:r>
      <w:r w:rsidRPr="000D6EA9">
        <w:rPr>
          <w:lang w:val="en-US"/>
        </w:rPr>
        <w:t>right to be tried within a reasonable time. The delay in this case far exceed the 30</w:t>
      </w:r>
      <w:r w:rsidR="000D6EA9">
        <w:rPr>
          <w:lang w:val="en-US"/>
        </w:rPr>
        <w:noBreakHyphen/>
      </w:r>
      <w:r w:rsidRPr="000D6EA9">
        <w:rPr>
          <w:lang w:val="en-US"/>
        </w:rPr>
        <w:t xml:space="preserve">month presumptive ceiling established in </w:t>
      </w:r>
      <w:r w:rsidRPr="000D6EA9">
        <w:rPr>
          <w:i/>
          <w:lang w:val="en-US"/>
        </w:rPr>
        <w:t>Jordan</w:t>
      </w:r>
      <w:r w:rsidRPr="000D6EA9">
        <w:rPr>
          <w:lang w:val="en-US"/>
        </w:rPr>
        <w:t>.</w:t>
      </w:r>
      <w:r w:rsidRPr="000D6EA9">
        <w:rPr>
          <w:i/>
          <w:lang w:val="en-US"/>
        </w:rPr>
        <w:t xml:space="preserve"> </w:t>
      </w:r>
      <w:r w:rsidRPr="000D6EA9">
        <w:rPr>
          <w:lang w:val="en-US"/>
        </w:rPr>
        <w:t xml:space="preserve">The preliminary hearing was not a discrete exceptional event and its length was not outside the Crown’s control. Furthermore, although most of the delay accrued before </w:t>
      </w:r>
      <w:r w:rsidRPr="000D6EA9">
        <w:rPr>
          <w:i/>
          <w:lang w:val="en-US"/>
        </w:rPr>
        <w:t xml:space="preserve">Jordan </w:t>
      </w:r>
      <w:r w:rsidRPr="000D6EA9">
        <w:rPr>
          <w:lang w:val="en-US"/>
        </w:rPr>
        <w:t xml:space="preserve">was released, the transitional exceptional circumstance does not justify the delay. This case would certainly have qualified for a stay under the previous framework set out in </w:t>
      </w:r>
      <w:r w:rsidRPr="000D6EA9">
        <w:rPr>
          <w:i/>
          <w:lang w:val="en-US"/>
        </w:rPr>
        <w:t>R. v. Morin</w:t>
      </w:r>
      <w:r w:rsidRPr="000D6EA9">
        <w:rPr>
          <w:lang w:val="en-US"/>
        </w:rPr>
        <w:t xml:space="preserve">, [1992] 1 S.C.R. 771, as the institutional delay of 43 months greatly surpasses the </w:t>
      </w:r>
      <w:r w:rsidRPr="000D6EA9">
        <w:rPr>
          <w:i/>
          <w:lang w:val="en-US"/>
        </w:rPr>
        <w:t xml:space="preserve">Morin </w:t>
      </w:r>
      <w:r w:rsidRPr="000D6EA9">
        <w:rPr>
          <w:lang w:val="en-US"/>
        </w:rPr>
        <w:t>guidelines of 14 to 18 months.</w:t>
      </w:r>
      <w:r w:rsidRPr="000D6EA9">
        <w:rPr>
          <w:i/>
          <w:lang w:val="en-US"/>
        </w:rPr>
        <w:t xml:space="preserve"> </w:t>
      </w:r>
      <w:r w:rsidRPr="000D6EA9">
        <w:rPr>
          <w:lang w:val="en-US"/>
        </w:rPr>
        <w:t xml:space="preserve">Accordingly, the trial judge’s determination that a stay of proceedings was warranted </w:t>
      </w:r>
      <w:r w:rsidR="00966002" w:rsidRPr="000D6EA9">
        <w:rPr>
          <w:lang w:val="en-US"/>
        </w:rPr>
        <w:t>should not be</w:t>
      </w:r>
      <w:r w:rsidR="00BE1544">
        <w:rPr>
          <w:lang w:val="en-US"/>
        </w:rPr>
        <w:t xml:space="preserve"> interfered with.</w:t>
      </w:r>
    </w:p>
    <w:p w:rsidR="00A149DF" w:rsidRPr="000D6EA9" w:rsidRDefault="002E6705" w:rsidP="008A4FC5">
      <w:pPr>
        <w:pStyle w:val="SCCNormalDoubleSpacing"/>
        <w:spacing w:after="720" w:line="240" w:lineRule="auto"/>
        <w:rPr>
          <w:lang w:val="en-US"/>
        </w:rPr>
      </w:pPr>
      <w:r w:rsidRPr="000D6EA9">
        <w:rPr>
          <w:b/>
        </w:rPr>
        <w:t>Cases Cited</w:t>
      </w:r>
    </w:p>
    <w:p w:rsidR="00A149DF" w:rsidRPr="000D6EA9" w:rsidRDefault="002E6705" w:rsidP="006002D9">
      <w:pPr>
        <w:pStyle w:val="SCCNormalDoubleSpacing"/>
        <w:spacing w:after="480"/>
      </w:pPr>
      <w:r w:rsidRPr="000D6EA9">
        <w:lastRenderedPageBreak/>
        <w:tab/>
      </w:r>
      <w:r w:rsidR="007858C4" w:rsidRPr="000D6EA9">
        <w:rPr>
          <w:b/>
        </w:rPr>
        <w:t>Applied:</w:t>
      </w:r>
      <w:r w:rsidR="007858C4" w:rsidRPr="000D6EA9">
        <w:t xml:space="preserve"> </w:t>
      </w:r>
      <w:r w:rsidR="007858C4" w:rsidRPr="000D6EA9">
        <w:rPr>
          <w:i/>
        </w:rPr>
        <w:t>R. v. Jordan</w:t>
      </w:r>
      <w:r w:rsidR="007858C4" w:rsidRPr="000D6EA9">
        <w:t xml:space="preserve">, 2016 SCC 27, [2016] 1 S.C.R. 631; </w:t>
      </w:r>
      <w:r w:rsidR="007858C4" w:rsidRPr="000D6EA9">
        <w:rPr>
          <w:b/>
        </w:rPr>
        <w:t>r</w:t>
      </w:r>
      <w:r w:rsidRPr="000D6EA9">
        <w:rPr>
          <w:b/>
        </w:rPr>
        <w:t>eferred to:</w:t>
      </w:r>
      <w:r w:rsidR="00BD0E9E" w:rsidRPr="000D6EA9">
        <w:t xml:space="preserve"> </w:t>
      </w:r>
      <w:r w:rsidR="000F5CC1" w:rsidRPr="000D6EA9">
        <w:rPr>
          <w:i/>
        </w:rPr>
        <w:t>R. v. Cody</w:t>
      </w:r>
      <w:r w:rsidR="000F5CC1" w:rsidRPr="000D6EA9">
        <w:t>, 2017 SCC 31, [2017] 1 S.C.R. 659</w:t>
      </w:r>
      <w:r w:rsidR="0071209D" w:rsidRPr="000D6EA9">
        <w:t xml:space="preserve">; </w:t>
      </w:r>
      <w:r w:rsidR="0071209D" w:rsidRPr="000D6EA9">
        <w:rPr>
          <w:i/>
          <w:iCs/>
        </w:rPr>
        <w:t>R. v. Morin</w:t>
      </w:r>
      <w:r w:rsidR="0071209D" w:rsidRPr="000D6EA9">
        <w:t xml:space="preserve">, [1992] 1 S.C.R. 771; </w:t>
      </w:r>
      <w:r w:rsidR="0071209D" w:rsidRPr="000D6EA9">
        <w:rPr>
          <w:i/>
        </w:rPr>
        <w:t>R. v. Williamson</w:t>
      </w:r>
      <w:r w:rsidR="0071209D" w:rsidRPr="000D6EA9">
        <w:t>, 2016 SCC 28, [2016] 1 S.C.R. 741</w:t>
      </w:r>
      <w:r w:rsidR="000F5CC1" w:rsidRPr="000D6EA9">
        <w:t>.</w:t>
      </w:r>
    </w:p>
    <w:p w:rsidR="003B215F" w:rsidRPr="000D6EA9" w:rsidRDefault="002E6705" w:rsidP="008A4FC5">
      <w:pPr>
        <w:pStyle w:val="SCCNormalDoubleSpacing"/>
        <w:spacing w:after="720" w:line="240" w:lineRule="auto"/>
      </w:pPr>
      <w:r w:rsidRPr="000D6EA9">
        <w:rPr>
          <w:b/>
        </w:rPr>
        <w:t>Statutes and Regulations Cite</w:t>
      </w:r>
      <w:r w:rsidR="00A41805" w:rsidRPr="000D6EA9">
        <w:rPr>
          <w:b/>
        </w:rPr>
        <w:t>d</w:t>
      </w:r>
    </w:p>
    <w:p w:rsidR="00A149DF" w:rsidRPr="000D6EA9" w:rsidRDefault="000F5CC1" w:rsidP="008A4FC5">
      <w:pPr>
        <w:pStyle w:val="SCCNormalDoubleSpacing"/>
        <w:spacing w:after="720" w:line="240" w:lineRule="auto"/>
      </w:pPr>
      <w:r w:rsidRPr="000D6EA9">
        <w:rPr>
          <w:i/>
        </w:rPr>
        <w:t>Canadian Charter of Rights and Freedoms</w:t>
      </w:r>
      <w:r w:rsidRPr="000D6EA9">
        <w:t>, s.</w:t>
      </w:r>
      <w:r w:rsidR="00BD27A1" w:rsidRPr="000D6EA9">
        <w:t> </w:t>
      </w:r>
      <w:r w:rsidRPr="000D6EA9">
        <w:t>11(</w:t>
      </w:r>
      <w:r w:rsidRPr="000D6EA9">
        <w:rPr>
          <w:i/>
        </w:rPr>
        <w:t>b</w:t>
      </w:r>
      <w:r w:rsidRPr="000D6EA9">
        <w:t>).</w:t>
      </w:r>
    </w:p>
    <w:p w:rsidR="00C5683B" w:rsidRPr="000D6EA9" w:rsidRDefault="00112642" w:rsidP="00BD27A1">
      <w:pPr>
        <w:pStyle w:val="SCCNormalDoubleSpacing"/>
        <w:spacing w:after="480"/>
      </w:pPr>
      <w:r w:rsidRPr="000D6EA9">
        <w:tab/>
      </w:r>
      <w:r w:rsidR="009B57B3" w:rsidRPr="000D6EA9">
        <w:t xml:space="preserve">APPEAL from a judgment of the </w:t>
      </w:r>
      <w:r w:rsidR="006002D9" w:rsidRPr="000D6EA9">
        <w:t xml:space="preserve">Quebec </w:t>
      </w:r>
      <w:r w:rsidR="009B57B3" w:rsidRPr="000D6EA9">
        <w:t>Court of Appeal</w:t>
      </w:r>
      <w:r w:rsidR="00D611E0" w:rsidRPr="000D6EA9">
        <w:t xml:space="preserve"> (</w:t>
      </w:r>
      <w:r w:rsidR="008F081D" w:rsidRPr="000D6EA9">
        <w:t xml:space="preserve">Duval </w:t>
      </w:r>
      <w:r w:rsidR="00D611E0" w:rsidRPr="000D6EA9">
        <w:t>Hesler C.J.</w:t>
      </w:r>
      <w:r w:rsidR="006002D9" w:rsidRPr="000D6EA9">
        <w:t xml:space="preserve"> and</w:t>
      </w:r>
      <w:r w:rsidR="00D611E0" w:rsidRPr="000D6EA9">
        <w:t xml:space="preserve"> </w:t>
      </w:r>
      <w:proofErr w:type="spellStart"/>
      <w:r w:rsidR="00D611E0" w:rsidRPr="000D6EA9">
        <w:t>Morissette</w:t>
      </w:r>
      <w:proofErr w:type="spellEnd"/>
      <w:r w:rsidR="00D611E0" w:rsidRPr="000D6EA9">
        <w:t xml:space="preserve">, Hilton, Gagnon and </w:t>
      </w:r>
      <w:proofErr w:type="spellStart"/>
      <w:r w:rsidR="00D611E0" w:rsidRPr="000D6EA9">
        <w:t>Vauclair</w:t>
      </w:r>
      <w:proofErr w:type="spellEnd"/>
      <w:r w:rsidR="00D611E0" w:rsidRPr="000D6EA9">
        <w:t xml:space="preserve"> </w:t>
      </w:r>
      <w:proofErr w:type="spellStart"/>
      <w:r w:rsidR="00D611E0" w:rsidRPr="000D6EA9">
        <w:t>JJ.A</w:t>
      </w:r>
      <w:proofErr w:type="spellEnd"/>
      <w:r w:rsidR="00D611E0" w:rsidRPr="000D6EA9">
        <w:t>.)</w:t>
      </w:r>
      <w:r w:rsidR="008F081D" w:rsidRPr="000D6EA9">
        <w:t>,</w:t>
      </w:r>
      <w:r w:rsidR="00D611E0" w:rsidRPr="000D6EA9">
        <w:t xml:space="preserve"> </w:t>
      </w:r>
      <w:r w:rsidR="00E65B98" w:rsidRPr="000D6EA9">
        <w:t xml:space="preserve">2019 QCCA 1765, </w:t>
      </w:r>
      <w:r w:rsidR="00C04773" w:rsidRPr="000D6EA9">
        <w:rPr>
          <w:lang w:val="en-US"/>
        </w:rPr>
        <w:t>[2019] AZ</w:t>
      </w:r>
      <w:r w:rsidR="000D6EA9">
        <w:rPr>
          <w:lang w:val="en-US"/>
        </w:rPr>
        <w:noBreakHyphen/>
      </w:r>
      <w:r w:rsidR="00C04773" w:rsidRPr="000D6EA9">
        <w:rPr>
          <w:lang w:val="en-US"/>
        </w:rPr>
        <w:t xml:space="preserve">51638047, </w:t>
      </w:r>
      <w:r w:rsidR="00E65B98" w:rsidRPr="000D6EA9">
        <w:t xml:space="preserve">[2019] Q.J. </w:t>
      </w:r>
      <w:r w:rsidR="000D6EA9">
        <w:t>No. </w:t>
      </w:r>
      <w:r w:rsidR="00E65B98" w:rsidRPr="000D6EA9">
        <w:t>9048 (</w:t>
      </w:r>
      <w:proofErr w:type="spellStart"/>
      <w:r w:rsidR="00E65B98" w:rsidRPr="000D6EA9">
        <w:t>QL</w:t>
      </w:r>
      <w:proofErr w:type="spellEnd"/>
      <w:r w:rsidR="00E65B98" w:rsidRPr="000D6EA9">
        <w:t xml:space="preserve">), 2019 </w:t>
      </w:r>
      <w:proofErr w:type="spellStart"/>
      <w:r w:rsidR="00E65B98" w:rsidRPr="000D6EA9">
        <w:t>CarswellQue</w:t>
      </w:r>
      <w:proofErr w:type="spellEnd"/>
      <w:r w:rsidR="00E65B98" w:rsidRPr="000D6EA9">
        <w:t xml:space="preserve"> 9212 (WL Can.)</w:t>
      </w:r>
      <w:r w:rsidR="00D611E0" w:rsidRPr="000D6EA9">
        <w:t xml:space="preserve">, affirming a decision </w:t>
      </w:r>
      <w:r w:rsidR="008F081D" w:rsidRPr="000D6EA9">
        <w:t>of Boucher</w:t>
      </w:r>
      <w:r w:rsidR="00BD27A1" w:rsidRPr="000D6EA9">
        <w:t> </w:t>
      </w:r>
      <w:r w:rsidR="00D611E0" w:rsidRPr="000D6EA9">
        <w:t>J.</w:t>
      </w:r>
      <w:r w:rsidR="008F081D" w:rsidRPr="000D6EA9">
        <w:t>, 2017 QCCS</w:t>
      </w:r>
      <w:r w:rsidR="00D611E0" w:rsidRPr="000D6EA9">
        <w:t xml:space="preserve"> 1271, </w:t>
      </w:r>
      <w:r w:rsidR="006002D9" w:rsidRPr="000D6EA9">
        <w:rPr>
          <w:lang w:val="en-US"/>
        </w:rPr>
        <w:t>[2017] AZ</w:t>
      </w:r>
      <w:r w:rsidR="000D6EA9">
        <w:rPr>
          <w:lang w:val="en-US"/>
        </w:rPr>
        <w:noBreakHyphen/>
      </w:r>
      <w:r w:rsidR="006002D9" w:rsidRPr="000D6EA9">
        <w:rPr>
          <w:lang w:val="en-US"/>
        </w:rPr>
        <w:t xml:space="preserve">51381182, </w:t>
      </w:r>
      <w:r w:rsidR="00D611E0" w:rsidRPr="000D6EA9">
        <w:t xml:space="preserve">[2017] Q.J. </w:t>
      </w:r>
      <w:r w:rsidR="000D6EA9">
        <w:t>No. </w:t>
      </w:r>
      <w:r w:rsidR="00D611E0" w:rsidRPr="000D6EA9">
        <w:t>3430</w:t>
      </w:r>
      <w:r w:rsidR="008F081D" w:rsidRPr="000D6EA9">
        <w:t xml:space="preserve"> (</w:t>
      </w:r>
      <w:proofErr w:type="spellStart"/>
      <w:r w:rsidR="008F081D" w:rsidRPr="000D6EA9">
        <w:t>QL</w:t>
      </w:r>
      <w:proofErr w:type="spellEnd"/>
      <w:r w:rsidR="008F081D" w:rsidRPr="000D6EA9">
        <w:t xml:space="preserve">), 2017 </w:t>
      </w:r>
      <w:proofErr w:type="spellStart"/>
      <w:r w:rsidR="008F081D" w:rsidRPr="000D6EA9">
        <w:t>CarswellQue</w:t>
      </w:r>
      <w:proofErr w:type="spellEnd"/>
      <w:r w:rsidR="008F081D" w:rsidRPr="000D6EA9">
        <w:t xml:space="preserve"> 2605.</w:t>
      </w:r>
      <w:r w:rsidR="00C5683B" w:rsidRPr="000D6EA9">
        <w:t xml:space="preserve"> Appeal </w:t>
      </w:r>
      <w:r w:rsidR="00765AFF" w:rsidRPr="000D6EA9">
        <w:t>dismissed</w:t>
      </w:r>
      <w:r w:rsidR="00C5683B" w:rsidRPr="000D6EA9">
        <w:t>.</w:t>
      </w:r>
    </w:p>
    <w:p w:rsidR="00C22459" w:rsidRPr="000D6EA9" w:rsidRDefault="0008407A" w:rsidP="00BD27A1">
      <w:pPr>
        <w:pStyle w:val="SCCNormalDoubleSpacing"/>
        <w:spacing w:after="480"/>
        <w:rPr>
          <w:rStyle w:val="SCCCounselPartyRoleChar"/>
        </w:rPr>
      </w:pPr>
      <w:r w:rsidRPr="000D6EA9">
        <w:rPr>
          <w:rStyle w:val="SCCCounselNameChar"/>
        </w:rPr>
        <w:tab/>
        <w:t>Maude Payette</w:t>
      </w:r>
      <w:r w:rsidRPr="000D6EA9">
        <w:rPr>
          <w:rStyle w:val="SCCCounselSeparatorChar"/>
        </w:rPr>
        <w:t xml:space="preserve">, </w:t>
      </w:r>
      <w:r w:rsidRPr="000D6EA9">
        <w:rPr>
          <w:rStyle w:val="SCCCounselNameChar"/>
        </w:rPr>
        <w:t>Richard Audet</w:t>
      </w:r>
      <w:r w:rsidRPr="000D6EA9">
        <w:rPr>
          <w:rStyle w:val="SCCCounselSeparatorChar"/>
        </w:rPr>
        <w:t xml:space="preserve"> and </w:t>
      </w:r>
      <w:r w:rsidRPr="000D6EA9">
        <w:rPr>
          <w:rStyle w:val="SCCCounselNameChar"/>
        </w:rPr>
        <w:t>Catherine Perreault</w:t>
      </w:r>
      <w:r w:rsidRPr="000D6EA9">
        <w:rPr>
          <w:rStyle w:val="SCCCounselPartyRoleChar"/>
        </w:rPr>
        <w:t>, for the appellant.</w:t>
      </w:r>
    </w:p>
    <w:p w:rsidR="006002D9" w:rsidRPr="000D6EA9" w:rsidRDefault="006002D9" w:rsidP="00BD27A1">
      <w:pPr>
        <w:pStyle w:val="SCCNormalDoubleSpacing"/>
        <w:spacing w:after="480"/>
      </w:pPr>
      <w:r w:rsidRPr="000D6EA9">
        <w:rPr>
          <w:rStyle w:val="SCCCounselPartyRoleChar"/>
        </w:rPr>
        <w:tab/>
        <w:t>No one appeared for the respondent.</w:t>
      </w:r>
    </w:p>
    <w:p w:rsidR="00E24573" w:rsidRDefault="0008407A" w:rsidP="000329FE">
      <w:pPr>
        <w:pStyle w:val="SCCNormalDoubleSpacing"/>
        <w:spacing w:after="480"/>
        <w:rPr>
          <w:lang w:val="fr-CA"/>
        </w:rPr>
      </w:pPr>
      <w:r w:rsidRPr="000D6EA9">
        <w:rPr>
          <w:rStyle w:val="SCCCounselNameChar"/>
        </w:rPr>
        <w:tab/>
      </w:r>
      <w:r w:rsidRPr="000D6EA9">
        <w:rPr>
          <w:rStyle w:val="SCCCounselNameChar"/>
          <w:lang w:val="fr-CA"/>
        </w:rPr>
        <w:t>Louis Belleau</w:t>
      </w:r>
      <w:r w:rsidRPr="000D6EA9">
        <w:rPr>
          <w:rStyle w:val="SCCCounselPartyRoleChar"/>
          <w:lang w:val="fr-CA"/>
        </w:rPr>
        <w:t xml:space="preserve">, </w:t>
      </w:r>
      <w:r w:rsidR="00C5683B" w:rsidRPr="000D6EA9">
        <w:rPr>
          <w:rStyle w:val="SCCCounselPartyRoleChar"/>
          <w:lang w:val="fr-CA"/>
        </w:rPr>
        <w:t>as</w:t>
      </w:r>
      <w:r w:rsidRPr="000D6EA9">
        <w:rPr>
          <w:rStyle w:val="SCCCounselPartyRoleChar"/>
          <w:lang w:val="fr-CA"/>
        </w:rPr>
        <w:t xml:space="preserve"> </w:t>
      </w:r>
      <w:proofErr w:type="spellStart"/>
      <w:r w:rsidRPr="000D6EA9">
        <w:rPr>
          <w:rStyle w:val="SCCCounselPartyRoleChar"/>
          <w:i/>
          <w:lang w:val="fr-CA"/>
        </w:rPr>
        <w:t>amicus</w:t>
      </w:r>
      <w:proofErr w:type="spellEnd"/>
      <w:r w:rsidRPr="000D6EA9">
        <w:rPr>
          <w:rStyle w:val="SCCCounselPartyRoleChar"/>
          <w:i/>
          <w:lang w:val="fr-CA"/>
        </w:rPr>
        <w:t xml:space="preserve"> </w:t>
      </w:r>
      <w:proofErr w:type="spellStart"/>
      <w:r w:rsidRPr="000D6EA9">
        <w:rPr>
          <w:rStyle w:val="SCCCounselPartyRoleChar"/>
          <w:i/>
          <w:lang w:val="fr-CA"/>
        </w:rPr>
        <w:t>curiae</w:t>
      </w:r>
      <w:proofErr w:type="spellEnd"/>
      <w:r w:rsidR="00C5683B" w:rsidRPr="000D6EA9">
        <w:rPr>
          <w:rStyle w:val="SCCCounselPartyRoleChar"/>
          <w:lang w:val="fr-CA"/>
        </w:rPr>
        <w:t xml:space="preserve">, and </w:t>
      </w:r>
      <w:r w:rsidR="00C5683B" w:rsidRPr="000D6EA9">
        <w:rPr>
          <w:rStyle w:val="SCCCounselNameChar"/>
          <w:lang w:val="fr-CA"/>
        </w:rPr>
        <w:t>Antoine Grondin</w:t>
      </w:r>
      <w:r w:rsidR="000D6EA9">
        <w:rPr>
          <w:rStyle w:val="SCCCounselNameChar"/>
          <w:lang w:val="fr-CA"/>
        </w:rPr>
        <w:noBreakHyphen/>
      </w:r>
      <w:r w:rsidR="00C5683B" w:rsidRPr="000D6EA9">
        <w:rPr>
          <w:rStyle w:val="SCCCounselNameChar"/>
          <w:lang w:val="fr-CA"/>
        </w:rPr>
        <w:t>Couture</w:t>
      </w:r>
      <w:r w:rsidRPr="000D6EA9">
        <w:rPr>
          <w:rStyle w:val="SCCCounselPartyRoleChar"/>
          <w:lang w:val="fr-CA"/>
        </w:rPr>
        <w:t>.</w:t>
      </w:r>
    </w:p>
    <w:p w:rsidR="007612B8" w:rsidRPr="0093631B" w:rsidRDefault="007612B8" w:rsidP="000329FE">
      <w:pPr>
        <w:spacing w:after="480"/>
        <w:ind w:left="1170"/>
      </w:pPr>
      <w:r>
        <w:t>The following is the judgment delivered by</w:t>
      </w:r>
    </w:p>
    <w:p w:rsidR="007612B8" w:rsidRPr="0093631B" w:rsidRDefault="000329FE" w:rsidP="007612B8">
      <w:pPr>
        <w:pStyle w:val="ParaNoNdepar-AltN"/>
        <w:rPr>
          <w:rFonts w:cs="Times New Roman"/>
        </w:rPr>
      </w:pPr>
      <w:r w:rsidRPr="000329FE">
        <w:rPr>
          <w:smallCaps/>
        </w:rPr>
        <w:t>The Court</w:t>
      </w:r>
      <w:r w:rsidRPr="0093631B">
        <w:t xml:space="preserve"> — </w:t>
      </w:r>
      <w:proofErr w:type="gramStart"/>
      <w:r w:rsidR="007612B8" w:rsidRPr="0093631B">
        <w:rPr>
          <w:rFonts w:cs="Times New Roman"/>
        </w:rPr>
        <w:t>The</w:t>
      </w:r>
      <w:proofErr w:type="gramEnd"/>
      <w:r w:rsidR="007612B8" w:rsidRPr="0093631B">
        <w:rPr>
          <w:rFonts w:cs="Times New Roman"/>
        </w:rPr>
        <w:t xml:space="preserve"> bulk of this case occurred before the release of this Court’s decision in </w:t>
      </w:r>
      <w:r w:rsidR="007612B8" w:rsidRPr="0093631B">
        <w:rPr>
          <w:rFonts w:cs="Times New Roman"/>
          <w:i/>
        </w:rPr>
        <w:t>R. v. Jordan</w:t>
      </w:r>
      <w:r w:rsidR="007612B8" w:rsidRPr="0093631B">
        <w:rPr>
          <w:rFonts w:cs="Times New Roman"/>
        </w:rPr>
        <w:t>, 2016 SCC 27, [201</w:t>
      </w:r>
      <w:r w:rsidR="007612B8">
        <w:rPr>
          <w:rFonts w:cs="Times New Roman"/>
        </w:rPr>
        <w:t>6</w:t>
      </w:r>
      <w:r w:rsidR="007612B8" w:rsidRPr="0093631B">
        <w:rPr>
          <w:rFonts w:cs="Times New Roman"/>
        </w:rPr>
        <w:t>] 1 S.C.R. 631. The facts leading to the respondent’s s.</w:t>
      </w:r>
      <w:r w:rsidR="007612B8">
        <w:t> </w:t>
      </w:r>
      <w:r w:rsidR="007612B8" w:rsidRPr="0093631B">
        <w:rPr>
          <w:rFonts w:cs="Times New Roman"/>
        </w:rPr>
        <w:t>11(</w:t>
      </w:r>
      <w:r w:rsidR="007612B8" w:rsidRPr="0093631B">
        <w:rPr>
          <w:rFonts w:cs="Times New Roman"/>
          <w:i/>
        </w:rPr>
        <w:t>b</w:t>
      </w:r>
      <w:r w:rsidR="007612B8" w:rsidRPr="0093631B">
        <w:rPr>
          <w:rFonts w:cs="Times New Roman"/>
        </w:rPr>
        <w:t>) challenge are indicative of the culture of rampant and long-</w:t>
      </w:r>
      <w:r w:rsidR="007612B8" w:rsidRPr="0093631B">
        <w:rPr>
          <w:rFonts w:cs="Times New Roman"/>
        </w:rPr>
        <w:lastRenderedPageBreak/>
        <w:t>standing systemic delay — and complacency towards that delay — that had grown up in our criminal justice system. The manner in which these proceedings were conducted epitomizes this culture. Such facts are unlikely to be replicated in cases where the s. 11(</w:t>
      </w:r>
      <w:r w:rsidR="007612B8" w:rsidRPr="0093631B">
        <w:rPr>
          <w:rFonts w:cs="Times New Roman"/>
          <w:i/>
        </w:rPr>
        <w:t>b</w:t>
      </w:r>
      <w:r w:rsidR="007612B8" w:rsidRPr="0093631B">
        <w:rPr>
          <w:rFonts w:cs="Times New Roman"/>
        </w:rPr>
        <w:t xml:space="preserve">) framework set out in </w:t>
      </w:r>
      <w:r w:rsidR="007612B8" w:rsidRPr="0093631B">
        <w:rPr>
          <w:rFonts w:cs="Times New Roman"/>
          <w:i/>
        </w:rPr>
        <w:t>Jordan</w:t>
      </w:r>
      <w:r w:rsidR="007612B8" w:rsidRPr="0093631B">
        <w:rPr>
          <w:rFonts w:cs="Times New Roman"/>
        </w:rPr>
        <w:t xml:space="preserve"> and applied in </w:t>
      </w:r>
      <w:r w:rsidR="007612B8" w:rsidRPr="0093631B">
        <w:rPr>
          <w:rFonts w:cs="Times New Roman"/>
          <w:i/>
        </w:rPr>
        <w:t>R. v. Cody</w:t>
      </w:r>
      <w:r w:rsidR="007612B8" w:rsidRPr="0093631B">
        <w:rPr>
          <w:rFonts w:cs="Times New Roman"/>
        </w:rPr>
        <w:t>, 2017 SCC 31, [2017] 1 S.C.R. 659,</w:t>
      </w:r>
      <w:r w:rsidR="00BE1544">
        <w:rPr>
          <w:rFonts w:cs="Times New Roman"/>
        </w:rPr>
        <w:t xml:space="preserve"> is adhered to from the outset.</w:t>
      </w:r>
    </w:p>
    <w:p w:rsidR="007612B8" w:rsidRPr="0093631B" w:rsidRDefault="007612B8" w:rsidP="007612B8">
      <w:pPr>
        <w:pStyle w:val="ParaNoNdepar-AltN"/>
        <w:rPr>
          <w:rFonts w:cs="Times New Roman"/>
        </w:rPr>
      </w:pPr>
      <w:r w:rsidRPr="0093631B">
        <w:rPr>
          <w:rFonts w:cs="Times New Roman"/>
        </w:rPr>
        <w:t>The respondent, Mr.</w:t>
      </w:r>
      <w:r>
        <w:rPr>
          <w:rFonts w:cs="Times New Roman"/>
        </w:rPr>
        <w:t> </w:t>
      </w:r>
      <w:r w:rsidRPr="0093631B">
        <w:rPr>
          <w:rFonts w:cs="Times New Roman"/>
        </w:rPr>
        <w:t>Thanabalasingham</w:t>
      </w:r>
      <w:r>
        <w:rPr>
          <w:rFonts w:cs="Times New Roman"/>
        </w:rPr>
        <w:t>,</w:t>
      </w:r>
      <w:r w:rsidRPr="0093631B">
        <w:rPr>
          <w:rFonts w:cs="Times New Roman"/>
        </w:rPr>
        <w:t xml:space="preserve"> was charged with the second degree murder of his spouse in August 2012. At the preliminary hearing, the Crown chose to pursue a charge of first degree murder. The preliminary hearing lasted more than a year, due in no small measure to systemic delay. In June 2015, Mr. Thanabalasingham’s trial was scheduled for February 2018. It was later rescheduled to proceed in April 2017. By then, </w:t>
      </w:r>
      <w:r w:rsidRPr="0093631B">
        <w:rPr>
          <w:rFonts w:cs="Times New Roman"/>
          <w:i/>
        </w:rPr>
        <w:t>Jordan</w:t>
      </w:r>
      <w:r w:rsidRPr="0093631B">
        <w:rPr>
          <w:rFonts w:cs="Times New Roman"/>
        </w:rPr>
        <w:t xml:space="preserve"> had been released and it was the governing authority on s. 11(</w:t>
      </w:r>
      <w:r w:rsidRPr="0093631B">
        <w:rPr>
          <w:rFonts w:cs="Times New Roman"/>
          <w:i/>
        </w:rPr>
        <w:t>b</w:t>
      </w:r>
      <w:r w:rsidRPr="0093631B">
        <w:rPr>
          <w:rFonts w:cs="Times New Roman"/>
        </w:rPr>
        <w:t xml:space="preserve">) of the </w:t>
      </w:r>
      <w:r w:rsidRPr="0093631B">
        <w:rPr>
          <w:rFonts w:cs="Times New Roman"/>
          <w:i/>
        </w:rPr>
        <w:t>Canadian</w:t>
      </w:r>
      <w:r w:rsidRPr="0093631B">
        <w:rPr>
          <w:rFonts w:cs="Times New Roman"/>
        </w:rPr>
        <w:t xml:space="preserve"> </w:t>
      </w:r>
      <w:r w:rsidRPr="0093631B">
        <w:rPr>
          <w:rFonts w:cs="Times New Roman"/>
          <w:i/>
        </w:rPr>
        <w:t>Charter of Rights and Freedoms</w:t>
      </w:r>
      <w:r w:rsidR="00BE1544">
        <w:rPr>
          <w:rFonts w:cs="Times New Roman"/>
        </w:rPr>
        <w:t>.</w:t>
      </w:r>
    </w:p>
    <w:p w:rsidR="007612B8" w:rsidRPr="0093631B" w:rsidRDefault="007612B8" w:rsidP="007612B8">
      <w:pPr>
        <w:pStyle w:val="ParaNoNdepar-AltN"/>
        <w:rPr>
          <w:rFonts w:cs="Times New Roman"/>
        </w:rPr>
      </w:pPr>
      <w:r w:rsidRPr="0093631B">
        <w:rPr>
          <w:rFonts w:cs="Times New Roman"/>
        </w:rPr>
        <w:t>Shortly before he was scheduled to stand trial, Mr.</w:t>
      </w:r>
      <w:r>
        <w:rPr>
          <w:rFonts w:cs="Times New Roman"/>
        </w:rPr>
        <w:t> </w:t>
      </w:r>
      <w:r w:rsidRPr="0093631B">
        <w:rPr>
          <w:rFonts w:cs="Times New Roman"/>
        </w:rPr>
        <w:t>Thanabalasingham brought a motion pursuant to s. 11(</w:t>
      </w:r>
      <w:r w:rsidRPr="0093631B">
        <w:rPr>
          <w:rFonts w:cs="Times New Roman"/>
          <w:i/>
        </w:rPr>
        <w:t>b</w:t>
      </w:r>
      <w:r w:rsidRPr="0093631B">
        <w:rPr>
          <w:rFonts w:cs="Times New Roman"/>
        </w:rPr>
        <w:t xml:space="preserve">) of the </w:t>
      </w:r>
      <w:r w:rsidRPr="0093631B">
        <w:rPr>
          <w:rFonts w:cs="Times New Roman"/>
          <w:i/>
        </w:rPr>
        <w:t>Charter</w:t>
      </w:r>
      <w:r w:rsidRPr="0093631B">
        <w:rPr>
          <w:rFonts w:cs="Times New Roman"/>
        </w:rPr>
        <w:t>, alleging that his right to be tried within a reasonable time had been violated. The trial judge agreed and ordered a stay of proceedings (2017 QCCS 1271). By a majority of 3-2, the Quebec Court of Appeal upheld the trial judge’s order (2019 QCCA 1765). The matter now comes to this Court as of right.</w:t>
      </w:r>
    </w:p>
    <w:p w:rsidR="007612B8" w:rsidRPr="0093631B" w:rsidRDefault="007612B8" w:rsidP="007612B8">
      <w:pPr>
        <w:pStyle w:val="ParaNoNdepar-AltN"/>
        <w:rPr>
          <w:rFonts w:cs="Times New Roman"/>
        </w:rPr>
      </w:pPr>
      <w:r w:rsidRPr="0093631B">
        <w:rPr>
          <w:rFonts w:cs="Times New Roman"/>
        </w:rPr>
        <w:t>In our view, the appeal must be dismissed. The delay in this case gave rise to a breach of Mr. Thanabalasingham’s s. 11(</w:t>
      </w:r>
      <w:r w:rsidRPr="0093631B">
        <w:rPr>
          <w:rFonts w:cs="Times New Roman"/>
          <w:i/>
        </w:rPr>
        <w:t>b</w:t>
      </w:r>
      <w:r w:rsidRPr="0093631B">
        <w:rPr>
          <w:rFonts w:cs="Times New Roman"/>
        </w:rPr>
        <w:t xml:space="preserve">) right and we would </w:t>
      </w:r>
      <w:r w:rsidR="00BE1544">
        <w:rPr>
          <w:rFonts w:cs="Times New Roman"/>
        </w:rPr>
        <w:t>uphold the trial judge’s order.</w:t>
      </w:r>
    </w:p>
    <w:p w:rsidR="007612B8" w:rsidRPr="0093631B" w:rsidRDefault="007612B8" w:rsidP="007612B8">
      <w:pPr>
        <w:pStyle w:val="ParaNoNdepar-AltN"/>
        <w:rPr>
          <w:rFonts w:cs="Times New Roman"/>
        </w:rPr>
      </w:pPr>
      <w:r w:rsidRPr="0093631B">
        <w:rPr>
          <w:rFonts w:cs="Times New Roman"/>
        </w:rPr>
        <w:lastRenderedPageBreak/>
        <w:t xml:space="preserve">There is no doubt that the delay in this case far exceeded the 30-month presumptive ceiling established in </w:t>
      </w:r>
      <w:r w:rsidRPr="0093631B">
        <w:rPr>
          <w:rFonts w:cs="Times New Roman"/>
          <w:i/>
        </w:rPr>
        <w:t>Jordan</w:t>
      </w:r>
      <w:r w:rsidRPr="0093631B">
        <w:rPr>
          <w:rFonts w:cs="Times New Roman"/>
        </w:rPr>
        <w:t xml:space="preserve">. With respect to this calculation, the Crown urges us to adopt the dissenting reasons of Gagnon J.A. in the Court of Appeal. Applying the principles in </w:t>
      </w:r>
      <w:r w:rsidRPr="0093631B">
        <w:rPr>
          <w:rFonts w:cs="Times New Roman"/>
          <w:i/>
        </w:rPr>
        <w:t>Jordan</w:t>
      </w:r>
      <w:r w:rsidRPr="0093631B">
        <w:rPr>
          <w:rFonts w:cs="Times New Roman"/>
        </w:rPr>
        <w:t xml:space="preserve">, he found that the net delay was under 35 months. In so concluding, he treated the delay arising from the preliminary hearing as a discrete exceptional event. With respect, we are of the view that he erred in law in coming to this conclusion. The preliminary hearing was not a discrete event, and its length was not outside the Crown’s control in the sense contemplated by </w:t>
      </w:r>
      <w:r w:rsidRPr="0093631B">
        <w:rPr>
          <w:rFonts w:cs="Times New Roman"/>
          <w:i/>
        </w:rPr>
        <w:t>Jordan</w:t>
      </w:r>
      <w:r w:rsidRPr="0093631B">
        <w:rPr>
          <w:rFonts w:cs="Times New Roman"/>
        </w:rPr>
        <w:t xml:space="preserve"> (see </w:t>
      </w:r>
      <w:r w:rsidRPr="0093631B">
        <w:rPr>
          <w:rFonts w:cs="Times New Roman"/>
          <w:i/>
        </w:rPr>
        <w:t>Jordan</w:t>
      </w:r>
      <w:r w:rsidRPr="0093631B">
        <w:rPr>
          <w:rFonts w:cs="Times New Roman"/>
        </w:rPr>
        <w:t>, at paras.</w:t>
      </w:r>
      <w:r>
        <w:rPr>
          <w:rFonts w:cs="Times New Roman"/>
        </w:rPr>
        <w:t> </w:t>
      </w:r>
      <w:r w:rsidRPr="0093631B">
        <w:rPr>
          <w:rFonts w:cs="Times New Roman"/>
        </w:rPr>
        <w:t>69-70). We say this without endorsing the trial judge’s critical comments regarding the Crown’s exercise of its prosecutorial discretion (see trial reasons, at para.</w:t>
      </w:r>
      <w:r>
        <w:rPr>
          <w:rFonts w:cs="Times New Roman"/>
        </w:rPr>
        <w:t> </w:t>
      </w:r>
      <w:r w:rsidRPr="0093631B">
        <w:rPr>
          <w:rFonts w:cs="Times New Roman"/>
        </w:rPr>
        <w:t xml:space="preserve">39 (CanLII)); it was open to the Crown to pursue a charge of first degree murder. That said, as this Court noted in </w:t>
      </w:r>
      <w:r w:rsidRPr="0093631B">
        <w:rPr>
          <w:rFonts w:cs="Times New Roman"/>
          <w:i/>
        </w:rPr>
        <w:t>Jordan</w:t>
      </w:r>
      <w:r w:rsidRPr="0093631B">
        <w:rPr>
          <w:rFonts w:cs="Times New Roman"/>
        </w:rPr>
        <w:t>, “[w]</w:t>
      </w:r>
      <w:proofErr w:type="spellStart"/>
      <w:r w:rsidRPr="0093631B">
        <w:rPr>
          <w:rFonts w:cs="Times New Roman"/>
        </w:rPr>
        <w:t>hile</w:t>
      </w:r>
      <w:proofErr w:type="spellEnd"/>
      <w:r w:rsidRPr="0093631B">
        <w:rPr>
          <w:rFonts w:cs="Times New Roman"/>
        </w:rPr>
        <w:t xml:space="preserve"> the court plays no supervisory role for such decisions, Crown counsel must be alive to the fact that any delay resulting from their prosecutorial discretion must conform to the accused’s s. 11(</w:t>
      </w:r>
      <w:r w:rsidRPr="0093631B">
        <w:rPr>
          <w:rFonts w:cs="Times New Roman"/>
          <w:i/>
        </w:rPr>
        <w:t>b</w:t>
      </w:r>
      <w:r w:rsidRPr="0093631B">
        <w:rPr>
          <w:rFonts w:cs="Times New Roman"/>
        </w:rPr>
        <w:t>) right” (para.</w:t>
      </w:r>
      <w:r>
        <w:rPr>
          <w:rFonts w:cs="Times New Roman"/>
        </w:rPr>
        <w:t> </w:t>
      </w:r>
      <w:r w:rsidRPr="0093631B">
        <w:rPr>
          <w:rFonts w:cs="Times New Roman"/>
        </w:rPr>
        <w:t>79). Had Gagnon J.A. properly accounted for the delay arising from the preliminary hearing, he would have arrived at a net delay of 45 months — well beyond th</w:t>
      </w:r>
      <w:r w:rsidR="00BE1544">
        <w:rPr>
          <w:rFonts w:cs="Times New Roman"/>
        </w:rPr>
        <w:t>e 30-month presumptive ceiling.</w:t>
      </w:r>
    </w:p>
    <w:p w:rsidR="007612B8" w:rsidRPr="0093631B" w:rsidRDefault="007612B8" w:rsidP="007612B8">
      <w:pPr>
        <w:pStyle w:val="ParaNoNdepar-AltN"/>
        <w:rPr>
          <w:rFonts w:cs="Times New Roman"/>
        </w:rPr>
      </w:pPr>
      <w:r w:rsidRPr="0093631B">
        <w:rPr>
          <w:rFonts w:cs="Times New Roman"/>
        </w:rPr>
        <w:t xml:space="preserve">In view of this conclusion, we need not address the issue of defence delay. In particular, it is unnecessary to consider how the calculation of defence delay may have been impacted by efforts made by the court and the Crown to move the original trial date forward from February 12, 2018. Even if Gagnon J.A. was correct in </w:t>
      </w:r>
      <w:r w:rsidRPr="0093631B">
        <w:rPr>
          <w:rFonts w:cs="Times New Roman"/>
        </w:rPr>
        <w:lastRenderedPageBreak/>
        <w:t>attributing a year of delay to the defence for its inability to take up an earlier trial date, the resulting delay would still hav</w:t>
      </w:r>
      <w:r w:rsidR="00BE1544">
        <w:rPr>
          <w:rFonts w:cs="Times New Roman"/>
        </w:rPr>
        <w:t>e been 45 months, as indicated.</w:t>
      </w:r>
    </w:p>
    <w:p w:rsidR="007612B8" w:rsidRPr="0093631B" w:rsidRDefault="007612B8" w:rsidP="007612B8">
      <w:pPr>
        <w:pStyle w:val="ParaNoNdepar-AltN"/>
        <w:rPr>
          <w:rFonts w:cs="Times New Roman"/>
        </w:rPr>
      </w:pPr>
      <w:r w:rsidRPr="0093631B">
        <w:rPr>
          <w:rFonts w:cs="Times New Roman"/>
        </w:rPr>
        <w:t xml:space="preserve">Since most of the delay in this case accrued before </w:t>
      </w:r>
      <w:r w:rsidRPr="0093631B">
        <w:rPr>
          <w:rFonts w:cs="Times New Roman"/>
          <w:i/>
        </w:rPr>
        <w:t>Jordan</w:t>
      </w:r>
      <w:r w:rsidRPr="0093631B">
        <w:rPr>
          <w:rFonts w:cs="Times New Roman"/>
        </w:rPr>
        <w:t xml:space="preserve"> was released, we must consider, as the courts below did, whether the</w:t>
      </w:r>
      <w:r>
        <w:rPr>
          <w:rFonts w:cs="Times New Roman"/>
        </w:rPr>
        <w:t xml:space="preserve"> </w:t>
      </w:r>
      <w:r w:rsidRPr="0093631B">
        <w:rPr>
          <w:rFonts w:cs="Times New Roman"/>
        </w:rPr>
        <w:t xml:space="preserve">transitional exceptional circumstance justifies the delay (see </w:t>
      </w:r>
      <w:r w:rsidRPr="0093631B">
        <w:rPr>
          <w:rFonts w:cs="Times New Roman"/>
          <w:i/>
        </w:rPr>
        <w:t>Jordan</w:t>
      </w:r>
      <w:r w:rsidRPr="0093631B">
        <w:rPr>
          <w:rFonts w:cs="Times New Roman"/>
        </w:rPr>
        <w:t>, at para.</w:t>
      </w:r>
      <w:r>
        <w:t> </w:t>
      </w:r>
      <w:r w:rsidRPr="0093631B">
        <w:rPr>
          <w:rFonts w:cs="Times New Roman"/>
        </w:rPr>
        <w:t xml:space="preserve">96). Here, it bears repeating that the vast majority of the lengthy delay in this case stemmed from systemic delay that had reached epidemic proportions across many parts of this country — a key factor that motivated this Court’s decision in </w:t>
      </w:r>
      <w:r w:rsidRPr="0093631B">
        <w:rPr>
          <w:rFonts w:cs="Times New Roman"/>
          <w:i/>
        </w:rPr>
        <w:t>Jordan</w:t>
      </w:r>
      <w:r w:rsidRPr="0093631B">
        <w:rPr>
          <w:rFonts w:cs="Times New Roman"/>
        </w:rPr>
        <w:t>. Indeed, as the trial judge noted, this problem had “plagued the criminal justice system in the district of Montreal” specifically (para.</w:t>
      </w:r>
      <w:r>
        <w:rPr>
          <w:rFonts w:cs="Times New Roman"/>
        </w:rPr>
        <w:t> </w:t>
      </w:r>
      <w:r w:rsidR="00BE1544">
        <w:rPr>
          <w:rFonts w:cs="Times New Roman"/>
        </w:rPr>
        <w:t>40).</w:t>
      </w:r>
    </w:p>
    <w:p w:rsidR="007612B8" w:rsidRPr="0093631B" w:rsidRDefault="007612B8" w:rsidP="007612B8">
      <w:pPr>
        <w:pStyle w:val="ParaNoNdepar-AltN"/>
        <w:rPr>
          <w:rFonts w:cs="Times New Roman"/>
        </w:rPr>
      </w:pPr>
      <w:r w:rsidRPr="0093631B">
        <w:rPr>
          <w:rFonts w:cs="Times New Roman"/>
        </w:rPr>
        <w:t xml:space="preserve">With respect to the transitional exceptional circumstance, we cannot say that the trial judge erred in concluding that the Crown failed to establish that the exception applied. As this Court said in </w:t>
      </w:r>
      <w:r w:rsidRPr="0093631B">
        <w:rPr>
          <w:rFonts w:cs="Times New Roman"/>
          <w:i/>
        </w:rPr>
        <w:t>Cody</w:t>
      </w:r>
      <w:r w:rsidRPr="0093631B">
        <w:rPr>
          <w:rFonts w:cs="Times New Roman"/>
        </w:rPr>
        <w:t xml:space="preserve">, the Crown will “rarely, if ever, be successful in justifying the delay as a transitional exceptional circumstance under the </w:t>
      </w:r>
      <w:r w:rsidRPr="0093631B">
        <w:rPr>
          <w:rFonts w:cs="Times New Roman"/>
          <w:i/>
        </w:rPr>
        <w:t>Jordan</w:t>
      </w:r>
      <w:r w:rsidRPr="0093631B">
        <w:rPr>
          <w:rFonts w:cs="Times New Roman"/>
        </w:rPr>
        <w:t xml:space="preserve"> framework” if the case would have warranted a stay under </w:t>
      </w:r>
      <w:r w:rsidRPr="0093631B">
        <w:rPr>
          <w:rFonts w:cs="Times New Roman"/>
          <w:i/>
          <w:iCs/>
        </w:rPr>
        <w:t>R. v. Morin</w:t>
      </w:r>
      <w:r w:rsidRPr="0093631B">
        <w:rPr>
          <w:rFonts w:cs="Times New Roman"/>
        </w:rPr>
        <w:t>, [1992] 1 S.C.R. 771</w:t>
      </w:r>
      <w:r w:rsidRPr="0093631B">
        <w:rPr>
          <w:rFonts w:cs="Times New Roman"/>
          <w:iCs/>
        </w:rPr>
        <w:t xml:space="preserve"> </w:t>
      </w:r>
      <w:r w:rsidRPr="0093631B">
        <w:rPr>
          <w:rFonts w:cs="Times New Roman"/>
        </w:rPr>
        <w:t>(para.</w:t>
      </w:r>
      <w:r>
        <w:rPr>
          <w:rFonts w:cs="Times New Roman"/>
        </w:rPr>
        <w:t> </w:t>
      </w:r>
      <w:r w:rsidRPr="0093631B">
        <w:rPr>
          <w:rFonts w:cs="Times New Roman"/>
        </w:rPr>
        <w:t xml:space="preserve">74). In our view, this case would certainly have qualified for a stay under the previous framework. The trial judge calculated the institutional delay in this case at roughly 43 months, which greatly surpasses the </w:t>
      </w:r>
      <w:r w:rsidRPr="0093631B">
        <w:rPr>
          <w:rFonts w:cs="Times New Roman"/>
          <w:i/>
        </w:rPr>
        <w:t>Morin</w:t>
      </w:r>
      <w:r w:rsidRPr="0093631B">
        <w:rPr>
          <w:rFonts w:cs="Times New Roman"/>
        </w:rPr>
        <w:t xml:space="preserve"> guidelines (14 to 18 months). Mr. Thanabalasingham spent nearly five years in custody awaiting trial, and he accordingly suffered actual prejudice as well as inferred prejudice (trial reasons, at para. </w:t>
      </w:r>
      <w:r>
        <w:rPr>
          <w:rFonts w:cs="Times New Roman"/>
        </w:rPr>
        <w:t> </w:t>
      </w:r>
      <w:r w:rsidRPr="0093631B">
        <w:rPr>
          <w:rFonts w:cs="Times New Roman"/>
        </w:rPr>
        <w:t xml:space="preserve">33). With respect to the nature of the charge, the trial judge recognized that the </w:t>
      </w:r>
      <w:r w:rsidRPr="0093631B">
        <w:rPr>
          <w:rFonts w:cs="Times New Roman"/>
        </w:rPr>
        <w:lastRenderedPageBreak/>
        <w:t>offence charged was “very serious” and that “a woman lost her life in tragic circumstances” (para.</w:t>
      </w:r>
      <w:r>
        <w:rPr>
          <w:rFonts w:cs="Times New Roman"/>
        </w:rPr>
        <w:t> </w:t>
      </w:r>
      <w:r w:rsidRPr="0093631B">
        <w:rPr>
          <w:rFonts w:cs="Times New Roman"/>
        </w:rPr>
        <w:t>36). That said, we agree with Crown counsel and the </w:t>
      </w:r>
      <w:r w:rsidRPr="0093631B">
        <w:rPr>
          <w:rFonts w:cs="Times New Roman"/>
          <w:i/>
        </w:rPr>
        <w:t>amicus curiae</w:t>
      </w:r>
      <w:r w:rsidRPr="0093631B">
        <w:rPr>
          <w:rFonts w:cs="Times New Roman"/>
        </w:rPr>
        <w:t xml:space="preserve"> that the trial judge erred by stating that the “seriousness of the offence charged is a factor of very limited relevance in the analysis” (para.</w:t>
      </w:r>
      <w:r>
        <w:rPr>
          <w:rFonts w:cs="Times New Roman"/>
        </w:rPr>
        <w:t> </w:t>
      </w:r>
      <w:r w:rsidRPr="0093631B">
        <w:rPr>
          <w:rFonts w:cs="Times New Roman"/>
        </w:rPr>
        <w:t xml:space="preserve">37). In fairness to the trial judge, he did not have the benefit of this Court’s reasons in </w:t>
      </w:r>
      <w:r w:rsidRPr="0093631B">
        <w:rPr>
          <w:rFonts w:cs="Times New Roman"/>
          <w:i/>
        </w:rPr>
        <w:t>Cody</w:t>
      </w:r>
      <w:r w:rsidRPr="0093631B">
        <w:rPr>
          <w:rFonts w:cs="Times New Roman"/>
        </w:rPr>
        <w:t xml:space="preserve">. There, the Court clarified that </w:t>
      </w:r>
      <w:r w:rsidRPr="0093631B">
        <w:rPr>
          <w:rFonts w:cs="Times New Roman"/>
          <w:i/>
        </w:rPr>
        <w:t>R. v. Williamson</w:t>
      </w:r>
      <w:r w:rsidRPr="0093631B">
        <w:rPr>
          <w:rFonts w:cs="Times New Roman"/>
        </w:rPr>
        <w:t>, 2016 SCC 28, [2016] 1 S.C.R. 741, “should not be read as discounting the important role that the seriousness of the offence and prejudice play under the transitional exceptional circumstance” (para.</w:t>
      </w:r>
      <w:r>
        <w:rPr>
          <w:rFonts w:cs="Times New Roman"/>
        </w:rPr>
        <w:t> </w:t>
      </w:r>
      <w:r w:rsidRPr="0093631B">
        <w:rPr>
          <w:rFonts w:cs="Times New Roman"/>
        </w:rPr>
        <w:t>70) and recognized that “[u]</w:t>
      </w:r>
      <w:proofErr w:type="spellStart"/>
      <w:r w:rsidRPr="0093631B">
        <w:rPr>
          <w:rFonts w:cs="Times New Roman"/>
        </w:rPr>
        <w:t>nder</w:t>
      </w:r>
      <w:proofErr w:type="spellEnd"/>
      <w:r w:rsidRPr="0093631B">
        <w:rPr>
          <w:rFonts w:cs="Times New Roman"/>
        </w:rPr>
        <w:t xml:space="preserve"> the </w:t>
      </w:r>
      <w:r w:rsidRPr="0093631B">
        <w:rPr>
          <w:rFonts w:cs="Times New Roman"/>
          <w:i/>
        </w:rPr>
        <w:t>Morin</w:t>
      </w:r>
      <w:r w:rsidRPr="0093631B">
        <w:rPr>
          <w:rFonts w:cs="Times New Roman"/>
        </w:rPr>
        <w:t xml:space="preserve"> framework, prejudice and seriousness of the offence </w:t>
      </w:r>
      <w:r>
        <w:rPr>
          <w:rFonts w:cs="Times New Roman"/>
        </w:rPr>
        <w:t>‘</w:t>
      </w:r>
      <w:r w:rsidRPr="0093631B">
        <w:rPr>
          <w:rFonts w:cs="Times New Roman"/>
        </w:rPr>
        <w:t>often played a decisive role in whether delay was unreasonable</w:t>
      </w:r>
      <w:r w:rsidRPr="00FD314C">
        <w:rPr>
          <w:rFonts w:cs="Times New Roman"/>
        </w:rPr>
        <w:t>’</w:t>
      </w:r>
      <w:r w:rsidRPr="0093631B">
        <w:rPr>
          <w:rFonts w:cs="Times New Roman"/>
        </w:rPr>
        <w:t>” (para.</w:t>
      </w:r>
      <w:r>
        <w:rPr>
          <w:rFonts w:cs="Times New Roman"/>
        </w:rPr>
        <w:t> </w:t>
      </w:r>
      <w:r w:rsidRPr="0093631B">
        <w:rPr>
          <w:rFonts w:cs="Times New Roman"/>
        </w:rPr>
        <w:t xml:space="preserve">69, quoting </w:t>
      </w:r>
      <w:r w:rsidRPr="0093631B">
        <w:rPr>
          <w:rFonts w:cs="Times New Roman"/>
          <w:i/>
        </w:rPr>
        <w:t>Jordan</w:t>
      </w:r>
      <w:r>
        <w:rPr>
          <w:rFonts w:cs="Times New Roman"/>
        </w:rPr>
        <w:t>, at para. </w:t>
      </w:r>
      <w:r w:rsidRPr="0093631B">
        <w:rPr>
          <w:rFonts w:cs="Times New Roman"/>
        </w:rPr>
        <w:t xml:space="preserve">96). It would appear that the trial judge read </w:t>
      </w:r>
      <w:r w:rsidRPr="0093631B">
        <w:rPr>
          <w:rFonts w:cs="Times New Roman"/>
          <w:i/>
        </w:rPr>
        <w:t>Williamson</w:t>
      </w:r>
      <w:r w:rsidRPr="0093631B">
        <w:rPr>
          <w:rFonts w:cs="Times New Roman"/>
        </w:rPr>
        <w:t xml:space="preserve"> in the manner cautioned against in </w:t>
      </w:r>
      <w:r w:rsidRPr="0093631B">
        <w:rPr>
          <w:rFonts w:cs="Times New Roman"/>
          <w:i/>
        </w:rPr>
        <w:t>Cody</w:t>
      </w:r>
      <w:r w:rsidRPr="0093631B">
        <w:rPr>
          <w:rFonts w:cs="Times New Roman"/>
        </w:rPr>
        <w:t>. However, we are of the view that, given the circumstances of this case, this error was inconsequential. Even if the trial judge had not made this error, he would have arrived at the same result. We would therefore not interfere with his determination that a stay of proceedings was warranted.</w:t>
      </w:r>
    </w:p>
    <w:p w:rsidR="007612B8" w:rsidRPr="0093631B" w:rsidRDefault="007612B8" w:rsidP="007612B8">
      <w:pPr>
        <w:pStyle w:val="ParaNoNdepar-AltN"/>
        <w:rPr>
          <w:rFonts w:cs="Times New Roman"/>
        </w:rPr>
      </w:pPr>
      <w:r w:rsidRPr="0093631B">
        <w:rPr>
          <w:rFonts w:cs="Times New Roman"/>
        </w:rPr>
        <w:t xml:space="preserve">Nothing in the foregoing should be taken as a retreat from the message that </w:t>
      </w:r>
      <w:r w:rsidRPr="0093631B">
        <w:rPr>
          <w:rFonts w:cs="Times New Roman"/>
          <w:i/>
        </w:rPr>
        <w:t>Jordan</w:t>
      </w:r>
      <w:r w:rsidRPr="0093631B">
        <w:rPr>
          <w:rFonts w:cs="Times New Roman"/>
        </w:rPr>
        <w:t xml:space="preserve"> sought to convey, or from the principles and policy considerations underlying it. </w:t>
      </w:r>
      <w:r w:rsidRPr="0093631B">
        <w:rPr>
          <w:rFonts w:cs="Times New Roman"/>
          <w:i/>
        </w:rPr>
        <w:t>Jordan</w:t>
      </w:r>
      <w:r w:rsidRPr="0093631B">
        <w:rPr>
          <w:rFonts w:cs="Times New Roman"/>
        </w:rPr>
        <w:t xml:space="preserve"> sought to put an end to an era where interminable delays were tolerated, and to the complacent, “anything goes” culture that had grown up in the criminal justice system. The clear and distinct message in </w:t>
      </w:r>
      <w:r w:rsidRPr="0093631B">
        <w:rPr>
          <w:rFonts w:cs="Times New Roman"/>
          <w:i/>
        </w:rPr>
        <w:t>Jordan</w:t>
      </w:r>
      <w:r w:rsidRPr="0093631B">
        <w:rPr>
          <w:rFonts w:cs="Times New Roman"/>
        </w:rPr>
        <w:t xml:space="preserve"> was that all participants in the system are to take proactive measures at all stages of the trial process to move cases forward and bring accused persons to trial in a timely fashion. Crown counsel is tasked with </w:t>
      </w:r>
      <w:r w:rsidRPr="0093631B">
        <w:rPr>
          <w:rFonts w:cs="Times New Roman"/>
        </w:rPr>
        <w:lastRenderedPageBreak/>
        <w:t>“making reasonable and responsible decisions regarding who to prosecute and for what, delivering on their disclosure obligations promptly with the cooperation of police, creating plans for complex prosecutions, and using court time efficiently” (</w:t>
      </w:r>
      <w:r w:rsidRPr="0093631B">
        <w:rPr>
          <w:rFonts w:cs="Times New Roman"/>
          <w:i/>
        </w:rPr>
        <w:t>Jordan</w:t>
      </w:r>
      <w:r w:rsidRPr="0093631B">
        <w:rPr>
          <w:rFonts w:cs="Times New Roman"/>
        </w:rPr>
        <w:t>, at para. 138). Defence counsel must be aware that, aside from time legitimately taken to respond to the charges, they “will have directly caused the delay if the court and the Crown are ready to proceed, but [they are] not” (</w:t>
      </w:r>
      <w:r w:rsidRPr="0093631B">
        <w:rPr>
          <w:rFonts w:cs="Times New Roman"/>
          <w:i/>
        </w:rPr>
        <w:t>Jordan</w:t>
      </w:r>
      <w:r w:rsidRPr="0093631B">
        <w:rPr>
          <w:rFonts w:cs="Times New Roman"/>
        </w:rPr>
        <w:t>, at para.</w:t>
      </w:r>
      <w:r>
        <w:rPr>
          <w:rFonts w:cs="Times New Roman"/>
        </w:rPr>
        <w:t> </w:t>
      </w:r>
      <w:r w:rsidRPr="0093631B">
        <w:rPr>
          <w:rFonts w:cs="Times New Roman"/>
        </w:rPr>
        <w:t>64; see also para.</w:t>
      </w:r>
      <w:r>
        <w:rPr>
          <w:rFonts w:cs="Times New Roman"/>
        </w:rPr>
        <w:t> </w:t>
      </w:r>
      <w:r w:rsidRPr="0093631B">
        <w:rPr>
          <w:rFonts w:cs="Times New Roman"/>
        </w:rPr>
        <w:t xml:space="preserve">65). As we did in both </w:t>
      </w:r>
      <w:r w:rsidRPr="0093631B">
        <w:rPr>
          <w:rFonts w:cs="Times New Roman"/>
          <w:i/>
        </w:rPr>
        <w:t>Jordan</w:t>
      </w:r>
      <w:r w:rsidRPr="0093631B">
        <w:rPr>
          <w:rFonts w:cs="Times New Roman"/>
        </w:rPr>
        <w:t xml:space="preserve"> and </w:t>
      </w:r>
      <w:r w:rsidRPr="0093631B">
        <w:rPr>
          <w:rFonts w:cs="Times New Roman"/>
          <w:i/>
        </w:rPr>
        <w:t>Cody</w:t>
      </w:r>
      <w:r w:rsidRPr="0093631B">
        <w:rPr>
          <w:rFonts w:cs="Times New Roman"/>
        </w:rPr>
        <w:t>, we again emphasize the special role that trial judges — who are charged with curtailing unnecessary delay and changing courtroom culture — must play in this shift (</w:t>
      </w:r>
      <w:r w:rsidRPr="0093631B">
        <w:rPr>
          <w:rFonts w:cs="Times New Roman"/>
          <w:i/>
        </w:rPr>
        <w:t>Cody</w:t>
      </w:r>
      <w:r w:rsidRPr="0093631B">
        <w:rPr>
          <w:rFonts w:cs="Times New Roman"/>
        </w:rPr>
        <w:t>, at para.</w:t>
      </w:r>
      <w:r>
        <w:rPr>
          <w:rFonts w:cs="Times New Roman"/>
        </w:rPr>
        <w:t> </w:t>
      </w:r>
      <w:r w:rsidRPr="0093631B">
        <w:rPr>
          <w:rFonts w:cs="Times New Roman"/>
        </w:rPr>
        <w:t xml:space="preserve">37, citing </w:t>
      </w:r>
      <w:r w:rsidRPr="0093631B">
        <w:rPr>
          <w:rFonts w:cs="Times New Roman"/>
          <w:i/>
        </w:rPr>
        <w:t>Jordan</w:t>
      </w:r>
      <w:r w:rsidRPr="0093631B">
        <w:rPr>
          <w:rFonts w:cs="Times New Roman"/>
        </w:rPr>
        <w:t>, at para.</w:t>
      </w:r>
      <w:r>
        <w:rPr>
          <w:rFonts w:cs="Times New Roman"/>
        </w:rPr>
        <w:t> </w:t>
      </w:r>
      <w:r w:rsidRPr="0093631B">
        <w:rPr>
          <w:rFonts w:cs="Times New Roman"/>
        </w:rPr>
        <w:t>114). For example, where the defence seeks an adjournment, a court may deny it “on the basis that it would result in unacceptably long delay, even where it would be deductible as defence delay” (</w:t>
      </w:r>
      <w:r w:rsidRPr="0093631B">
        <w:rPr>
          <w:rFonts w:cs="Times New Roman"/>
          <w:i/>
        </w:rPr>
        <w:t>Cody</w:t>
      </w:r>
      <w:r w:rsidRPr="0093631B">
        <w:rPr>
          <w:rFonts w:cs="Times New Roman"/>
        </w:rPr>
        <w:t>, at para.</w:t>
      </w:r>
      <w:r>
        <w:rPr>
          <w:rFonts w:cs="Times New Roman"/>
        </w:rPr>
        <w:t> </w:t>
      </w:r>
      <w:r w:rsidRPr="0093631B">
        <w:rPr>
          <w:rFonts w:cs="Times New Roman"/>
        </w:rPr>
        <w:t>37). In sum, practices that were formerly commonplace or merely tolerated are no longer compatible with the right guaranteed by s.</w:t>
      </w:r>
      <w:r>
        <w:rPr>
          <w:rFonts w:cs="Times New Roman"/>
        </w:rPr>
        <w:t> </w:t>
      </w:r>
      <w:r w:rsidRPr="0093631B">
        <w:rPr>
          <w:rFonts w:cs="Times New Roman"/>
        </w:rPr>
        <w:t>11(</w:t>
      </w:r>
      <w:r w:rsidRPr="0093631B">
        <w:rPr>
          <w:rFonts w:cs="Times New Roman"/>
          <w:i/>
        </w:rPr>
        <w:t>b</w:t>
      </w:r>
      <w:r w:rsidRPr="0093631B">
        <w:rPr>
          <w:rFonts w:cs="Times New Roman"/>
        </w:rPr>
        <w:t xml:space="preserve">) of the </w:t>
      </w:r>
      <w:r w:rsidRPr="0093631B">
        <w:rPr>
          <w:rFonts w:cs="Times New Roman"/>
          <w:i/>
        </w:rPr>
        <w:t>Charter</w:t>
      </w:r>
      <w:r w:rsidRPr="0093631B">
        <w:rPr>
          <w:rFonts w:cs="Times New Roman"/>
        </w:rPr>
        <w:t xml:space="preserve"> — a right that inures not just to the benefit of accused persons, but to the benefit of victims </w:t>
      </w:r>
      <w:r w:rsidR="00BE1544">
        <w:rPr>
          <w:rFonts w:cs="Times New Roman"/>
        </w:rPr>
        <w:t>and society as a whole as well.</w:t>
      </w:r>
    </w:p>
    <w:p w:rsidR="007612B8" w:rsidRPr="000329FE" w:rsidRDefault="007612B8" w:rsidP="000329FE">
      <w:pPr>
        <w:pStyle w:val="ParaNoNdepar-AltN"/>
        <w:rPr>
          <w:rFonts w:cs="Times New Roman"/>
        </w:rPr>
      </w:pPr>
      <w:r w:rsidRPr="0093631B">
        <w:rPr>
          <w:rFonts w:cs="Times New Roman"/>
        </w:rPr>
        <w:t>For these reasons, we would dismiss the appeal.</w:t>
      </w:r>
    </w:p>
    <w:p w:rsidR="009B57B3" w:rsidRPr="000D6EA9" w:rsidRDefault="009B57B3" w:rsidP="00BD27A1">
      <w:pPr>
        <w:pStyle w:val="SCCNormalDoubleSpacing"/>
        <w:spacing w:after="480"/>
        <w:rPr>
          <w:lang w:val="en-US"/>
        </w:rPr>
      </w:pPr>
      <w:r w:rsidRPr="007612B8">
        <w:rPr>
          <w:lang w:val="en-US"/>
        </w:rPr>
        <w:tab/>
      </w:r>
      <w:r w:rsidR="00656313" w:rsidRPr="000D6EA9">
        <w:rPr>
          <w:i/>
          <w:lang w:val="en-US"/>
        </w:rPr>
        <w:t>Appeal</w:t>
      </w:r>
      <w:r w:rsidR="006002D9" w:rsidRPr="000D6EA9">
        <w:rPr>
          <w:i/>
          <w:lang w:val="en-US"/>
        </w:rPr>
        <w:t xml:space="preserve"> dismissed.</w:t>
      </w:r>
    </w:p>
    <w:p w:rsidR="00F6401C" w:rsidRPr="000D6EA9" w:rsidRDefault="0008407A">
      <w:pPr>
        <w:pStyle w:val="SCCLawFirm"/>
        <w:rPr>
          <w:lang w:val="en-US"/>
        </w:rPr>
      </w:pPr>
      <w:r w:rsidRPr="000D6EA9">
        <w:rPr>
          <w:lang w:val="en-US"/>
        </w:rPr>
        <w:tab/>
      </w:r>
      <w:r w:rsidR="00C5683B" w:rsidRPr="000D6EA9">
        <w:rPr>
          <w:lang w:val="en-US"/>
        </w:rPr>
        <w:t>Solicitor</w:t>
      </w:r>
      <w:r w:rsidR="008F081D" w:rsidRPr="000D6EA9">
        <w:rPr>
          <w:lang w:val="en-US"/>
        </w:rPr>
        <w:t xml:space="preserve"> for the appellant: </w:t>
      </w:r>
      <w:r w:rsidR="00680B8B" w:rsidRPr="000D6EA9">
        <w:rPr>
          <w:lang w:val="en-US"/>
        </w:rPr>
        <w:t>Director of Criminal and Penal Prosecutions</w:t>
      </w:r>
      <w:r w:rsidRPr="000D6EA9">
        <w:rPr>
          <w:lang w:val="en-US"/>
        </w:rPr>
        <w:t>, Montréal.</w:t>
      </w:r>
    </w:p>
    <w:sectPr w:rsidR="00F6401C" w:rsidRPr="000D6EA9"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70" w:rsidRDefault="00BC0870">
      <w:r>
        <w:separator/>
      </w:r>
    </w:p>
  </w:endnote>
  <w:endnote w:type="continuationSeparator" w:id="0">
    <w:p w:rsidR="00BC0870" w:rsidRDefault="00B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6B" w:rsidRDefault="005C2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6B" w:rsidRDefault="005C2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6B" w:rsidRDefault="005C2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70" w:rsidRDefault="00BC0870">
      <w:r>
        <w:separator/>
      </w:r>
    </w:p>
  </w:footnote>
  <w:footnote w:type="continuationSeparator" w:id="0">
    <w:p w:rsidR="00BC0870" w:rsidRDefault="00BC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6B" w:rsidRDefault="005C2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BC6BB9" w:rsidRDefault="00450352" w:rsidP="00BC6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6B" w:rsidRDefault="005C2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29FE"/>
    <w:rsid w:val="000578A3"/>
    <w:rsid w:val="000648CC"/>
    <w:rsid w:val="0008407A"/>
    <w:rsid w:val="000C59B8"/>
    <w:rsid w:val="000C6AF0"/>
    <w:rsid w:val="000D3D5F"/>
    <w:rsid w:val="000D6EA9"/>
    <w:rsid w:val="000F5CC1"/>
    <w:rsid w:val="00104F33"/>
    <w:rsid w:val="00111DE2"/>
    <w:rsid w:val="0011264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05E8"/>
    <w:rsid w:val="002B7924"/>
    <w:rsid w:val="002D28C3"/>
    <w:rsid w:val="002D39A4"/>
    <w:rsid w:val="002E6705"/>
    <w:rsid w:val="00301D08"/>
    <w:rsid w:val="0030329A"/>
    <w:rsid w:val="0031086F"/>
    <w:rsid w:val="0031414C"/>
    <w:rsid w:val="00314E01"/>
    <w:rsid w:val="0032089D"/>
    <w:rsid w:val="003310DE"/>
    <w:rsid w:val="003323B0"/>
    <w:rsid w:val="0035169A"/>
    <w:rsid w:val="0035259D"/>
    <w:rsid w:val="00364B18"/>
    <w:rsid w:val="003A125D"/>
    <w:rsid w:val="003A4C70"/>
    <w:rsid w:val="003B215F"/>
    <w:rsid w:val="003C799C"/>
    <w:rsid w:val="003D0399"/>
    <w:rsid w:val="003E1C71"/>
    <w:rsid w:val="003F0EA2"/>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15050"/>
    <w:rsid w:val="00521AE8"/>
    <w:rsid w:val="00527180"/>
    <w:rsid w:val="0054201E"/>
    <w:rsid w:val="00555291"/>
    <w:rsid w:val="00565FF2"/>
    <w:rsid w:val="00566AD1"/>
    <w:rsid w:val="00583EDE"/>
    <w:rsid w:val="005A19B2"/>
    <w:rsid w:val="005A6079"/>
    <w:rsid w:val="005C266B"/>
    <w:rsid w:val="005E4698"/>
    <w:rsid w:val="006002D9"/>
    <w:rsid w:val="00610539"/>
    <w:rsid w:val="00613969"/>
    <w:rsid w:val="00625C35"/>
    <w:rsid w:val="00656313"/>
    <w:rsid w:val="006565F4"/>
    <w:rsid w:val="006772A2"/>
    <w:rsid w:val="00680B8B"/>
    <w:rsid w:val="00684EEA"/>
    <w:rsid w:val="0069689B"/>
    <w:rsid w:val="006A1551"/>
    <w:rsid w:val="006B5FF5"/>
    <w:rsid w:val="006F30AF"/>
    <w:rsid w:val="00701759"/>
    <w:rsid w:val="00705C15"/>
    <w:rsid w:val="0071209D"/>
    <w:rsid w:val="0071600E"/>
    <w:rsid w:val="007208D1"/>
    <w:rsid w:val="00747288"/>
    <w:rsid w:val="00747DD3"/>
    <w:rsid w:val="007549C8"/>
    <w:rsid w:val="00754A0B"/>
    <w:rsid w:val="007612B8"/>
    <w:rsid w:val="00764D0D"/>
    <w:rsid w:val="00765AFF"/>
    <w:rsid w:val="00766D14"/>
    <w:rsid w:val="00767A0F"/>
    <w:rsid w:val="007858C4"/>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A4FC5"/>
    <w:rsid w:val="008B3C78"/>
    <w:rsid w:val="008B660A"/>
    <w:rsid w:val="008C01DA"/>
    <w:rsid w:val="008F081D"/>
    <w:rsid w:val="008F11C2"/>
    <w:rsid w:val="008F78E9"/>
    <w:rsid w:val="009038F8"/>
    <w:rsid w:val="00911989"/>
    <w:rsid w:val="009179F9"/>
    <w:rsid w:val="00933E5E"/>
    <w:rsid w:val="00935218"/>
    <w:rsid w:val="009403F3"/>
    <w:rsid w:val="009555B7"/>
    <w:rsid w:val="009567AA"/>
    <w:rsid w:val="00966002"/>
    <w:rsid w:val="00967374"/>
    <w:rsid w:val="009710D5"/>
    <w:rsid w:val="009733AF"/>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84056"/>
    <w:rsid w:val="00AB670D"/>
    <w:rsid w:val="00AD57D2"/>
    <w:rsid w:val="00AE4535"/>
    <w:rsid w:val="00AF03C5"/>
    <w:rsid w:val="00B000D8"/>
    <w:rsid w:val="00B00F75"/>
    <w:rsid w:val="00B145B6"/>
    <w:rsid w:val="00B279EB"/>
    <w:rsid w:val="00B50C81"/>
    <w:rsid w:val="00B557F8"/>
    <w:rsid w:val="00B815FC"/>
    <w:rsid w:val="00B93FBC"/>
    <w:rsid w:val="00BA7DA0"/>
    <w:rsid w:val="00BB2EE4"/>
    <w:rsid w:val="00BC0870"/>
    <w:rsid w:val="00BC2108"/>
    <w:rsid w:val="00BC6BB9"/>
    <w:rsid w:val="00BD0E9E"/>
    <w:rsid w:val="00BD1BEC"/>
    <w:rsid w:val="00BD27A1"/>
    <w:rsid w:val="00BD32FF"/>
    <w:rsid w:val="00BE1544"/>
    <w:rsid w:val="00C02092"/>
    <w:rsid w:val="00C04773"/>
    <w:rsid w:val="00C22459"/>
    <w:rsid w:val="00C24D91"/>
    <w:rsid w:val="00C53F14"/>
    <w:rsid w:val="00C5683B"/>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11E0"/>
    <w:rsid w:val="00D63A1C"/>
    <w:rsid w:val="00D7516F"/>
    <w:rsid w:val="00D813BB"/>
    <w:rsid w:val="00D8579F"/>
    <w:rsid w:val="00D95F8E"/>
    <w:rsid w:val="00DA0590"/>
    <w:rsid w:val="00DB5A83"/>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65B98"/>
    <w:rsid w:val="00E77932"/>
    <w:rsid w:val="00E97830"/>
    <w:rsid w:val="00EE643C"/>
    <w:rsid w:val="00EF0683"/>
    <w:rsid w:val="00EF69D2"/>
    <w:rsid w:val="00EF766E"/>
    <w:rsid w:val="00F0070C"/>
    <w:rsid w:val="00F00EB7"/>
    <w:rsid w:val="00F36AB6"/>
    <w:rsid w:val="00F37A09"/>
    <w:rsid w:val="00F409CE"/>
    <w:rsid w:val="00F4379D"/>
    <w:rsid w:val="00F50D2D"/>
    <w:rsid w:val="00F56C8B"/>
    <w:rsid w:val="00F6401C"/>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JudgeJuge">
    <w:name w:val="Judge / Juge"/>
    <w:uiPriority w:val="3"/>
    <w:rsid w:val="007612B8"/>
    <w:pPr>
      <w:tabs>
        <w:tab w:val="left" w:pos="1166"/>
      </w:tabs>
      <w:spacing w:after="480" w:line="480" w:lineRule="auto"/>
    </w:pPr>
    <w:rPr>
      <w:smallCaps/>
      <w:sz w:val="24"/>
      <w:szCs w:val="24"/>
    </w:rPr>
  </w:style>
  <w:style w:type="paragraph" w:customStyle="1" w:styleId="ParaNoNdepar-AltN">
    <w:name w:val="Para. No. / Nº de par. - Alt N"/>
    <w:qFormat/>
    <w:rsid w:val="007612B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7612B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351">
      <w:bodyDiv w:val="1"/>
      <w:marLeft w:val="0"/>
      <w:marRight w:val="0"/>
      <w:marTop w:val="0"/>
      <w:marBottom w:val="0"/>
      <w:divBdr>
        <w:top w:val="none" w:sz="0" w:space="0" w:color="auto"/>
        <w:left w:val="none" w:sz="0" w:space="0" w:color="auto"/>
        <w:bottom w:val="none" w:sz="0" w:space="0" w:color="auto"/>
        <w:right w:val="none" w:sz="0" w:space="0" w:color="auto"/>
      </w:divBdr>
    </w:div>
    <w:div w:id="19267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2021-05-18T18:17:00Z</dcterms:created>
  <dcterms:modified xsi:type="dcterms:W3CDTF">2023-03-14T17:42:00Z</dcterms:modified>
</cp:coreProperties>
</file>