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E7F" w:rsidRPr="00A27006" w:rsidRDefault="00517E7F" w:rsidP="00517E7F">
      <w:pPr>
        <w:tabs>
          <w:tab w:val="center" w:pos="4680"/>
          <w:tab w:val="right" w:pos="9360"/>
        </w:tabs>
        <w:jc w:val="center"/>
        <w:rPr>
          <w:rFonts w:eastAsiaTheme="minorHAnsi" w:cstheme="minorBidi"/>
          <w:szCs w:val="24"/>
          <w:lang w:eastAsia="en-US"/>
        </w:rPr>
      </w:pPr>
      <w:r w:rsidRPr="00A27006">
        <w:rPr>
          <w:rFonts w:eastAsiaTheme="minorHAnsi" w:cstheme="minorBidi"/>
          <w:szCs w:val="24"/>
          <w:lang w:eastAsia="en-US"/>
        </w:rPr>
        <w:ptab w:relativeTo="margin" w:alignment="center" w:leader="none"/>
      </w:r>
      <w:r w:rsidRPr="00A27006">
        <w:rPr>
          <w:rFonts w:eastAsiaTheme="minorHAnsi" w:cstheme="minorBidi"/>
          <w:szCs w:val="24"/>
          <w:lang w:eastAsia="en-US"/>
        </w:rPr>
        <w:t xml:space="preserve"> </w:t>
      </w:r>
      <w:r w:rsidRPr="00A27006">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3.6pt" o:ole="">
            <v:imagedata r:id="rId8" o:title=""/>
          </v:shape>
          <o:OLEObject Type="Embed" ProgID="Presentations.Drawing.13" ShapeID="_x0000_i1025" DrawAspect="Content" ObjectID="_1748169137" r:id="rId9"/>
        </w:object>
      </w:r>
      <w:r w:rsidRPr="00A27006">
        <w:rPr>
          <w:rFonts w:eastAsiaTheme="minorHAnsi" w:cstheme="minorBidi"/>
          <w:szCs w:val="24"/>
          <w:lang w:eastAsia="en-US"/>
        </w:rPr>
        <w:t xml:space="preserve"> </w:t>
      </w:r>
      <w:r w:rsidRPr="00A27006">
        <w:rPr>
          <w:rFonts w:eastAsiaTheme="minorHAnsi" w:cstheme="minorBidi"/>
          <w:szCs w:val="24"/>
          <w:lang w:eastAsia="en-US"/>
        </w:rPr>
        <w:ptab w:relativeTo="margin" w:alignment="right" w:leader="none"/>
      </w:r>
    </w:p>
    <w:p w:rsidR="00517E7F" w:rsidRPr="00A27006" w:rsidRDefault="00517E7F" w:rsidP="00517E7F">
      <w:pPr>
        <w:jc w:val="center"/>
        <w:rPr>
          <w:rFonts w:eastAsiaTheme="minorHAnsi" w:cstheme="minorBidi"/>
          <w:b/>
          <w:szCs w:val="24"/>
          <w:lang w:eastAsia="en-US"/>
        </w:rPr>
      </w:pPr>
      <w:r w:rsidRPr="00A27006">
        <w:rPr>
          <w:rFonts w:eastAsiaTheme="minorHAnsi" w:cstheme="minorBidi"/>
          <w:b/>
          <w:szCs w:val="24"/>
          <w:lang w:eastAsia="en-US"/>
        </w:rPr>
        <w:t>SUPREME COURT OF CANADA</w:t>
      </w:r>
    </w:p>
    <w:p w:rsidR="00517E7F" w:rsidRPr="00A27006" w:rsidRDefault="00517E7F" w:rsidP="00517E7F">
      <w:pPr>
        <w:rPr>
          <w:rFonts w:eastAsiaTheme="minorHAnsi" w:cstheme="minorBidi"/>
          <w:szCs w:val="24"/>
          <w:lang w:eastAsia="en-US"/>
        </w:rPr>
      </w:pPr>
    </w:p>
    <w:tbl>
      <w:tblPr>
        <w:tblStyle w:val="TableGrid2"/>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812"/>
        <w:gridCol w:w="3686"/>
      </w:tblGrid>
      <w:tr w:rsidR="00517E7F" w:rsidRPr="00A27006" w:rsidTr="00FB07A5">
        <w:trPr>
          <w:cantSplit/>
        </w:trPr>
        <w:tc>
          <w:tcPr>
            <w:tcW w:w="5812" w:type="dxa"/>
          </w:tcPr>
          <w:p w:rsidR="00517E7F" w:rsidRPr="00A27006" w:rsidRDefault="00517E7F" w:rsidP="00FB07A5">
            <w:pPr>
              <w:rPr>
                <w:lang w:val="fr-CA"/>
              </w:rPr>
            </w:pPr>
            <w:r w:rsidRPr="00A27006">
              <w:rPr>
                <w:b/>
                <w:smallCaps/>
                <w:lang w:val="fr-CA"/>
              </w:rPr>
              <w:t>Citation:</w:t>
            </w:r>
            <w:r w:rsidRPr="00A27006">
              <w:rPr>
                <w:lang w:val="fr-CA"/>
              </w:rPr>
              <w:t xml:space="preserve"> Michel </w:t>
            </w:r>
            <w:r w:rsidRPr="00A27006">
              <w:rPr>
                <w:i/>
                <w:lang w:val="fr-CA"/>
              </w:rPr>
              <w:t>v</w:t>
            </w:r>
            <w:r w:rsidRPr="00A27006">
              <w:rPr>
                <w:lang w:val="fr-CA"/>
              </w:rPr>
              <w:t>. Graydon, 2020 SCC 24</w:t>
            </w:r>
            <w:r>
              <w:rPr>
                <w:lang w:val="fr-CA"/>
              </w:rPr>
              <w:t>, [2020] 2 S.C.R. 763</w:t>
            </w:r>
          </w:p>
        </w:tc>
        <w:tc>
          <w:tcPr>
            <w:tcW w:w="3686" w:type="dxa"/>
          </w:tcPr>
          <w:p w:rsidR="00517E7F" w:rsidRPr="00A27006" w:rsidRDefault="00517E7F" w:rsidP="00FB07A5">
            <w:r w:rsidRPr="00A27006">
              <w:rPr>
                <w:b/>
                <w:smallCaps/>
              </w:rPr>
              <w:t>Appeal Heard and Judgment Rendered:</w:t>
            </w:r>
            <w:r w:rsidRPr="00A27006">
              <w:t xml:space="preserve"> November 14, 2019</w:t>
            </w:r>
          </w:p>
          <w:p w:rsidR="00517E7F" w:rsidRPr="00A27006" w:rsidRDefault="00517E7F" w:rsidP="00FB07A5">
            <w:pPr>
              <w:rPr>
                <w:b/>
                <w:smallCaps/>
              </w:rPr>
            </w:pPr>
            <w:r w:rsidRPr="00A27006">
              <w:rPr>
                <w:b/>
                <w:smallCaps/>
              </w:rPr>
              <w:t xml:space="preserve">Reasons for Judgment: </w:t>
            </w:r>
            <w:r w:rsidRPr="00A27006">
              <w:t>September 18, 2020</w:t>
            </w:r>
          </w:p>
          <w:p w:rsidR="00517E7F" w:rsidRPr="00A27006" w:rsidRDefault="00517E7F" w:rsidP="00FB07A5">
            <w:r w:rsidRPr="00A27006">
              <w:rPr>
                <w:b/>
                <w:smallCaps/>
              </w:rPr>
              <w:t>Docket:</w:t>
            </w:r>
            <w:r w:rsidRPr="00A27006">
              <w:t xml:space="preserve"> 38498</w:t>
            </w:r>
          </w:p>
        </w:tc>
      </w:tr>
    </w:tbl>
    <w:p w:rsidR="00517E7F" w:rsidRPr="00A27006" w:rsidRDefault="00517E7F" w:rsidP="00517E7F">
      <w:pPr>
        <w:rPr>
          <w:rFonts w:eastAsiaTheme="minorHAnsi" w:cstheme="minorBidi"/>
          <w:szCs w:val="24"/>
          <w:lang w:eastAsia="en-US"/>
        </w:rPr>
      </w:pPr>
    </w:p>
    <w:p w:rsidR="00517E7F" w:rsidRPr="00A27006" w:rsidRDefault="00517E7F" w:rsidP="00517E7F">
      <w:pPr>
        <w:rPr>
          <w:rFonts w:eastAsiaTheme="minorHAnsi" w:cstheme="minorBidi"/>
          <w:b/>
          <w:smallCaps/>
          <w:szCs w:val="24"/>
          <w:lang w:eastAsia="en-US"/>
        </w:rPr>
      </w:pPr>
      <w:r w:rsidRPr="00A27006">
        <w:rPr>
          <w:rFonts w:eastAsiaTheme="minorHAnsi" w:cstheme="minorBidi"/>
          <w:b/>
          <w:smallCaps/>
          <w:szCs w:val="24"/>
          <w:lang w:eastAsia="en-US"/>
        </w:rPr>
        <w:t>Between:</w:t>
      </w:r>
    </w:p>
    <w:p w:rsidR="00517E7F" w:rsidRPr="00A27006" w:rsidRDefault="00517E7F" w:rsidP="00517E7F">
      <w:pPr>
        <w:jc w:val="center"/>
        <w:rPr>
          <w:rFonts w:eastAsiaTheme="minorHAnsi" w:cstheme="minorBidi"/>
          <w:b/>
          <w:szCs w:val="24"/>
          <w:lang w:eastAsia="en-US"/>
        </w:rPr>
      </w:pPr>
      <w:r w:rsidRPr="00A27006">
        <w:rPr>
          <w:rFonts w:eastAsiaTheme="minorHAnsi" w:cstheme="minorBidi"/>
          <w:b/>
          <w:szCs w:val="24"/>
          <w:lang w:eastAsia="en-US"/>
        </w:rPr>
        <w:t>Danelle Michel</w:t>
      </w:r>
    </w:p>
    <w:p w:rsidR="00517E7F" w:rsidRPr="00A27006" w:rsidRDefault="00517E7F" w:rsidP="00517E7F">
      <w:pPr>
        <w:jc w:val="center"/>
        <w:rPr>
          <w:rFonts w:eastAsiaTheme="minorHAnsi" w:cstheme="minorBidi"/>
          <w:szCs w:val="24"/>
          <w:lang w:eastAsia="en-US"/>
        </w:rPr>
      </w:pPr>
      <w:r w:rsidRPr="00A27006">
        <w:rPr>
          <w:rFonts w:eastAsiaTheme="minorHAnsi" w:cstheme="minorBidi"/>
          <w:szCs w:val="24"/>
          <w:lang w:eastAsia="en-US"/>
        </w:rPr>
        <w:t>Appellant</w:t>
      </w:r>
    </w:p>
    <w:p w:rsidR="00517E7F" w:rsidRPr="00A27006" w:rsidRDefault="00517E7F" w:rsidP="00517E7F">
      <w:pPr>
        <w:rPr>
          <w:rFonts w:eastAsiaTheme="minorHAnsi" w:cstheme="minorBidi"/>
          <w:szCs w:val="24"/>
          <w:lang w:eastAsia="en-US"/>
        </w:rPr>
      </w:pPr>
    </w:p>
    <w:p w:rsidR="00517E7F" w:rsidRPr="00A27006" w:rsidRDefault="00517E7F" w:rsidP="00517E7F">
      <w:pPr>
        <w:jc w:val="center"/>
        <w:rPr>
          <w:rFonts w:eastAsiaTheme="minorHAnsi" w:cstheme="minorBidi"/>
          <w:szCs w:val="24"/>
          <w:lang w:eastAsia="en-US"/>
        </w:rPr>
      </w:pPr>
      <w:r w:rsidRPr="00A27006">
        <w:rPr>
          <w:rFonts w:eastAsiaTheme="minorHAnsi" w:cstheme="minorBidi"/>
          <w:szCs w:val="24"/>
          <w:lang w:eastAsia="en-US"/>
        </w:rPr>
        <w:t>and</w:t>
      </w:r>
    </w:p>
    <w:p w:rsidR="00517E7F" w:rsidRPr="00A27006" w:rsidRDefault="00517E7F" w:rsidP="00517E7F">
      <w:pPr>
        <w:rPr>
          <w:rFonts w:eastAsiaTheme="minorHAnsi" w:cstheme="minorBidi"/>
          <w:szCs w:val="24"/>
          <w:lang w:eastAsia="en-US"/>
        </w:rPr>
      </w:pPr>
    </w:p>
    <w:p w:rsidR="00517E7F" w:rsidRPr="00A27006" w:rsidRDefault="00517E7F" w:rsidP="00517E7F">
      <w:pPr>
        <w:jc w:val="center"/>
        <w:rPr>
          <w:rFonts w:eastAsiaTheme="minorHAnsi" w:cstheme="minorBidi"/>
          <w:b/>
          <w:szCs w:val="24"/>
          <w:lang w:eastAsia="en-US"/>
        </w:rPr>
      </w:pPr>
      <w:r w:rsidRPr="00A27006">
        <w:rPr>
          <w:rFonts w:eastAsiaTheme="minorHAnsi" w:cstheme="minorBidi"/>
          <w:b/>
          <w:szCs w:val="24"/>
          <w:lang w:eastAsia="en-US"/>
        </w:rPr>
        <w:t>Sean Graydon</w:t>
      </w:r>
    </w:p>
    <w:p w:rsidR="00517E7F" w:rsidRPr="00A27006" w:rsidRDefault="00517E7F" w:rsidP="00517E7F">
      <w:pPr>
        <w:jc w:val="center"/>
        <w:rPr>
          <w:rFonts w:eastAsiaTheme="minorHAnsi" w:cstheme="minorBidi"/>
          <w:szCs w:val="24"/>
          <w:lang w:eastAsia="en-US"/>
        </w:rPr>
      </w:pPr>
      <w:r w:rsidRPr="00A27006">
        <w:rPr>
          <w:rFonts w:eastAsiaTheme="minorHAnsi" w:cstheme="minorBidi"/>
          <w:szCs w:val="24"/>
          <w:lang w:eastAsia="en-US"/>
        </w:rPr>
        <w:t>Respondent</w:t>
      </w:r>
    </w:p>
    <w:p w:rsidR="00517E7F" w:rsidRPr="00A27006" w:rsidRDefault="00517E7F" w:rsidP="00517E7F">
      <w:pPr>
        <w:rPr>
          <w:rFonts w:eastAsiaTheme="minorHAnsi" w:cstheme="minorBidi"/>
          <w:szCs w:val="24"/>
          <w:lang w:eastAsia="en-US"/>
        </w:rPr>
      </w:pPr>
    </w:p>
    <w:p w:rsidR="00517E7F" w:rsidRPr="00A27006" w:rsidRDefault="00517E7F" w:rsidP="00517E7F">
      <w:pPr>
        <w:jc w:val="center"/>
        <w:rPr>
          <w:rFonts w:eastAsiaTheme="minorHAnsi" w:cstheme="minorBidi"/>
          <w:szCs w:val="24"/>
          <w:lang w:eastAsia="en-US"/>
        </w:rPr>
      </w:pPr>
      <w:r w:rsidRPr="00A27006">
        <w:rPr>
          <w:rFonts w:eastAsiaTheme="minorHAnsi" w:cstheme="minorBidi"/>
          <w:szCs w:val="24"/>
          <w:lang w:eastAsia="en-US"/>
        </w:rPr>
        <w:t>- and -</w:t>
      </w:r>
    </w:p>
    <w:p w:rsidR="00517E7F" w:rsidRPr="00A27006" w:rsidRDefault="00517E7F" w:rsidP="00517E7F">
      <w:pPr>
        <w:rPr>
          <w:rFonts w:eastAsiaTheme="minorHAnsi" w:cstheme="minorBidi"/>
          <w:szCs w:val="24"/>
          <w:lang w:eastAsia="en-US"/>
        </w:rPr>
      </w:pPr>
    </w:p>
    <w:p w:rsidR="00517E7F" w:rsidRPr="00A27006" w:rsidRDefault="00517E7F" w:rsidP="00517E7F">
      <w:pPr>
        <w:jc w:val="center"/>
        <w:rPr>
          <w:rFonts w:eastAsiaTheme="minorHAnsi" w:cstheme="minorBidi"/>
          <w:b/>
          <w:szCs w:val="24"/>
          <w:lang w:eastAsia="en-US"/>
        </w:rPr>
      </w:pPr>
      <w:r w:rsidRPr="00A27006">
        <w:rPr>
          <w:rFonts w:eastAsiaTheme="minorHAnsi" w:cstheme="minorBidi"/>
          <w:b/>
          <w:szCs w:val="24"/>
          <w:lang w:eastAsia="en-US"/>
        </w:rPr>
        <w:t>West Coast Legal Education and Action Fund Association</w:t>
      </w:r>
    </w:p>
    <w:p w:rsidR="00517E7F" w:rsidRPr="00A27006" w:rsidRDefault="00517E7F" w:rsidP="00517E7F">
      <w:pPr>
        <w:jc w:val="center"/>
        <w:rPr>
          <w:rFonts w:eastAsiaTheme="minorHAnsi" w:cstheme="minorBidi"/>
          <w:szCs w:val="24"/>
          <w:lang w:eastAsia="en-US"/>
        </w:rPr>
      </w:pPr>
      <w:r w:rsidRPr="00A27006">
        <w:rPr>
          <w:rFonts w:eastAsiaTheme="minorHAnsi" w:cstheme="minorBidi"/>
          <w:szCs w:val="24"/>
          <w:lang w:eastAsia="en-US"/>
        </w:rPr>
        <w:t>Intervener</w:t>
      </w:r>
    </w:p>
    <w:p w:rsidR="00517E7F" w:rsidRPr="00A27006" w:rsidRDefault="00517E7F" w:rsidP="00517E7F">
      <w:pPr>
        <w:rPr>
          <w:rFonts w:eastAsiaTheme="minorHAnsi" w:cstheme="minorBidi"/>
          <w:szCs w:val="24"/>
          <w:lang w:eastAsia="en-US"/>
        </w:rPr>
      </w:pPr>
    </w:p>
    <w:p w:rsidR="00517E7F" w:rsidRPr="00A27006" w:rsidRDefault="00517E7F" w:rsidP="00517E7F">
      <w:pPr>
        <w:rPr>
          <w:rFonts w:eastAsiaTheme="minorHAnsi" w:cstheme="minorBidi"/>
          <w:szCs w:val="24"/>
          <w:lang w:eastAsia="en-US"/>
        </w:rPr>
      </w:pPr>
    </w:p>
    <w:p w:rsidR="00517E7F" w:rsidRPr="00A27006" w:rsidRDefault="00517E7F" w:rsidP="00517E7F">
      <w:pPr>
        <w:rPr>
          <w:rFonts w:eastAsiaTheme="minorHAnsi" w:cstheme="minorBidi"/>
          <w:szCs w:val="24"/>
          <w:lang w:eastAsia="en-US"/>
        </w:rPr>
      </w:pPr>
      <w:r w:rsidRPr="00A27006">
        <w:rPr>
          <w:rFonts w:eastAsiaTheme="minorHAnsi" w:cstheme="minorBidi"/>
          <w:b/>
          <w:smallCaps/>
          <w:szCs w:val="24"/>
          <w:lang w:eastAsia="en-US"/>
        </w:rPr>
        <w:t>Coram:</w:t>
      </w:r>
      <w:r w:rsidRPr="00A27006">
        <w:rPr>
          <w:rFonts w:eastAsiaTheme="minorHAnsi" w:cstheme="minorBidi"/>
          <w:szCs w:val="24"/>
          <w:lang w:eastAsia="en-US"/>
        </w:rPr>
        <w:t xml:space="preserve"> Wagner C.J. and Abella, Moldaver, Karakatsanis, Côté, Brown, Rowe, Martin and Kasirer JJ.</w:t>
      </w:r>
    </w:p>
    <w:p w:rsidR="00517E7F" w:rsidRPr="00A27006" w:rsidRDefault="00517E7F" w:rsidP="00517E7F">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17E7F" w:rsidRPr="00A27006" w:rsidTr="00FB07A5">
        <w:trPr>
          <w:cantSplit/>
        </w:trPr>
        <w:tc>
          <w:tcPr>
            <w:tcW w:w="3618" w:type="dxa"/>
          </w:tcPr>
          <w:p w:rsidR="00517E7F" w:rsidRPr="00A27006" w:rsidRDefault="00517E7F" w:rsidP="00FB07A5">
            <w:pPr>
              <w:rPr>
                <w:b/>
                <w:smallCaps/>
              </w:rPr>
            </w:pPr>
            <w:r w:rsidRPr="00A27006">
              <w:rPr>
                <w:b/>
                <w:smallCaps/>
              </w:rPr>
              <w:t>Reasons for Judgment:</w:t>
            </w:r>
          </w:p>
          <w:p w:rsidR="00517E7F" w:rsidRPr="00A27006" w:rsidRDefault="00517E7F" w:rsidP="00FB07A5">
            <w:r w:rsidRPr="00A27006">
              <w:t>(paras. 1 to 37)</w:t>
            </w:r>
          </w:p>
        </w:tc>
        <w:tc>
          <w:tcPr>
            <w:tcW w:w="5958" w:type="dxa"/>
          </w:tcPr>
          <w:p w:rsidR="00517E7F" w:rsidRPr="00A27006" w:rsidRDefault="00517E7F" w:rsidP="00FB07A5">
            <w:r w:rsidRPr="00A27006">
              <w:t>Brown J. (Moldaver, Côté, Rowe and Kasirer JJ. concurring)</w:t>
            </w:r>
          </w:p>
        </w:tc>
      </w:tr>
    </w:tbl>
    <w:p w:rsidR="00517E7F" w:rsidRPr="00A27006" w:rsidRDefault="00517E7F" w:rsidP="00517E7F">
      <w:pPr>
        <w:rPr>
          <w:rFonts w:eastAsiaTheme="minorHAnsi" w:cstheme="minorBidi"/>
          <w:b/>
          <w:smallCaps/>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17E7F" w:rsidRPr="00A27006" w:rsidTr="00FB07A5">
        <w:trPr>
          <w:cantSplit/>
        </w:trPr>
        <w:tc>
          <w:tcPr>
            <w:tcW w:w="3618" w:type="dxa"/>
          </w:tcPr>
          <w:p w:rsidR="00517E7F" w:rsidRPr="00A27006" w:rsidRDefault="00517E7F" w:rsidP="00FB07A5">
            <w:pPr>
              <w:rPr>
                <w:b/>
                <w:smallCaps/>
              </w:rPr>
            </w:pPr>
            <w:r w:rsidRPr="00A27006">
              <w:rPr>
                <w:b/>
                <w:smallCaps/>
              </w:rPr>
              <w:t>Concurring Reasons:</w:t>
            </w:r>
          </w:p>
          <w:p w:rsidR="00517E7F" w:rsidRPr="00A27006" w:rsidRDefault="00517E7F" w:rsidP="00FB07A5">
            <w:pPr>
              <w:rPr>
                <w:b/>
                <w:smallCaps/>
              </w:rPr>
            </w:pPr>
            <w:r w:rsidRPr="00A27006">
              <w:t>(paras. 38 to 135)</w:t>
            </w:r>
          </w:p>
        </w:tc>
        <w:tc>
          <w:tcPr>
            <w:tcW w:w="5958" w:type="dxa"/>
          </w:tcPr>
          <w:p w:rsidR="00517E7F" w:rsidRPr="00A27006" w:rsidRDefault="00517E7F" w:rsidP="00FB07A5">
            <w:r w:rsidRPr="00A27006">
              <w:t>Martin J. (Wagner C.J. concurring)</w:t>
            </w:r>
          </w:p>
        </w:tc>
      </w:tr>
    </w:tbl>
    <w:p w:rsidR="00517E7F" w:rsidRPr="00A27006" w:rsidRDefault="00517E7F" w:rsidP="00517E7F">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17E7F" w:rsidRPr="00682379" w:rsidTr="00FB07A5">
        <w:trPr>
          <w:cantSplit/>
        </w:trPr>
        <w:tc>
          <w:tcPr>
            <w:tcW w:w="3618" w:type="dxa"/>
          </w:tcPr>
          <w:p w:rsidR="00517E7F" w:rsidRPr="00A27006" w:rsidRDefault="00517E7F" w:rsidP="00FB07A5">
            <w:pPr>
              <w:rPr>
                <w:b/>
                <w:smallCaps/>
              </w:rPr>
            </w:pPr>
            <w:r w:rsidRPr="00A27006">
              <w:rPr>
                <w:b/>
                <w:smallCaps/>
              </w:rPr>
              <w:t>Concurring Reasons:</w:t>
            </w:r>
          </w:p>
          <w:p w:rsidR="00517E7F" w:rsidRPr="00A27006" w:rsidRDefault="00517E7F" w:rsidP="00FB07A5">
            <w:pPr>
              <w:rPr>
                <w:b/>
                <w:smallCaps/>
              </w:rPr>
            </w:pPr>
            <w:r w:rsidRPr="00A27006">
              <w:t>(para. 136)</w:t>
            </w:r>
          </w:p>
        </w:tc>
        <w:tc>
          <w:tcPr>
            <w:tcW w:w="5958" w:type="dxa"/>
          </w:tcPr>
          <w:p w:rsidR="00517E7F" w:rsidRPr="00A27006" w:rsidRDefault="00517E7F" w:rsidP="00FB07A5">
            <w:pPr>
              <w:rPr>
                <w:lang w:val="fr-CA"/>
              </w:rPr>
            </w:pPr>
            <w:r w:rsidRPr="00A27006">
              <w:rPr>
                <w:lang w:val="fr-CA"/>
              </w:rPr>
              <w:t>Abella J. (Karakatsanis J. concurring)</w:t>
            </w:r>
          </w:p>
        </w:tc>
      </w:tr>
    </w:tbl>
    <w:p w:rsidR="00517E7F" w:rsidRPr="00A27006" w:rsidRDefault="00517E7F" w:rsidP="00517E7F">
      <w:pPr>
        <w:rPr>
          <w:rFonts w:eastAsiaTheme="minorHAnsi" w:cstheme="minorBidi"/>
          <w:szCs w:val="24"/>
          <w:lang w:eastAsia="en-US"/>
        </w:rPr>
      </w:pPr>
    </w:p>
    <w:p w:rsidR="00517E7F" w:rsidRPr="004364E8" w:rsidRDefault="00517E7F" w:rsidP="00517E7F">
      <w:pPr>
        <w:rPr>
          <w:rStyle w:val="SCCAppellantForRunningHeadChar"/>
          <w:rFonts w:eastAsiaTheme="minorHAnsi" w:cstheme="minorBidi"/>
          <w:smallCaps w:val="0"/>
          <w:szCs w:val="24"/>
          <w:lang w:eastAsia="en-US"/>
        </w:rPr>
      </w:pPr>
      <w:r w:rsidRPr="00A27006">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7297756D" wp14:editId="3780D8C0">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D132CC"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r w:rsidRPr="00A27006">
        <w:rPr>
          <w:rStyle w:val="SCCAppellantForRunningHeadChar"/>
          <w:lang w:val="en-US"/>
        </w:rPr>
        <w:br w:type="page"/>
      </w:r>
      <w:bookmarkStart w:id="0" w:name="_GoBack"/>
      <w:bookmarkEnd w:id="0"/>
    </w:p>
    <w:p w:rsidR="008322BD" w:rsidRPr="005F0F0C" w:rsidRDefault="002B303A" w:rsidP="00F70425">
      <w:pPr>
        <w:spacing w:after="720"/>
        <w:jc w:val="both"/>
        <w:rPr>
          <w:lang w:val="fr-CA"/>
        </w:rPr>
      </w:pPr>
      <w:r w:rsidRPr="005F0F0C">
        <w:rPr>
          <w:rStyle w:val="SCCAppellantForRunningHeadChar"/>
          <w:lang w:val="fr-CA"/>
        </w:rPr>
        <w:lastRenderedPageBreak/>
        <w:t>michel</w:t>
      </w:r>
      <w:r w:rsidR="00480C90" w:rsidRPr="005F0F0C">
        <w:rPr>
          <w:lang w:val="fr-CA"/>
        </w:rPr>
        <w:t xml:space="preserve"> </w:t>
      </w:r>
      <w:r w:rsidR="009B57B3" w:rsidRPr="005F0F0C">
        <w:rPr>
          <w:i/>
          <w:lang w:val="fr-CA"/>
        </w:rPr>
        <w:t>v.</w:t>
      </w:r>
      <w:r w:rsidR="00B000D8" w:rsidRPr="005F0F0C">
        <w:rPr>
          <w:lang w:val="fr-CA"/>
        </w:rPr>
        <w:t xml:space="preserve"> </w:t>
      </w:r>
      <w:r w:rsidRPr="005F0F0C">
        <w:rPr>
          <w:rStyle w:val="SCCRespondentForRunningHeadChar"/>
          <w:lang w:val="fr-CA"/>
        </w:rPr>
        <w:t>graydon</w:t>
      </w:r>
    </w:p>
    <w:p w:rsidR="00B3190C" w:rsidRPr="005F0F0C" w:rsidRDefault="00D0340D" w:rsidP="00F70425">
      <w:pPr>
        <w:pStyle w:val="SCCLsocLastPartyInRole"/>
        <w:rPr>
          <w:lang w:val="fr-CA"/>
        </w:rPr>
      </w:pPr>
      <w:r w:rsidRPr="005F0F0C">
        <w:rPr>
          <w:lang w:val="fr-CA"/>
        </w:rPr>
        <w:t>Danelle Michel</w:t>
      </w:r>
      <w:r w:rsidRPr="005F0F0C">
        <w:rPr>
          <w:rStyle w:val="SCCLsocPartyRole"/>
          <w:lang w:val="fr-CA"/>
        </w:rPr>
        <w:tab/>
        <w:t>Appellant</w:t>
      </w:r>
    </w:p>
    <w:p w:rsidR="00B3190C" w:rsidRPr="005F0F0C" w:rsidRDefault="00D0340D" w:rsidP="00F70425">
      <w:pPr>
        <w:pStyle w:val="SCCLsocVersus"/>
        <w:rPr>
          <w:lang w:val="en-US"/>
        </w:rPr>
      </w:pPr>
      <w:r w:rsidRPr="005F0F0C">
        <w:rPr>
          <w:lang w:val="en-US"/>
        </w:rPr>
        <w:t>v.</w:t>
      </w:r>
    </w:p>
    <w:p w:rsidR="00B3190C" w:rsidRPr="005F0F0C" w:rsidRDefault="00D0340D" w:rsidP="00F70425">
      <w:pPr>
        <w:pStyle w:val="SCCLsocLastPartyInRole"/>
      </w:pPr>
      <w:r w:rsidRPr="005F0F0C">
        <w:rPr>
          <w:lang w:val="en-US"/>
        </w:rPr>
        <w:t>Sean Graydon</w:t>
      </w:r>
      <w:r w:rsidRPr="005F0F0C">
        <w:rPr>
          <w:rStyle w:val="SCCLsocPartyRole"/>
          <w:lang w:val="en-US"/>
        </w:rPr>
        <w:tab/>
        <w:t>Respondent</w:t>
      </w:r>
    </w:p>
    <w:p w:rsidR="00B3190C" w:rsidRPr="005F0F0C" w:rsidRDefault="00D0340D" w:rsidP="00F70425">
      <w:pPr>
        <w:pStyle w:val="SCCLsocOtherPartySeparator"/>
      </w:pPr>
      <w:r w:rsidRPr="005F0F0C">
        <w:t>and</w:t>
      </w:r>
    </w:p>
    <w:p w:rsidR="00B3190C" w:rsidRPr="005F0F0C" w:rsidRDefault="00D0340D" w:rsidP="00F70425">
      <w:pPr>
        <w:pStyle w:val="SCCLsocLastPartyInRole"/>
      </w:pPr>
      <w:r w:rsidRPr="005F0F0C">
        <w:t>West Coast Legal Education and Action Fund Association</w:t>
      </w:r>
      <w:r w:rsidRPr="005F0F0C">
        <w:rPr>
          <w:rStyle w:val="SCCLsocPartyRole"/>
        </w:rPr>
        <w:tab/>
        <w:t>Intervener</w:t>
      </w:r>
    </w:p>
    <w:p w:rsidR="00426659" w:rsidRPr="005F0F0C" w:rsidRDefault="00426659" w:rsidP="00F70425">
      <w:pPr>
        <w:spacing w:after="720"/>
        <w:jc w:val="both"/>
        <w:rPr>
          <w:b/>
        </w:rPr>
      </w:pPr>
      <w:r w:rsidRPr="005F0F0C">
        <w:rPr>
          <w:b/>
        </w:rPr>
        <w:t xml:space="preserve">Indexed as: </w:t>
      </w:r>
      <w:r w:rsidRPr="005F0F0C">
        <w:rPr>
          <w:rStyle w:val="SCCAppellantForIndexChar"/>
        </w:rPr>
        <w:t>Michel</w:t>
      </w:r>
      <w:r w:rsidRPr="005F0F0C">
        <w:rPr>
          <w:b/>
        </w:rPr>
        <w:t xml:space="preserve"> </w:t>
      </w:r>
      <w:r w:rsidRPr="005F0F0C">
        <w:rPr>
          <w:b/>
          <w:i/>
        </w:rPr>
        <w:t>v.</w:t>
      </w:r>
      <w:r w:rsidRPr="005F0F0C">
        <w:rPr>
          <w:b/>
        </w:rPr>
        <w:t xml:space="preserve"> </w:t>
      </w:r>
      <w:r w:rsidRPr="005F0F0C">
        <w:rPr>
          <w:rStyle w:val="SCCRespondentForIndexChar"/>
        </w:rPr>
        <w:t>Graydon</w:t>
      </w:r>
    </w:p>
    <w:p w:rsidR="00426659" w:rsidRPr="005F0F0C" w:rsidRDefault="00AE4535" w:rsidP="00F70425">
      <w:pPr>
        <w:pStyle w:val="SCCSystemYear"/>
        <w:spacing w:after="720"/>
        <w:jc w:val="both"/>
      </w:pPr>
      <w:r w:rsidRPr="005F0F0C">
        <w:t>2020</w:t>
      </w:r>
      <w:r w:rsidR="003D0399" w:rsidRPr="005F0F0C">
        <w:t xml:space="preserve"> </w:t>
      </w:r>
      <w:r w:rsidR="00426659" w:rsidRPr="005F0F0C">
        <w:t>SCC </w:t>
      </w:r>
      <w:r w:rsidR="00A34BA4" w:rsidRPr="005F0F0C">
        <w:t>24</w:t>
      </w:r>
    </w:p>
    <w:p w:rsidR="008322BD" w:rsidRPr="005F0F0C" w:rsidRDefault="006A2E99" w:rsidP="00F70425">
      <w:pPr>
        <w:spacing w:after="720"/>
        <w:jc w:val="both"/>
        <w:rPr>
          <w:szCs w:val="24"/>
        </w:rPr>
      </w:pPr>
      <w:r w:rsidRPr="005F0F0C">
        <w:rPr>
          <w:szCs w:val="24"/>
        </w:rPr>
        <w:t xml:space="preserve">File No.: </w:t>
      </w:r>
      <w:r w:rsidR="009B57B3" w:rsidRPr="005F0F0C">
        <w:rPr>
          <w:szCs w:val="24"/>
        </w:rPr>
        <w:t>38498.</w:t>
      </w:r>
    </w:p>
    <w:p w:rsidR="00726099" w:rsidRPr="005F0F0C" w:rsidRDefault="00726099" w:rsidP="00726099">
      <w:pPr>
        <w:jc w:val="both"/>
        <w:rPr>
          <w:szCs w:val="24"/>
          <w:lang w:val="en-US" w:eastAsia="en-US"/>
        </w:rPr>
      </w:pPr>
      <w:r w:rsidRPr="005F0F0C">
        <w:rPr>
          <w:szCs w:val="24"/>
          <w:lang w:val="en-US" w:eastAsia="en-US"/>
        </w:rPr>
        <w:t>Hearing and judgment: November 14, 2019.</w:t>
      </w:r>
    </w:p>
    <w:p w:rsidR="008322BD" w:rsidRPr="005F0F0C" w:rsidRDefault="00726099" w:rsidP="00F70425">
      <w:pPr>
        <w:spacing w:after="720"/>
        <w:jc w:val="both"/>
        <w:rPr>
          <w:szCs w:val="24"/>
          <w:lang w:val="en-US" w:eastAsia="en-US"/>
        </w:rPr>
      </w:pPr>
      <w:r w:rsidRPr="005F0F0C">
        <w:rPr>
          <w:szCs w:val="24"/>
          <w:lang w:val="en-US" w:eastAsia="en-US"/>
        </w:rPr>
        <w:t>Reasons delivered: September 18, 2020.</w:t>
      </w:r>
    </w:p>
    <w:p w:rsidR="008322BD" w:rsidRPr="005F0F0C" w:rsidRDefault="006A2E99" w:rsidP="00F70425">
      <w:pPr>
        <w:spacing w:after="720"/>
        <w:jc w:val="both"/>
      </w:pPr>
      <w:r w:rsidRPr="005F0F0C">
        <w:t xml:space="preserve">Present: </w:t>
      </w:r>
      <w:r w:rsidR="009B57B3" w:rsidRPr="005F0F0C">
        <w:t>Wagner C.J. and Abella, Moldaver, Karakatsanis, Côté, Brown, Rowe, Martin and Kasirer JJ.</w:t>
      </w:r>
    </w:p>
    <w:p w:rsidR="008322BD" w:rsidRPr="005F0F0C" w:rsidRDefault="00656313" w:rsidP="00F70425">
      <w:pPr>
        <w:pStyle w:val="SCCLowerCourtNameLowercase"/>
        <w:spacing w:after="720" w:line="240" w:lineRule="auto"/>
      </w:pPr>
      <w:r w:rsidRPr="005F0F0C">
        <w:t>o</w:t>
      </w:r>
      <w:r w:rsidR="00170592" w:rsidRPr="005F0F0C">
        <w:t>n</w:t>
      </w:r>
      <w:r w:rsidR="00224FC0" w:rsidRPr="005F0F0C">
        <w:t xml:space="preserve"> </w:t>
      </w:r>
      <w:r w:rsidRPr="005F0F0C">
        <w:t>a</w:t>
      </w:r>
      <w:r w:rsidR="00170592" w:rsidRPr="005F0F0C">
        <w:t>ppeal</w:t>
      </w:r>
      <w:r w:rsidR="00224FC0" w:rsidRPr="005F0F0C">
        <w:t xml:space="preserve"> </w:t>
      </w:r>
      <w:r w:rsidR="00170592" w:rsidRPr="005F0F0C">
        <w:t>from</w:t>
      </w:r>
      <w:r w:rsidR="009567AA" w:rsidRPr="005F0F0C">
        <w:t xml:space="preserve"> the</w:t>
      </w:r>
      <w:r w:rsidR="00224FC0" w:rsidRPr="005F0F0C">
        <w:t xml:space="preserve"> </w:t>
      </w:r>
      <w:r w:rsidR="009B57B3" w:rsidRPr="005F0F0C">
        <w:t xml:space="preserve">court </w:t>
      </w:r>
      <w:r w:rsidR="006A2E99" w:rsidRPr="005F0F0C">
        <w:t xml:space="preserve">of appeal for british columbia </w:t>
      </w:r>
    </w:p>
    <w:p w:rsidR="007772AE" w:rsidRPr="005F0F0C" w:rsidRDefault="00CF1592" w:rsidP="00CF1592">
      <w:pPr>
        <w:pStyle w:val="SCCNormalDoubleSpacing"/>
        <w:spacing w:after="480"/>
        <w:rPr>
          <w:i/>
          <w:szCs w:val="24"/>
        </w:rPr>
      </w:pPr>
      <w:r w:rsidRPr="005F0F0C">
        <w:rPr>
          <w:i/>
        </w:rPr>
        <w:lastRenderedPageBreak/>
        <w:tab/>
      </w:r>
      <w:r w:rsidR="007772AE" w:rsidRPr="005F0F0C">
        <w:rPr>
          <w:i/>
        </w:rPr>
        <w:t xml:space="preserve">Family law </w:t>
      </w:r>
      <w:r w:rsidR="005F0F0C" w:rsidRPr="005F0F0C">
        <w:rPr>
          <w:i/>
        </w:rPr>
        <w:t>—</w:t>
      </w:r>
      <w:r w:rsidR="007772AE" w:rsidRPr="005F0F0C">
        <w:rPr>
          <w:i/>
        </w:rPr>
        <w:t xml:space="preserve"> Support </w:t>
      </w:r>
      <w:r w:rsidR="005F0F0C" w:rsidRPr="005F0F0C">
        <w:rPr>
          <w:i/>
        </w:rPr>
        <w:t>—</w:t>
      </w:r>
      <w:r w:rsidR="007772AE" w:rsidRPr="005F0F0C">
        <w:rPr>
          <w:i/>
        </w:rPr>
        <w:t xml:space="preserve"> Child support </w:t>
      </w:r>
      <w:r w:rsidR="005F0F0C" w:rsidRPr="005F0F0C">
        <w:rPr>
          <w:i/>
        </w:rPr>
        <w:t>—</w:t>
      </w:r>
      <w:r w:rsidR="007772AE" w:rsidRPr="005F0F0C">
        <w:rPr>
          <w:i/>
        </w:rPr>
        <w:t xml:space="preserve"> Retroactive support </w:t>
      </w:r>
      <w:r w:rsidR="005F0F0C" w:rsidRPr="005F0F0C">
        <w:rPr>
          <w:i/>
        </w:rPr>
        <w:t>—</w:t>
      </w:r>
      <w:r w:rsidR="007772AE" w:rsidRPr="005F0F0C">
        <w:rPr>
          <w:i/>
        </w:rPr>
        <w:t xml:space="preserve"> Mother seeking retroactive variation of child support order under British Columbia’s Family Law Act </w:t>
      </w:r>
      <w:r w:rsidR="005F0F0C" w:rsidRPr="005F0F0C">
        <w:rPr>
          <w:i/>
        </w:rPr>
        <w:t>—</w:t>
      </w:r>
      <w:r w:rsidR="007772AE" w:rsidRPr="005F0F0C">
        <w:rPr>
          <w:i/>
        </w:rPr>
        <w:t xml:space="preserve"> Variation sought after child had become adult </w:t>
      </w:r>
      <w:r w:rsidR="005F0F0C" w:rsidRPr="005F0F0C">
        <w:rPr>
          <w:i/>
        </w:rPr>
        <w:t>—</w:t>
      </w:r>
      <w:r w:rsidR="007772AE" w:rsidRPr="005F0F0C">
        <w:rPr>
          <w:i/>
        </w:rPr>
        <w:t xml:space="preserve"> </w:t>
      </w:r>
      <w:r w:rsidR="007772AE" w:rsidRPr="005F0F0C">
        <w:rPr>
          <w:i/>
          <w:szCs w:val="24"/>
        </w:rPr>
        <w:t xml:space="preserve">Whether court has jurisdiction to vary child support order after order has expired and after child support beneficiary has ceased to be child </w:t>
      </w:r>
      <w:r w:rsidR="005F0F0C" w:rsidRPr="005F0F0C">
        <w:rPr>
          <w:szCs w:val="24"/>
        </w:rPr>
        <w:t>—</w:t>
      </w:r>
      <w:r w:rsidR="007772AE" w:rsidRPr="005F0F0C">
        <w:rPr>
          <w:szCs w:val="24"/>
        </w:rPr>
        <w:t xml:space="preserve"> </w:t>
      </w:r>
      <w:r w:rsidR="005F0F0C" w:rsidRPr="005F0F0C">
        <w:rPr>
          <w:i/>
          <w:szCs w:val="24"/>
        </w:rPr>
        <w:t>Family Law Act, S.B.C. 2011, c. </w:t>
      </w:r>
      <w:r w:rsidR="007772AE" w:rsidRPr="005F0F0C">
        <w:rPr>
          <w:i/>
          <w:szCs w:val="24"/>
        </w:rPr>
        <w:t>25</w:t>
      </w:r>
      <w:r w:rsidR="005F0F0C" w:rsidRPr="005F0F0C">
        <w:rPr>
          <w:i/>
          <w:szCs w:val="24"/>
        </w:rPr>
        <w:t>, s. </w:t>
      </w:r>
      <w:r w:rsidR="007772AE" w:rsidRPr="005F0F0C">
        <w:rPr>
          <w:i/>
          <w:szCs w:val="24"/>
        </w:rPr>
        <w:t>152.</w:t>
      </w:r>
    </w:p>
    <w:p w:rsidR="007772AE" w:rsidRPr="005F0F0C" w:rsidRDefault="00CF1592" w:rsidP="00CF1592">
      <w:pPr>
        <w:pStyle w:val="SCCNormalDoubleSpacing"/>
        <w:spacing w:after="480"/>
      </w:pPr>
      <w:r w:rsidRPr="005F0F0C">
        <w:tab/>
      </w:r>
      <w:r w:rsidR="00683097" w:rsidRPr="005F0F0C">
        <w:t xml:space="preserve">M and G were </w:t>
      </w:r>
      <w:r w:rsidR="007772AE" w:rsidRPr="005F0F0C">
        <w:t>in a common law relationship and are the parents of A, born in 1991. After M and G separated in 1994, A lived with M, and G agreed to pay child support based upon his stated annual income</w:t>
      </w:r>
      <w:r w:rsidR="00080D0B" w:rsidRPr="005F0F0C">
        <w:t xml:space="preserve">. </w:t>
      </w:r>
      <w:r w:rsidR="007772AE" w:rsidRPr="005F0F0C">
        <w:t>This was formalized in a consent order made in 2001. G had, however, understated his income from the time of the consent order — with the exception of 2004 — until his child support obligation was terminated by court order in 2012. In January 2015, M applied</w:t>
      </w:r>
      <w:r w:rsidR="00F74BBA">
        <w:t xml:space="preserve"> under s. </w:t>
      </w:r>
      <w:r w:rsidR="007772AE" w:rsidRPr="005F0F0C">
        <w:t xml:space="preserve">152 of British Columbia’s </w:t>
      </w:r>
      <w:r w:rsidR="007772AE" w:rsidRPr="005F0F0C">
        <w:rPr>
          <w:i/>
        </w:rPr>
        <w:t>Family Law Act</w:t>
      </w:r>
      <w:r w:rsidR="007772AE" w:rsidRPr="005F0F0C">
        <w:t xml:space="preserve"> (“</w:t>
      </w:r>
      <w:r w:rsidR="007772AE" w:rsidRPr="005F0F0C">
        <w:rPr>
          <w:i/>
        </w:rPr>
        <w:t>FLA</w:t>
      </w:r>
      <w:r w:rsidR="001328D6">
        <w:t>”)</w:t>
      </w:r>
      <w:r w:rsidR="007772AE" w:rsidRPr="005F0F0C">
        <w:t xml:space="preserve"> to retroactively vary child support for the period between April 2001 and April 2012, to reflect G’s actual income during that period of time.</w:t>
      </w:r>
      <w:r w:rsidR="00F74BBA">
        <w:t xml:space="preserve"> </w:t>
      </w:r>
      <w:r w:rsidR="00080D0B" w:rsidRPr="005F0F0C">
        <w:t xml:space="preserve">The hearing judge allowed </w:t>
      </w:r>
      <w:r w:rsidR="007772AE" w:rsidRPr="005F0F0C">
        <w:t>M’s application and G was ordered to pay</w:t>
      </w:r>
      <w:r w:rsidR="00F74BBA">
        <w:t xml:space="preserve"> $</w:t>
      </w:r>
      <w:r w:rsidR="007772AE" w:rsidRPr="005F0F0C">
        <w:t>23,000 in retroactive child support.</w:t>
      </w:r>
      <w:r w:rsidR="00080D0B" w:rsidRPr="005F0F0C">
        <w:t xml:space="preserve"> </w:t>
      </w:r>
      <w:r w:rsidR="007772AE" w:rsidRPr="005F0F0C">
        <w:t>The Supreme Court of British Columbia allowed G’s appeal</w:t>
      </w:r>
      <w:r w:rsidR="00080D0B" w:rsidRPr="005F0F0C">
        <w:t xml:space="preserve"> </w:t>
      </w:r>
      <w:r w:rsidR="007772AE" w:rsidRPr="005F0F0C">
        <w:t>and set as</w:t>
      </w:r>
      <w:r w:rsidR="00080D0B" w:rsidRPr="005F0F0C">
        <w:t xml:space="preserve">ide the hearing judge’s order. In its view, </w:t>
      </w:r>
      <w:r w:rsidR="007772AE" w:rsidRPr="005F0F0C">
        <w:t>th</w:t>
      </w:r>
      <w:r w:rsidR="00080D0B" w:rsidRPr="005F0F0C">
        <w:t xml:space="preserve">e </w:t>
      </w:r>
      <w:r w:rsidR="007772AE" w:rsidRPr="005F0F0C">
        <w:t xml:space="preserve">Court’s conclusion in </w:t>
      </w:r>
      <w:r w:rsidR="007772AE" w:rsidRPr="005F0F0C">
        <w:rPr>
          <w:i/>
        </w:rPr>
        <w:t>D.B.S. v. S.R.G.</w:t>
      </w:r>
      <w:r w:rsidR="007772AE" w:rsidRPr="005F0F0C">
        <w:t>, 2006 SCC 37, [2006] 2 S.C.R. 231, that an app</w:t>
      </w:r>
      <w:r w:rsidR="00080D0B" w:rsidRPr="005F0F0C">
        <w:t xml:space="preserve">lication for child support </w:t>
      </w:r>
      <w:r w:rsidR="007772AE" w:rsidRPr="005F0F0C">
        <w:t xml:space="preserve">under the federal </w:t>
      </w:r>
      <w:r w:rsidR="007772AE" w:rsidRPr="005F0F0C">
        <w:rPr>
          <w:i/>
        </w:rPr>
        <w:t>Divorce Act</w:t>
      </w:r>
      <w:r w:rsidR="00080D0B" w:rsidRPr="005F0F0C">
        <w:t xml:space="preserve"> </w:t>
      </w:r>
      <w:r w:rsidR="007772AE" w:rsidRPr="005F0F0C">
        <w:t xml:space="preserve">had to be made while the child remained a “child of the marriage” was equally applicable where child support was sought under the </w:t>
      </w:r>
      <w:r w:rsidR="007772AE" w:rsidRPr="005F0F0C">
        <w:rPr>
          <w:i/>
        </w:rPr>
        <w:t>FLA</w:t>
      </w:r>
      <w:r w:rsidR="007772AE" w:rsidRPr="005F0F0C">
        <w:t xml:space="preserve">. </w:t>
      </w:r>
      <w:r w:rsidR="00080D0B" w:rsidRPr="005F0F0C">
        <w:t xml:space="preserve">The Court of Appeal </w:t>
      </w:r>
      <w:r w:rsidR="007772AE" w:rsidRPr="005F0F0C">
        <w:t>dismissed M’s appe</w:t>
      </w:r>
      <w:r w:rsidR="00F74BBA">
        <w:t>al. </w:t>
      </w:r>
    </w:p>
    <w:p w:rsidR="007772AE" w:rsidRPr="005F0F0C" w:rsidRDefault="00CF1592" w:rsidP="00CF1592">
      <w:pPr>
        <w:pStyle w:val="SCCNormalDoubleSpacing"/>
        <w:spacing w:after="480"/>
      </w:pPr>
      <w:r w:rsidRPr="005F0F0C">
        <w:rPr>
          <w:i/>
        </w:rPr>
        <w:lastRenderedPageBreak/>
        <w:tab/>
      </w:r>
      <w:r w:rsidR="007772AE" w:rsidRPr="005F0F0C">
        <w:rPr>
          <w:i/>
        </w:rPr>
        <w:t>Held</w:t>
      </w:r>
      <w:r w:rsidR="007772AE" w:rsidRPr="005F0F0C">
        <w:t>:</w:t>
      </w:r>
      <w:r w:rsidR="00F74BBA">
        <w:t xml:space="preserve"> </w:t>
      </w:r>
      <w:r w:rsidR="007772AE" w:rsidRPr="005F0F0C">
        <w:t>The appeal should be allowed and the order of the hearing judge reinstated.</w:t>
      </w:r>
    </w:p>
    <w:p w:rsidR="007772AE" w:rsidRPr="005F0F0C" w:rsidRDefault="00CF1592" w:rsidP="00CF1592">
      <w:pPr>
        <w:pStyle w:val="SCCNormalDoubleSpacing"/>
        <w:spacing w:after="480"/>
      </w:pPr>
      <w:r w:rsidRPr="005F0F0C">
        <w:rPr>
          <w:i/>
        </w:rPr>
        <w:tab/>
      </w:r>
      <w:r w:rsidR="007772AE" w:rsidRPr="005F0F0C">
        <w:rPr>
          <w:i/>
        </w:rPr>
        <w:t>Per</w:t>
      </w:r>
      <w:r w:rsidR="007772AE" w:rsidRPr="005F0F0C">
        <w:t xml:space="preserve"> Moldaver, Côté, Rowe, </w:t>
      </w:r>
      <w:r w:rsidR="007772AE" w:rsidRPr="00E60A14">
        <w:t>Brown</w:t>
      </w:r>
      <w:r w:rsidR="007772AE" w:rsidRPr="005F0F0C">
        <w:t xml:space="preserve"> and Kasi</w:t>
      </w:r>
      <w:r w:rsidR="00F74BBA">
        <w:t>rer </w:t>
      </w:r>
      <w:r w:rsidR="00080D0B" w:rsidRPr="005F0F0C">
        <w:t xml:space="preserve">JJ.: </w:t>
      </w:r>
      <w:r w:rsidR="007772AE" w:rsidRPr="005F0F0C">
        <w:t xml:space="preserve">Section 152 of the </w:t>
      </w:r>
      <w:r w:rsidR="007772AE" w:rsidRPr="005F0F0C">
        <w:rPr>
          <w:i/>
        </w:rPr>
        <w:t>FLA</w:t>
      </w:r>
      <w:r w:rsidR="007772AE" w:rsidRPr="005F0F0C">
        <w:t xml:space="preserve"> authorizes a court to retroactively vary a child support order, irrespective of whether the beneficiary is a “child” at the time of the application, and irrespective of whe</w:t>
      </w:r>
      <w:r w:rsidR="00080D0B" w:rsidRPr="005F0F0C">
        <w:t xml:space="preserve">ther the order has expired. The order of </w:t>
      </w:r>
      <w:r w:rsidR="007772AE" w:rsidRPr="005F0F0C">
        <w:t>th</w:t>
      </w:r>
      <w:r w:rsidR="00080D0B" w:rsidRPr="005F0F0C">
        <w:t>e hearing judge</w:t>
      </w:r>
      <w:r w:rsidR="007772AE" w:rsidRPr="005F0F0C">
        <w:t xml:space="preserve"> should therefore not have been disturbed.</w:t>
      </w:r>
    </w:p>
    <w:p w:rsidR="007772AE" w:rsidRPr="005F0F0C" w:rsidRDefault="00CF1592" w:rsidP="00CF1592">
      <w:pPr>
        <w:pStyle w:val="SCCNormalDoubleSpacing"/>
        <w:spacing w:after="480"/>
      </w:pPr>
      <w:r w:rsidRPr="005F0F0C">
        <w:tab/>
      </w:r>
      <w:r w:rsidR="007772AE" w:rsidRPr="005F0F0C">
        <w:t>When deciding an application for retroactive child support, a court must analyze the statutory scheme in which the application was brought</w:t>
      </w:r>
      <w:r w:rsidR="00080D0B" w:rsidRPr="005F0F0C">
        <w:t>, and the</w:t>
      </w:r>
      <w:r w:rsidR="007772AE" w:rsidRPr="005F0F0C">
        <w:t xml:space="preserve"> different policy choices made by the federal and provincial governments must be respected</w:t>
      </w:r>
      <w:r w:rsidR="00080D0B" w:rsidRPr="005F0F0C">
        <w:t>.</w:t>
      </w:r>
      <w:r w:rsidR="007772AE" w:rsidRPr="005F0F0C">
        <w:t xml:space="preserve"> In </w:t>
      </w:r>
      <w:r w:rsidR="007772AE" w:rsidRPr="005F0F0C">
        <w:rPr>
          <w:i/>
        </w:rPr>
        <w:t>D.B.S.</w:t>
      </w:r>
      <w:r w:rsidR="007772AE" w:rsidRPr="005F0F0C">
        <w:t>, the Court examined the enfo</w:t>
      </w:r>
      <w:r w:rsidR="00F74BBA">
        <w:t>rcement mechanism set out in s. </w:t>
      </w:r>
      <w:r w:rsidR="007772AE" w:rsidRPr="005F0F0C">
        <w:t xml:space="preserve">15.1 of the </w:t>
      </w:r>
      <w:r w:rsidR="007772AE" w:rsidRPr="005F0F0C">
        <w:rPr>
          <w:i/>
        </w:rPr>
        <w:t>Divorce Act</w:t>
      </w:r>
      <w:r w:rsidR="007772AE" w:rsidRPr="005F0F0C">
        <w:t xml:space="preserve">, which addresses </w:t>
      </w:r>
      <w:r w:rsidR="00080D0B" w:rsidRPr="005F0F0C">
        <w:t xml:space="preserve">original child support orders, and </w:t>
      </w:r>
      <w:r w:rsidR="007772AE" w:rsidRPr="005F0F0C">
        <w:t>concluded that</w:t>
      </w:r>
      <w:r w:rsidR="007772AE" w:rsidRPr="005F0F0C">
        <w:rPr>
          <w:i/>
        </w:rPr>
        <w:t xml:space="preserve"> </w:t>
      </w:r>
      <w:r w:rsidR="007772AE" w:rsidRPr="005F0F0C">
        <w:t xml:space="preserve">a court has no authority to grant a retroactive award of child support under </w:t>
      </w:r>
      <w:r w:rsidR="00080D0B" w:rsidRPr="005F0F0C">
        <w:t xml:space="preserve">that provision </w:t>
      </w:r>
      <w:r w:rsidR="007772AE" w:rsidRPr="005F0F0C">
        <w:t>if the child beneficiary is no longer a “child of the marriage” at the time of the application.</w:t>
      </w:r>
      <w:r w:rsidR="00080D0B" w:rsidRPr="005F0F0C">
        <w:t xml:space="preserve"> </w:t>
      </w:r>
      <w:r w:rsidR="007772AE" w:rsidRPr="005F0F0C">
        <w:t>The Court did no</w:t>
      </w:r>
      <w:r w:rsidR="00080D0B" w:rsidRPr="005F0F0C">
        <w:t xml:space="preserve">t consider or decide the issue of </w:t>
      </w:r>
      <w:r w:rsidR="007772AE" w:rsidRPr="005F0F0C">
        <w:t>retroa</w:t>
      </w:r>
      <w:r w:rsidR="00F74BBA">
        <w:t>ctive variation orders under s. </w:t>
      </w:r>
      <w:r w:rsidR="007772AE" w:rsidRPr="005F0F0C">
        <w:t xml:space="preserve">17 of the </w:t>
      </w:r>
      <w:r w:rsidR="007772AE" w:rsidRPr="005F0F0C">
        <w:rPr>
          <w:i/>
        </w:rPr>
        <w:t>Divorce Act</w:t>
      </w:r>
      <w:r w:rsidR="00080D0B" w:rsidRPr="005F0F0C">
        <w:t xml:space="preserve">. Accordingly, </w:t>
      </w:r>
      <w:r w:rsidR="007772AE" w:rsidRPr="005F0F0C">
        <w:rPr>
          <w:i/>
        </w:rPr>
        <w:t>D.B.S.</w:t>
      </w:r>
      <w:r w:rsidR="007772AE" w:rsidRPr="005F0F0C">
        <w:t xml:space="preserve"> does not stand for the proposition that courts can retroactively vary child support only while the child beneficiary</w:t>
      </w:r>
      <w:r w:rsidR="00080D0B" w:rsidRPr="005F0F0C">
        <w:t xml:space="preserve"> is a “child of the marriage”; furthermore, </w:t>
      </w:r>
      <w:r w:rsidR="007772AE" w:rsidRPr="005F0F0C">
        <w:t xml:space="preserve">the Court in </w:t>
      </w:r>
      <w:r w:rsidR="007772AE" w:rsidRPr="005F0F0C">
        <w:rPr>
          <w:i/>
        </w:rPr>
        <w:t>D.B.S.</w:t>
      </w:r>
      <w:r w:rsidR="007772AE" w:rsidRPr="005F0F0C">
        <w:t xml:space="preserve"> </w:t>
      </w:r>
      <w:r w:rsidR="00080D0B" w:rsidRPr="005F0F0C">
        <w:t xml:space="preserve">did not </w:t>
      </w:r>
      <w:r w:rsidR="007772AE" w:rsidRPr="005F0F0C">
        <w:t xml:space="preserve">state a sweeping principle that transcends the </w:t>
      </w:r>
      <w:r w:rsidR="007772AE" w:rsidRPr="005F0F0C">
        <w:rPr>
          <w:i/>
        </w:rPr>
        <w:t>Divorce Act</w:t>
      </w:r>
      <w:r w:rsidR="007772AE" w:rsidRPr="005F0F0C">
        <w:t xml:space="preserve"> to embrace all other statutory schemes regardless </w:t>
      </w:r>
      <w:r w:rsidR="00080D0B" w:rsidRPr="005F0F0C">
        <w:t xml:space="preserve">of legislative intent. </w:t>
      </w:r>
      <w:r w:rsidR="007772AE" w:rsidRPr="005F0F0C">
        <w:t xml:space="preserve">The Court insisted that provinces remain free to espouse a different paradigm than that adopted by Parliament in the </w:t>
      </w:r>
      <w:r w:rsidR="007772AE" w:rsidRPr="005F0F0C">
        <w:rPr>
          <w:i/>
        </w:rPr>
        <w:t>Divorce Act</w:t>
      </w:r>
      <w:r w:rsidR="007772AE" w:rsidRPr="005F0F0C">
        <w:t>. Where they do so via</w:t>
      </w:r>
      <w:r w:rsidR="007772AE" w:rsidRPr="005F0F0C">
        <w:rPr>
          <w:i/>
        </w:rPr>
        <w:t xml:space="preserve"> </w:t>
      </w:r>
      <w:r w:rsidR="007772AE" w:rsidRPr="005F0F0C">
        <w:t>legislation establishing an application</w:t>
      </w:r>
      <w:r w:rsidR="00F74BBA">
        <w:noBreakHyphen/>
      </w:r>
      <w:r w:rsidR="007772AE" w:rsidRPr="005F0F0C">
        <w:t xml:space="preserve">based regime such as the </w:t>
      </w:r>
      <w:r w:rsidR="007772AE" w:rsidRPr="005F0F0C">
        <w:rPr>
          <w:i/>
        </w:rPr>
        <w:t>FLA</w:t>
      </w:r>
      <w:r w:rsidR="007772AE" w:rsidRPr="005F0F0C">
        <w:t>, and where an application for retroactive child support is brought thereunder, it is that legislation</w:t>
      </w:r>
      <w:r w:rsidR="007772AE" w:rsidRPr="005F0F0C">
        <w:rPr>
          <w:i/>
        </w:rPr>
        <w:t xml:space="preserve"> </w:t>
      </w:r>
      <w:r w:rsidR="007772AE" w:rsidRPr="005F0F0C">
        <w:t>which governs a court’s authority to grant retroactive child support.</w:t>
      </w:r>
      <w:r w:rsidR="00080D0B" w:rsidRPr="005F0F0C">
        <w:t xml:space="preserve"> </w:t>
      </w:r>
      <w:r w:rsidR="007772AE" w:rsidRPr="005F0F0C">
        <w:t>Courts should not be hasty to recognize jurisdictional impediments that bar applications for</w:t>
      </w:r>
      <w:r w:rsidR="00080D0B" w:rsidRPr="005F0F0C">
        <w:t xml:space="preserve"> retroactive child support.</w:t>
      </w:r>
      <w:r w:rsidR="007772AE" w:rsidRPr="005F0F0C">
        <w:t xml:space="preserve"> Jurisdictional constraints are inimical to the principles and policy objectives articulated in </w:t>
      </w:r>
      <w:r w:rsidR="007772AE" w:rsidRPr="005F0F0C">
        <w:rPr>
          <w:i/>
        </w:rPr>
        <w:t>D.B.S.</w:t>
      </w:r>
      <w:r w:rsidR="007772AE" w:rsidRPr="005F0F0C">
        <w:t>, and may be imposed only where the legislature has clearly inte</w:t>
      </w:r>
      <w:r w:rsidR="00080D0B" w:rsidRPr="005F0F0C">
        <w:t xml:space="preserve">nded that they be imposed. </w:t>
      </w:r>
      <w:r w:rsidR="007772AE" w:rsidRPr="005F0F0C">
        <w:t>Such constraints must therefore be apparent in the statutory scheme, bearing in mind that preventing courts from even considering an award for retroactive child support would prevent enforcement of an unfulfilled legal obligation even in the most app</w:t>
      </w:r>
      <w:r w:rsidR="00080D0B" w:rsidRPr="005F0F0C">
        <w:t xml:space="preserve">ropriate of circumstances. </w:t>
      </w:r>
      <w:r w:rsidR="007772AE" w:rsidRPr="005F0F0C">
        <w:t>Unless compelled by the applicable legislative scheme, courts should avoid creating an incentive whatsoever for payor parents to avoid meeting their child support obligations.</w:t>
      </w:r>
    </w:p>
    <w:p w:rsidR="007772AE" w:rsidRPr="005F0F0C" w:rsidRDefault="00CF1592" w:rsidP="00CF1592">
      <w:pPr>
        <w:pStyle w:val="SCCNormalDoubleSpacing"/>
        <w:spacing w:after="480"/>
      </w:pPr>
      <w:r w:rsidRPr="005F0F0C">
        <w:tab/>
      </w:r>
      <w:r w:rsidR="007772AE" w:rsidRPr="005F0F0C">
        <w:t xml:space="preserve">For the purposes of determining who is eligible to receive child support, the </w:t>
      </w:r>
      <w:r w:rsidR="007772AE" w:rsidRPr="005F0F0C">
        <w:rPr>
          <w:i/>
        </w:rPr>
        <w:t>FLA</w:t>
      </w:r>
      <w:r w:rsidR="007772AE" w:rsidRPr="005F0F0C">
        <w:t xml:space="preserve"> defines the term “child” in different ways; but in essence, says that children who are dependent on their parents are eligible to receive child support. Section 152 authorizes a court to change, suspend or terminate an order respecting child support, and to do so prospectively or retroactively. </w:t>
      </w:r>
      <w:r w:rsidR="00F74BBA">
        <w:t>Far from erecting barriers, s. </w:t>
      </w:r>
      <w:r w:rsidR="007772AE" w:rsidRPr="005F0F0C">
        <w:t xml:space="preserve">152 of the </w:t>
      </w:r>
      <w:r w:rsidR="007772AE" w:rsidRPr="005F0F0C">
        <w:rPr>
          <w:i/>
        </w:rPr>
        <w:t xml:space="preserve">FLA </w:t>
      </w:r>
      <w:r w:rsidR="007772AE" w:rsidRPr="005F0F0C">
        <w:t>creates an avenue for courts to retroactively change any child support order, irrespective of the beneficiary’s dependent status and irrespective of whether the order is extant at th</w:t>
      </w:r>
      <w:r w:rsidR="00080D0B" w:rsidRPr="005F0F0C">
        <w:t xml:space="preserve">e time of the application. </w:t>
      </w:r>
      <w:r w:rsidR="007772AE" w:rsidRPr="005F0F0C">
        <w:t>Section 152(1) contains no reference to the defined term “child” that might serve to qualify the authority of a court to vary child support</w:t>
      </w:r>
      <w:r w:rsidR="00080D0B" w:rsidRPr="005F0F0C">
        <w:t>, nor does it contain any conditions which</w:t>
      </w:r>
      <w:r w:rsidR="007772AE" w:rsidRPr="005F0F0C">
        <w:t xml:space="preserve"> relate to the dependent status of the </w:t>
      </w:r>
      <w:r w:rsidR="007772AE" w:rsidRPr="005F0F0C">
        <w:lastRenderedPageBreak/>
        <w:t>beneficiary of a child support order. T</w:t>
      </w:r>
      <w:r w:rsidR="00F74BBA">
        <w:t>he text of s. </w:t>
      </w:r>
      <w:r w:rsidR="007772AE" w:rsidRPr="005F0F0C">
        <w:t xml:space="preserve">152 and the scheme of the </w:t>
      </w:r>
      <w:r w:rsidR="007772AE" w:rsidRPr="005F0F0C">
        <w:rPr>
          <w:i/>
        </w:rPr>
        <w:t xml:space="preserve">FLA </w:t>
      </w:r>
      <w:r w:rsidR="007772AE" w:rsidRPr="005F0F0C">
        <w:t xml:space="preserve">indicate that the Legislature authorized a court to vary any child support order, irrespective of whether the beneficiary remains a dependent child, and irrespective of whether the order continues to require payment. Straining to read jurisdictional impediments into s. 152 that would prevent a court from ordering retroactive child support in circumstances in which such an order is warranted would defeat that legislative purpose and create a perverse incentive for payor parents to avoid their obligations. </w:t>
      </w:r>
    </w:p>
    <w:p w:rsidR="007772AE" w:rsidRPr="005F0F0C" w:rsidRDefault="00CF1592" w:rsidP="00CF1592">
      <w:pPr>
        <w:pStyle w:val="SCCNormalDoubleSpacing"/>
        <w:spacing w:after="480"/>
      </w:pPr>
      <w:r w:rsidRPr="005F0F0C">
        <w:tab/>
      </w:r>
      <w:r w:rsidR="007772AE" w:rsidRPr="005F0F0C">
        <w:t>Child support awards are highly discretionary, and the hearing judge’s findings and inferences of fact may not be disturbed absent an error on an extricable question of law, a palpable and overriding error, or a fundamental mischaracterization or misapprehension of the evidence.</w:t>
      </w:r>
      <w:r w:rsidR="00F74BBA">
        <w:t xml:space="preserve"> </w:t>
      </w:r>
      <w:r w:rsidR="00080D0B" w:rsidRPr="005F0F0C">
        <w:t xml:space="preserve">In the present </w:t>
      </w:r>
      <w:r w:rsidR="007772AE" w:rsidRPr="005F0F0C">
        <w:t>case, the hearing judge was correct to conclude that s. 152 gave him authority to order retroactive child support,</w:t>
      </w:r>
      <w:r w:rsidR="00080D0B" w:rsidRPr="005F0F0C">
        <w:t xml:space="preserve"> he identified and applied the appropriate </w:t>
      </w:r>
      <w:r w:rsidR="007772AE" w:rsidRPr="005F0F0C">
        <w:t xml:space="preserve">factors from </w:t>
      </w:r>
      <w:r w:rsidR="007772AE" w:rsidRPr="005F0F0C">
        <w:rPr>
          <w:i/>
        </w:rPr>
        <w:t>D.B.S.</w:t>
      </w:r>
      <w:r w:rsidR="007772AE" w:rsidRPr="005F0F0C">
        <w:t xml:space="preserve">, and his conclusion that A experienced hardship in her childhood as a result of G’s neglect of his child support obligations was amply supported on the record. He also found that G would not experience hardship from a retroactive award. </w:t>
      </w:r>
      <w:r w:rsidR="007772AE" w:rsidRPr="005F0F0C">
        <w:rPr>
          <w:lang w:val="en-US"/>
        </w:rPr>
        <w:t xml:space="preserve">G’s </w:t>
      </w:r>
      <w:r w:rsidR="007772AE" w:rsidRPr="005F0F0C">
        <w:t>failure to accurately disclose his income at the time of the 2001 order, and to disclose material changes in his income for the 11 years that followed, constituted blameworthy conduct, which justifies an order for retroactive child support.</w:t>
      </w:r>
      <w:r w:rsidR="00080D0B" w:rsidRPr="005F0F0C">
        <w:t xml:space="preserve"> Further, </w:t>
      </w:r>
      <w:r w:rsidR="007772AE" w:rsidRPr="005F0F0C">
        <w:t>there is no basis for interfering with the hearing judge</w:t>
      </w:r>
      <w:r w:rsidR="00080D0B" w:rsidRPr="005F0F0C">
        <w:t xml:space="preserve">’s conclusion that M’s </w:t>
      </w:r>
      <w:r w:rsidR="007772AE" w:rsidRPr="005F0F0C">
        <w:t>delay in seeking retroacti</w:t>
      </w:r>
      <w:r w:rsidR="00080D0B" w:rsidRPr="005F0F0C">
        <w:t xml:space="preserve">ve support was reasonable. Finally, it was clearly appropriate </w:t>
      </w:r>
      <w:r w:rsidR="007772AE" w:rsidRPr="005F0F0C">
        <w:t>for the hearing judge to award support dating b</w:t>
      </w:r>
      <w:r w:rsidR="00080D0B" w:rsidRPr="005F0F0C">
        <w:t xml:space="preserve">ack to the 2001 consent order, </w:t>
      </w:r>
      <w:r w:rsidR="007772AE" w:rsidRPr="005F0F0C">
        <w:t>as</w:t>
      </w:r>
      <w:r w:rsidR="00080D0B" w:rsidRPr="005F0F0C">
        <w:t xml:space="preserve"> </w:t>
      </w:r>
      <w:r w:rsidR="007772AE" w:rsidRPr="005F0F0C">
        <w:t>the date of effective notice is not relevant when a payor parent has engaged in blameworthy conduct.</w:t>
      </w:r>
    </w:p>
    <w:p w:rsidR="00C030AE" w:rsidRPr="005F0F0C" w:rsidRDefault="00CF1592" w:rsidP="00CF1592">
      <w:pPr>
        <w:pStyle w:val="SCCNormalDoubleSpacing"/>
        <w:spacing w:after="480"/>
      </w:pPr>
      <w:r w:rsidRPr="005F0F0C">
        <w:rPr>
          <w:i/>
        </w:rPr>
        <w:tab/>
      </w:r>
      <w:r w:rsidR="00C030AE" w:rsidRPr="005F0F0C">
        <w:rPr>
          <w:i/>
        </w:rPr>
        <w:t>Per</w:t>
      </w:r>
      <w:r w:rsidRPr="005F0F0C">
        <w:t xml:space="preserve"> Wagner </w:t>
      </w:r>
      <w:r w:rsidR="00C030AE" w:rsidRPr="005F0F0C">
        <w:t xml:space="preserve">C.J. and </w:t>
      </w:r>
      <w:r w:rsidR="00C030AE" w:rsidRPr="00E60A14">
        <w:t>Martin</w:t>
      </w:r>
      <w:r w:rsidR="00F74BBA">
        <w:t> </w:t>
      </w:r>
      <w:r w:rsidR="00080D0B" w:rsidRPr="005F0F0C">
        <w:t xml:space="preserve">J.: </w:t>
      </w:r>
      <w:r w:rsidR="00C030AE" w:rsidRPr="005F0F0C">
        <w:t>There i</w:t>
      </w:r>
      <w:r w:rsidR="00080D0B" w:rsidRPr="005F0F0C">
        <w:t>s agreement with the majority’s conclus</w:t>
      </w:r>
      <w:r w:rsidR="00F74BBA">
        <w:t>ion and with its analysis of s. </w:t>
      </w:r>
      <w:r w:rsidR="00080D0B" w:rsidRPr="005F0F0C">
        <w:t xml:space="preserve">152 </w:t>
      </w:r>
      <w:r w:rsidR="00C030AE" w:rsidRPr="005F0F0C">
        <w:t xml:space="preserve">of the </w:t>
      </w:r>
      <w:r w:rsidR="00C030AE" w:rsidRPr="005F0F0C">
        <w:rPr>
          <w:i/>
        </w:rPr>
        <w:t>FLA</w:t>
      </w:r>
      <w:r w:rsidR="00C030AE" w:rsidRPr="005F0F0C">
        <w:t>, and there i</w:t>
      </w:r>
      <w:r w:rsidR="00080D0B" w:rsidRPr="005F0F0C">
        <w:t xml:space="preserve">s agreement that </w:t>
      </w:r>
      <w:r w:rsidR="00C030AE" w:rsidRPr="005F0F0C">
        <w:rPr>
          <w:i/>
        </w:rPr>
        <w:t>D.B.S.</w:t>
      </w:r>
      <w:r w:rsidR="00080D0B" w:rsidRPr="005F0F0C">
        <w:t xml:space="preserve"> did not decide the question at issue in this case.</w:t>
      </w:r>
      <w:r w:rsidR="00C030AE" w:rsidRPr="005F0F0C">
        <w:t xml:space="preserve"> However, there are other compelling considerations and numerous additional reasons why s.</w:t>
      </w:r>
      <w:r w:rsidR="00F74BBA">
        <w:t> </w:t>
      </w:r>
      <w:r w:rsidR="00C030AE" w:rsidRPr="005F0F0C">
        <w:t xml:space="preserve">152 should </w:t>
      </w:r>
      <w:r w:rsidR="00080D0B" w:rsidRPr="005F0F0C">
        <w:t xml:space="preserve">be read to permit applications such as the one in this case. </w:t>
      </w:r>
      <w:r w:rsidR="00C030AE" w:rsidRPr="005F0F0C">
        <w:t>The jurisprudence on child support calls for a fair, large and liberal construction and interpretation as best ensures the</w:t>
      </w:r>
      <w:r w:rsidR="00080D0B" w:rsidRPr="005F0F0C">
        <w:t xml:space="preserve"> attainment of its objects. </w:t>
      </w:r>
      <w:r w:rsidR="00C030AE" w:rsidRPr="005F0F0C">
        <w:t>Such objects include a consideration of the b</w:t>
      </w:r>
      <w:r w:rsidR="00080D0B" w:rsidRPr="005F0F0C">
        <w:t xml:space="preserve">est interests of the child. </w:t>
      </w:r>
      <w:r w:rsidR="00C030AE" w:rsidRPr="005F0F0C">
        <w:t>The required contextual and purposive r</w:t>
      </w:r>
      <w:r w:rsidR="00F74BBA">
        <w:t>eading of s. </w:t>
      </w:r>
      <w:r w:rsidR="00080D0B" w:rsidRPr="005F0F0C">
        <w:t xml:space="preserve">152 thus requires the Court </w:t>
      </w:r>
      <w:r w:rsidR="00C030AE" w:rsidRPr="005F0F0C">
        <w:t>to look to its wider legislative purposes, societal implic</w:t>
      </w:r>
      <w:r w:rsidR="00080D0B" w:rsidRPr="005F0F0C">
        <w:t xml:space="preserve">ations, and actual impacts. </w:t>
      </w:r>
      <w:r w:rsidR="00C030AE" w:rsidRPr="005F0F0C">
        <w:t>Seen this way, a jurisdictional bar preventing these cases from being heard not only rests on unsound legal foundations, it is inconsistent with the bedrock principles underlying modern child support and contributes to systemic inequalities.</w:t>
      </w:r>
    </w:p>
    <w:p w:rsidR="00C030AE" w:rsidRPr="005F0F0C" w:rsidRDefault="00E65246" w:rsidP="00CF1592">
      <w:pPr>
        <w:pStyle w:val="SCCNormalDoubleSpacing"/>
        <w:spacing w:after="480"/>
      </w:pPr>
      <w:r w:rsidRPr="005F0F0C">
        <w:tab/>
      </w:r>
      <w:r w:rsidR="00C030AE" w:rsidRPr="005F0F0C">
        <w:t>The purpose and promise of child support is to protect the financial entitlements due to children by their parents. Canadian jurisprudence has not consistently fulfilled that promise when it comes to historical child support, when retroactive child support is sought after the child no longer qualifies as a beneficiary under the applicable legislation</w:t>
      </w:r>
      <w:r w:rsidR="00080D0B" w:rsidRPr="005F0F0C">
        <w:t xml:space="preserve">. </w:t>
      </w:r>
      <w:r w:rsidR="00C030AE" w:rsidRPr="005F0F0C">
        <w:t>This is evid</w:t>
      </w:r>
      <w:r w:rsidR="00080D0B" w:rsidRPr="005F0F0C">
        <w:t xml:space="preserve">enced by </w:t>
      </w:r>
      <w:r w:rsidR="00C030AE" w:rsidRPr="005F0F0C">
        <w:t>muddled jurisprudence: confused,</w:t>
      </w:r>
      <w:r w:rsidR="00080D0B" w:rsidRPr="005F0F0C">
        <w:t xml:space="preserve"> contradictory, and divided </w:t>
      </w:r>
      <w:r w:rsidR="00C030AE" w:rsidRPr="005F0F0C">
        <w:t xml:space="preserve">judgments across different provinces about whether applications for historical awards can be considered, and a multiplying number of exceptions to </w:t>
      </w:r>
      <w:r w:rsidR="00080D0B" w:rsidRPr="005F0F0C">
        <w:t xml:space="preserve">and </w:t>
      </w:r>
      <w:r w:rsidR="00C030AE" w:rsidRPr="005F0F0C">
        <w:t xml:space="preserve">other creative ways </w:t>
      </w:r>
      <w:r w:rsidR="00080D0B" w:rsidRPr="005F0F0C">
        <w:t xml:space="preserve">around </w:t>
      </w:r>
      <w:r w:rsidR="00C030AE" w:rsidRPr="005F0F0C">
        <w:t xml:space="preserve">principles set out in </w:t>
      </w:r>
      <w:r w:rsidR="00C030AE" w:rsidRPr="005F0F0C">
        <w:rPr>
          <w:i/>
        </w:rPr>
        <w:t>D.B.S.</w:t>
      </w:r>
      <w:r w:rsidR="00F74BBA">
        <w:t xml:space="preserve"> </w:t>
      </w:r>
    </w:p>
    <w:p w:rsidR="00C030AE" w:rsidRPr="005F0F0C" w:rsidRDefault="00080D0B" w:rsidP="00CF1592">
      <w:pPr>
        <w:pStyle w:val="SCCNormalDoubleSpacing"/>
        <w:spacing w:after="480"/>
      </w:pPr>
      <w:r w:rsidRPr="005F0F0C">
        <w:tab/>
      </w:r>
      <w:r w:rsidR="00C030AE" w:rsidRPr="005F0F0C">
        <w:t>Child support obligations arise upon a child’s birth or the separation of their parents. Retroactive awards are a recognized way to enforce such pre</w:t>
      </w:r>
      <w:r w:rsidR="00F74BBA">
        <w:noBreakHyphen/>
      </w:r>
      <w:r w:rsidR="00C030AE" w:rsidRPr="005F0F0C">
        <w:t>existing, free</w:t>
      </w:r>
      <w:r w:rsidR="00F74BBA">
        <w:noBreakHyphen/>
      </w:r>
      <w:r w:rsidR="00C030AE" w:rsidRPr="005F0F0C">
        <w:t xml:space="preserve">standing obligations and to recover monies owed but yet unpaid. Such a debt is a continuing obligation which does not evaporate or fade into history upon a child’s 18th or 19th birthday or their </w:t>
      </w:r>
      <w:r w:rsidRPr="005F0F0C">
        <w:t xml:space="preserve">graduation from university. </w:t>
      </w:r>
      <w:r w:rsidR="00F74BBA">
        <w:t>Under s. </w:t>
      </w:r>
      <w:r w:rsidR="00C030AE" w:rsidRPr="005F0F0C">
        <w:t xml:space="preserve">152 of the </w:t>
      </w:r>
      <w:r w:rsidR="00C030AE" w:rsidRPr="005F0F0C">
        <w:rPr>
          <w:i/>
        </w:rPr>
        <w:t>FLA</w:t>
      </w:r>
      <w:r w:rsidR="00C030AE" w:rsidRPr="005F0F0C">
        <w:t>, a debt exists if the child qualified as a beneficiary at the time the support was due, irrespective of their status at the moment of the application.</w:t>
      </w:r>
      <w:r w:rsidR="00F74BBA">
        <w:t xml:space="preserve"> </w:t>
      </w:r>
      <w:r w:rsidR="00C030AE" w:rsidRPr="005F0F0C">
        <w:t>This reading not only accords with the text, legislative scheme, and purpose of s. 152, it promotes the best interests of children, enhances access to justice, reinforces that child support is the right of the child and the responsibility of the parents, encourages the payment of child support, acknowledges that there are many reasons why a parent may delay making an application, and recognizes how the underpayment of child support leads to hardship and contributes to the feminization of poverty.</w:t>
      </w:r>
    </w:p>
    <w:p w:rsidR="00C030AE" w:rsidRPr="005F0F0C" w:rsidRDefault="00E65246" w:rsidP="00CF1592">
      <w:pPr>
        <w:pStyle w:val="SCCNormalDoubleSpacing"/>
        <w:spacing w:after="480"/>
      </w:pPr>
      <w:r w:rsidRPr="005F0F0C">
        <w:tab/>
      </w:r>
      <w:r w:rsidR="00C030AE" w:rsidRPr="005F0F0C">
        <w:t xml:space="preserve">In </w:t>
      </w:r>
      <w:r w:rsidR="00C030AE" w:rsidRPr="005F0F0C">
        <w:rPr>
          <w:i/>
        </w:rPr>
        <w:t>D.B.S.</w:t>
      </w:r>
      <w:r w:rsidR="00080D0B" w:rsidRPr="005F0F0C">
        <w:t xml:space="preserve">, when </w:t>
      </w:r>
      <w:r w:rsidR="00F74BBA">
        <w:t>interpreting s. </w:t>
      </w:r>
      <w:r w:rsidR="00C030AE" w:rsidRPr="005F0F0C">
        <w:t xml:space="preserve">15.1 of the </w:t>
      </w:r>
      <w:r w:rsidR="00C030AE" w:rsidRPr="005F0F0C">
        <w:rPr>
          <w:i/>
        </w:rPr>
        <w:t>Divorce Act</w:t>
      </w:r>
      <w:r w:rsidR="00C030AE" w:rsidRPr="005F0F0C">
        <w:t>, the</w:t>
      </w:r>
      <w:r w:rsidR="008E1F8E" w:rsidRPr="005F0F0C">
        <w:t xml:space="preserve"> majority of the Court e</w:t>
      </w:r>
      <w:r w:rsidR="00C030AE" w:rsidRPr="005F0F0C">
        <w:t xml:space="preserve">xpressed the view that </w:t>
      </w:r>
      <w:r w:rsidR="00C030AE" w:rsidRPr="005F0F0C">
        <w:rPr>
          <w:lang w:val="en-US"/>
        </w:rPr>
        <w:t>c</w:t>
      </w:r>
      <w:r w:rsidR="00C030AE" w:rsidRPr="005F0F0C">
        <w:t xml:space="preserve">ourts have no jurisdiction to hear original applications for child support brought after a child ceases to be a “child of the marriage”. These comments have led some courts to believe that the same jurisdictional bar also prevents applications to vary historical child support under s. 17 of the </w:t>
      </w:r>
      <w:r w:rsidR="00C030AE" w:rsidRPr="005F0F0C">
        <w:rPr>
          <w:i/>
        </w:rPr>
        <w:t>Divorce Act</w:t>
      </w:r>
      <w:r w:rsidR="00C030AE" w:rsidRPr="005F0F0C">
        <w:t>, and under similarly</w:t>
      </w:r>
      <w:r w:rsidR="00F74BBA">
        <w:noBreakHyphen/>
      </w:r>
      <w:r w:rsidR="00C030AE" w:rsidRPr="005F0F0C">
        <w:t xml:space="preserve">worded provincial legislation, like s. 152 of the </w:t>
      </w:r>
      <w:r w:rsidR="00C030AE" w:rsidRPr="005F0F0C">
        <w:rPr>
          <w:i/>
        </w:rPr>
        <w:t>FLA</w:t>
      </w:r>
      <w:r w:rsidR="00C030AE" w:rsidRPr="005F0F0C">
        <w:t>.</w:t>
      </w:r>
      <w:r w:rsidR="008E1F8E" w:rsidRPr="005F0F0C">
        <w:rPr>
          <w:shd w:val="clear" w:color="auto" w:fill="FFFFFF"/>
        </w:rPr>
        <w:t xml:space="preserve"> However, </w:t>
      </w:r>
      <w:r w:rsidR="00C030AE" w:rsidRPr="005F0F0C">
        <w:rPr>
          <w:i/>
          <w:shd w:val="clear" w:color="auto" w:fill="FFFFFF"/>
        </w:rPr>
        <w:t>D.B.S.</w:t>
      </w:r>
      <w:r w:rsidR="00C030AE" w:rsidRPr="005F0F0C">
        <w:rPr>
          <w:shd w:val="clear" w:color="auto" w:fill="FFFFFF"/>
        </w:rPr>
        <w:t xml:space="preserve"> did not decide the issu</w:t>
      </w:r>
      <w:r w:rsidR="00F74BBA">
        <w:rPr>
          <w:shd w:val="clear" w:color="auto" w:fill="FFFFFF"/>
        </w:rPr>
        <w:t>e for variation orders under s. </w:t>
      </w:r>
      <w:r w:rsidR="00C030AE" w:rsidRPr="005F0F0C">
        <w:rPr>
          <w:shd w:val="clear" w:color="auto" w:fill="FFFFFF"/>
        </w:rPr>
        <w:t xml:space="preserve">17. </w:t>
      </w:r>
      <w:r w:rsidR="00C030AE" w:rsidRPr="005F0F0C">
        <w:t xml:space="preserve">There is therefore no binding authority requiring s. 152 to be read as imposing a jurisdictional bar on the hearing of variation application for historical child support. </w:t>
      </w:r>
    </w:p>
    <w:p w:rsidR="00C030AE" w:rsidRPr="005F0F0C" w:rsidRDefault="008E1F8E" w:rsidP="00CF1592">
      <w:pPr>
        <w:pStyle w:val="SCCNormalDoubleSpacing"/>
        <w:spacing w:after="480"/>
      </w:pPr>
      <w:r w:rsidRPr="005F0F0C">
        <w:tab/>
      </w:r>
      <w:r w:rsidR="00C030AE" w:rsidRPr="005F0F0C">
        <w:t>Section 152 must be interpreted and applied in accorda</w:t>
      </w:r>
      <w:r w:rsidRPr="005F0F0C">
        <w:t xml:space="preserve">nce with first principles. </w:t>
      </w:r>
      <w:r w:rsidR="00C030AE" w:rsidRPr="005F0F0C">
        <w:t>In addition to the reasons provided by the majority, there are other strong and equally compelling reasons that support allowing the consideration of histor</w:t>
      </w:r>
      <w:r w:rsidRPr="005F0F0C">
        <w:t xml:space="preserve">ical child support claims. </w:t>
      </w:r>
      <w:r w:rsidR="00C030AE" w:rsidRPr="005F0F0C">
        <w:t>An analysis that takes into account t</w:t>
      </w:r>
      <w:r w:rsidR="00C030AE" w:rsidRPr="005F0F0C">
        <w:rPr>
          <w:lang w:val="en-US"/>
        </w:rPr>
        <w:t xml:space="preserve">he policies and values of contemporary Canadian society, focuses on the best interests </w:t>
      </w:r>
      <w:r w:rsidR="00F74BBA">
        <w:rPr>
          <w:lang w:val="en-US"/>
        </w:rPr>
        <w:t>of the child, and interprets s. </w:t>
      </w:r>
      <w:r w:rsidR="00C030AE" w:rsidRPr="005F0F0C">
        <w:rPr>
          <w:lang w:val="en-US"/>
        </w:rPr>
        <w:t xml:space="preserve">152 in a fair, large, and liberal manner to best ensure the attainment of the objects of child support clearly supports permitting historical child support claims to be heard by a court to determine if monies are owing and what amounts may be fairly recovered. </w:t>
      </w:r>
      <w:r w:rsidRPr="005F0F0C">
        <w:rPr>
          <w:lang w:val="en-US"/>
        </w:rPr>
        <w:t xml:space="preserve">A procedural bar </w:t>
      </w:r>
      <w:r w:rsidR="00C030AE" w:rsidRPr="005F0F0C">
        <w:rPr>
          <w:lang w:val="en-US"/>
        </w:rPr>
        <w:t xml:space="preserve">to </w:t>
      </w:r>
      <w:r w:rsidRPr="005F0F0C">
        <w:rPr>
          <w:lang w:val="en-US"/>
        </w:rPr>
        <w:t>historical child support claims</w:t>
      </w:r>
      <w:r w:rsidR="00C030AE" w:rsidRPr="005F0F0C">
        <w:rPr>
          <w:lang w:val="en-US"/>
        </w:rPr>
        <w:t xml:space="preserve"> prevents access to justice, runs counter to the best interest of many children, gives rise to an under</w:t>
      </w:r>
      <w:r w:rsidR="00F74BBA">
        <w:rPr>
          <w:lang w:val="en-US"/>
        </w:rPr>
        <w:noBreakHyphen/>
      </w:r>
      <w:r w:rsidR="00C030AE" w:rsidRPr="005F0F0C">
        <w:rPr>
          <w:lang w:val="en-US"/>
        </w:rPr>
        <w:t>inclusive outcome, and reinforces patterns of s</w:t>
      </w:r>
      <w:r w:rsidRPr="005F0F0C">
        <w:rPr>
          <w:lang w:val="en-US"/>
        </w:rPr>
        <w:t>ocio</w:t>
      </w:r>
      <w:r w:rsidR="00F74BBA">
        <w:rPr>
          <w:lang w:val="en-US"/>
        </w:rPr>
        <w:noBreakHyphen/>
      </w:r>
      <w:r w:rsidRPr="005F0F0C">
        <w:rPr>
          <w:lang w:val="en-US"/>
        </w:rPr>
        <w:t xml:space="preserve">economic inequality. It </w:t>
      </w:r>
      <w:r w:rsidR="00C030AE" w:rsidRPr="005F0F0C">
        <w:rPr>
          <w:lang w:val="en-US"/>
        </w:rPr>
        <w:t>operates to prevent applications advanced on behalf of Canada’s children from ever being heard on their merits.</w:t>
      </w:r>
      <w:r w:rsidR="00C030AE" w:rsidRPr="005F0F0C">
        <w:t xml:space="preserve"> The courtroom doors should not be closed because certain categories of debts owed to children are classified as coming “too late”. Unmet child support obligations, whether they are in the form of arrears or have not yet been judicially recognized, are a valid debt that must be paid, similar to any other financial obligation, regardless of whether the quantum is significant</w:t>
      </w:r>
      <w:r w:rsidRPr="005F0F0C">
        <w:t xml:space="preserve">. </w:t>
      </w:r>
      <w:r w:rsidR="00C030AE" w:rsidRPr="005F0F0C">
        <w:t>Further, the obligation to support one’s child exists irrespective of whether an action has been started by the recipient parent again</w:t>
      </w:r>
      <w:r w:rsidRPr="005F0F0C">
        <w:t>st</w:t>
      </w:r>
      <w:r w:rsidR="00C030AE" w:rsidRPr="005F0F0C">
        <w:t xml:space="preserve"> the payor parent to enforce it, because child support is a continued obligation owed independently of a</w:t>
      </w:r>
      <w:r w:rsidRPr="005F0F0C">
        <w:t xml:space="preserve">ny statute or court order. </w:t>
      </w:r>
      <w:r w:rsidR="00F74BBA">
        <w:t>Any interpretation of s. </w:t>
      </w:r>
      <w:r w:rsidR="00C030AE" w:rsidRPr="005F0F0C">
        <w:t>152 should support the modern understanding of child support and not encourage behavio</w:t>
      </w:r>
      <w:r w:rsidR="000F2F51">
        <w:t>u</w:t>
      </w:r>
      <w:r w:rsidR="00C030AE" w:rsidRPr="005F0F0C">
        <w:t>r that undercuts its values, eff</w:t>
      </w:r>
      <w:r w:rsidRPr="005F0F0C">
        <w:t>iciency, or effectivene</w:t>
      </w:r>
      <w:r w:rsidR="00F74BBA">
        <w:t>ss. </w:t>
      </w:r>
      <w:r w:rsidR="00C030AE" w:rsidRPr="005F0F0C">
        <w:rPr>
          <w:lang w:val="en-US"/>
        </w:rPr>
        <w:t xml:space="preserve">Thus, the court should not create a perverse incentive by granting payor parents immunity after the child ceases to be a child of the marriage. </w:t>
      </w:r>
    </w:p>
    <w:p w:rsidR="00C030AE" w:rsidRPr="005F0F0C" w:rsidRDefault="00E65246" w:rsidP="00CF1592">
      <w:pPr>
        <w:pStyle w:val="SCCNormalDoubleSpacing"/>
        <w:spacing w:after="480"/>
      </w:pPr>
      <w:r w:rsidRPr="005F0F0C">
        <w:tab/>
      </w:r>
      <w:r w:rsidR="00C030AE" w:rsidRPr="005F0F0C">
        <w:t>Preventing historical cl</w:t>
      </w:r>
      <w:r w:rsidR="00F74BBA">
        <w:t>aims for child support under s. </w:t>
      </w:r>
      <w:r w:rsidR="00C030AE" w:rsidRPr="005F0F0C">
        <w:t xml:space="preserve">152 of the </w:t>
      </w:r>
      <w:r w:rsidR="00C030AE" w:rsidRPr="005F0F0C">
        <w:rPr>
          <w:i/>
        </w:rPr>
        <w:t>FLA</w:t>
      </w:r>
      <w:r w:rsidR="00C030AE" w:rsidRPr="005F0F0C">
        <w:t xml:space="preserve"> also ignores how family law calls for an approach that takes into account the broader social framework in whic</w:t>
      </w:r>
      <w:r w:rsidR="008E1F8E" w:rsidRPr="005F0F0C">
        <w:t xml:space="preserve">h family dynamics operate. </w:t>
      </w:r>
      <w:r w:rsidR="00C030AE" w:rsidRPr="005F0F0C">
        <w:t>Gender roles, divorce, separation, and lone parenthood contribute to child poverty and place a disprop</w:t>
      </w:r>
      <w:r w:rsidR="008E1F8E" w:rsidRPr="005F0F0C">
        <w:t xml:space="preserve">ortionate burden on women. </w:t>
      </w:r>
      <w:r w:rsidR="00C030AE" w:rsidRPr="005F0F0C">
        <w:t>A bar against applications for historical child support means children have gone without their due, and the law provides no remedy for the hardship this has created for the children and their caregivers, mos</w:t>
      </w:r>
      <w:r w:rsidR="008E1F8E" w:rsidRPr="005F0F0C">
        <w:t xml:space="preserve">t of whom are still women. </w:t>
      </w:r>
      <w:r w:rsidR="00C030AE" w:rsidRPr="005F0F0C">
        <w:t>Today, women still bear the bulk of child care and custody obligations and earn less money than men, so women’s poverty remains inextricably linked to child poverty</w:t>
      </w:r>
      <w:r w:rsidR="008E1F8E" w:rsidRPr="005F0F0C">
        <w:t xml:space="preserve">. </w:t>
      </w:r>
      <w:r w:rsidR="00C030AE" w:rsidRPr="005F0F0C">
        <w:t>Women who obtain custody are often badly placed to evaluate their co</w:t>
      </w:r>
      <w:r w:rsidR="00F74BBA">
        <w:noBreakHyphen/>
      </w:r>
      <w:r w:rsidR="00C030AE" w:rsidRPr="005F0F0C">
        <w:t>parent’s financial situation and to take action against it. Measures that place further barriers on their ability to claim and enforce their rights, like a jurisdictional bar, inhibit their ability to improve their circumstances and those of their children.</w:t>
      </w:r>
      <w:r w:rsidR="008E1F8E" w:rsidRPr="005F0F0C">
        <w:t xml:space="preserve"> </w:t>
      </w:r>
      <w:r w:rsidR="00C030AE" w:rsidRPr="005F0F0C">
        <w:t xml:space="preserve">Family law’s holistic approach demands </w:t>
      </w:r>
      <w:r w:rsidR="008E1F8E" w:rsidRPr="005F0F0C">
        <w:t>taking</w:t>
      </w:r>
      <w:r w:rsidR="00C030AE" w:rsidRPr="005F0F0C">
        <w:t xml:space="preserve"> account of the interconnected nature of issues of child support, child poverty, and the consequent feminization of poverty.</w:t>
      </w:r>
      <w:r w:rsidR="00F74BBA">
        <w:t xml:space="preserve"> </w:t>
      </w:r>
      <w:r w:rsidR="00C030AE" w:rsidRPr="005F0F0C">
        <w:t>A system that can account for the social dynamics which act to impoverish certain members of society over other</w:t>
      </w:r>
      <w:r w:rsidR="009538AE">
        <w:t>s</w:t>
      </w:r>
      <w:r w:rsidR="00C030AE" w:rsidRPr="005F0F0C">
        <w:t>, or to prevent them from accessing the courtroom and reclaiming their rights, i</w:t>
      </w:r>
      <w:r w:rsidR="008E1F8E" w:rsidRPr="005F0F0C">
        <w:t xml:space="preserve">s a fairer system for all. </w:t>
      </w:r>
      <w:r w:rsidR="00C030AE" w:rsidRPr="005F0F0C">
        <w:t>The principles of child support also favour the interpretation that is favourable to children such that the best interest of the child is at the heart of any interpre</w:t>
      </w:r>
      <w:r w:rsidR="008E1F8E" w:rsidRPr="005F0F0C">
        <w:t xml:space="preserve">tive exercise. </w:t>
      </w:r>
      <w:r w:rsidR="00C030AE" w:rsidRPr="005F0F0C">
        <w:t>Moreover, an interpretation adverse to the pre</w:t>
      </w:r>
      <w:r w:rsidR="00F74BBA">
        <w:noBreakHyphen/>
      </w:r>
      <w:r w:rsidR="00C030AE" w:rsidRPr="005F0F0C">
        <w:t>existing common law rights of children and to the interests of recipient parents</w:t>
      </w:r>
      <w:r w:rsidR="00C030AE" w:rsidRPr="005F0F0C" w:rsidDel="00C331FB">
        <w:t xml:space="preserve"> </w:t>
      </w:r>
      <w:r w:rsidR="00C030AE" w:rsidRPr="005F0F0C">
        <w:t xml:space="preserve">should be avoided absent clear statutory expression. The best interests of the child, which are intrinsically tied to those of their caregiver, are in favour of reading s. 152 of the </w:t>
      </w:r>
      <w:r w:rsidR="00C030AE" w:rsidRPr="005F0F0C">
        <w:rPr>
          <w:i/>
        </w:rPr>
        <w:t>FLA</w:t>
      </w:r>
      <w:r w:rsidR="00C030AE" w:rsidRPr="005F0F0C">
        <w:t xml:space="preserve"> to allow applications for historical child support.</w:t>
      </w:r>
    </w:p>
    <w:p w:rsidR="00C030AE" w:rsidRPr="005F0F0C" w:rsidRDefault="00E65246" w:rsidP="00CF1592">
      <w:pPr>
        <w:pStyle w:val="SCCNormalDoubleSpacing"/>
        <w:spacing w:after="480"/>
      </w:pPr>
      <w:r w:rsidRPr="005F0F0C">
        <w:tab/>
      </w:r>
      <w:r w:rsidR="00C030AE" w:rsidRPr="005F0F0C">
        <w:t>Removing the jurisdictional bar from variation applications means that courts will be called upon to hear these ma</w:t>
      </w:r>
      <w:r w:rsidR="008E1F8E" w:rsidRPr="005F0F0C">
        <w:t xml:space="preserve">tters on their merits. </w:t>
      </w:r>
      <w:r w:rsidR="00C030AE" w:rsidRPr="005F0F0C">
        <w:t xml:space="preserve">Judges will have to first determine whether there is a debt outstanding and will then have to consider what would be a fair award under the </w:t>
      </w:r>
      <w:r w:rsidR="00C030AE" w:rsidRPr="005F0F0C">
        <w:rPr>
          <w:i/>
        </w:rPr>
        <w:t>D.B.S.</w:t>
      </w:r>
      <w:r w:rsidR="008E1F8E" w:rsidRPr="005F0F0C">
        <w:t xml:space="preserve"> factors: </w:t>
      </w:r>
      <w:r w:rsidR="00C030AE" w:rsidRPr="005F0F0C">
        <w:t>the recipient parent’s reason for delaying their application for child support, the conduct of the payor parent, the circumstances of the child, and the hardship the award creates for the payor parent.</w:t>
      </w:r>
      <w:r w:rsidR="008E1F8E" w:rsidRPr="005F0F0C">
        <w:t xml:space="preserve"> </w:t>
      </w:r>
      <w:r w:rsidR="00C030AE" w:rsidRPr="005F0F0C">
        <w:t>Under the first fac</w:t>
      </w:r>
      <w:r w:rsidR="008E1F8E" w:rsidRPr="005F0F0C">
        <w:rPr>
          <w:iCs/>
        </w:rPr>
        <w:t xml:space="preserve">tor, </w:t>
      </w:r>
      <w:r w:rsidR="00C030AE" w:rsidRPr="005F0F0C">
        <w:rPr>
          <w:iCs/>
        </w:rPr>
        <w:t>there are many rea</w:t>
      </w:r>
      <w:r w:rsidR="008E1F8E" w:rsidRPr="005F0F0C">
        <w:rPr>
          <w:iCs/>
        </w:rPr>
        <w:t xml:space="preserve">sons why even a person in need </w:t>
      </w:r>
      <w:r w:rsidR="00C030AE" w:rsidRPr="005F0F0C">
        <w:rPr>
          <w:iCs/>
        </w:rPr>
        <w:t xml:space="preserve">might delay making an application. </w:t>
      </w:r>
      <w:r w:rsidR="008E1F8E" w:rsidRPr="005F0F0C">
        <w:t xml:space="preserve">There is </w:t>
      </w:r>
      <w:r w:rsidR="00C030AE" w:rsidRPr="005F0F0C">
        <w:t>a growing body of jurisprudence and social science findings demonstrating that, sometimes, parents delay their application for child support to protect their children from harm or because making an application is impracticable or inaccessible in their circumstances.</w:t>
      </w:r>
      <w:r w:rsidR="00F74BBA">
        <w:t xml:space="preserve"> </w:t>
      </w:r>
      <w:r w:rsidR="00C030AE" w:rsidRPr="005F0F0C">
        <w:rPr>
          <w:iCs/>
        </w:rPr>
        <w:t>The focus should be on whether the reason provided is understandable rather than whether the</w:t>
      </w:r>
      <w:r w:rsidR="008E1F8E" w:rsidRPr="005F0F0C">
        <w:rPr>
          <w:iCs/>
        </w:rPr>
        <w:t xml:space="preserve">re is a reasonable excuse, </w:t>
      </w:r>
      <w:r w:rsidR="00C030AE" w:rsidRPr="005F0F0C">
        <w:t xml:space="preserve">taking into account a generous appreciation of the social context in which the claimant’s decision to seek child support was made. </w:t>
      </w:r>
    </w:p>
    <w:p w:rsidR="00C030AE" w:rsidRPr="005F0F0C" w:rsidRDefault="00E65246" w:rsidP="00CF1592">
      <w:pPr>
        <w:pStyle w:val="SCCNormalDoubleSpacing"/>
        <w:spacing w:after="480"/>
      </w:pPr>
      <w:r w:rsidRPr="005F0F0C">
        <w:tab/>
      </w:r>
      <w:r w:rsidR="00C030AE" w:rsidRPr="005F0F0C">
        <w:t>With respect to the con</w:t>
      </w:r>
      <w:r w:rsidR="008E1F8E" w:rsidRPr="005F0F0C">
        <w:t xml:space="preserve">duct of the payor parent, </w:t>
      </w:r>
      <w:r w:rsidR="00C030AE" w:rsidRPr="005F0F0C">
        <w:rPr>
          <w:i/>
        </w:rPr>
        <w:t>D.B.S.</w:t>
      </w:r>
      <w:r w:rsidR="00C030AE" w:rsidRPr="005F0F0C">
        <w:t xml:space="preserve"> purposively provided an expansive definition of blameworthy conduct, being anything that privileges the pay</w:t>
      </w:r>
      <w:r w:rsidR="008E1F8E" w:rsidRPr="005F0F0C">
        <w:t>or parent’s own interests over their</w:t>
      </w:r>
      <w:r w:rsidR="00C030AE" w:rsidRPr="005F0F0C">
        <w:t xml:space="preserve"> children’s right to an appropriate amount of support</w:t>
      </w:r>
      <w:r w:rsidR="008E1F8E" w:rsidRPr="005F0F0C">
        <w:t xml:space="preserve">. </w:t>
      </w:r>
      <w:r w:rsidR="00C030AE" w:rsidRPr="005F0F0C">
        <w:t>The failure to disclose actual income, a fact within the knowledge of the payor, is a failure of a significant obligation and is often the root cause of a delayed application</w:t>
      </w:r>
      <w:r w:rsidR="008E1F8E" w:rsidRPr="005F0F0C">
        <w:t xml:space="preserve">. </w:t>
      </w:r>
      <w:r w:rsidR="00C030AE" w:rsidRPr="005F0F0C">
        <w:t xml:space="preserve">The primary focus needs to be on the payor’s actions and their consequences </w:t>
      </w:r>
      <w:r w:rsidR="00F74BBA">
        <w:t>—</w:t>
      </w:r>
      <w:r w:rsidR="00C030AE" w:rsidRPr="005F0F0C">
        <w:t xml:space="preserve"> the payor’s subjective int</w:t>
      </w:r>
      <w:r w:rsidR="008E1F8E" w:rsidRPr="005F0F0C">
        <w:t xml:space="preserve">ention is rarely relevant. </w:t>
      </w:r>
      <w:r w:rsidR="00C030AE" w:rsidRPr="005F0F0C">
        <w:t xml:space="preserve">The presence of blameworthy conduct is not a necessary trigger to the payor’s obligation to </w:t>
      </w:r>
      <w:r w:rsidR="008E1F8E" w:rsidRPr="005F0F0C">
        <w:t xml:space="preserve">pay the claimed child support. </w:t>
      </w:r>
      <w:r w:rsidR="00C030AE" w:rsidRPr="005F0F0C">
        <w:t>Regarding the third factor</w:t>
      </w:r>
      <w:r w:rsidR="005F0F0C" w:rsidRPr="005F0F0C">
        <w:t>,</w:t>
      </w:r>
      <w:r w:rsidR="005F0F0C">
        <w:t xml:space="preserve"> </w:t>
      </w:r>
      <w:r w:rsidR="005F0F0C" w:rsidRPr="005F0F0C">
        <w:t>a</w:t>
      </w:r>
      <w:r w:rsidR="00C030AE" w:rsidRPr="005F0F0C">
        <w:t xml:space="preserve"> child’s needs may be relevant in awarding and calculating retroactive child support. If there has been hardship present during their childhood, or if the child needs funds at the time of the hearing, this weighs in favour not only of an award but also of extending the temporal reach of the award.</w:t>
      </w:r>
      <w:r w:rsidR="008E1F8E" w:rsidRPr="005F0F0C">
        <w:t xml:space="preserve"> However, </w:t>
      </w:r>
      <w:r w:rsidR="00C030AE" w:rsidRPr="005F0F0C">
        <w:t>this does not mean that any kind of hardship is a necessary antecedent to an award</w:t>
      </w:r>
      <w:r w:rsidR="008E1F8E" w:rsidRPr="005F0F0C">
        <w:t xml:space="preserve"> of retroactive child support. Furthermore,</w:t>
      </w:r>
      <w:r w:rsidR="00C030AE" w:rsidRPr="005F0F0C">
        <w:t xml:space="preserve"> the fact that a child did not have to suffer hardship because of their custodial parent’s sacrifice is not one that weighs against awarding retroactive or historical child support. </w:t>
      </w:r>
    </w:p>
    <w:p w:rsidR="00C030AE" w:rsidRPr="005F0F0C" w:rsidRDefault="00E65246" w:rsidP="00CF1592">
      <w:pPr>
        <w:pStyle w:val="SCCNormalDoubleSpacing"/>
        <w:spacing w:after="480"/>
      </w:pPr>
      <w:r w:rsidRPr="005F0F0C">
        <w:tab/>
      </w:r>
      <w:r w:rsidR="00516055" w:rsidRPr="005F0F0C">
        <w:t xml:space="preserve">The final factor </w:t>
      </w:r>
      <w:r w:rsidR="00F74BBA">
        <w:t>—</w:t>
      </w:r>
      <w:r w:rsidR="00516055" w:rsidRPr="005F0F0C">
        <w:t xml:space="preserve"> </w:t>
      </w:r>
      <w:r w:rsidR="00C030AE" w:rsidRPr="005F0F0C">
        <w:t>the hardship that</w:t>
      </w:r>
      <w:r w:rsidR="00516055" w:rsidRPr="005F0F0C">
        <w:t xml:space="preserve"> the award might entail </w:t>
      </w:r>
      <w:r w:rsidR="00F74BBA">
        <w:t xml:space="preserve">— </w:t>
      </w:r>
      <w:r w:rsidR="00C030AE" w:rsidRPr="005F0F0C">
        <w:t>takes into account the ease with which the payor might</w:t>
      </w:r>
      <w:r w:rsidR="00516055" w:rsidRPr="005F0F0C">
        <w:t xml:space="preserve"> be able to pay the award. </w:t>
      </w:r>
      <w:r w:rsidR="00C030AE" w:rsidRPr="005F0F0C">
        <w:t>If the award would cause the payor undue hardship, and if the other factors do not militate against it, this factor may weigh against an award or affect its temporal scope to achieve a fair result. While the focus is on hardship to the payor, that hardship can only be assessed after taking into account the hardship which would be caused to the child and the recipient parent from not ordering the payment of sums owing but unpaid.</w:t>
      </w:r>
    </w:p>
    <w:p w:rsidR="00C030AE" w:rsidRPr="005F0F0C" w:rsidRDefault="00E65246" w:rsidP="00CF1592">
      <w:pPr>
        <w:pStyle w:val="SCCNormalDoubleSpacing"/>
        <w:spacing w:after="480"/>
      </w:pPr>
      <w:r w:rsidRPr="005F0F0C">
        <w:tab/>
      </w:r>
      <w:r w:rsidR="00F50F96">
        <w:t>Regarding</w:t>
      </w:r>
      <w:r w:rsidR="00516055" w:rsidRPr="005F0F0C">
        <w:t xml:space="preserve"> </w:t>
      </w:r>
      <w:r w:rsidR="00C030AE" w:rsidRPr="005F0F0C">
        <w:t>the date to which a child support award should be retroactive</w:t>
      </w:r>
      <w:r w:rsidR="00516055" w:rsidRPr="005F0F0C">
        <w:t xml:space="preserve">, </w:t>
      </w:r>
      <w:r w:rsidR="00C030AE" w:rsidRPr="005F0F0C">
        <w:t xml:space="preserve">the date of retroactivity should </w:t>
      </w:r>
      <w:r w:rsidR="00F50F96">
        <w:t xml:space="preserve">perhaps </w:t>
      </w:r>
      <w:r w:rsidR="00C030AE" w:rsidRPr="005F0F0C">
        <w:t>correspond to the date when the support ought to have been paid.</w:t>
      </w:r>
      <w:r w:rsidR="00516055" w:rsidRPr="005F0F0C">
        <w:t xml:space="preserve"> Effective notice </w:t>
      </w:r>
      <w:r w:rsidR="00C030AE" w:rsidRPr="005F0F0C">
        <w:t>to the payor parent, the</w:t>
      </w:r>
      <w:r w:rsidR="00516055" w:rsidRPr="005F0F0C">
        <w:t xml:space="preserve"> </w:t>
      </w:r>
      <w:r w:rsidR="00C030AE" w:rsidRPr="005F0F0C">
        <w:t>default date to which a child support aw</w:t>
      </w:r>
      <w:r w:rsidR="00516055" w:rsidRPr="005F0F0C">
        <w:t xml:space="preserve">ard should be retroactive, </w:t>
      </w:r>
      <w:r w:rsidR="00C030AE" w:rsidRPr="005F0F0C">
        <w:t>is a broad concept which goes well beyond actual knowledge of a fi</w:t>
      </w:r>
      <w:r w:rsidR="00516055" w:rsidRPr="005F0F0C">
        <w:t xml:space="preserve">led variation application. </w:t>
      </w:r>
      <w:r w:rsidR="00C030AE" w:rsidRPr="005F0F0C">
        <w:t>The distinct features of child support reduce somewhat the strength of concerns a</w:t>
      </w:r>
      <w:r w:rsidR="00516055" w:rsidRPr="005F0F0C">
        <w:t xml:space="preserve">bout lack of notice, and </w:t>
      </w:r>
      <w:r w:rsidR="00C030AE" w:rsidRPr="005F0F0C">
        <w:t>today, cert</w:t>
      </w:r>
      <w:r w:rsidR="00516055" w:rsidRPr="005F0F0C">
        <w:t xml:space="preserve">ainty for payor parents </w:t>
      </w:r>
      <w:r w:rsidR="00C030AE" w:rsidRPr="005F0F0C">
        <w:t>is provided by the Federal Child Support Tables and the payor parents’ knowledge that they are liable according to their actual income and will be held accountable for missed payments and underpayment.</w:t>
      </w:r>
    </w:p>
    <w:p w:rsidR="00C030AE" w:rsidRPr="005F0F0C" w:rsidRDefault="00E65246" w:rsidP="00CF1592">
      <w:pPr>
        <w:pStyle w:val="SCCNormalDoubleSpacing"/>
        <w:spacing w:after="480"/>
      </w:pPr>
      <w:r w:rsidRPr="005F0F0C">
        <w:tab/>
      </w:r>
      <w:r w:rsidR="00516055" w:rsidRPr="005F0F0C">
        <w:t xml:space="preserve">Finally, </w:t>
      </w:r>
      <w:r w:rsidR="00C030AE" w:rsidRPr="005F0F0C">
        <w:t xml:space="preserve">historical child support can be awarded in part or in whole to either or both the child or their parent, given findings of fact and depending on whom the hardship </w:t>
      </w:r>
      <w:r w:rsidR="00F74BBA">
        <w:t>—</w:t>
      </w:r>
      <w:r w:rsidR="00C030AE" w:rsidRPr="005F0F0C">
        <w:t xml:space="preserve"> if there w</w:t>
      </w:r>
      <w:r w:rsidR="00516055" w:rsidRPr="005F0F0C">
        <w:t xml:space="preserve">as any </w:t>
      </w:r>
      <w:r w:rsidR="00F74BBA">
        <w:t>—</w:t>
      </w:r>
      <w:r w:rsidR="00516055" w:rsidRPr="005F0F0C">
        <w:t xml:space="preserve"> was visited upon. </w:t>
      </w:r>
      <w:r w:rsidR="00C030AE" w:rsidRPr="005F0F0C">
        <w:t xml:space="preserve">Courts should be flexible when determining how to apportion the award between the recipient parent </w:t>
      </w:r>
      <w:r w:rsidR="00516055" w:rsidRPr="005F0F0C">
        <w:t xml:space="preserve">and the child beneficiary. </w:t>
      </w:r>
      <w:r w:rsidR="00C030AE" w:rsidRPr="005F0F0C">
        <w:t>However, there should be no general reluctance to put monies in the hand</w:t>
      </w:r>
      <w:r w:rsidR="00516055" w:rsidRPr="005F0F0C">
        <w:t xml:space="preserve">s of the recipient parent. </w:t>
      </w:r>
      <w:r w:rsidR="00C030AE" w:rsidRPr="005F0F0C">
        <w:t>Where the recipient parent and child beneficiary agree on how the award should be divided, the court should be reluctant to disturb their agreement.</w:t>
      </w:r>
    </w:p>
    <w:p w:rsidR="00A149DF" w:rsidRPr="005F0F0C" w:rsidRDefault="00E65246" w:rsidP="00F74BBA">
      <w:pPr>
        <w:pStyle w:val="SCCNormalDoubleSpacing"/>
        <w:spacing w:after="480"/>
      </w:pPr>
      <w:r w:rsidRPr="005F0F0C">
        <w:rPr>
          <w:i/>
          <w:szCs w:val="24"/>
        </w:rPr>
        <w:tab/>
      </w:r>
      <w:r w:rsidR="00C030AE" w:rsidRPr="005F0F0C">
        <w:rPr>
          <w:i/>
          <w:szCs w:val="24"/>
        </w:rPr>
        <w:t>Per</w:t>
      </w:r>
      <w:r w:rsidR="00C030AE" w:rsidRPr="005F0F0C">
        <w:t xml:space="preserve"> </w:t>
      </w:r>
      <w:r w:rsidR="00C030AE" w:rsidRPr="00993DF7">
        <w:rPr>
          <w:szCs w:val="24"/>
        </w:rPr>
        <w:t>Abella</w:t>
      </w:r>
      <w:r w:rsidR="00C030AE" w:rsidRPr="005F0F0C">
        <w:rPr>
          <w:szCs w:val="24"/>
        </w:rPr>
        <w:t xml:space="preserve"> and Karakatsanis</w:t>
      </w:r>
      <w:r w:rsidR="00F74BBA">
        <w:rPr>
          <w:szCs w:val="24"/>
        </w:rPr>
        <w:t> </w:t>
      </w:r>
      <w:r w:rsidR="00C030AE" w:rsidRPr="005F0F0C">
        <w:rPr>
          <w:szCs w:val="24"/>
        </w:rPr>
        <w:t>JJ.:</w:t>
      </w:r>
      <w:r w:rsidR="00C030AE" w:rsidRPr="005F0F0C">
        <w:t xml:space="preserve"> </w:t>
      </w:r>
      <w:r w:rsidR="00C030AE" w:rsidRPr="005F0F0C">
        <w:rPr>
          <w:szCs w:val="24"/>
        </w:rPr>
        <w:t>There is agreement with the majority.</w:t>
      </w:r>
      <w:r w:rsidR="00516055" w:rsidRPr="005F0F0C">
        <w:rPr>
          <w:szCs w:val="24"/>
        </w:rPr>
        <w:t xml:space="preserve"> </w:t>
      </w:r>
      <w:r w:rsidR="00C030AE" w:rsidRPr="005F0F0C">
        <w:rPr>
          <w:szCs w:val="24"/>
        </w:rPr>
        <w:t xml:space="preserve">There is also </w:t>
      </w:r>
      <w:r w:rsidR="00C030AE" w:rsidRPr="005F0F0C">
        <w:t>agreement</w:t>
      </w:r>
      <w:r w:rsidR="00516055" w:rsidRPr="005F0F0C">
        <w:rPr>
          <w:szCs w:val="24"/>
        </w:rPr>
        <w:t xml:space="preserve"> </w:t>
      </w:r>
      <w:r w:rsidR="00C030AE" w:rsidRPr="005F0F0C">
        <w:rPr>
          <w:szCs w:val="24"/>
        </w:rPr>
        <w:t>with Martin</w:t>
      </w:r>
      <w:r w:rsidR="00F74BBA">
        <w:rPr>
          <w:szCs w:val="24"/>
        </w:rPr>
        <w:t> </w:t>
      </w:r>
      <w:r w:rsidR="00C030AE" w:rsidRPr="005F0F0C">
        <w:rPr>
          <w:szCs w:val="24"/>
        </w:rPr>
        <w:t>J., who adds important policy considerations.</w:t>
      </w:r>
    </w:p>
    <w:p w:rsidR="005A08EE" w:rsidRPr="005F0F0C" w:rsidRDefault="002E6705" w:rsidP="00F74BBA">
      <w:pPr>
        <w:pStyle w:val="SCCNormalDoubleSpacing"/>
        <w:spacing w:after="720" w:line="240" w:lineRule="auto"/>
        <w:rPr>
          <w:b/>
        </w:rPr>
      </w:pPr>
      <w:r w:rsidRPr="005F0F0C">
        <w:rPr>
          <w:b/>
        </w:rPr>
        <w:t>Cases Cited</w:t>
      </w:r>
    </w:p>
    <w:p w:rsidR="00A149DF" w:rsidRPr="005F0F0C" w:rsidRDefault="00F74BBA" w:rsidP="00F74BBA">
      <w:pPr>
        <w:pStyle w:val="SCCNormalDoubleSpacing"/>
        <w:spacing w:after="720" w:line="240" w:lineRule="auto"/>
      </w:pPr>
      <w:r>
        <w:t>By Brown </w:t>
      </w:r>
      <w:r w:rsidR="002B303A" w:rsidRPr="005F0F0C">
        <w:t>J.</w:t>
      </w:r>
    </w:p>
    <w:p w:rsidR="004E2C26" w:rsidRPr="005F0F0C" w:rsidRDefault="002E6705" w:rsidP="00267939">
      <w:pPr>
        <w:pStyle w:val="SCCNormalDoubleSpacing"/>
        <w:spacing w:after="480"/>
        <w:rPr>
          <w:lang w:val="en-US"/>
        </w:rPr>
      </w:pPr>
      <w:r w:rsidRPr="005F0F0C">
        <w:tab/>
      </w:r>
      <w:r w:rsidR="0073714A" w:rsidRPr="005F0F0C">
        <w:rPr>
          <w:b/>
        </w:rPr>
        <w:t>Explained</w:t>
      </w:r>
      <w:r w:rsidR="009E7CCD" w:rsidRPr="005F0F0C">
        <w:rPr>
          <w:b/>
        </w:rPr>
        <w:t>:</w:t>
      </w:r>
      <w:r w:rsidR="009E7CCD" w:rsidRPr="005F0F0C">
        <w:t xml:space="preserve"> </w:t>
      </w:r>
      <w:r w:rsidR="009E7CCD" w:rsidRPr="005F0F0C">
        <w:rPr>
          <w:i/>
        </w:rPr>
        <w:t>D.B.S. v. S.R.G.</w:t>
      </w:r>
      <w:r w:rsidR="009E7CCD" w:rsidRPr="005F0F0C">
        <w:t xml:space="preserve">, 2006 SCC 37, [2006] 2 S.C.R. 231; </w:t>
      </w:r>
      <w:r w:rsidR="009E7CCD" w:rsidRPr="005F0F0C">
        <w:rPr>
          <w:b/>
        </w:rPr>
        <w:t>r</w:t>
      </w:r>
      <w:r w:rsidRPr="005F0F0C">
        <w:rPr>
          <w:b/>
        </w:rPr>
        <w:t>eferred to:</w:t>
      </w:r>
      <w:r w:rsidR="00072C0A" w:rsidRPr="005F0F0C">
        <w:rPr>
          <w:b/>
        </w:rPr>
        <w:t xml:space="preserve"> </w:t>
      </w:r>
      <w:r w:rsidR="000C00F5" w:rsidRPr="005F0F0C">
        <w:rPr>
          <w:i/>
        </w:rPr>
        <w:t>Dring v. Gheyle</w:t>
      </w:r>
      <w:r w:rsidR="000C00F5" w:rsidRPr="005F0F0C">
        <w:t>, 2018 BCCA 435, 17 B.C.L.R. (6th) 30;</w:t>
      </w:r>
      <w:r w:rsidR="00E61463" w:rsidRPr="005F0F0C">
        <w:t xml:space="preserve"> </w:t>
      </w:r>
      <w:r w:rsidR="000C00F5" w:rsidRPr="005F0F0C">
        <w:rPr>
          <w:i/>
        </w:rPr>
        <w:t>Colucci v. Colucci</w:t>
      </w:r>
      <w:r w:rsidR="000C00F5" w:rsidRPr="005F0F0C">
        <w:t xml:space="preserve">, 2017 ONCA 892, 138 O.R. (3d) 321; </w:t>
      </w:r>
      <w:r w:rsidR="000C00F5" w:rsidRPr="005F0F0C">
        <w:rPr>
          <w:i/>
        </w:rPr>
        <w:t>Brear v. Brear</w:t>
      </w:r>
      <w:r w:rsidR="000C00F5" w:rsidRPr="005F0F0C">
        <w:t xml:space="preserve">, 2019 ABCA 419, 97 Alta. L.R. (6th) 1; </w:t>
      </w:r>
      <w:r w:rsidR="002D6D69" w:rsidRPr="005F0F0C">
        <w:rPr>
          <w:i/>
        </w:rPr>
        <w:t>Moge v. Moge</w:t>
      </w:r>
      <w:r w:rsidR="002D6D69" w:rsidRPr="005F0F0C">
        <w:t>, [1992] 3 S.C.R. 813;</w:t>
      </w:r>
      <w:r w:rsidR="00EB2154" w:rsidRPr="005F0F0C">
        <w:t xml:space="preserve"> </w:t>
      </w:r>
      <w:r w:rsidR="002D6D69" w:rsidRPr="005F0F0C">
        <w:rPr>
          <w:i/>
        </w:rPr>
        <w:t>Quinn v. Leathem</w:t>
      </w:r>
      <w:r w:rsidR="002D6D69" w:rsidRPr="005F0F0C">
        <w:t xml:space="preserve">, [1901] A.C. 495; </w:t>
      </w:r>
      <w:r w:rsidR="00EB2154" w:rsidRPr="005F0F0C">
        <w:rPr>
          <w:i/>
        </w:rPr>
        <w:t>Buckingham v. Buckingham</w:t>
      </w:r>
      <w:r w:rsidR="00EB2154" w:rsidRPr="005F0F0C">
        <w:t>, 2013 ABQB 155, 554 A.R. 256;</w:t>
      </w:r>
      <w:r w:rsidR="00F17F6D" w:rsidRPr="005F0F0C">
        <w:t xml:space="preserve"> </w:t>
      </w:r>
      <w:r w:rsidR="00093280" w:rsidRPr="005F0F0C">
        <w:rPr>
          <w:i/>
        </w:rPr>
        <w:t>de Rooy v. Bergstrom</w:t>
      </w:r>
      <w:r w:rsidR="00093280" w:rsidRPr="005F0F0C">
        <w:t xml:space="preserve">, 2010 BCCA 5, </w:t>
      </w:r>
      <w:r w:rsidR="00E1732E" w:rsidRPr="005F0F0C">
        <w:t>4 B.C.L.R. (5th) 74</w:t>
      </w:r>
      <w:r w:rsidR="00093280" w:rsidRPr="005F0F0C">
        <w:t xml:space="preserve">; </w:t>
      </w:r>
      <w:r w:rsidR="00093280" w:rsidRPr="005F0F0C">
        <w:rPr>
          <w:i/>
        </w:rPr>
        <w:t>McDonald v. McDonald</w:t>
      </w:r>
      <w:r w:rsidR="00093280" w:rsidRPr="005F0F0C">
        <w:t xml:space="preserve">, 2008 BCSC 1203; </w:t>
      </w:r>
      <w:r w:rsidR="00F17F6D" w:rsidRPr="005F0F0C">
        <w:rPr>
          <w:i/>
        </w:rPr>
        <w:t>Rick v. Brandsema</w:t>
      </w:r>
      <w:r w:rsidR="00F17F6D" w:rsidRPr="005F0F0C">
        <w:t xml:space="preserve">, 2009 SCC 10, [2009] 1 S.C.R. 295; </w:t>
      </w:r>
      <w:r w:rsidR="00F17F6D" w:rsidRPr="005F0F0C">
        <w:rPr>
          <w:i/>
        </w:rPr>
        <w:t>Hickey v. Hickey</w:t>
      </w:r>
      <w:r w:rsidR="00F17F6D" w:rsidRPr="005F0F0C">
        <w:t xml:space="preserve">, [1999] 2 S.C.R. 518; </w:t>
      </w:r>
      <w:r w:rsidR="00B20044" w:rsidRPr="005F0F0C">
        <w:rPr>
          <w:i/>
          <w:iCs/>
          <w:lang w:val="en-US"/>
        </w:rPr>
        <w:t>Cunha v. Cunha</w:t>
      </w:r>
      <w:r w:rsidR="00B20044" w:rsidRPr="005F0F0C">
        <w:rPr>
          <w:lang w:val="en-US"/>
        </w:rPr>
        <w:t xml:space="preserve"> (1994), 99 B.C.L.R. (2d) 93; </w:t>
      </w:r>
      <w:r w:rsidR="00B20044" w:rsidRPr="005F0F0C">
        <w:rPr>
          <w:i/>
          <w:lang w:val="en-US"/>
        </w:rPr>
        <w:t>Leskun v. Leskun</w:t>
      </w:r>
      <w:r w:rsidR="00B20044" w:rsidRPr="005F0F0C">
        <w:rPr>
          <w:lang w:val="en-US"/>
        </w:rPr>
        <w:t>, 2006 SCC 25, [2006] 1 S.C.R. 920</w:t>
      </w:r>
      <w:r w:rsidR="00B23077" w:rsidRPr="005F0F0C">
        <w:rPr>
          <w:lang w:val="en-US"/>
        </w:rPr>
        <w:t>.</w:t>
      </w:r>
    </w:p>
    <w:p w:rsidR="005A08EE" w:rsidRPr="005F0F0C" w:rsidRDefault="005A08EE" w:rsidP="00267939">
      <w:pPr>
        <w:pStyle w:val="SCCNormalDoubleSpacing"/>
        <w:spacing w:after="480"/>
      </w:pPr>
      <w:r w:rsidRPr="005F0F0C">
        <w:t>By Martin</w:t>
      </w:r>
      <w:r w:rsidR="00F74BBA">
        <w:t> </w:t>
      </w:r>
      <w:r w:rsidRPr="005F0F0C">
        <w:t>J.</w:t>
      </w:r>
    </w:p>
    <w:p w:rsidR="005A08EE" w:rsidRPr="005F0F0C" w:rsidRDefault="005A08EE" w:rsidP="00267939">
      <w:pPr>
        <w:pStyle w:val="SCCNormalDoubleSpacing"/>
        <w:spacing w:before="240" w:after="480"/>
      </w:pPr>
      <w:r w:rsidRPr="005F0F0C">
        <w:tab/>
      </w:r>
      <w:r w:rsidR="0073714A" w:rsidRPr="005F0F0C">
        <w:rPr>
          <w:b/>
        </w:rPr>
        <w:t>Explained</w:t>
      </w:r>
      <w:r w:rsidR="009E7CCD" w:rsidRPr="005F0F0C">
        <w:rPr>
          <w:b/>
        </w:rPr>
        <w:t>:</w:t>
      </w:r>
      <w:r w:rsidR="009E7CCD" w:rsidRPr="005F0F0C">
        <w:t xml:space="preserve"> </w:t>
      </w:r>
      <w:r w:rsidR="009E7CCD" w:rsidRPr="005F0F0C">
        <w:rPr>
          <w:i/>
        </w:rPr>
        <w:t>D.B.S. v. S.R.G.</w:t>
      </w:r>
      <w:r w:rsidR="009E7CCD" w:rsidRPr="005F0F0C">
        <w:t xml:space="preserve">, 2006 SCC 37, [2006] 2 S.C.R. 231; </w:t>
      </w:r>
      <w:r w:rsidR="009E7CCD" w:rsidRPr="005F0F0C">
        <w:rPr>
          <w:b/>
          <w:lang w:val="en-US"/>
        </w:rPr>
        <w:t>r</w:t>
      </w:r>
      <w:r w:rsidRPr="005F0F0C">
        <w:rPr>
          <w:b/>
        </w:rPr>
        <w:t>eferred to:</w:t>
      </w:r>
      <w:r w:rsidRPr="005F0F0C">
        <w:t xml:space="preserve"> </w:t>
      </w:r>
      <w:r w:rsidR="00310E58" w:rsidRPr="005F0F0C">
        <w:rPr>
          <w:i/>
          <w:lang w:val="en-US"/>
        </w:rPr>
        <w:t>Chartier</w:t>
      </w:r>
      <w:r w:rsidR="00310E58" w:rsidRPr="005F0F0C">
        <w:rPr>
          <w:i/>
          <w:szCs w:val="24"/>
          <w:lang w:val="en-US"/>
        </w:rPr>
        <w:t xml:space="preserve"> </w:t>
      </w:r>
      <w:r w:rsidR="00310E58" w:rsidRPr="005F0F0C">
        <w:rPr>
          <w:i/>
          <w:lang w:val="en-US"/>
        </w:rPr>
        <w:t>v. Chartier</w:t>
      </w:r>
      <w:r w:rsidR="00310E58" w:rsidRPr="005F0F0C">
        <w:rPr>
          <w:lang w:val="en-US"/>
        </w:rPr>
        <w:t xml:space="preserve">, [1999] 1 S.C.R. 242; </w:t>
      </w:r>
      <w:r w:rsidR="00310E58" w:rsidRPr="005F0F0C">
        <w:rPr>
          <w:i/>
        </w:rPr>
        <w:t>MacMinn v. MacMinn</w:t>
      </w:r>
      <w:r w:rsidR="00310E58" w:rsidRPr="005F0F0C">
        <w:t xml:space="preserve"> (1995), 174 A.R. 261;</w:t>
      </w:r>
      <w:r w:rsidR="00310E58" w:rsidRPr="005F0F0C">
        <w:rPr>
          <w:i/>
        </w:rPr>
        <w:t xml:space="preserve"> </w:t>
      </w:r>
      <w:r w:rsidR="00C9307A" w:rsidRPr="005F0F0C">
        <w:rPr>
          <w:i/>
        </w:rPr>
        <w:t>Poissant v. Barrette</w:t>
      </w:r>
      <w:r w:rsidR="00C9307A" w:rsidRPr="005F0F0C">
        <w:t xml:space="preserve"> (1879), 3 L.N. 12; </w:t>
      </w:r>
      <w:r w:rsidR="001F0CEF" w:rsidRPr="005F0F0C">
        <w:rPr>
          <w:i/>
        </w:rPr>
        <w:t>Paras v. Paras</w:t>
      </w:r>
      <w:r w:rsidR="001F0CEF" w:rsidRPr="005F0F0C">
        <w:t xml:space="preserve">, [1971] 1 O.R. 130; </w:t>
      </w:r>
      <w:r w:rsidR="001F0CEF" w:rsidRPr="005F0F0C">
        <w:rPr>
          <w:i/>
        </w:rPr>
        <w:t>Levesque v. Levesque</w:t>
      </w:r>
      <w:r w:rsidR="001F0CEF" w:rsidRPr="005F0F0C">
        <w:t xml:space="preserve"> (1994), 155 A.R. 26; </w:t>
      </w:r>
      <w:r w:rsidR="001F0CEF" w:rsidRPr="005F0F0C">
        <w:rPr>
          <w:i/>
        </w:rPr>
        <w:t>Vincent v. Vincent</w:t>
      </w:r>
      <w:r w:rsidR="001F0CEF" w:rsidRPr="005F0F0C">
        <w:t xml:space="preserve"> (1995), 132 Nfld. &amp; P.E.I.R. 181; </w:t>
      </w:r>
      <w:r w:rsidR="001F0CEF" w:rsidRPr="005F0F0C">
        <w:rPr>
          <w:i/>
        </w:rPr>
        <w:t>Wright v. Wright</w:t>
      </w:r>
      <w:r w:rsidR="001F0CEF" w:rsidRPr="005F0F0C">
        <w:t xml:space="preserve"> (1996), 141 Sask. R. 44;</w:t>
      </w:r>
      <w:r w:rsidR="003944B9" w:rsidRPr="005F0F0C">
        <w:t xml:space="preserve"> </w:t>
      </w:r>
      <w:r w:rsidR="00310E58" w:rsidRPr="005F0F0C">
        <w:rPr>
          <w:i/>
        </w:rPr>
        <w:t>Willick v. Willick</w:t>
      </w:r>
      <w:r w:rsidR="00310E58" w:rsidRPr="005F0F0C">
        <w:t xml:space="preserve">, [1994] 3 S.C.R. 670; </w:t>
      </w:r>
      <w:r w:rsidR="003944B9" w:rsidRPr="005F0F0C">
        <w:rPr>
          <w:i/>
        </w:rPr>
        <w:t>Cherry v. Cherry</w:t>
      </w:r>
      <w:r w:rsidR="003944B9" w:rsidRPr="005F0F0C">
        <w:t xml:space="preserve"> (1996), 24 B.C.L.R. (3d) 158;</w:t>
      </w:r>
      <w:r w:rsidR="00EF7608" w:rsidRPr="005F0F0C">
        <w:t xml:space="preserve"> </w:t>
      </w:r>
      <w:r w:rsidR="00EF7608" w:rsidRPr="005F0F0C">
        <w:rPr>
          <w:i/>
        </w:rPr>
        <w:t>Wang v. Wang</w:t>
      </w:r>
      <w:r w:rsidR="00EF7608" w:rsidRPr="005F0F0C">
        <w:t xml:space="preserve"> (1998), 58 B.C.L.R. (3d) 159;</w:t>
      </w:r>
      <w:r w:rsidR="007353F5" w:rsidRPr="005F0F0C">
        <w:t xml:space="preserve"> </w:t>
      </w:r>
      <w:r w:rsidR="007353F5" w:rsidRPr="005F0F0C">
        <w:rPr>
          <w:i/>
        </w:rPr>
        <w:t>Childs v. Childs</w:t>
      </w:r>
      <w:r w:rsidR="007353F5" w:rsidRPr="005F0F0C">
        <w:t xml:space="preserve"> (1990), 107 N.B.R. (2d) 176;</w:t>
      </w:r>
      <w:r w:rsidR="00A63763" w:rsidRPr="005F0F0C">
        <w:t xml:space="preserve"> </w:t>
      </w:r>
      <w:r w:rsidR="00310E58" w:rsidRPr="005F0F0C">
        <w:rPr>
          <w:i/>
        </w:rPr>
        <w:t>Francis v. Baker</w:t>
      </w:r>
      <w:r w:rsidR="00310E58" w:rsidRPr="005F0F0C">
        <w:t xml:space="preserve">, [1999] 3 S.C.R. 250; </w:t>
      </w:r>
      <w:r w:rsidR="00CE7470" w:rsidRPr="005F0F0C">
        <w:rPr>
          <w:i/>
        </w:rPr>
        <w:t>D.B.S. v. S.R.G.</w:t>
      </w:r>
      <w:r w:rsidR="00CE7470" w:rsidRPr="005F0F0C">
        <w:t>, 2005 ABCA 2, 361 A.R. 60</w:t>
      </w:r>
      <w:r w:rsidR="001A3FB0" w:rsidRPr="005F0F0C">
        <w:t>;</w:t>
      </w:r>
      <w:r w:rsidR="000D2788" w:rsidRPr="005F0F0C">
        <w:t xml:space="preserve"> </w:t>
      </w:r>
      <w:r w:rsidR="00310E58" w:rsidRPr="005F0F0C">
        <w:rPr>
          <w:i/>
        </w:rPr>
        <w:t>Contino v. Leonelli</w:t>
      </w:r>
      <w:r w:rsidR="00F74BBA">
        <w:rPr>
          <w:i/>
        </w:rPr>
        <w:noBreakHyphen/>
      </w:r>
      <w:r w:rsidR="00310E58" w:rsidRPr="005F0F0C">
        <w:rPr>
          <w:i/>
        </w:rPr>
        <w:t>Contino</w:t>
      </w:r>
      <w:r w:rsidR="00310E58" w:rsidRPr="005F0F0C">
        <w:t xml:space="preserve">, 2005 SCC 63, [2005] 3 S.C.R. 217; </w:t>
      </w:r>
      <w:r w:rsidR="001A3FB0" w:rsidRPr="005F0F0C">
        <w:rPr>
          <w:i/>
        </w:rPr>
        <w:t>Innes v. Van Den Ende</w:t>
      </w:r>
      <w:r w:rsidR="001A3FB0" w:rsidRPr="005F0F0C">
        <w:t xml:space="preserve"> (1993</w:t>
      </w:r>
      <w:r w:rsidR="00F148E3" w:rsidRPr="005F0F0C">
        <w:t>), 83 B.C.L.R. (2d) 273</w:t>
      </w:r>
      <w:r w:rsidR="001A3FB0" w:rsidRPr="005F0F0C">
        <w:t xml:space="preserve">; </w:t>
      </w:r>
      <w:r w:rsidR="001A3FB0" w:rsidRPr="005F0F0C">
        <w:rPr>
          <w:i/>
        </w:rPr>
        <w:t>Dickson v. Dickson</w:t>
      </w:r>
      <w:r w:rsidR="001A3FB0" w:rsidRPr="005F0F0C">
        <w:t xml:space="preserve"> (1987), 21 B.C.L.R. (2d) 69; </w:t>
      </w:r>
      <w:r w:rsidR="001A3FB0" w:rsidRPr="005F0F0C">
        <w:rPr>
          <w:i/>
        </w:rPr>
        <w:t xml:space="preserve">S. (L.) v. </w:t>
      </w:r>
      <w:r w:rsidR="00F74BBA">
        <w:rPr>
          <w:i/>
        </w:rPr>
        <w:t>P. </w:t>
      </w:r>
      <w:r w:rsidR="001A3FB0" w:rsidRPr="005F0F0C">
        <w:rPr>
          <w:i/>
        </w:rPr>
        <w:t>(E.)</w:t>
      </w:r>
      <w:r w:rsidR="001A3FB0" w:rsidRPr="005F0F0C">
        <w:t>, 1999 BCCA 393, 67 B.C.L.R. (3d) 254</w:t>
      </w:r>
      <w:r w:rsidR="00CD09EA" w:rsidRPr="005F0F0C">
        <w:t xml:space="preserve">; </w:t>
      </w:r>
      <w:r w:rsidR="00310E58" w:rsidRPr="005F0F0C">
        <w:rPr>
          <w:i/>
        </w:rPr>
        <w:t>de Rooy v. Bergstrom</w:t>
      </w:r>
      <w:r w:rsidR="00310E58" w:rsidRPr="005F0F0C">
        <w:t xml:space="preserve">, 2010 BCCA 5, 4 B.C.L.R. (5th) 74; </w:t>
      </w:r>
      <w:r w:rsidR="00310E58" w:rsidRPr="005F0F0C">
        <w:rPr>
          <w:i/>
        </w:rPr>
        <w:t>Dring</w:t>
      </w:r>
      <w:r w:rsidR="00310E58" w:rsidRPr="005F0F0C">
        <w:rPr>
          <w:i/>
          <w:shd w:val="clear" w:color="auto" w:fill="FFFFFF"/>
        </w:rPr>
        <w:t xml:space="preserve"> v. Gheyle</w:t>
      </w:r>
      <w:r w:rsidR="00310E58" w:rsidRPr="005F0F0C">
        <w:rPr>
          <w:shd w:val="clear" w:color="auto" w:fill="FFFFFF"/>
        </w:rPr>
        <w:t>, 2018 BCCA 435,</w:t>
      </w:r>
      <w:r w:rsidR="00310E58" w:rsidRPr="005F0F0C">
        <w:t xml:space="preserve"> </w:t>
      </w:r>
      <w:r w:rsidR="00310E58" w:rsidRPr="005F0F0C">
        <w:rPr>
          <w:shd w:val="clear" w:color="auto" w:fill="FFFFFF"/>
        </w:rPr>
        <w:t xml:space="preserve">17 B.C.L.R. (6th) 30; </w:t>
      </w:r>
      <w:r w:rsidR="0045291B" w:rsidRPr="005F0F0C">
        <w:rPr>
          <w:i/>
        </w:rPr>
        <w:t>Daoust v. Alberg</w:t>
      </w:r>
      <w:r w:rsidR="0045291B" w:rsidRPr="005F0F0C">
        <w:t xml:space="preserve">, 2016 MBCA 24, 71 R.F.L. (7th) 274; </w:t>
      </w:r>
      <w:r w:rsidR="0045291B" w:rsidRPr="005F0F0C">
        <w:rPr>
          <w:i/>
        </w:rPr>
        <w:t>Calver v. Calver</w:t>
      </w:r>
      <w:r w:rsidR="0045291B" w:rsidRPr="005F0F0C">
        <w:t xml:space="preserve">, 2014 ABCA 63, 569 A.R. 170; </w:t>
      </w:r>
      <w:r w:rsidR="0045291B" w:rsidRPr="005F0F0C">
        <w:rPr>
          <w:i/>
        </w:rPr>
        <w:t>Selig v. Smith</w:t>
      </w:r>
      <w:r w:rsidR="0045291B" w:rsidRPr="005F0F0C">
        <w:t xml:space="preserve">, 2008 NSCA 54, 266 N.S.R. (2d) 102; </w:t>
      </w:r>
      <w:r w:rsidR="0045291B" w:rsidRPr="005F0F0C">
        <w:rPr>
          <w:i/>
        </w:rPr>
        <w:t>Krivanek v. Krivanek</w:t>
      </w:r>
      <w:r w:rsidR="0045291B" w:rsidRPr="005F0F0C">
        <w:t xml:space="preserve"> (2008), 56 R.F.L. (6th) 390; </w:t>
      </w:r>
      <w:r w:rsidR="0045291B" w:rsidRPr="005F0F0C">
        <w:rPr>
          <w:i/>
        </w:rPr>
        <w:t>Hnidy v. Hnidy</w:t>
      </w:r>
      <w:r w:rsidR="0045291B" w:rsidRPr="005F0F0C">
        <w:t xml:space="preserve">, 2017 SKCA 44, 414 D.L.R. (4th) 87; </w:t>
      </w:r>
      <w:r w:rsidR="003E4A9B" w:rsidRPr="005F0F0C">
        <w:rPr>
          <w:i/>
        </w:rPr>
        <w:t>Brear v. Brear</w:t>
      </w:r>
      <w:r w:rsidR="003E4A9B" w:rsidRPr="005F0F0C">
        <w:t xml:space="preserve">, 2019 ABCA 419, 97 Alta. L.R. (6th) 1; </w:t>
      </w:r>
      <w:r w:rsidR="003E4A9B" w:rsidRPr="005F0F0C">
        <w:rPr>
          <w:i/>
        </w:rPr>
        <w:t>Colucci v. Colucci</w:t>
      </w:r>
      <w:r w:rsidR="003E4A9B" w:rsidRPr="005F0F0C">
        <w:t xml:space="preserve">, 2017 ONCA 892, 138 O.R. (3d) 321; </w:t>
      </w:r>
      <w:r w:rsidR="0045291B" w:rsidRPr="005F0F0C">
        <w:rPr>
          <w:i/>
        </w:rPr>
        <w:t>MacCarthy v. MacCarthy</w:t>
      </w:r>
      <w:r w:rsidR="0045291B" w:rsidRPr="005F0F0C">
        <w:t>,</w:t>
      </w:r>
      <w:r w:rsidR="0045291B" w:rsidRPr="005F0F0C">
        <w:rPr>
          <w:i/>
        </w:rPr>
        <w:t xml:space="preserve"> </w:t>
      </w:r>
      <w:r w:rsidR="0045291B" w:rsidRPr="005F0F0C">
        <w:t xml:space="preserve">2015 BCCA 496, 380 B.C.A.C. 102; </w:t>
      </w:r>
      <w:r w:rsidR="0045291B" w:rsidRPr="005F0F0C">
        <w:rPr>
          <w:i/>
        </w:rPr>
        <w:t>Buckingham v. Buckingham</w:t>
      </w:r>
      <w:r w:rsidR="0045291B" w:rsidRPr="005F0F0C">
        <w:t xml:space="preserve">, 2013 ABQB 155, 554 A.R. 256; </w:t>
      </w:r>
      <w:r w:rsidR="0045291B" w:rsidRPr="005F0F0C">
        <w:rPr>
          <w:i/>
        </w:rPr>
        <w:t>Catena v. Catena</w:t>
      </w:r>
      <w:r w:rsidR="0045291B" w:rsidRPr="005F0F0C">
        <w:t>, 2015 ONSC 3186, 61 R.F.L. (7th) 463;</w:t>
      </w:r>
      <w:r w:rsidR="00372A80" w:rsidRPr="005F0F0C">
        <w:t xml:space="preserve"> </w:t>
      </w:r>
      <w:r w:rsidR="00372A80" w:rsidRPr="005F0F0C">
        <w:rPr>
          <w:i/>
        </w:rPr>
        <w:t>Rizzo &amp; Rizzo Shoes Ltd. (Re)</w:t>
      </w:r>
      <w:r w:rsidR="00372A80" w:rsidRPr="005F0F0C">
        <w:t>, [1998] 1 S.C.R. 27</w:t>
      </w:r>
      <w:r w:rsidR="009B681B" w:rsidRPr="005F0F0C">
        <w:t xml:space="preserve">; </w:t>
      </w:r>
      <w:r w:rsidR="00EE13C5" w:rsidRPr="005F0F0C">
        <w:rPr>
          <w:i/>
        </w:rPr>
        <w:t>Simone v. Herres</w:t>
      </w:r>
      <w:r w:rsidR="00EE13C5" w:rsidRPr="005F0F0C">
        <w:t xml:space="preserve">, 2011 ONSC 1788; </w:t>
      </w:r>
      <w:r w:rsidR="00EE13C5" w:rsidRPr="005F0F0C">
        <w:rPr>
          <w:i/>
        </w:rPr>
        <w:t>George v. Gayed</w:t>
      </w:r>
      <w:r w:rsidR="00EE13C5" w:rsidRPr="005F0F0C">
        <w:t xml:space="preserve">, 2014 ONSC 5360; </w:t>
      </w:r>
      <w:r w:rsidR="00EE13C5" w:rsidRPr="005F0F0C">
        <w:rPr>
          <w:i/>
        </w:rPr>
        <w:t>Gordashko v. Boston</w:t>
      </w:r>
      <w:r w:rsidR="00EE13C5" w:rsidRPr="005F0F0C">
        <w:t xml:space="preserve">, 2009 ABQB 229; </w:t>
      </w:r>
      <w:r w:rsidR="00EE13C5" w:rsidRPr="005F0F0C">
        <w:rPr>
          <w:i/>
        </w:rPr>
        <w:t>J.</w:t>
      </w:r>
      <w:r w:rsidR="00F74BBA">
        <w:rPr>
          <w:i/>
        </w:rPr>
        <w:t>P. </w:t>
      </w:r>
      <w:r w:rsidR="00EE13C5" w:rsidRPr="005F0F0C">
        <w:rPr>
          <w:i/>
        </w:rPr>
        <w:t>v. J.A.P.</w:t>
      </w:r>
      <w:r w:rsidR="00EE13C5" w:rsidRPr="005F0F0C">
        <w:t xml:space="preserve">, 2010 ABQB 53; </w:t>
      </w:r>
      <w:r w:rsidR="00EE13C5" w:rsidRPr="005F0F0C">
        <w:rPr>
          <w:i/>
        </w:rPr>
        <w:t>Pitre v. Lalande</w:t>
      </w:r>
      <w:r w:rsidR="00EE13C5" w:rsidRPr="005F0F0C">
        <w:t xml:space="preserve">, 2017 ONSC 208; </w:t>
      </w:r>
      <w:r w:rsidR="00EE13C5" w:rsidRPr="005F0F0C">
        <w:rPr>
          <w:i/>
        </w:rPr>
        <w:t>Vohra v. Vohra</w:t>
      </w:r>
      <w:r w:rsidR="00EE13C5" w:rsidRPr="005F0F0C">
        <w:t xml:space="preserve">, 2009 ONCJ 135, 66 R.F.L. (6th) 216; </w:t>
      </w:r>
      <w:r w:rsidR="00EE13C5" w:rsidRPr="005F0F0C">
        <w:rPr>
          <w:i/>
        </w:rPr>
        <w:t>S.</w:t>
      </w:r>
      <w:r w:rsidR="00F74BBA">
        <w:rPr>
          <w:i/>
        </w:rPr>
        <w:t>P. </w:t>
      </w:r>
      <w:r w:rsidR="00EE13C5" w:rsidRPr="005F0F0C">
        <w:rPr>
          <w:i/>
        </w:rPr>
        <w:t>v. R.P.</w:t>
      </w:r>
      <w:r w:rsidR="00EE13C5" w:rsidRPr="005F0F0C">
        <w:t>, 2010 ONSC 2247, rev’d 2011 ONCA 336, 281 O.A.C. 263;</w:t>
      </w:r>
      <w:r w:rsidR="00762BBE" w:rsidRPr="005F0F0C">
        <w:t xml:space="preserve"> </w:t>
      </w:r>
      <w:r w:rsidR="00762BBE" w:rsidRPr="005F0F0C">
        <w:rPr>
          <w:i/>
        </w:rPr>
        <w:t>Hartshorne v. Hartshorne</w:t>
      </w:r>
      <w:r w:rsidR="00762BBE" w:rsidRPr="005F0F0C">
        <w:t>, 2010 BCCA 327, 289 B.C.A.C. 244;</w:t>
      </w:r>
      <w:r w:rsidR="00962FD4" w:rsidRPr="005F0F0C">
        <w:t xml:space="preserve"> </w:t>
      </w:r>
      <w:r w:rsidR="00962FD4" w:rsidRPr="005F0F0C">
        <w:rPr>
          <w:i/>
          <w:lang w:val="en-US"/>
        </w:rPr>
        <w:t>MacLennan v. MacLennan</w:t>
      </w:r>
      <w:r w:rsidR="00962FD4" w:rsidRPr="005F0F0C">
        <w:rPr>
          <w:lang w:val="en-US"/>
        </w:rPr>
        <w:t xml:space="preserve">, 2003 NSCA 9, 212 N.S.R. (2d) 116; </w:t>
      </w:r>
      <w:r w:rsidR="00962FD4" w:rsidRPr="005F0F0C">
        <w:rPr>
          <w:i/>
        </w:rPr>
        <w:t>Hunt v. Smolis</w:t>
      </w:r>
      <w:r w:rsidR="00F74BBA">
        <w:rPr>
          <w:i/>
        </w:rPr>
        <w:noBreakHyphen/>
      </w:r>
      <w:r w:rsidR="00962FD4" w:rsidRPr="005F0F0C">
        <w:rPr>
          <w:i/>
        </w:rPr>
        <w:t>Hunt</w:t>
      </w:r>
      <w:r w:rsidR="00962FD4" w:rsidRPr="005F0F0C">
        <w:t xml:space="preserve">, 2001 ABCA 229, 97 Alta. L.R. (3d) 238; </w:t>
      </w:r>
      <w:r w:rsidR="00962FD4" w:rsidRPr="005F0F0C">
        <w:rPr>
          <w:i/>
        </w:rPr>
        <w:t>Dahl v. Dahl</w:t>
      </w:r>
      <w:r w:rsidR="00962FD4" w:rsidRPr="005F0F0C">
        <w:t xml:space="preserve"> (1995), 178 A</w:t>
      </w:r>
      <w:r w:rsidR="00F148E3" w:rsidRPr="005F0F0C">
        <w:t>.</w:t>
      </w:r>
      <w:r w:rsidR="00962FD4" w:rsidRPr="005F0F0C">
        <w:t>R</w:t>
      </w:r>
      <w:r w:rsidR="00F148E3" w:rsidRPr="005F0F0C">
        <w:t>.</w:t>
      </w:r>
      <w:r w:rsidR="00962FD4" w:rsidRPr="005F0F0C">
        <w:t xml:space="preserve"> 119;</w:t>
      </w:r>
      <w:r w:rsidR="009331E8" w:rsidRPr="005F0F0C">
        <w:t xml:space="preserve"> </w:t>
      </w:r>
      <w:r w:rsidR="009331E8" w:rsidRPr="005F0F0C">
        <w:rPr>
          <w:i/>
        </w:rPr>
        <w:t>B. (T.K.) v. S. (P.M.)</w:t>
      </w:r>
      <w:r w:rsidR="009331E8" w:rsidRPr="005F0F0C">
        <w:t xml:space="preserve">, 2008 BCSC 1350; </w:t>
      </w:r>
      <w:r w:rsidR="009331E8" w:rsidRPr="005F0F0C">
        <w:rPr>
          <w:i/>
        </w:rPr>
        <w:t>Swiderski v. Dussault</w:t>
      </w:r>
      <w:r w:rsidR="009331E8" w:rsidRPr="005F0F0C">
        <w:t>, 2008 BCSC 1629, rev’d in part 2009 BCCA 461, 98 B.C.L.R. (4th) 40;</w:t>
      </w:r>
      <w:r w:rsidR="009331E8" w:rsidRPr="005F0F0C">
        <w:rPr>
          <w:i/>
        </w:rPr>
        <w:t xml:space="preserve"> C.B.E. v. J.A.E.</w:t>
      </w:r>
      <w:r w:rsidR="009331E8" w:rsidRPr="005F0F0C">
        <w:t xml:space="preserve">, 2003 ABQB 961; </w:t>
      </w:r>
      <w:r w:rsidR="009331E8" w:rsidRPr="005F0F0C">
        <w:rPr>
          <w:bCs/>
          <w:i/>
          <w:iCs/>
          <w:shd w:val="clear" w:color="auto" w:fill="FFFFFF"/>
        </w:rPr>
        <w:t>Roseberry v. Roseberry</w:t>
      </w:r>
      <w:r w:rsidR="009331E8" w:rsidRPr="005F0F0C">
        <w:rPr>
          <w:bCs/>
          <w:iCs/>
          <w:shd w:val="clear" w:color="auto" w:fill="FFFFFF"/>
        </w:rPr>
        <w:t>, 2015 ABQB 75, 13 Alta. L.R. (6th) 215, rev’d 2015 ABCA 218, 68 R.F.L. (7th) 30</w:t>
      </w:r>
      <w:r w:rsidR="009331E8" w:rsidRPr="005F0F0C">
        <w:t xml:space="preserve">; </w:t>
      </w:r>
      <w:r w:rsidR="009331E8" w:rsidRPr="005F0F0C">
        <w:rPr>
          <w:i/>
        </w:rPr>
        <w:t>W. (</w:t>
      </w:r>
      <w:r w:rsidR="009331E8" w:rsidRPr="005F0F0C">
        <w:rPr>
          <w:bCs/>
          <w:i/>
          <w:iCs/>
          <w:shd w:val="clear" w:color="auto" w:fill="FFFFFF"/>
        </w:rPr>
        <w:t>L.J.) v. H. (R.L.)</w:t>
      </w:r>
      <w:r w:rsidR="009331E8" w:rsidRPr="005F0F0C">
        <w:rPr>
          <w:bCs/>
          <w:iCs/>
          <w:shd w:val="clear" w:color="auto" w:fill="FFFFFF"/>
        </w:rPr>
        <w:t xml:space="preserve">, 2005 ABCA 252, 18 R.F.L. (6th) 461; </w:t>
      </w:r>
      <w:r w:rsidR="009331E8" w:rsidRPr="005F0F0C">
        <w:rPr>
          <w:i/>
        </w:rPr>
        <w:t>Burchill v. Roberts</w:t>
      </w:r>
      <w:r w:rsidR="009331E8" w:rsidRPr="005F0F0C">
        <w:t>, 2013 BCCA 39, 332 B.C.A.C. 126</w:t>
      </w:r>
      <w:r w:rsidR="00B27AC5" w:rsidRPr="005F0F0C">
        <w:t>;</w:t>
      </w:r>
      <w:r w:rsidR="001148D2" w:rsidRPr="005F0F0C">
        <w:t xml:space="preserve"> </w:t>
      </w:r>
      <w:r w:rsidR="001148D2" w:rsidRPr="005F0F0C">
        <w:rPr>
          <w:i/>
        </w:rPr>
        <w:t>Webber v. Lane</w:t>
      </w:r>
      <w:r w:rsidR="001148D2" w:rsidRPr="005F0F0C">
        <w:t xml:space="preserve">, 2008 ONCJ 672; </w:t>
      </w:r>
      <w:r w:rsidR="001148D2" w:rsidRPr="005F0F0C">
        <w:rPr>
          <w:i/>
        </w:rPr>
        <w:t>Irving v. Clouthier</w:t>
      </w:r>
      <w:r w:rsidR="001148D2" w:rsidRPr="005F0F0C">
        <w:t xml:space="preserve">, 2008 CanLII 48137; </w:t>
      </w:r>
      <w:r w:rsidR="001148D2" w:rsidRPr="005F0F0C">
        <w:rPr>
          <w:i/>
        </w:rPr>
        <w:t>Hartshorne v. Hartshorne</w:t>
      </w:r>
      <w:r w:rsidR="001148D2" w:rsidRPr="005F0F0C">
        <w:t xml:space="preserve">, 2009 BCSC 698, 70 R.F.L. (6th) 106, rev’d in part 2010 BCCA 327, 289 B.C.A.C. 244; </w:t>
      </w:r>
      <w:r w:rsidR="001148D2" w:rsidRPr="005F0F0C">
        <w:rPr>
          <w:i/>
        </w:rPr>
        <w:t>Carlaw v. Carlaw</w:t>
      </w:r>
      <w:r w:rsidR="001148D2" w:rsidRPr="005F0F0C">
        <w:t xml:space="preserve">, 2009 NSSC 428, 299 N.S.R. (2d) 1; </w:t>
      </w:r>
      <w:r w:rsidR="001148D2" w:rsidRPr="005F0F0C">
        <w:rPr>
          <w:i/>
        </w:rPr>
        <w:t>Eadie v. Eadie</w:t>
      </w:r>
      <w:r w:rsidR="001148D2" w:rsidRPr="005F0F0C">
        <w:t>, 2008 BCSC 1380;</w:t>
      </w:r>
      <w:r w:rsidR="001E7A06" w:rsidRPr="005F0F0C">
        <w:t xml:space="preserve"> </w:t>
      </w:r>
      <w:r w:rsidR="001E7A06" w:rsidRPr="005F0F0C">
        <w:rPr>
          <w:i/>
        </w:rPr>
        <w:t>Reis v. Bucholtz</w:t>
      </w:r>
      <w:r w:rsidR="001E7A06" w:rsidRPr="005F0F0C">
        <w:t>, 2010 BCCA 115, 3 B.C.L.R</w:t>
      </w:r>
      <w:r w:rsidR="00721997" w:rsidRPr="005F0F0C">
        <w:t>.</w:t>
      </w:r>
      <w:r w:rsidR="001E7A06" w:rsidRPr="005F0F0C">
        <w:t xml:space="preserve"> (5th) 71; </w:t>
      </w:r>
      <w:r w:rsidR="001E7A06" w:rsidRPr="005F0F0C">
        <w:rPr>
          <w:i/>
        </w:rPr>
        <w:t>Schick v. Schick</w:t>
      </w:r>
      <w:r w:rsidR="001E7A06" w:rsidRPr="005F0F0C">
        <w:t xml:space="preserve">, 2008 ABCA 196, 55 R.F.L. (6th) 1; </w:t>
      </w:r>
      <w:r w:rsidR="001E7A06" w:rsidRPr="005F0F0C">
        <w:rPr>
          <w:i/>
        </w:rPr>
        <w:t>Trick v. Trick</w:t>
      </w:r>
      <w:r w:rsidR="001E7A06" w:rsidRPr="005F0F0C">
        <w:t xml:space="preserve"> (2003), 39 R.F.L. (5th) 418; </w:t>
      </w:r>
      <w:r w:rsidR="001E7A06" w:rsidRPr="005F0F0C">
        <w:rPr>
          <w:i/>
        </w:rPr>
        <w:t>Goulding v. Keck</w:t>
      </w:r>
      <w:r w:rsidR="001E7A06" w:rsidRPr="005F0F0C">
        <w:t>, 2014 ABCA 138, 572 A.R. 330;</w:t>
      </w:r>
      <w:r w:rsidR="00FB100D" w:rsidRPr="005F0F0C">
        <w:t xml:space="preserve"> </w:t>
      </w:r>
      <w:r w:rsidR="00D25751" w:rsidRPr="005F0F0C">
        <w:rPr>
          <w:rStyle w:val="reflex"/>
          <w:bCs/>
          <w:i/>
          <w:iCs/>
          <w:shd w:val="clear" w:color="auto" w:fill="FFFFFF"/>
        </w:rPr>
        <w:t>Farrell v. Oakley</w:t>
      </w:r>
      <w:r w:rsidR="00D25751" w:rsidRPr="005F0F0C">
        <w:rPr>
          <w:rStyle w:val="reflex"/>
          <w:bCs/>
          <w:iCs/>
          <w:shd w:val="clear" w:color="auto" w:fill="FFFFFF"/>
        </w:rPr>
        <w:t>, 2008 ABQB 422;</w:t>
      </w:r>
      <w:r w:rsidR="00D25751" w:rsidRPr="005F0F0C">
        <w:rPr>
          <w:rStyle w:val="reflex"/>
          <w:bCs/>
          <w:i/>
          <w:iCs/>
          <w:shd w:val="clear" w:color="auto" w:fill="FFFFFF"/>
        </w:rPr>
        <w:t xml:space="preserve"> </w:t>
      </w:r>
      <w:r w:rsidR="00D25751" w:rsidRPr="005F0F0C">
        <w:rPr>
          <w:bCs/>
          <w:i/>
          <w:iCs/>
          <w:shd w:val="clear" w:color="auto" w:fill="FFFFFF"/>
        </w:rPr>
        <w:t>Howard v. Cox</w:t>
      </w:r>
      <w:r w:rsidR="00D25751" w:rsidRPr="005F0F0C">
        <w:rPr>
          <w:bCs/>
          <w:iCs/>
          <w:shd w:val="clear" w:color="auto" w:fill="FFFFFF"/>
        </w:rPr>
        <w:t xml:space="preserve">, 2017 ABCA 111, 97 R.F.L. (7th) 85; </w:t>
      </w:r>
      <w:r w:rsidR="00D25751" w:rsidRPr="005F0F0C">
        <w:rPr>
          <w:i/>
        </w:rPr>
        <w:t>Ambrose v. Ambrose</w:t>
      </w:r>
      <w:r w:rsidR="00963F42" w:rsidRPr="005F0F0C">
        <w:t xml:space="preserve"> (1990), 24 R.F.L. (3</w:t>
      </w:r>
      <w:r w:rsidR="00D25751" w:rsidRPr="005F0F0C">
        <w:t xml:space="preserve">d) 353; </w:t>
      </w:r>
      <w:r w:rsidR="00D25751" w:rsidRPr="005F0F0C">
        <w:rPr>
          <w:rStyle w:val="reflex"/>
          <w:bCs/>
          <w:i/>
          <w:iCs/>
          <w:shd w:val="clear" w:color="auto" w:fill="FFFFFF"/>
        </w:rPr>
        <w:t>Larson v. Larson</w:t>
      </w:r>
      <w:r w:rsidR="00D25751" w:rsidRPr="005F0F0C">
        <w:rPr>
          <w:rStyle w:val="reflex"/>
          <w:bCs/>
          <w:iCs/>
          <w:shd w:val="clear" w:color="auto" w:fill="FFFFFF"/>
        </w:rPr>
        <w:t>, 2014 ABQB 560;</w:t>
      </w:r>
      <w:r w:rsidR="00D25751" w:rsidRPr="005F0F0C">
        <w:rPr>
          <w:bCs/>
          <w:i/>
          <w:iCs/>
          <w:shd w:val="clear" w:color="auto" w:fill="FFFFFF"/>
        </w:rPr>
        <w:t> C.M.M. v. P.M.M.</w:t>
      </w:r>
      <w:r w:rsidR="00D25751" w:rsidRPr="005F0F0C">
        <w:rPr>
          <w:bCs/>
          <w:iCs/>
          <w:shd w:val="clear" w:color="auto" w:fill="FFFFFF"/>
        </w:rPr>
        <w:t>, 2019 ABQB 613;</w:t>
      </w:r>
      <w:r w:rsidR="000E0BBF" w:rsidRPr="005F0F0C">
        <w:rPr>
          <w:bCs/>
          <w:iCs/>
          <w:shd w:val="clear" w:color="auto" w:fill="FFFFFF"/>
        </w:rPr>
        <w:t xml:space="preserve"> </w:t>
      </w:r>
      <w:r w:rsidR="000E0BBF" w:rsidRPr="005F0F0C">
        <w:rPr>
          <w:bCs/>
          <w:i/>
          <w:iCs/>
          <w:shd w:val="clear" w:color="auto" w:fill="FFFFFF"/>
        </w:rPr>
        <w:t>Smith v. Lagace</w:t>
      </w:r>
      <w:r w:rsidR="000E0BBF" w:rsidRPr="005F0F0C">
        <w:rPr>
          <w:bCs/>
          <w:iCs/>
          <w:shd w:val="clear" w:color="auto" w:fill="FFFFFF"/>
        </w:rPr>
        <w:t xml:space="preserve">, 2017 ABQB 394; </w:t>
      </w:r>
      <w:r w:rsidR="000E0BBF" w:rsidRPr="005F0F0C">
        <w:rPr>
          <w:i/>
        </w:rPr>
        <w:t>Chrintz v. Chrintz</w:t>
      </w:r>
      <w:r w:rsidR="000E0BBF" w:rsidRPr="005F0F0C">
        <w:t xml:space="preserve">, 41 R.F.L. (4th) 219; </w:t>
      </w:r>
      <w:r w:rsidR="000E0BBF" w:rsidRPr="005F0F0C">
        <w:rPr>
          <w:bCs/>
          <w:i/>
          <w:iCs/>
          <w:shd w:val="clear" w:color="auto" w:fill="FFFFFF"/>
        </w:rPr>
        <w:t>McInutly v. Dacyshyn</w:t>
      </w:r>
      <w:r w:rsidR="000E0BBF" w:rsidRPr="005F0F0C">
        <w:rPr>
          <w:bCs/>
          <w:iCs/>
          <w:shd w:val="clear" w:color="auto" w:fill="FFFFFF"/>
        </w:rPr>
        <w:t>, 2013 ABQB 538;</w:t>
      </w:r>
      <w:r w:rsidR="006A14F2" w:rsidRPr="005F0F0C">
        <w:rPr>
          <w:bCs/>
          <w:iCs/>
          <w:shd w:val="clear" w:color="auto" w:fill="FFFFFF"/>
        </w:rPr>
        <w:t xml:space="preserve"> </w:t>
      </w:r>
      <w:r w:rsidR="006A14F2" w:rsidRPr="005F0F0C">
        <w:rPr>
          <w:i/>
        </w:rPr>
        <w:t>S.K. v. A.K.</w:t>
      </w:r>
      <w:r w:rsidR="006A14F2" w:rsidRPr="005F0F0C">
        <w:t xml:space="preserve">, 2004 BCSC 37; </w:t>
      </w:r>
      <w:r w:rsidR="006A14F2" w:rsidRPr="005F0F0C">
        <w:rPr>
          <w:bCs/>
          <w:i/>
          <w:iCs/>
          <w:shd w:val="clear" w:color="auto" w:fill="FFFFFF"/>
        </w:rPr>
        <w:t>K.A.W. v. M.E.W.</w:t>
      </w:r>
      <w:r w:rsidR="006A14F2" w:rsidRPr="005F0F0C">
        <w:rPr>
          <w:bCs/>
          <w:iCs/>
          <w:shd w:val="clear" w:color="auto" w:fill="FFFFFF"/>
        </w:rPr>
        <w:t>, 2019 ABQB 563;</w:t>
      </w:r>
      <w:r w:rsidR="004D56C4" w:rsidRPr="005F0F0C">
        <w:rPr>
          <w:bCs/>
          <w:iCs/>
          <w:shd w:val="clear" w:color="auto" w:fill="FFFFFF"/>
        </w:rPr>
        <w:t xml:space="preserve"> </w:t>
      </w:r>
      <w:r w:rsidR="003E4A9B" w:rsidRPr="005F0F0C">
        <w:rPr>
          <w:i/>
          <w:iCs/>
        </w:rPr>
        <w:t>Moge v. Moge</w:t>
      </w:r>
      <w:r w:rsidR="003E4A9B" w:rsidRPr="005F0F0C">
        <w:t xml:space="preserve">, [1992] 3 S.C.R. 813; </w:t>
      </w:r>
      <w:r w:rsidR="00C17E12" w:rsidRPr="005F0F0C">
        <w:rPr>
          <w:i/>
          <w:iCs/>
        </w:rPr>
        <w:t>Bracklow v. Bracklow</w:t>
      </w:r>
      <w:r w:rsidR="00C17E12" w:rsidRPr="005F0F0C">
        <w:t xml:space="preserve">, [1999] 1 S.C.R. 420; </w:t>
      </w:r>
      <w:r w:rsidR="00C17E12" w:rsidRPr="005F0F0C">
        <w:rPr>
          <w:i/>
          <w:iCs/>
        </w:rPr>
        <w:t>Miglin v. Miglin</w:t>
      </w:r>
      <w:r w:rsidR="00C17E12" w:rsidRPr="005F0F0C">
        <w:t>, 2003 SCC 24, [2003] 1 S.C.R. 303;</w:t>
      </w:r>
      <w:r w:rsidR="00F375B4" w:rsidRPr="005F0F0C">
        <w:t xml:space="preserve"> </w:t>
      </w:r>
      <w:r w:rsidR="00212038" w:rsidRPr="005F0F0C">
        <w:rPr>
          <w:i/>
        </w:rPr>
        <w:t>Rick v. Brandsema</w:t>
      </w:r>
      <w:r w:rsidR="00212038" w:rsidRPr="005F0F0C">
        <w:t xml:space="preserve">, 2009 SCC 10, [2009] 1 S.C.R. 295; </w:t>
      </w:r>
      <w:r w:rsidR="003E4A9B" w:rsidRPr="005F0F0C">
        <w:rPr>
          <w:i/>
          <w:iCs/>
        </w:rPr>
        <w:t>Thibaudeau v. Canada</w:t>
      </w:r>
      <w:r w:rsidR="003E4A9B" w:rsidRPr="005F0F0C">
        <w:t xml:space="preserve">, [1995] 2 S.C.R. 627; </w:t>
      </w:r>
      <w:r w:rsidR="007A4652" w:rsidRPr="005F0F0C">
        <w:rPr>
          <w:i/>
          <w:iCs/>
        </w:rPr>
        <w:t>Hryniak v. Mauldin</w:t>
      </w:r>
      <w:r w:rsidR="007A4652" w:rsidRPr="005F0F0C">
        <w:t>, 2014 SCC 7, [2014] 1 S.C.R. 87;</w:t>
      </w:r>
      <w:r w:rsidR="00692CBA" w:rsidRPr="005F0F0C">
        <w:t xml:space="preserve"> </w:t>
      </w:r>
      <w:r w:rsidR="00692CBA" w:rsidRPr="005F0F0C">
        <w:rPr>
          <w:i/>
        </w:rPr>
        <w:t>Canada 3000 Inc. (Re)</w:t>
      </w:r>
      <w:r w:rsidR="00692CBA" w:rsidRPr="005F0F0C">
        <w:t>, 2006 SCC 24, [2006] 1 S.C.R. 865;</w:t>
      </w:r>
      <w:r w:rsidR="00C36CBE" w:rsidRPr="005F0F0C">
        <w:t xml:space="preserve"> </w:t>
      </w:r>
      <w:r w:rsidR="003E4A9B" w:rsidRPr="005F0F0C">
        <w:rPr>
          <w:i/>
        </w:rPr>
        <w:t>Pelech v. Pelech</w:t>
      </w:r>
      <w:r w:rsidR="003E4A9B" w:rsidRPr="005F0F0C">
        <w:t xml:space="preserve">, [1987] 1 S.C.R. 801; </w:t>
      </w:r>
      <w:r w:rsidR="00C36CBE" w:rsidRPr="005F0F0C">
        <w:rPr>
          <w:i/>
          <w:iCs/>
        </w:rPr>
        <w:t>Symes v. Canada</w:t>
      </w:r>
      <w:r w:rsidR="00C36CBE" w:rsidRPr="005F0F0C">
        <w:t xml:space="preserve">, [1993] 4 S.C.R. 695; </w:t>
      </w:r>
      <w:r w:rsidR="00C36CBE" w:rsidRPr="005F0F0C">
        <w:rPr>
          <w:i/>
        </w:rPr>
        <w:t>Young v. Young</w:t>
      </w:r>
      <w:r w:rsidR="00C36CBE" w:rsidRPr="005F0F0C">
        <w:t>, [1993] 4 S.C.R. 3;</w:t>
      </w:r>
      <w:r w:rsidR="007A4652" w:rsidRPr="005F0F0C">
        <w:t xml:space="preserve"> </w:t>
      </w:r>
      <w:r w:rsidR="007A4652" w:rsidRPr="005F0F0C">
        <w:rPr>
          <w:i/>
        </w:rPr>
        <w:t>K.L.B. v. British Columbia</w:t>
      </w:r>
      <w:r w:rsidR="00960871" w:rsidRPr="005F0F0C">
        <w:t>, 2003 SCC 51, [2003] 2 S</w:t>
      </w:r>
      <w:r w:rsidR="007A4652" w:rsidRPr="005F0F0C">
        <w:t>.C.</w:t>
      </w:r>
      <w:r w:rsidR="00960871" w:rsidRPr="005F0F0C">
        <w:t>R</w:t>
      </w:r>
      <w:r w:rsidR="007A4652" w:rsidRPr="005F0F0C">
        <w:t xml:space="preserve">. 403; </w:t>
      </w:r>
      <w:r w:rsidR="007A4652" w:rsidRPr="005F0F0C">
        <w:rPr>
          <w:i/>
          <w:lang w:bidi="en-US"/>
        </w:rPr>
        <w:t>Richardson v. Richardson</w:t>
      </w:r>
      <w:r w:rsidR="007A4652" w:rsidRPr="005F0F0C">
        <w:rPr>
          <w:lang w:bidi="en-US"/>
        </w:rPr>
        <w:t>, [1987] 1 S.C.R. 857</w:t>
      </w:r>
      <w:r w:rsidR="007A4652" w:rsidRPr="005F0F0C">
        <w:t xml:space="preserve">; </w:t>
      </w:r>
      <w:r w:rsidR="007A4652" w:rsidRPr="005F0F0C">
        <w:rPr>
          <w:i/>
        </w:rPr>
        <w:t>Theriault v. Theriault</w:t>
      </w:r>
      <w:r w:rsidR="007A4652" w:rsidRPr="005F0F0C">
        <w:t xml:space="preserve"> (1994), 149 A.R. 210; </w:t>
      </w:r>
      <w:r w:rsidR="007A4652" w:rsidRPr="005F0F0C">
        <w:rPr>
          <w:i/>
        </w:rPr>
        <w:t>Canada (Minister of Citizenship and Immigration) v. Vavilov</w:t>
      </w:r>
      <w:r w:rsidR="007A4652" w:rsidRPr="005F0F0C">
        <w:t>, 2019 SCC 65</w:t>
      </w:r>
      <w:r w:rsidR="00C32609">
        <w:t xml:space="preserve">, </w:t>
      </w:r>
      <w:r w:rsidR="00C32609">
        <w:rPr>
          <w:lang w:bidi="en-US"/>
        </w:rPr>
        <w:t>[2019</w:t>
      </w:r>
      <w:r w:rsidR="00C32609" w:rsidRPr="005F0F0C">
        <w:rPr>
          <w:lang w:bidi="en-US"/>
        </w:rPr>
        <w:t>]</w:t>
      </w:r>
      <w:r w:rsidR="00C32609">
        <w:rPr>
          <w:lang w:bidi="en-US"/>
        </w:rPr>
        <w:t xml:space="preserve"> 4 S.C.R. 653</w:t>
      </w:r>
      <w:r w:rsidR="007A4652" w:rsidRPr="005F0F0C">
        <w:t xml:space="preserve">; </w:t>
      </w:r>
      <w:r w:rsidR="007A4652" w:rsidRPr="005F0F0C">
        <w:rPr>
          <w:i/>
        </w:rPr>
        <w:t>Baker v. Canada (Minister of Citizenship and Immigration)</w:t>
      </w:r>
      <w:r w:rsidR="007A4652" w:rsidRPr="005F0F0C">
        <w:t xml:space="preserve">, [1999] 2 S.C.R. 817; </w:t>
      </w:r>
      <w:r w:rsidR="007A4652" w:rsidRPr="005F0F0C">
        <w:rPr>
          <w:i/>
        </w:rPr>
        <w:t>Morguard Properties Ltd. v. City of Winnipeg</w:t>
      </w:r>
      <w:r w:rsidR="00A51351" w:rsidRPr="005F0F0C">
        <w:t>, [1983] 2 S.C.R. 493</w:t>
      </w:r>
      <w:r w:rsidR="007A4652" w:rsidRPr="005F0F0C">
        <w:t xml:space="preserve">; </w:t>
      </w:r>
      <w:r w:rsidR="007A4652" w:rsidRPr="005F0F0C">
        <w:rPr>
          <w:i/>
        </w:rPr>
        <w:t>Toronto Area Transit Operating Authority v. Dell Holdings Ltd.</w:t>
      </w:r>
      <w:r w:rsidR="007A4652" w:rsidRPr="005F0F0C">
        <w:t>,</w:t>
      </w:r>
      <w:r w:rsidR="00A51351" w:rsidRPr="005F0F0C">
        <w:t xml:space="preserve"> [1997] 1 S.C.R. 32</w:t>
      </w:r>
      <w:r w:rsidR="007A4652" w:rsidRPr="005F0F0C">
        <w:t>; </w:t>
      </w:r>
      <w:r w:rsidR="007A4652" w:rsidRPr="005F0F0C">
        <w:rPr>
          <w:bCs/>
          <w:i/>
          <w:iCs/>
        </w:rPr>
        <w:t>Royal Bank of Canada v. Sparrow Electric Corp.</w:t>
      </w:r>
      <w:r w:rsidR="007A4652" w:rsidRPr="005F0F0C">
        <w:t>,</w:t>
      </w:r>
      <w:r w:rsidR="007A4652" w:rsidRPr="005F0F0C">
        <w:rPr>
          <w:bCs/>
          <w:i/>
          <w:iCs/>
        </w:rPr>
        <w:t> </w:t>
      </w:r>
      <w:r w:rsidR="007A4652" w:rsidRPr="005F0F0C">
        <w:t>[1997] 1 S.C.R. 411</w:t>
      </w:r>
      <w:r w:rsidR="00A51351" w:rsidRPr="005F0F0C">
        <w:t>;</w:t>
      </w:r>
      <w:r w:rsidR="0020107E" w:rsidRPr="005F0F0C">
        <w:t xml:space="preserve"> </w:t>
      </w:r>
      <w:r w:rsidR="001625DD" w:rsidRPr="005F0F0C">
        <w:rPr>
          <w:i/>
        </w:rPr>
        <w:t>R. v. Henry</w:t>
      </w:r>
      <w:r w:rsidR="001625DD" w:rsidRPr="005F0F0C">
        <w:t xml:space="preserve">, 2005 SCC 76, [2005] 3 S.C.R. 609; </w:t>
      </w:r>
      <w:r w:rsidR="001625DD" w:rsidRPr="005F0F0C">
        <w:rPr>
          <w:i/>
        </w:rPr>
        <w:t>Ontario (Attorney General) v. Fraser</w:t>
      </w:r>
      <w:r w:rsidR="001625DD" w:rsidRPr="005F0F0C">
        <w:t xml:space="preserve">, 2011 SCC 20, [2011] 2 S.C.R. 3; </w:t>
      </w:r>
      <w:r w:rsidR="00BE7F2A" w:rsidRPr="005F0F0C">
        <w:rPr>
          <w:i/>
        </w:rPr>
        <w:t>A</w:t>
      </w:r>
      <w:r w:rsidR="00BE7F2A" w:rsidRPr="005F0F0C">
        <w:rPr>
          <w:bCs/>
          <w:i/>
          <w:iCs/>
          <w:shd w:val="clear" w:color="auto" w:fill="FFFFFF"/>
        </w:rPr>
        <w:t>nderson v. Laboucan</w:t>
      </w:r>
      <w:r w:rsidR="00BE7F2A" w:rsidRPr="005F0F0C">
        <w:rPr>
          <w:bCs/>
          <w:iCs/>
          <w:shd w:val="clear" w:color="auto" w:fill="FFFFFF"/>
        </w:rPr>
        <w:t xml:space="preserve">, 2017 ABQB 642; </w:t>
      </w:r>
      <w:r w:rsidR="00BE7F2A" w:rsidRPr="005F0F0C">
        <w:rPr>
          <w:bCs/>
          <w:i/>
          <w:iCs/>
          <w:shd w:val="clear" w:color="auto" w:fill="FFFFFF"/>
        </w:rPr>
        <w:t xml:space="preserve">Baldwin v. Funston </w:t>
      </w:r>
      <w:r w:rsidR="00BE7F2A" w:rsidRPr="005F0F0C">
        <w:rPr>
          <w:bCs/>
          <w:iCs/>
          <w:shd w:val="clear" w:color="auto" w:fill="FFFFFF"/>
        </w:rPr>
        <w:t xml:space="preserve">(2007), 85 O.R. (3d) 721; </w:t>
      </w:r>
      <w:r w:rsidR="00BE7F2A" w:rsidRPr="005F0F0C">
        <w:rPr>
          <w:bCs/>
          <w:i/>
          <w:iCs/>
          <w:shd w:val="clear" w:color="auto" w:fill="FFFFFF"/>
        </w:rPr>
        <w:t>Foster v. Foster</w:t>
      </w:r>
      <w:r w:rsidR="00BE7F2A" w:rsidRPr="005F0F0C">
        <w:rPr>
          <w:bCs/>
          <w:iCs/>
          <w:shd w:val="clear" w:color="auto" w:fill="FFFFFF"/>
        </w:rPr>
        <w:t>, 2013 BCCA 205;</w:t>
      </w:r>
      <w:r w:rsidR="00BE7F2A" w:rsidRPr="005F0F0C">
        <w:t xml:space="preserve"> </w:t>
      </w:r>
      <w:r w:rsidR="00BE7F2A" w:rsidRPr="005F0F0C">
        <w:rPr>
          <w:i/>
        </w:rPr>
        <w:t>Tepleski v. Girardin</w:t>
      </w:r>
      <w:r w:rsidR="00BE7F2A" w:rsidRPr="005F0F0C">
        <w:t xml:space="preserve">, 2017 MBCA 37; </w:t>
      </w:r>
      <w:r w:rsidR="005F4CAB" w:rsidRPr="005F0F0C">
        <w:rPr>
          <w:i/>
        </w:rPr>
        <w:t>Kerr v. Baranow</w:t>
      </w:r>
      <w:r w:rsidR="005F4CAB" w:rsidRPr="005F0F0C">
        <w:t xml:space="preserve">, 2011 SCC 10, [2011] 1 S.C.R. 269; </w:t>
      </w:r>
      <w:r w:rsidR="00BE7F2A" w:rsidRPr="005F0F0C">
        <w:rPr>
          <w:i/>
        </w:rPr>
        <w:t>Loughlin v. Loughlin</w:t>
      </w:r>
      <w:r w:rsidR="00BE7F2A" w:rsidRPr="005F0F0C">
        <w:t xml:space="preserve">, 2007 ABQB 10; </w:t>
      </w:r>
      <w:r w:rsidR="00BE7F2A" w:rsidRPr="005F0F0C">
        <w:rPr>
          <w:i/>
          <w:iCs/>
        </w:rPr>
        <w:t>Koback v. Koback</w:t>
      </w:r>
      <w:r w:rsidR="00BE7F2A" w:rsidRPr="005F0F0C">
        <w:rPr>
          <w:iCs/>
        </w:rPr>
        <w:t>, 2013 SKCA 91, 423 Sask. R. 35</w:t>
      </w:r>
      <w:r w:rsidR="00BE7F2A" w:rsidRPr="005F0F0C">
        <w:t xml:space="preserve">; </w:t>
      </w:r>
      <w:r w:rsidR="00BE7F2A" w:rsidRPr="005F0F0C">
        <w:rPr>
          <w:i/>
          <w:iCs/>
        </w:rPr>
        <w:t>L.L. v. G.B.</w:t>
      </w:r>
      <w:r w:rsidR="00BE7F2A" w:rsidRPr="005F0F0C">
        <w:rPr>
          <w:iCs/>
        </w:rPr>
        <w:t xml:space="preserve">, 2008 ABQB 536, 10 Alta. L.R. (5th) 67; </w:t>
      </w:r>
      <w:r w:rsidR="00BE7F2A" w:rsidRPr="005F0F0C">
        <w:rPr>
          <w:i/>
          <w:lang w:val="en-US"/>
        </w:rPr>
        <w:t>C.A.R. v. G.F.R.</w:t>
      </w:r>
      <w:r w:rsidR="00BE7F2A" w:rsidRPr="005F0F0C">
        <w:rPr>
          <w:lang w:val="en-US"/>
        </w:rPr>
        <w:t xml:space="preserve">, 2006 BCSC 1407; </w:t>
      </w:r>
      <w:r w:rsidR="00BE7F2A" w:rsidRPr="005F0F0C">
        <w:rPr>
          <w:i/>
        </w:rPr>
        <w:t>Debora v. Debora</w:t>
      </w:r>
      <w:r w:rsidR="00BE7F2A" w:rsidRPr="005F0F0C">
        <w:t xml:space="preserve"> (2006), 218 O.A.C. 237; </w:t>
      </w:r>
      <w:r w:rsidR="00BE7F2A" w:rsidRPr="005F0F0C">
        <w:rPr>
          <w:i/>
        </w:rPr>
        <w:t>Tschudi v. Tschudi</w:t>
      </w:r>
      <w:r w:rsidR="00BE7F2A" w:rsidRPr="005F0F0C">
        <w:t>, 2010 BCCA 170, 86 R.F.L. (6th) 23;</w:t>
      </w:r>
      <w:r w:rsidR="00BE7F2A" w:rsidRPr="005F0F0C">
        <w:rPr>
          <w:i/>
        </w:rPr>
        <w:t xml:space="preserve"> Purba v. Purba</w:t>
      </w:r>
      <w:r w:rsidR="00BE7F2A" w:rsidRPr="005F0F0C">
        <w:t xml:space="preserve">, </w:t>
      </w:r>
      <w:r w:rsidR="00754488">
        <w:t>2009 ABCA 32, 44</w:t>
      </w:r>
      <w:r w:rsidR="00BE7F2A" w:rsidRPr="005F0F0C">
        <w:t>6 A.R. 175;</w:t>
      </w:r>
      <w:r w:rsidR="00BC3233" w:rsidRPr="005F0F0C">
        <w:t xml:space="preserve"> </w:t>
      </w:r>
      <w:r w:rsidR="008E5C2C" w:rsidRPr="005F0F0C">
        <w:rPr>
          <w:i/>
        </w:rPr>
        <w:t>Cornelissen v. Cornelissen</w:t>
      </w:r>
      <w:r w:rsidR="008E5C2C" w:rsidRPr="005F0F0C">
        <w:t xml:space="preserve">, 2003 BCCA 666, 21 B.C.L.R. (4th) 308; </w:t>
      </w:r>
      <w:r w:rsidR="008E5C2C" w:rsidRPr="005F0F0C">
        <w:rPr>
          <w:i/>
        </w:rPr>
        <w:t>Warwoda v. Warwoda</w:t>
      </w:r>
      <w:r w:rsidR="008E5C2C" w:rsidRPr="005F0F0C">
        <w:t xml:space="preserve">, 2009 ABQB 582; </w:t>
      </w:r>
      <w:r w:rsidR="00BC3233" w:rsidRPr="005F0F0C">
        <w:rPr>
          <w:i/>
        </w:rPr>
        <w:t>Ennis v. Ennis</w:t>
      </w:r>
      <w:r w:rsidR="00BC3233" w:rsidRPr="005F0F0C">
        <w:t xml:space="preserve">, 2000 ABCA 33, 77 Alta. L.R. (3d) 289; </w:t>
      </w:r>
      <w:r w:rsidR="00BC3233" w:rsidRPr="005F0F0C">
        <w:rPr>
          <w:i/>
        </w:rPr>
        <w:t>Wishlow v. Bingham</w:t>
      </w:r>
      <w:r w:rsidR="00BC3233" w:rsidRPr="005F0F0C">
        <w:t xml:space="preserve">, 2000 ABCA 198, 82 Alta. L.R. (3d) 226; </w:t>
      </w:r>
      <w:r w:rsidR="00BC3233" w:rsidRPr="005F0F0C">
        <w:rPr>
          <w:i/>
        </w:rPr>
        <w:t>Sawatzky v. Sawatzky</w:t>
      </w:r>
      <w:r w:rsidR="00BC3233" w:rsidRPr="005F0F0C">
        <w:t>, 2018 MBCA 102, 428 D.L.R. (4th) 247.</w:t>
      </w:r>
    </w:p>
    <w:p w:rsidR="00B1313D" w:rsidRPr="005F0F0C" w:rsidRDefault="002E6705" w:rsidP="00F70425">
      <w:pPr>
        <w:pStyle w:val="SCCNormalDoubleSpacing"/>
        <w:spacing w:before="240" w:after="720" w:line="240" w:lineRule="auto"/>
      </w:pPr>
      <w:r w:rsidRPr="005F0F0C">
        <w:rPr>
          <w:b/>
        </w:rPr>
        <w:t>Statutes and Regulations Cite</w:t>
      </w:r>
      <w:r w:rsidR="00A41805" w:rsidRPr="005F0F0C">
        <w:rPr>
          <w:b/>
        </w:rPr>
        <w:t>d</w:t>
      </w:r>
    </w:p>
    <w:p w:rsidR="00B1313D" w:rsidRPr="005F0F0C" w:rsidRDefault="00B1313D" w:rsidP="00B1313D">
      <w:pPr>
        <w:pStyle w:val="SCCNormalDoubleSpacing"/>
        <w:spacing w:before="240" w:line="240" w:lineRule="auto"/>
        <w:ind w:left="540" w:hanging="540"/>
        <w:rPr>
          <w:i/>
        </w:rPr>
      </w:pPr>
      <w:r w:rsidRPr="005F0F0C">
        <w:rPr>
          <w:i/>
        </w:rPr>
        <w:t>Administrative Calculation and Recalculation of Child Support</w:t>
      </w:r>
      <w:r w:rsidRPr="005F0F0C">
        <w:t>, O. Reg. 190/15, s</w:t>
      </w:r>
      <w:r w:rsidR="00B729E5" w:rsidRPr="005F0F0C">
        <w:t>.</w:t>
      </w:r>
      <w:r w:rsidRPr="005F0F0C">
        <w:t> 10.1(1).</w:t>
      </w:r>
    </w:p>
    <w:p w:rsidR="00BC3233" w:rsidRPr="005F0F0C" w:rsidRDefault="00BC3233" w:rsidP="005A08EE">
      <w:pPr>
        <w:pStyle w:val="SCCNormalDoubleSpacing"/>
        <w:spacing w:before="240" w:line="240" w:lineRule="auto"/>
        <w:ind w:left="540" w:hanging="540"/>
        <w:rPr>
          <w:i/>
        </w:rPr>
      </w:pPr>
      <w:r w:rsidRPr="005F0F0C">
        <w:rPr>
          <w:i/>
        </w:rPr>
        <w:t>Administrative Recalculation of Child Support Regulations</w:t>
      </w:r>
      <w:r w:rsidRPr="005F0F0C">
        <w:t>, N.L.R. 16/18, s. 5(1).</w:t>
      </w:r>
    </w:p>
    <w:p w:rsidR="00B1313D" w:rsidRPr="005F0F0C" w:rsidRDefault="00B1313D" w:rsidP="00B1313D">
      <w:pPr>
        <w:pStyle w:val="SCCNormalDoubleSpacing"/>
        <w:spacing w:before="240" w:line="240" w:lineRule="auto"/>
        <w:ind w:left="540" w:hanging="540"/>
        <w:rPr>
          <w:i/>
        </w:rPr>
      </w:pPr>
      <w:r w:rsidRPr="005F0F0C">
        <w:rPr>
          <w:i/>
        </w:rPr>
        <w:t>Alberta Rules of Court</w:t>
      </w:r>
      <w:r w:rsidRPr="005F0F0C">
        <w:t>, Alta. Reg. 124/2010, r. 12.53, Forms FL</w:t>
      </w:r>
      <w:r w:rsidR="00F74BBA">
        <w:noBreakHyphen/>
      </w:r>
      <w:r w:rsidRPr="005F0F0C">
        <w:t>2</w:t>
      </w:r>
      <w:r w:rsidR="003A4271" w:rsidRPr="005F0F0C">
        <w:t>6</w:t>
      </w:r>
      <w:r w:rsidRPr="005F0F0C">
        <w:t>, FL</w:t>
      </w:r>
      <w:r w:rsidR="00F74BBA">
        <w:noBreakHyphen/>
      </w:r>
      <w:r w:rsidRPr="005F0F0C">
        <w:t>27.</w:t>
      </w:r>
    </w:p>
    <w:p w:rsidR="00B1313D" w:rsidRPr="005F0F0C" w:rsidRDefault="00B1313D" w:rsidP="005A08EE">
      <w:pPr>
        <w:pStyle w:val="SCCNormalDoubleSpacing"/>
        <w:spacing w:before="240" w:line="240" w:lineRule="auto"/>
        <w:ind w:left="540" w:hanging="540"/>
        <w:rPr>
          <w:i/>
        </w:rPr>
      </w:pPr>
      <w:r w:rsidRPr="005F0F0C">
        <w:rPr>
          <w:i/>
        </w:rPr>
        <w:t>An Act to amend the Law relating to the custody of Infants</w:t>
      </w:r>
      <w:r w:rsidRPr="005F0F0C">
        <w:t>, S.</w:t>
      </w:r>
      <w:r w:rsidR="006D1783">
        <w:t xml:space="preserve"> Prov</w:t>
      </w:r>
      <w:r w:rsidRPr="005F0F0C">
        <w:t>.</w:t>
      </w:r>
      <w:r w:rsidR="006D1783">
        <w:t xml:space="preserve"> </w:t>
      </w:r>
      <w:r w:rsidRPr="005F0F0C">
        <w:t>C. 1855, 18 Vict., c. 126, s. 1.</w:t>
      </w:r>
    </w:p>
    <w:p w:rsidR="00960871" w:rsidRPr="005F0F0C" w:rsidRDefault="00BC3233" w:rsidP="005A08EE">
      <w:pPr>
        <w:pStyle w:val="SCCNormalDoubleSpacing"/>
        <w:spacing w:before="240" w:line="240" w:lineRule="auto"/>
        <w:ind w:left="540" w:hanging="540"/>
        <w:rPr>
          <w:i/>
        </w:rPr>
      </w:pPr>
      <w:r w:rsidRPr="005F0F0C">
        <w:rPr>
          <w:i/>
        </w:rPr>
        <w:t>Child Support Guidelines</w:t>
      </w:r>
      <w:r w:rsidRPr="005F0F0C">
        <w:t xml:space="preserve">, O. Reg. 391/97, </w:t>
      </w:r>
      <w:r w:rsidR="00F74BBA">
        <w:t>ss. </w:t>
      </w:r>
      <w:r w:rsidRPr="005F0F0C">
        <w:t>13(g), 24.1(1).</w:t>
      </w:r>
    </w:p>
    <w:p w:rsidR="00A41805" w:rsidRPr="005F0F0C" w:rsidRDefault="00430EB7" w:rsidP="005A08EE">
      <w:pPr>
        <w:pStyle w:val="SCCNormalDoubleSpacing"/>
        <w:spacing w:before="240" w:line="240" w:lineRule="auto"/>
        <w:ind w:left="540" w:hanging="540"/>
      </w:pPr>
      <w:r w:rsidRPr="005F0F0C" w:rsidDel="00CD2F45">
        <w:rPr>
          <w:i/>
        </w:rPr>
        <w:t>Divorce Act</w:t>
      </w:r>
      <w:r w:rsidRPr="005F0F0C" w:rsidDel="00CD2F45">
        <w:t>, R.S.C. 1985, c.</w:t>
      </w:r>
      <w:r w:rsidR="00267939">
        <w:t> </w:t>
      </w:r>
      <w:r w:rsidRPr="005F0F0C" w:rsidDel="00CD2F45">
        <w:t>3 (2nd Supp.)</w:t>
      </w:r>
      <w:r w:rsidRPr="005F0F0C">
        <w:t xml:space="preserve">, </w:t>
      </w:r>
      <w:r w:rsidR="00F74BBA">
        <w:t>ss. </w:t>
      </w:r>
      <w:r w:rsidR="00A977AE" w:rsidRPr="005F0F0C">
        <w:t xml:space="preserve">2 “child of the marriage”, </w:t>
      </w:r>
      <w:r w:rsidR="003E3688" w:rsidRPr="005F0F0C">
        <w:t>3</w:t>
      </w:r>
      <w:r w:rsidR="00E4768B" w:rsidRPr="005F0F0C">
        <w:t>,</w:t>
      </w:r>
      <w:r w:rsidR="003E3688" w:rsidRPr="005F0F0C">
        <w:t xml:space="preserve"> 4, 5, 6, 7,</w:t>
      </w:r>
      <w:r w:rsidR="00E4768B" w:rsidRPr="005F0F0C">
        <w:t xml:space="preserve"> </w:t>
      </w:r>
      <w:r w:rsidRPr="005F0F0C">
        <w:t>15.1</w:t>
      </w:r>
      <w:r w:rsidR="00DA6BD0" w:rsidRPr="005F0F0C">
        <w:t>,</w:t>
      </w:r>
      <w:r w:rsidR="009612ED" w:rsidRPr="005F0F0C">
        <w:t xml:space="preserve"> 17</w:t>
      </w:r>
      <w:r w:rsidR="00D11CF0" w:rsidRPr="005F0F0C">
        <w:t>.</w:t>
      </w:r>
    </w:p>
    <w:p w:rsidR="00827E06" w:rsidRPr="005F0F0C" w:rsidRDefault="00827E06" w:rsidP="005A08EE">
      <w:pPr>
        <w:pStyle w:val="SCCNormalDoubleSpacing"/>
        <w:spacing w:before="240" w:line="240" w:lineRule="auto"/>
        <w:ind w:left="540" w:hanging="540"/>
      </w:pPr>
      <w:r w:rsidRPr="005F0F0C">
        <w:rPr>
          <w:i/>
        </w:rPr>
        <w:t>Employment and Assistance Act</w:t>
      </w:r>
      <w:r w:rsidRPr="005F0F0C">
        <w:t>, S.B.C. 2002, c. 40.</w:t>
      </w:r>
    </w:p>
    <w:p w:rsidR="00BC3233" w:rsidRPr="005F0F0C" w:rsidRDefault="00BC3233" w:rsidP="005A08EE">
      <w:pPr>
        <w:pStyle w:val="SCCNormalDoubleSpacing"/>
        <w:spacing w:before="240" w:line="240" w:lineRule="auto"/>
        <w:ind w:left="540" w:hanging="540"/>
        <w:rPr>
          <w:i/>
        </w:rPr>
      </w:pPr>
      <w:r w:rsidRPr="005F0F0C">
        <w:rPr>
          <w:i/>
        </w:rPr>
        <w:t>Family Law Act</w:t>
      </w:r>
      <w:r w:rsidRPr="005F0F0C">
        <w:t>, S.A. 2003, c. F</w:t>
      </w:r>
      <w:r w:rsidR="00F74BBA">
        <w:noBreakHyphen/>
      </w:r>
      <w:r w:rsidRPr="005F0F0C">
        <w:t>4.5, s. 55.41(1).</w:t>
      </w:r>
    </w:p>
    <w:p w:rsidR="005518E5" w:rsidRPr="005F0F0C" w:rsidRDefault="005518E5" w:rsidP="005A08EE">
      <w:pPr>
        <w:pStyle w:val="SCCNormalDoubleSpacing"/>
        <w:spacing w:before="240" w:line="240" w:lineRule="auto"/>
        <w:ind w:left="540" w:hanging="540"/>
      </w:pPr>
      <w:r w:rsidRPr="005F0F0C">
        <w:rPr>
          <w:i/>
        </w:rPr>
        <w:t>Family Law Act</w:t>
      </w:r>
      <w:r w:rsidRPr="005F0F0C">
        <w:t>, S.B.C. 2011, c.</w:t>
      </w:r>
      <w:r w:rsidR="00267939">
        <w:t> </w:t>
      </w:r>
      <w:r w:rsidRPr="005F0F0C">
        <w:t xml:space="preserve">25, </w:t>
      </w:r>
      <w:r w:rsidR="00F74BBA">
        <w:t>ss. </w:t>
      </w:r>
      <w:r w:rsidR="00F65712" w:rsidRPr="005F0F0C">
        <w:t>1 “child”,</w:t>
      </w:r>
      <w:r w:rsidR="00FE6585" w:rsidRPr="005F0F0C">
        <w:t xml:space="preserve"> 45,</w:t>
      </w:r>
      <w:r w:rsidR="004F236F" w:rsidRPr="005F0F0C">
        <w:t xml:space="preserve"> </w:t>
      </w:r>
      <w:r w:rsidR="00F65712" w:rsidRPr="005F0F0C">
        <w:t>146, 147,</w:t>
      </w:r>
      <w:r w:rsidR="00FE6585" w:rsidRPr="005F0F0C">
        <w:t xml:space="preserve"> 148(3), 149,</w:t>
      </w:r>
      <w:r w:rsidR="00F65712" w:rsidRPr="005F0F0C">
        <w:t xml:space="preserve"> </w:t>
      </w:r>
      <w:r w:rsidRPr="005F0F0C">
        <w:t>152</w:t>
      </w:r>
      <w:r w:rsidR="00FE6585" w:rsidRPr="005F0F0C">
        <w:t>, 157(1)</w:t>
      </w:r>
      <w:r w:rsidR="00E5002F" w:rsidRPr="005F0F0C">
        <w:t>,</w:t>
      </w:r>
      <w:r w:rsidR="00BC3233" w:rsidRPr="005F0F0C">
        <w:t xml:space="preserve"> 158(1), </w:t>
      </w:r>
      <w:r w:rsidR="00FE6585" w:rsidRPr="005F0F0C">
        <w:t>164</w:t>
      </w:r>
      <w:r w:rsidR="00F52102" w:rsidRPr="005F0F0C">
        <w:t>(3)</w:t>
      </w:r>
      <w:r w:rsidR="004F236F" w:rsidRPr="005F0F0C">
        <w:t>, 167</w:t>
      </w:r>
      <w:r w:rsidR="004671AA" w:rsidRPr="005F0F0C">
        <w:t>, 170(a)</w:t>
      </w:r>
      <w:r w:rsidR="00711171" w:rsidRPr="005F0F0C">
        <w:t>,</w:t>
      </w:r>
      <w:r w:rsidR="004F236F" w:rsidRPr="005F0F0C">
        <w:t xml:space="preserve"> 187</w:t>
      </w:r>
      <w:r w:rsidR="00D11CF0" w:rsidRPr="005F0F0C">
        <w:t>.</w:t>
      </w:r>
    </w:p>
    <w:p w:rsidR="00B1313D" w:rsidRPr="005F0F0C" w:rsidRDefault="00BC3233" w:rsidP="005A08EE">
      <w:pPr>
        <w:pStyle w:val="SCCNormalDoubleSpacing"/>
        <w:spacing w:before="240" w:line="240" w:lineRule="auto"/>
        <w:ind w:left="540" w:hanging="540"/>
      </w:pPr>
      <w:r w:rsidRPr="005F0F0C">
        <w:rPr>
          <w:i/>
        </w:rPr>
        <w:t>Family Maintenance Act</w:t>
      </w:r>
      <w:r w:rsidR="00B1313D" w:rsidRPr="005F0F0C">
        <w:t>, C.C.S.M.</w:t>
      </w:r>
      <w:r w:rsidR="00462F23" w:rsidRPr="005F0F0C">
        <w:t>,</w:t>
      </w:r>
      <w:r w:rsidR="00267939">
        <w:t xml:space="preserve"> c. </w:t>
      </w:r>
      <w:r w:rsidR="00B1313D" w:rsidRPr="005F0F0C">
        <w:t>F20, s. 39.1.1</w:t>
      </w:r>
      <w:r w:rsidR="00D44FA5" w:rsidRPr="005F0F0C">
        <w:t>.</w:t>
      </w:r>
    </w:p>
    <w:p w:rsidR="00BC3233" w:rsidRPr="005F0F0C" w:rsidRDefault="00BC3233" w:rsidP="005A08EE">
      <w:pPr>
        <w:pStyle w:val="SCCNormalDoubleSpacing"/>
        <w:spacing w:before="240" w:line="240" w:lineRule="auto"/>
        <w:ind w:left="540" w:hanging="540"/>
        <w:rPr>
          <w:i/>
        </w:rPr>
      </w:pPr>
      <w:r w:rsidRPr="005F0F0C">
        <w:rPr>
          <w:i/>
        </w:rPr>
        <w:t>Family Maintenance Regulations, 1998</w:t>
      </w:r>
      <w:r w:rsidRPr="005F0F0C">
        <w:t>, R.R.S., c. F</w:t>
      </w:r>
      <w:r w:rsidR="00F74BBA">
        <w:noBreakHyphen/>
      </w:r>
      <w:r w:rsidRPr="005F0F0C">
        <w:t>6.2 Reg. 1, s. 21.23(1)(c).</w:t>
      </w:r>
    </w:p>
    <w:p w:rsidR="00934A5F" w:rsidRPr="005F0F0C" w:rsidRDefault="00934A5F" w:rsidP="005A08EE">
      <w:pPr>
        <w:pStyle w:val="SCCNormalDoubleSpacing"/>
        <w:spacing w:before="240" w:line="240" w:lineRule="auto"/>
        <w:ind w:left="540" w:hanging="540"/>
      </w:pPr>
      <w:r w:rsidRPr="005F0F0C">
        <w:rPr>
          <w:i/>
        </w:rPr>
        <w:t>Family Relations Act</w:t>
      </w:r>
      <w:r w:rsidRPr="005F0F0C">
        <w:t>, R.S.B.C</w:t>
      </w:r>
      <w:r w:rsidR="00426B84" w:rsidRPr="005F0F0C">
        <w:t>.</w:t>
      </w:r>
      <w:r w:rsidRPr="005F0F0C">
        <w:t xml:space="preserve"> 1996, c.</w:t>
      </w:r>
      <w:r w:rsidR="00267939">
        <w:t> </w:t>
      </w:r>
      <w:r w:rsidRPr="005F0F0C">
        <w:t>128 [re</w:t>
      </w:r>
      <w:r w:rsidR="00F74BBA">
        <w:t>p. </w:t>
      </w:r>
      <w:r w:rsidRPr="005F0F0C">
        <w:t xml:space="preserve">&amp; </w:t>
      </w:r>
      <w:r w:rsidR="00790E85" w:rsidRPr="005F0F0C">
        <w:t>sub</w:t>
      </w:r>
      <w:r w:rsidR="00267939">
        <w:t>. 2011, c. </w:t>
      </w:r>
      <w:r w:rsidRPr="005F0F0C">
        <w:t>25</w:t>
      </w:r>
      <w:r w:rsidR="004671AA" w:rsidRPr="005F0F0C">
        <w:t>, s. 259</w:t>
      </w:r>
      <w:r w:rsidRPr="005F0F0C">
        <w:t>]</w:t>
      </w:r>
      <w:r w:rsidR="008D7EDB" w:rsidRPr="005F0F0C">
        <w:t xml:space="preserve">, </w:t>
      </w:r>
      <w:r w:rsidR="00F74BBA">
        <w:t>ss. </w:t>
      </w:r>
      <w:r w:rsidR="00CE55E1" w:rsidRPr="005F0F0C">
        <w:t xml:space="preserve">88(1), </w:t>
      </w:r>
      <w:r w:rsidR="008D7EDB" w:rsidRPr="005F0F0C">
        <w:t>91(3).</w:t>
      </w:r>
    </w:p>
    <w:p w:rsidR="00023332" w:rsidRPr="005F0F0C" w:rsidRDefault="00023332" w:rsidP="005A08EE">
      <w:pPr>
        <w:pStyle w:val="SCCNormalDoubleSpacing"/>
        <w:spacing w:before="240" w:line="240" w:lineRule="auto"/>
        <w:ind w:left="540" w:hanging="540"/>
      </w:pPr>
      <w:r w:rsidRPr="005F0F0C">
        <w:rPr>
          <w:i/>
        </w:rPr>
        <w:t>Federal Child Support Guidelines</w:t>
      </w:r>
      <w:r w:rsidRPr="005F0F0C">
        <w:t>, SOR/97</w:t>
      </w:r>
      <w:r w:rsidR="00F74BBA">
        <w:noBreakHyphen/>
      </w:r>
      <w:r w:rsidRPr="005F0F0C">
        <w:t>175</w:t>
      </w:r>
      <w:r w:rsidR="00062976" w:rsidRPr="005F0F0C">
        <w:t xml:space="preserve">, </w:t>
      </w:r>
      <w:r w:rsidR="00F74BBA">
        <w:t>ss. </w:t>
      </w:r>
      <w:r w:rsidR="005F4CAB" w:rsidRPr="005F0F0C">
        <w:t xml:space="preserve">3(1)(a), </w:t>
      </w:r>
      <w:r w:rsidR="00BE7F2A" w:rsidRPr="005F0F0C">
        <w:t xml:space="preserve">4(b)(ii), </w:t>
      </w:r>
      <w:r w:rsidR="00882C41" w:rsidRPr="005F0F0C">
        <w:t>21</w:t>
      </w:r>
      <w:r w:rsidR="008B1752" w:rsidRPr="005F0F0C">
        <w:t>, S</w:t>
      </w:r>
      <w:r w:rsidR="00F74BBA">
        <w:t>ch. </w:t>
      </w:r>
      <w:r w:rsidR="008B1752" w:rsidRPr="005F0F0C">
        <w:t>I</w:t>
      </w:r>
      <w:r w:rsidRPr="005F0F0C">
        <w:t>.</w:t>
      </w:r>
    </w:p>
    <w:p w:rsidR="00850E5C" w:rsidRPr="005F0F0C" w:rsidRDefault="007A7272" w:rsidP="008B1752">
      <w:pPr>
        <w:pStyle w:val="SCCNormalDoubleSpacing"/>
        <w:spacing w:before="240" w:after="720" w:line="240" w:lineRule="auto"/>
        <w:ind w:left="540" w:hanging="540"/>
      </w:pPr>
      <w:r w:rsidRPr="005F0F0C">
        <w:rPr>
          <w:i/>
        </w:rPr>
        <w:t>Parentage and Maintenance Act</w:t>
      </w:r>
      <w:r w:rsidRPr="005F0F0C">
        <w:t>, R.S.A. 2000, c. P</w:t>
      </w:r>
      <w:r w:rsidR="00F74BBA">
        <w:noBreakHyphen/>
      </w:r>
      <w:r w:rsidRPr="005F0F0C">
        <w:t>1 [re</w:t>
      </w:r>
      <w:r w:rsidR="00F74BBA">
        <w:t>p. </w:t>
      </w:r>
      <w:r w:rsidRPr="005F0F0C">
        <w:t>2003, c. F</w:t>
      </w:r>
      <w:r w:rsidR="00F74BBA">
        <w:noBreakHyphen/>
      </w:r>
      <w:r w:rsidR="00267939">
        <w:t>4.5, s. </w:t>
      </w:r>
      <w:r w:rsidRPr="005F0F0C">
        <w:t>129].</w:t>
      </w:r>
    </w:p>
    <w:p w:rsidR="00A149DF" w:rsidRPr="005F0F0C" w:rsidRDefault="00850E5C" w:rsidP="00F70425">
      <w:pPr>
        <w:pStyle w:val="SCCNormalDoubleSpacing"/>
        <w:spacing w:after="720" w:line="240" w:lineRule="auto"/>
        <w:rPr>
          <w:b/>
        </w:rPr>
      </w:pPr>
      <w:r w:rsidRPr="005F0F0C">
        <w:rPr>
          <w:b/>
        </w:rPr>
        <w:t>Treaties and Other International Instruments</w:t>
      </w:r>
    </w:p>
    <w:p w:rsidR="00850E5C" w:rsidRPr="005F0F0C" w:rsidRDefault="00850E5C" w:rsidP="00267939">
      <w:pPr>
        <w:pStyle w:val="SCCNormalDoubleSpacing"/>
        <w:spacing w:after="240" w:line="240" w:lineRule="auto"/>
        <w:ind w:left="540" w:hanging="540"/>
      </w:pPr>
      <w:r w:rsidRPr="005F0F0C">
        <w:rPr>
          <w:i/>
        </w:rPr>
        <w:t>Convention on the Elimination of All Forms of Discrimination against Women</w:t>
      </w:r>
      <w:r w:rsidR="00613903" w:rsidRPr="005F0F0C">
        <w:t>, Can. </w:t>
      </w:r>
      <w:r w:rsidRPr="005F0F0C">
        <w:t xml:space="preserve">T.S. 1982 </w:t>
      </w:r>
      <w:r w:rsidR="00F74BBA">
        <w:t>No. </w:t>
      </w:r>
      <w:r w:rsidRPr="005F0F0C">
        <w:t xml:space="preserve">31, </w:t>
      </w:r>
      <w:r w:rsidR="00F74BBA">
        <w:t>art. </w:t>
      </w:r>
      <w:r w:rsidRPr="005F0F0C">
        <w:t>16(1)(d).</w:t>
      </w:r>
    </w:p>
    <w:p w:rsidR="00850E5C" w:rsidRPr="005F0F0C" w:rsidRDefault="00850E5C" w:rsidP="0055762F">
      <w:pPr>
        <w:pStyle w:val="SCCNormalDoubleSpacing"/>
        <w:spacing w:after="720" w:line="240" w:lineRule="auto"/>
        <w:ind w:left="540" w:hanging="540"/>
      </w:pPr>
      <w:r w:rsidRPr="005F0F0C">
        <w:rPr>
          <w:i/>
        </w:rPr>
        <w:t>Convention on the Rights of the Child</w:t>
      </w:r>
      <w:r w:rsidRPr="005F0F0C">
        <w:t xml:space="preserve">, Can. T.S. 1992 </w:t>
      </w:r>
      <w:r w:rsidR="00F74BBA">
        <w:t>No. </w:t>
      </w:r>
      <w:r w:rsidRPr="005F0F0C">
        <w:t>3, art</w:t>
      </w:r>
      <w:r w:rsidR="00C36CBE" w:rsidRPr="005F0F0C">
        <w:t>s</w:t>
      </w:r>
      <w:r w:rsidRPr="005F0F0C">
        <w:t>. 3(1)</w:t>
      </w:r>
      <w:r w:rsidR="00C36CBE" w:rsidRPr="005F0F0C">
        <w:t>, 27(2), (4)</w:t>
      </w:r>
      <w:r w:rsidRPr="005F0F0C">
        <w:t>.</w:t>
      </w:r>
    </w:p>
    <w:p w:rsidR="002E6705" w:rsidRPr="005F0F0C" w:rsidRDefault="002E6705" w:rsidP="00F70425">
      <w:pPr>
        <w:pStyle w:val="SCCNormalDoubleSpacing"/>
        <w:spacing w:after="720" w:line="240" w:lineRule="auto"/>
        <w:rPr>
          <w:b/>
        </w:rPr>
      </w:pPr>
      <w:r w:rsidRPr="005F0F0C">
        <w:rPr>
          <w:b/>
        </w:rPr>
        <w:t>Authors Cited</w:t>
      </w:r>
    </w:p>
    <w:p w:rsidR="00991E47" w:rsidRPr="005F0F0C" w:rsidRDefault="00991E47" w:rsidP="00267939">
      <w:pPr>
        <w:pStyle w:val="SCCNormalDoubleSpacing"/>
        <w:spacing w:after="240" w:line="240" w:lineRule="auto"/>
        <w:ind w:left="540" w:hanging="540"/>
        <w:rPr>
          <w:iCs/>
        </w:rPr>
      </w:pPr>
      <w:r w:rsidRPr="005F0F0C">
        <w:t xml:space="preserve">Bakht, Natasha, et </w:t>
      </w:r>
      <w:r w:rsidR="00F74BBA">
        <w:t>al. </w:t>
      </w:r>
      <w:r w:rsidRPr="005F0F0C">
        <w:t>“</w:t>
      </w:r>
      <w:r w:rsidRPr="005F0F0C">
        <w:rPr>
          <w:i/>
        </w:rPr>
        <w:t>D.B.S. v. S.G.R.</w:t>
      </w:r>
      <w:r w:rsidRPr="005F0F0C">
        <w:t xml:space="preserve">: Promoting Women’s Equality through the Automatic Recalculation of Child Support” (2006), 18 </w:t>
      </w:r>
      <w:r w:rsidRPr="005F0F0C">
        <w:rPr>
          <w:i/>
          <w:iCs/>
        </w:rPr>
        <w:t>C.J.W.L.</w:t>
      </w:r>
      <w:r w:rsidRPr="005F0F0C">
        <w:rPr>
          <w:iCs/>
        </w:rPr>
        <w:t xml:space="preserve"> 535.</w:t>
      </w:r>
    </w:p>
    <w:p w:rsidR="00E4768B" w:rsidRPr="005F0F0C" w:rsidRDefault="00E4768B" w:rsidP="00267939">
      <w:pPr>
        <w:pStyle w:val="SCCNormalDoubleSpacing"/>
        <w:spacing w:after="240" w:line="240" w:lineRule="auto"/>
        <w:ind w:left="540" w:hanging="540"/>
      </w:pPr>
      <w:r w:rsidRPr="005F0F0C">
        <w:rPr>
          <w:i/>
        </w:rPr>
        <w:t>Black’s Law Dictionary</w:t>
      </w:r>
      <w:r w:rsidRPr="005F0F0C">
        <w:t xml:space="preserve">, </w:t>
      </w:r>
      <w:r w:rsidR="00267939">
        <w:t>11th ed. by Bryan </w:t>
      </w:r>
      <w:r w:rsidR="00EE2981" w:rsidRPr="005F0F0C">
        <w:t xml:space="preserve">A. Garner. St. </w:t>
      </w:r>
      <w:r w:rsidRPr="005F0F0C">
        <w:t>Paul, Minn.: Thomson Reuters, 2019, “jurisdiction”.</w:t>
      </w:r>
    </w:p>
    <w:p w:rsidR="0077634F" w:rsidRPr="005F0F0C" w:rsidRDefault="0077634F" w:rsidP="00267939">
      <w:pPr>
        <w:pStyle w:val="SCCNormalDoubleSpacing"/>
        <w:spacing w:after="240" w:line="240" w:lineRule="auto"/>
        <w:ind w:left="540" w:hanging="540"/>
      </w:pPr>
      <w:r w:rsidRPr="005F0F0C">
        <w:t xml:space="preserve">Bonnet, Dena. “Recalculating </w:t>
      </w:r>
      <w:r w:rsidRPr="005F0F0C">
        <w:rPr>
          <w:i/>
          <w:iCs/>
        </w:rPr>
        <w:t>D.B.S.</w:t>
      </w:r>
      <w:r w:rsidRPr="005F0F0C">
        <w:t xml:space="preserve">: Envisioning a Child Support Recalculation Scheme for Ontario” (2007), 23 </w:t>
      </w:r>
      <w:r w:rsidRPr="005F0F0C">
        <w:rPr>
          <w:i/>
        </w:rPr>
        <w:t>Can. J. Fam. L.</w:t>
      </w:r>
      <w:r w:rsidRPr="005F0F0C">
        <w:t xml:space="preserve"> 115.</w:t>
      </w:r>
    </w:p>
    <w:p w:rsidR="004D56C4" w:rsidRPr="005F0F0C" w:rsidRDefault="004D56C4" w:rsidP="00267939">
      <w:pPr>
        <w:pStyle w:val="SCCNormalDoubleSpacing"/>
        <w:spacing w:after="240" w:line="240" w:lineRule="auto"/>
        <w:ind w:left="540" w:hanging="540"/>
      </w:pPr>
      <w:r w:rsidRPr="005F0F0C">
        <w:t>Boyd</w:t>
      </w:r>
      <w:r w:rsidR="00960871" w:rsidRPr="005F0F0C">
        <w:t>, Susan</w:t>
      </w:r>
      <w:r w:rsidR="00267939">
        <w:t> </w:t>
      </w:r>
      <w:r w:rsidR="00960871" w:rsidRPr="005F0F0C">
        <w:t>B</w:t>
      </w:r>
      <w:r w:rsidR="00EE2981" w:rsidRPr="005F0F0C">
        <w:t xml:space="preserve">. </w:t>
      </w:r>
      <w:r w:rsidR="00EE2981" w:rsidRPr="005F0F0C">
        <w:rPr>
          <w:i/>
        </w:rPr>
        <w:t>Child Custody, Law, and Women’s Work</w:t>
      </w:r>
      <w:r w:rsidR="00EE2981" w:rsidRPr="005F0F0C">
        <w:t>. Don Mills, Ont.: Oxford University Press, 2003.</w:t>
      </w:r>
    </w:p>
    <w:p w:rsidR="00CD09EA" w:rsidRPr="005F0F0C" w:rsidRDefault="00CD09EA" w:rsidP="00267939">
      <w:pPr>
        <w:pStyle w:val="SCCNormalDoubleSpacing"/>
        <w:spacing w:after="240" w:line="240" w:lineRule="auto"/>
        <w:ind w:left="540" w:hanging="540"/>
      </w:pPr>
      <w:r w:rsidRPr="005F0F0C">
        <w:t xml:space="preserve">British Columbia. Legislative Assembly. </w:t>
      </w:r>
      <w:r w:rsidRPr="005F0F0C">
        <w:rPr>
          <w:i/>
        </w:rPr>
        <w:t xml:space="preserve">Official Report of </w:t>
      </w:r>
      <w:r w:rsidRPr="005F0F0C">
        <w:rPr>
          <w:i/>
          <w:iCs/>
          <w:lang w:bidi="en-US"/>
        </w:rPr>
        <w:t>Debates of the Legislative Assembly (Hansard)</w:t>
      </w:r>
      <w:r w:rsidRPr="005F0F0C">
        <w:rPr>
          <w:lang w:bidi="en-US"/>
        </w:rPr>
        <w:t xml:space="preserve">, </w:t>
      </w:r>
      <w:r w:rsidR="00F74BBA">
        <w:rPr>
          <w:lang w:bidi="en-US"/>
        </w:rPr>
        <w:t>vol. </w:t>
      </w:r>
      <w:r w:rsidRPr="005F0F0C">
        <w:rPr>
          <w:lang w:bidi="en-US"/>
        </w:rPr>
        <w:t xml:space="preserve">5, </w:t>
      </w:r>
      <w:r w:rsidR="00F74BBA">
        <w:rPr>
          <w:lang w:bidi="en-US"/>
        </w:rPr>
        <w:t>No. </w:t>
      </w:r>
      <w:r w:rsidRPr="005F0F0C">
        <w:rPr>
          <w:lang w:bidi="en-US"/>
        </w:rPr>
        <w:t>15, 2nd Sess</w:t>
      </w:r>
      <w:r w:rsidR="00267939">
        <w:rPr>
          <w:lang w:bidi="en-US"/>
        </w:rPr>
        <w:t>., 36th Parl., June </w:t>
      </w:r>
      <w:r w:rsidRPr="005F0F0C">
        <w:rPr>
          <w:lang w:bidi="en-US"/>
        </w:rPr>
        <w:t xml:space="preserve">5, 1997, </w:t>
      </w:r>
      <w:r w:rsidR="00F74BBA">
        <w:rPr>
          <w:lang w:bidi="en-US"/>
        </w:rPr>
        <w:t>p. </w:t>
      </w:r>
      <w:r w:rsidRPr="005F0F0C">
        <w:rPr>
          <w:lang w:bidi="en-US"/>
        </w:rPr>
        <w:t>3953.</w:t>
      </w:r>
    </w:p>
    <w:p w:rsidR="001F67E7" w:rsidRPr="005F0F0C" w:rsidRDefault="001F67E7" w:rsidP="00267939">
      <w:pPr>
        <w:pStyle w:val="SCCNormalDoubleSpacing"/>
        <w:spacing w:after="240" w:line="240" w:lineRule="auto"/>
        <w:ind w:left="540" w:hanging="540"/>
      </w:pPr>
      <w:r w:rsidRPr="005F0F0C">
        <w:t>British Columbia</w:t>
      </w:r>
      <w:r w:rsidR="00640467" w:rsidRPr="005F0F0C">
        <w:t>. Ministry of Attorney Gener</w:t>
      </w:r>
      <w:r w:rsidR="00F74BBA">
        <w:t>al. </w:t>
      </w:r>
      <w:r w:rsidRPr="005F0F0C">
        <w:rPr>
          <w:i/>
        </w:rPr>
        <w:t>White Paper on Family Relations Act Reform: Proposals for a new Family Law Act</w:t>
      </w:r>
      <w:r w:rsidRPr="005F0F0C">
        <w:t>. Victoria, 2010.</w:t>
      </w:r>
    </w:p>
    <w:p w:rsidR="00960871" w:rsidRPr="005F0F0C" w:rsidRDefault="00960871" w:rsidP="00267939">
      <w:pPr>
        <w:pStyle w:val="SCCNormalDoubleSpacing"/>
        <w:spacing w:after="240" w:line="240" w:lineRule="auto"/>
        <w:ind w:left="540" w:hanging="540"/>
      </w:pPr>
      <w:r w:rsidRPr="005F0F0C">
        <w:t>Canada. Federal/Provincial/T</w:t>
      </w:r>
      <w:r w:rsidR="007165D0" w:rsidRPr="005F0F0C">
        <w:t>erritorial Family Law Committee.</w:t>
      </w:r>
      <w:r w:rsidRPr="005F0F0C">
        <w:t xml:space="preserve"> </w:t>
      </w:r>
      <w:r w:rsidRPr="005F0F0C">
        <w:rPr>
          <w:i/>
        </w:rPr>
        <w:t>Child Support: Public Discussion Paper</w:t>
      </w:r>
      <w:r w:rsidR="007165D0" w:rsidRPr="005F0F0C">
        <w:t xml:space="preserve">. Ottawa: Department of Justice, </w:t>
      </w:r>
      <w:r w:rsidRPr="005F0F0C">
        <w:t>1991.</w:t>
      </w:r>
    </w:p>
    <w:p w:rsidR="00960871" w:rsidRPr="005F0F0C" w:rsidRDefault="00960871" w:rsidP="00267939">
      <w:pPr>
        <w:pStyle w:val="SCCNormalDoubleSpacing"/>
        <w:spacing w:after="240" w:line="240" w:lineRule="auto"/>
        <w:ind w:left="540" w:hanging="540"/>
      </w:pPr>
      <w:r w:rsidRPr="005F0F0C">
        <w:t>Canada. Federal/Provincial/T</w:t>
      </w:r>
      <w:r w:rsidR="002419FD" w:rsidRPr="005F0F0C">
        <w:t>erritorial Family Law Committee.</w:t>
      </w:r>
      <w:r w:rsidRPr="005F0F0C">
        <w:t xml:space="preserve"> </w:t>
      </w:r>
      <w:r w:rsidRPr="005F0F0C">
        <w:rPr>
          <w:i/>
        </w:rPr>
        <w:t>Report and Recommendations on Child Support</w:t>
      </w:r>
      <w:r w:rsidR="007165D0" w:rsidRPr="005F0F0C">
        <w:t xml:space="preserve">. Ottawa: Department of Justice, </w:t>
      </w:r>
      <w:r w:rsidRPr="005F0F0C">
        <w:t>1995.</w:t>
      </w:r>
    </w:p>
    <w:p w:rsidR="007A4652" w:rsidRPr="005F0F0C" w:rsidRDefault="007A4652" w:rsidP="00267939">
      <w:pPr>
        <w:pStyle w:val="SCCNormalDoubleSpacing"/>
        <w:spacing w:after="240" w:line="240" w:lineRule="auto"/>
        <w:ind w:left="540" w:hanging="540"/>
      </w:pPr>
      <w:r w:rsidRPr="005F0F0C">
        <w:t xml:space="preserve">Canada. House of Commons. </w:t>
      </w:r>
      <w:r w:rsidRPr="005F0F0C">
        <w:rPr>
          <w:i/>
        </w:rPr>
        <w:t>House of Commons Debates</w:t>
      </w:r>
      <w:r w:rsidRPr="005F0F0C">
        <w:t xml:space="preserve">, </w:t>
      </w:r>
      <w:r w:rsidR="00F74BBA">
        <w:t>vol. </w:t>
      </w:r>
      <w:r w:rsidRPr="005F0F0C">
        <w:t xml:space="preserve">148, </w:t>
      </w:r>
      <w:r w:rsidR="00F74BBA">
        <w:t>No. </w:t>
      </w:r>
      <w:r w:rsidRPr="005F0F0C">
        <w:t xml:space="preserve">326, 1st Sess., 42nd Parl., </w:t>
      </w:r>
      <w:r w:rsidR="00267939">
        <w:t>September </w:t>
      </w:r>
      <w:r w:rsidRPr="005F0F0C">
        <w:t xml:space="preserve">26, 2018, </w:t>
      </w:r>
      <w:r w:rsidR="00F74BBA">
        <w:t>p. </w:t>
      </w:r>
      <w:r w:rsidRPr="005F0F0C">
        <w:t>21867.</w:t>
      </w:r>
    </w:p>
    <w:p w:rsidR="00227EF8" w:rsidRPr="005F0F0C" w:rsidRDefault="00227EF8" w:rsidP="00267939">
      <w:pPr>
        <w:pStyle w:val="SCCNormalDoubleSpacing"/>
        <w:spacing w:after="240" w:line="240" w:lineRule="auto"/>
        <w:ind w:left="540" w:hanging="540"/>
      </w:pPr>
      <w:r w:rsidRPr="005F0F0C">
        <w:t xml:space="preserve">Canada. Statistics Canada. Canadian Centre for Justice Statistics. </w:t>
      </w:r>
      <w:r w:rsidRPr="005F0F0C">
        <w:rPr>
          <w:i/>
        </w:rPr>
        <w:t>Family violence in Canada: A statistical profile, 2018</w:t>
      </w:r>
      <w:r w:rsidRPr="005F0F0C">
        <w:t>, by Shana Conroy, Marta Burczycka and Laura Savage. Ottawa: Minister of Industry, December 2019.</w:t>
      </w:r>
    </w:p>
    <w:p w:rsidR="00227EF8" w:rsidRPr="005F0F0C" w:rsidRDefault="00227EF8" w:rsidP="00267939">
      <w:pPr>
        <w:pStyle w:val="SCCNormalDoubleSpacing"/>
        <w:spacing w:after="240" w:line="240" w:lineRule="auto"/>
        <w:ind w:left="540" w:hanging="540"/>
      </w:pPr>
      <w:r w:rsidRPr="005F0F0C">
        <w:t xml:space="preserve">Canada. Statistics Canada. Canadian Centre for Justice Statistics. </w:t>
      </w:r>
      <w:r w:rsidRPr="005F0F0C">
        <w:rPr>
          <w:i/>
        </w:rPr>
        <w:t>Shelters for abused women in Canada, 2014</w:t>
      </w:r>
      <w:r w:rsidRPr="005F0F0C">
        <w:t>, by Sara Beattie and Hope Hutchins. Ottawa: Minister of Industry, 2015.</w:t>
      </w:r>
    </w:p>
    <w:p w:rsidR="00E4694E" w:rsidRPr="005F0F0C" w:rsidRDefault="00E4694E" w:rsidP="00267939">
      <w:pPr>
        <w:pStyle w:val="SCCNormalDoubleSpacing"/>
        <w:spacing w:after="240" w:line="240" w:lineRule="auto"/>
        <w:ind w:left="540" w:hanging="540"/>
      </w:pPr>
      <w:r w:rsidRPr="005F0F0C">
        <w:t xml:space="preserve">Canada. Statistics Canada. </w:t>
      </w:r>
      <w:r w:rsidRPr="005F0F0C">
        <w:rPr>
          <w:i/>
        </w:rPr>
        <w:t>Children living in low</w:t>
      </w:r>
      <w:r w:rsidR="00F74BBA">
        <w:rPr>
          <w:i/>
        </w:rPr>
        <w:noBreakHyphen/>
      </w:r>
      <w:r w:rsidRPr="005F0F0C">
        <w:rPr>
          <w:i/>
        </w:rPr>
        <w:t>income households, 2016 Census</w:t>
      </w:r>
      <w:r w:rsidRPr="005F0F0C">
        <w:t xml:space="preserve">. </w:t>
      </w:r>
      <w:r w:rsidR="00640467" w:rsidRPr="005F0F0C">
        <w:t>Ottawa: Minister</w:t>
      </w:r>
      <w:r w:rsidRPr="005F0F0C">
        <w:t xml:space="preserve"> of Industry, September 2017.</w:t>
      </w:r>
    </w:p>
    <w:p w:rsidR="00227EF8" w:rsidRPr="005F0F0C" w:rsidRDefault="00227EF8" w:rsidP="00267939">
      <w:pPr>
        <w:pStyle w:val="SCCNormalDoubleSpacing"/>
        <w:spacing w:after="240" w:line="240" w:lineRule="auto"/>
        <w:ind w:left="540" w:hanging="540"/>
      </w:pPr>
      <w:r w:rsidRPr="005F0F0C">
        <w:t xml:space="preserve">Canada. Statistics Canada. </w:t>
      </w:r>
      <w:r w:rsidRPr="005F0F0C">
        <w:rPr>
          <w:i/>
        </w:rPr>
        <w:t>Maximum insights on minimum wage workers: 20 years of data</w:t>
      </w:r>
      <w:r w:rsidRPr="005F0F0C">
        <w:t>, by Dominique Dionne</w:t>
      </w:r>
      <w:r w:rsidR="00F74BBA">
        <w:noBreakHyphen/>
      </w:r>
      <w:r w:rsidRPr="005F0F0C">
        <w:t>Simard and Jacob Miller. Ottawa: Minister of Industry, September 2019.</w:t>
      </w:r>
    </w:p>
    <w:p w:rsidR="00E4694E" w:rsidRPr="005F0F0C" w:rsidRDefault="00E4694E" w:rsidP="00267939">
      <w:pPr>
        <w:pStyle w:val="SCCNormalDoubleSpacing"/>
        <w:spacing w:after="240" w:line="240" w:lineRule="auto"/>
        <w:ind w:left="540" w:hanging="540"/>
      </w:pPr>
      <w:r w:rsidRPr="005F0F0C">
        <w:t xml:space="preserve">Canada. Statistics Canada. </w:t>
      </w:r>
      <w:r w:rsidRPr="005F0F0C">
        <w:rPr>
          <w:i/>
        </w:rPr>
        <w:t>Portrait of children’s family life in Canada, 2016 Census</w:t>
      </w:r>
      <w:r w:rsidR="00640467" w:rsidRPr="005F0F0C">
        <w:t>. Ottawa: Minister</w:t>
      </w:r>
      <w:r w:rsidRPr="005F0F0C">
        <w:t xml:space="preserve"> of Industry, August 2017.</w:t>
      </w:r>
    </w:p>
    <w:p w:rsidR="00C54AC4" w:rsidRPr="005F0F0C" w:rsidRDefault="00EC79C7" w:rsidP="00267939">
      <w:pPr>
        <w:pStyle w:val="SCCNormalDoubleSpacing"/>
        <w:spacing w:after="240" w:line="240" w:lineRule="auto"/>
        <w:ind w:left="540" w:hanging="540"/>
      </w:pPr>
      <w:r w:rsidRPr="005F0F0C">
        <w:t>Canada. Statistics Canada.</w:t>
      </w:r>
      <w:r w:rsidR="0059046E" w:rsidRPr="005F0F0C">
        <w:t xml:space="preserve"> </w:t>
      </w:r>
      <w:r w:rsidR="00C54AC4" w:rsidRPr="005F0F0C">
        <w:rPr>
          <w:i/>
        </w:rPr>
        <w:t>The gender wage gap in Canada: 1998 to 2018</w:t>
      </w:r>
      <w:r w:rsidRPr="005F0F0C">
        <w:t xml:space="preserve">, </w:t>
      </w:r>
      <w:r w:rsidR="00C54AC4" w:rsidRPr="005F0F0C">
        <w:t>by Rachelle Pelletier, Martha Patterso</w:t>
      </w:r>
      <w:r w:rsidRPr="005F0F0C">
        <w:t xml:space="preserve">n and Melissa Moyser. Ottawa: Minister of Industry, </w:t>
      </w:r>
      <w:r w:rsidR="00C54AC4" w:rsidRPr="005F0F0C">
        <w:t>October 2019</w:t>
      </w:r>
      <w:r w:rsidRPr="005F0F0C">
        <w:t>.</w:t>
      </w:r>
    </w:p>
    <w:p w:rsidR="00BC3233" w:rsidRPr="005F0F0C" w:rsidRDefault="00BC3233" w:rsidP="00267939">
      <w:pPr>
        <w:pStyle w:val="SCCNormalDoubleSpacing"/>
        <w:spacing w:after="240" w:line="240" w:lineRule="auto"/>
        <w:ind w:left="540" w:hanging="540"/>
      </w:pPr>
      <w:r w:rsidRPr="005F0F0C">
        <w:t xml:space="preserve">Davies, </w:t>
      </w:r>
      <w:r w:rsidR="004B2558" w:rsidRPr="005F0F0C">
        <w:t>Christine.</w:t>
      </w:r>
      <w:r w:rsidRPr="005F0F0C">
        <w:t xml:space="preserve"> “Retroactive Child Support: the Alberta Trilogy” (2005), 24 </w:t>
      </w:r>
      <w:r w:rsidRPr="005F0F0C">
        <w:rPr>
          <w:i/>
        </w:rPr>
        <w:t>C.L.F.Q.</w:t>
      </w:r>
      <w:r w:rsidRPr="005F0F0C">
        <w:t xml:space="preserve"> 1.</w:t>
      </w:r>
    </w:p>
    <w:p w:rsidR="000E0220" w:rsidRPr="005F0F0C" w:rsidRDefault="000E0220" w:rsidP="00267939">
      <w:pPr>
        <w:pStyle w:val="SCCNormalDoubleSpacing"/>
        <w:spacing w:after="240" w:line="240" w:lineRule="auto"/>
        <w:ind w:left="540" w:hanging="540"/>
      </w:pPr>
      <w:r w:rsidRPr="005F0F0C">
        <w:t>Gordon,</w:t>
      </w:r>
      <w:r w:rsidR="00267939">
        <w:t xml:space="preserve"> Marie </w:t>
      </w:r>
      <w:r w:rsidRPr="005F0F0C">
        <w:t xml:space="preserve">L. “An Update on Retroactive Child and Spousal Support: Five Years after </w:t>
      </w:r>
      <w:r w:rsidRPr="005F0F0C">
        <w:rPr>
          <w:i/>
        </w:rPr>
        <w:t>S. (D.B.) V. G. (S.R.)</w:t>
      </w:r>
      <w:r w:rsidRPr="005F0F0C">
        <w:t xml:space="preserve">” (2012), 31 </w:t>
      </w:r>
      <w:r w:rsidRPr="005F0F0C">
        <w:rPr>
          <w:i/>
        </w:rPr>
        <w:t xml:space="preserve">C.F.L.Q. </w:t>
      </w:r>
      <w:r w:rsidRPr="005F0F0C">
        <w:t>71.</w:t>
      </w:r>
    </w:p>
    <w:p w:rsidR="00960871" w:rsidRPr="005F0F0C" w:rsidRDefault="00960871" w:rsidP="00267939">
      <w:pPr>
        <w:pStyle w:val="SCCNormalDoubleSpacing"/>
        <w:spacing w:after="240" w:line="240" w:lineRule="auto"/>
        <w:ind w:left="540" w:hanging="540"/>
      </w:pPr>
      <w:r w:rsidRPr="005F0F0C">
        <w:t>Gordon, Marie</w:t>
      </w:r>
      <w:r w:rsidR="00267939">
        <w:t> </w:t>
      </w:r>
      <w:r w:rsidRPr="005F0F0C">
        <w:t xml:space="preserve">L. “Blame Over: Retroactive Child </w:t>
      </w:r>
      <w:r w:rsidR="004B2558" w:rsidRPr="005F0F0C">
        <w:t>and Spousal Support in the Post</w:t>
      </w:r>
      <w:r w:rsidR="00F74BBA">
        <w:noBreakHyphen/>
      </w:r>
      <w:r w:rsidRPr="005F0F0C">
        <w:t xml:space="preserve">Guideline Era” (2005), 23 </w:t>
      </w:r>
      <w:r w:rsidRPr="005F0F0C">
        <w:rPr>
          <w:i/>
        </w:rPr>
        <w:t xml:space="preserve">C.F.L.Q. </w:t>
      </w:r>
      <w:r w:rsidRPr="005F0F0C">
        <w:t>243.</w:t>
      </w:r>
    </w:p>
    <w:p w:rsidR="00B33AB3" w:rsidRPr="005F0F0C" w:rsidRDefault="00B33AB3" w:rsidP="00267939">
      <w:pPr>
        <w:pStyle w:val="SCCNormalDoubleSpacing"/>
        <w:spacing w:after="240" w:line="240" w:lineRule="auto"/>
        <w:ind w:left="540" w:hanging="540"/>
      </w:pPr>
      <w:r w:rsidRPr="005F0F0C">
        <w:t xml:space="preserve">Maisonneuve, Tina. “Child Support Under the Federal and Quebec Guidelines: A Step Forward or Behind?” (1999), 16 </w:t>
      </w:r>
      <w:r w:rsidRPr="005F0F0C">
        <w:rPr>
          <w:i/>
        </w:rPr>
        <w:t>Can. J. Fam. L.</w:t>
      </w:r>
      <w:r w:rsidRPr="005F0F0C">
        <w:t xml:space="preserve"> 284.</w:t>
      </w:r>
    </w:p>
    <w:p w:rsidR="004D56C4" w:rsidRPr="005F0F0C" w:rsidRDefault="004D56C4" w:rsidP="00267939">
      <w:pPr>
        <w:pStyle w:val="SCCNormalDoubleSpacing"/>
        <w:spacing w:after="240" w:line="240" w:lineRule="auto"/>
        <w:ind w:left="540" w:hanging="540"/>
      </w:pPr>
      <w:r w:rsidRPr="005F0F0C">
        <w:t xml:space="preserve">Menard, Anne, and Vicki Turetsky. “Child Support Enforcement and Domestic Violence” (1999), 50 </w:t>
      </w:r>
      <w:r w:rsidR="00960871" w:rsidRPr="005F0F0C">
        <w:rPr>
          <w:i/>
        </w:rPr>
        <w:t>Juv.</w:t>
      </w:r>
      <w:r w:rsidRPr="005F0F0C">
        <w:rPr>
          <w:i/>
        </w:rPr>
        <w:t xml:space="preserve"> Fam</w:t>
      </w:r>
      <w:r w:rsidR="00960871" w:rsidRPr="005F0F0C">
        <w:rPr>
          <w:i/>
        </w:rPr>
        <w:t>.</w:t>
      </w:r>
      <w:r w:rsidRPr="005F0F0C">
        <w:rPr>
          <w:i/>
        </w:rPr>
        <w:t xml:space="preserve"> Court J</w:t>
      </w:r>
      <w:r w:rsidR="00960871" w:rsidRPr="005F0F0C">
        <w:rPr>
          <w:i/>
        </w:rPr>
        <w:t>.</w:t>
      </w:r>
      <w:r w:rsidRPr="005F0F0C">
        <w:t xml:space="preserve"> 27.</w:t>
      </w:r>
    </w:p>
    <w:p w:rsidR="00EA1FEC" w:rsidRPr="005F0F0C" w:rsidRDefault="00EA1FEC" w:rsidP="00267939">
      <w:pPr>
        <w:pStyle w:val="SCCNormalDoubleSpacing"/>
        <w:spacing w:after="240" w:line="240" w:lineRule="auto"/>
        <w:ind w:left="540" w:hanging="540"/>
      </w:pPr>
      <w:r w:rsidRPr="005F0F0C">
        <w:t>Millar</w:t>
      </w:r>
      <w:r w:rsidR="00267939">
        <w:t>, Paul, and Anne </w:t>
      </w:r>
      <w:r w:rsidRPr="005F0F0C">
        <w:t xml:space="preserve">H. Gauthier. “What Were They Thinking? The Development of Child Support Guidelines in Canada” (2002), 17 </w:t>
      </w:r>
      <w:r w:rsidRPr="005F0F0C">
        <w:rPr>
          <w:i/>
        </w:rPr>
        <w:t>C.J.L.S.</w:t>
      </w:r>
      <w:r w:rsidRPr="005F0F0C">
        <w:t xml:space="preserve"> 139.</w:t>
      </w:r>
    </w:p>
    <w:p w:rsidR="00EC3DD6" w:rsidRPr="005F0F0C" w:rsidRDefault="00EC3DD6" w:rsidP="00267939">
      <w:pPr>
        <w:pStyle w:val="SCCNormalDoubleSpacing"/>
        <w:spacing w:after="240" w:line="240" w:lineRule="auto"/>
        <w:ind w:left="540" w:hanging="540"/>
      </w:pPr>
      <w:r w:rsidRPr="005F0F0C">
        <w:t xml:space="preserve">Rogerson, </w:t>
      </w:r>
      <w:r w:rsidR="006D1783">
        <w:t>Carol</w:t>
      </w:r>
      <w:r w:rsidR="00267939">
        <w:t> </w:t>
      </w:r>
      <w:r w:rsidRPr="005F0F0C">
        <w:t xml:space="preserve">J. “Judicial Interpretation of the Spousal and Child Support Provisions of the </w:t>
      </w:r>
      <w:r w:rsidRPr="005F0F0C">
        <w:rPr>
          <w:i/>
        </w:rPr>
        <w:t>Divorce Act, 1985</w:t>
      </w:r>
      <w:r w:rsidRPr="005F0F0C">
        <w:t xml:space="preserve"> (Part II)” (1991), 7 </w:t>
      </w:r>
      <w:r w:rsidRPr="005F0F0C">
        <w:rPr>
          <w:i/>
        </w:rPr>
        <w:t>C.F.L.Q.</w:t>
      </w:r>
      <w:r w:rsidRPr="005F0F0C">
        <w:t xml:space="preserve"> 271.</w:t>
      </w:r>
    </w:p>
    <w:p w:rsidR="004E4929" w:rsidRPr="005F0F0C" w:rsidRDefault="004E4929" w:rsidP="00267939">
      <w:pPr>
        <w:pStyle w:val="SCCNormalDoubleSpacing"/>
        <w:spacing w:after="240" w:line="240" w:lineRule="auto"/>
        <w:ind w:left="540" w:hanging="540"/>
      </w:pPr>
      <w:r w:rsidRPr="005F0F0C">
        <w:t xml:space="preserve">Smith, D. “Retroactive Child Support — An Update” (2007), 26 </w:t>
      </w:r>
      <w:r w:rsidRPr="005F0F0C">
        <w:rPr>
          <w:i/>
        </w:rPr>
        <w:t>C.F.L.Q.</w:t>
      </w:r>
      <w:r w:rsidRPr="005F0F0C">
        <w:t xml:space="preserve"> 209.</w:t>
      </w:r>
    </w:p>
    <w:p w:rsidR="00A76209" w:rsidRPr="005F0F0C" w:rsidRDefault="00A76209" w:rsidP="00F70425">
      <w:pPr>
        <w:pStyle w:val="SCCNormalDoubleSpacing"/>
        <w:spacing w:after="720" w:line="240" w:lineRule="auto"/>
        <w:ind w:left="540" w:hanging="540"/>
        <w:rPr>
          <w:lang w:val="en-US"/>
        </w:rPr>
      </w:pPr>
      <w:r w:rsidRPr="005F0F0C">
        <w:t xml:space="preserve">Sullivan, Ruth. </w:t>
      </w:r>
      <w:r w:rsidRPr="005F0F0C">
        <w:rPr>
          <w:i/>
          <w:lang w:val="en-US"/>
        </w:rPr>
        <w:t>Sullivan on the Construction of Statutes</w:t>
      </w:r>
      <w:r w:rsidR="00092A6D" w:rsidRPr="005F0F0C">
        <w:rPr>
          <w:lang w:val="en-US"/>
        </w:rPr>
        <w:t xml:space="preserve">, </w:t>
      </w:r>
      <w:r w:rsidRPr="005F0F0C">
        <w:rPr>
          <w:lang w:val="en-US"/>
        </w:rPr>
        <w:t xml:space="preserve">6th ed. </w:t>
      </w:r>
      <w:r w:rsidR="00092A6D" w:rsidRPr="005F0F0C">
        <w:rPr>
          <w:lang w:val="en-US"/>
        </w:rPr>
        <w:t>Markham, Ont.: LexisNexis, 2014</w:t>
      </w:r>
      <w:r w:rsidRPr="005F0F0C">
        <w:rPr>
          <w:lang w:val="en-US"/>
        </w:rPr>
        <w:t>.</w:t>
      </w:r>
    </w:p>
    <w:p w:rsidR="00656313" w:rsidRPr="005F0F0C" w:rsidRDefault="006A2E99" w:rsidP="00267939">
      <w:pPr>
        <w:pStyle w:val="SCCNormalDoubleSpacing"/>
        <w:spacing w:after="480"/>
      </w:pPr>
      <w:r w:rsidRPr="005F0F0C">
        <w:rPr>
          <w:lang w:val="en-US"/>
        </w:rPr>
        <w:tab/>
      </w:r>
      <w:r w:rsidR="009B57B3" w:rsidRPr="005F0F0C">
        <w:t xml:space="preserve">APPEAL from a judgment of the British Columbia </w:t>
      </w:r>
      <w:r w:rsidR="00EB5A98" w:rsidRPr="005F0F0C">
        <w:t xml:space="preserve">Court of Appeal </w:t>
      </w:r>
      <w:r w:rsidR="009B57B3" w:rsidRPr="005F0F0C">
        <w:t>(</w:t>
      </w:r>
      <w:r w:rsidR="00267939">
        <w:t>Willcock, Savage and Hunter </w:t>
      </w:r>
      <w:r w:rsidR="00FA412F" w:rsidRPr="005F0F0C">
        <w:t xml:space="preserve">JJ.A.), 2018 BCCA 449, 19 R.F.L. (8th) 26, 20 B.C.L.R. (6th) 1, [2018] B.C.J. </w:t>
      </w:r>
      <w:r w:rsidR="00F74BBA">
        <w:t>No. </w:t>
      </w:r>
      <w:r w:rsidR="00FA412F" w:rsidRPr="005F0F0C">
        <w:t xml:space="preserve">3759 (QL), 2018 CarswellBC 3197 (WL Can.), </w:t>
      </w:r>
      <w:r w:rsidR="00267939">
        <w:t>affirming a decision of Young </w:t>
      </w:r>
      <w:r w:rsidR="00D0340D" w:rsidRPr="005F0F0C">
        <w:t xml:space="preserve">J., 2017 BCSC 887, [2017] B.C.J. </w:t>
      </w:r>
      <w:r w:rsidR="00F74BBA">
        <w:t>No. </w:t>
      </w:r>
      <w:r w:rsidR="00D0340D" w:rsidRPr="005F0F0C">
        <w:t>1031 (QL), 2017 CarswellBC 1442 (WL Can.)</w:t>
      </w:r>
      <w:r w:rsidR="00930AD8" w:rsidRPr="005F0F0C">
        <w:t xml:space="preserve">, setting aside an order of Smith </w:t>
      </w:r>
      <w:r w:rsidR="00864976" w:rsidRPr="005F0F0C">
        <w:t>Prov. Ct. J., B.C. Prov. Ct.,</w:t>
      </w:r>
      <w:r w:rsidR="004E4929" w:rsidRPr="005F0F0C">
        <w:t xml:space="preserve"> </w:t>
      </w:r>
      <w:r w:rsidR="00F74BBA">
        <w:t>No. </w:t>
      </w:r>
      <w:r w:rsidR="00930AD8" w:rsidRPr="005F0F0C">
        <w:t>F3319, September 26, 2016</w:t>
      </w:r>
      <w:r w:rsidR="00D0340D" w:rsidRPr="005F0F0C">
        <w:t>. Appeal</w:t>
      </w:r>
      <w:r w:rsidR="0088386C" w:rsidRPr="005F0F0C">
        <w:t xml:space="preserve"> allowed.</w:t>
      </w:r>
    </w:p>
    <w:p w:rsidR="00B3190C" w:rsidRPr="005F0F0C" w:rsidRDefault="00267939" w:rsidP="00267939">
      <w:pPr>
        <w:pStyle w:val="SCCNormalDoubleSpacing"/>
        <w:spacing w:after="480"/>
      </w:pPr>
      <w:r>
        <w:rPr>
          <w:rStyle w:val="SCCCounselNameChar"/>
        </w:rPr>
        <w:tab/>
        <w:t>Peter </w:t>
      </w:r>
      <w:r w:rsidR="006A2E99" w:rsidRPr="005F0F0C">
        <w:rPr>
          <w:rStyle w:val="SCCCounselNameChar"/>
        </w:rPr>
        <w:t xml:space="preserve">M. </w:t>
      </w:r>
      <w:r w:rsidR="00D0340D" w:rsidRPr="005F0F0C">
        <w:rPr>
          <w:rStyle w:val="SCCCounselNameChar"/>
        </w:rPr>
        <w:t>Mennie</w:t>
      </w:r>
      <w:r w:rsidR="006A2E99" w:rsidRPr="005F0F0C">
        <w:rPr>
          <w:rStyle w:val="SCCCounselNameChar"/>
        </w:rPr>
        <w:t xml:space="preserve"> </w:t>
      </w:r>
      <w:r w:rsidR="00C551DA" w:rsidRPr="005F0F0C">
        <w:rPr>
          <w:rStyle w:val="SCCCounselNameChar"/>
          <w:i w:val="0"/>
        </w:rPr>
        <w:t>and</w:t>
      </w:r>
      <w:r w:rsidR="006A2E99" w:rsidRPr="005F0F0C">
        <w:rPr>
          <w:rStyle w:val="SCCCounselNameChar"/>
          <w:i w:val="0"/>
        </w:rPr>
        <w:t xml:space="preserve"> </w:t>
      </w:r>
      <w:r w:rsidR="00C978C8" w:rsidRPr="005F0F0C">
        <w:rPr>
          <w:rStyle w:val="SCCCounselNameChar"/>
        </w:rPr>
        <w:t>Michael</w:t>
      </w:r>
      <w:r w:rsidR="0077734C" w:rsidRPr="005F0F0C">
        <w:rPr>
          <w:rStyle w:val="SCCCounselNameChar"/>
        </w:rPr>
        <w:t xml:space="preserve"> </w:t>
      </w:r>
      <w:r w:rsidR="006A2E99" w:rsidRPr="005F0F0C">
        <w:rPr>
          <w:rStyle w:val="SCCCounselNameChar"/>
        </w:rPr>
        <w:t>Sobkin</w:t>
      </w:r>
      <w:r w:rsidR="00D0340D" w:rsidRPr="005F0F0C">
        <w:rPr>
          <w:rStyle w:val="SCCCounselPartyRoleChar"/>
        </w:rPr>
        <w:t>, for the appellant.</w:t>
      </w:r>
    </w:p>
    <w:p w:rsidR="00B3190C" w:rsidRPr="005F0F0C" w:rsidRDefault="00D0340D" w:rsidP="00267939">
      <w:pPr>
        <w:pStyle w:val="SCCNormalDoubleSpacing"/>
        <w:spacing w:after="480"/>
      </w:pPr>
      <w:r w:rsidRPr="005F0F0C">
        <w:rPr>
          <w:rStyle w:val="SCCCounselNameChar"/>
        </w:rPr>
        <w:tab/>
      </w:r>
      <w:r w:rsidR="006A2E99" w:rsidRPr="005F0F0C">
        <w:rPr>
          <w:rStyle w:val="SCCCounselNameChar"/>
        </w:rPr>
        <w:t>Ryan Dueckman</w:t>
      </w:r>
      <w:r w:rsidR="00C551DA" w:rsidRPr="005F0F0C">
        <w:rPr>
          <w:rStyle w:val="SCCCounselSeparatorChar"/>
        </w:rPr>
        <w:t xml:space="preserve">, </w:t>
      </w:r>
      <w:r w:rsidRPr="005F0F0C">
        <w:rPr>
          <w:rStyle w:val="SCCCounselNameChar"/>
        </w:rPr>
        <w:t>Karen Tiwana</w:t>
      </w:r>
      <w:r w:rsidR="00C551DA" w:rsidRPr="005F0F0C">
        <w:rPr>
          <w:rStyle w:val="SCCCounselSeparatorChar"/>
        </w:rPr>
        <w:t xml:space="preserve"> and</w:t>
      </w:r>
      <w:r w:rsidRPr="005F0F0C">
        <w:rPr>
          <w:rStyle w:val="SCCCounselSeparatorChar"/>
        </w:rPr>
        <w:t xml:space="preserve"> </w:t>
      </w:r>
      <w:r w:rsidRPr="005F0F0C">
        <w:rPr>
          <w:rStyle w:val="SCCCounselNameChar"/>
        </w:rPr>
        <w:t>Shawn Duguay</w:t>
      </w:r>
      <w:r w:rsidRPr="005F0F0C">
        <w:rPr>
          <w:rStyle w:val="SCCCounselPartyRoleChar"/>
        </w:rPr>
        <w:t>, for the respondent.</w:t>
      </w:r>
    </w:p>
    <w:p w:rsidR="00A27006" w:rsidRDefault="00D0340D" w:rsidP="00A27006">
      <w:pPr>
        <w:pStyle w:val="SCCNormalDoubleSpacing"/>
        <w:spacing w:after="480"/>
        <w:rPr>
          <w:rStyle w:val="SCCCounselPartyRoleChar"/>
        </w:rPr>
      </w:pPr>
      <w:r w:rsidRPr="005F0F0C">
        <w:rPr>
          <w:rStyle w:val="SCCCounselNameChar"/>
        </w:rPr>
        <w:tab/>
        <w:t>Jennifer Klinck</w:t>
      </w:r>
      <w:r w:rsidRPr="005F0F0C">
        <w:rPr>
          <w:rStyle w:val="SCCCounselSeparatorChar"/>
        </w:rPr>
        <w:t xml:space="preserve">, </w:t>
      </w:r>
      <w:r w:rsidRPr="005F0F0C">
        <w:rPr>
          <w:rStyle w:val="SCCCounselNameChar"/>
        </w:rPr>
        <w:t>Dustin Klaudt</w:t>
      </w:r>
      <w:r w:rsidRPr="005F0F0C">
        <w:rPr>
          <w:rStyle w:val="SCCCounselSeparatorChar"/>
        </w:rPr>
        <w:t xml:space="preserve"> and </w:t>
      </w:r>
      <w:r w:rsidRPr="005F0F0C">
        <w:rPr>
          <w:rStyle w:val="SCCCounselNameChar"/>
        </w:rPr>
        <w:t>Joshua Sealy</w:t>
      </w:r>
      <w:r w:rsidR="00F74BBA">
        <w:rPr>
          <w:rStyle w:val="SCCCounselNameChar"/>
        </w:rPr>
        <w:noBreakHyphen/>
      </w:r>
      <w:r w:rsidRPr="005F0F0C">
        <w:rPr>
          <w:rStyle w:val="SCCCounselNameChar"/>
        </w:rPr>
        <w:t>Harrington</w:t>
      </w:r>
      <w:r w:rsidR="0077734C" w:rsidRPr="005F0F0C">
        <w:rPr>
          <w:rStyle w:val="SCCCounselPartyRoleChar"/>
        </w:rPr>
        <w:t>, for the intervener</w:t>
      </w:r>
      <w:r w:rsidRPr="005F0F0C">
        <w:rPr>
          <w:rStyle w:val="SCCCounselPartyRoleChar"/>
        </w:rPr>
        <w:t>.</w:t>
      </w:r>
    </w:p>
    <w:p w:rsidR="00A27006" w:rsidRPr="008A23EF" w:rsidRDefault="00A27006" w:rsidP="00492491">
      <w:pPr>
        <w:spacing w:after="480" w:line="480" w:lineRule="auto"/>
        <w:ind w:firstLine="1166"/>
      </w:pPr>
      <w:r w:rsidRPr="008A23EF">
        <w:t>The reasons for judgment of Moldaver, Côté, Brown, Rowe and Kasirer JJ. were delivered by</w:t>
      </w:r>
    </w:p>
    <w:p w:rsidR="00A27006" w:rsidRPr="00B42271" w:rsidRDefault="00A27006" w:rsidP="00A27006">
      <w:pPr>
        <w:pStyle w:val="JudgeJuge"/>
      </w:pPr>
      <w:r w:rsidRPr="00B42271">
        <w:tab/>
        <w:t xml:space="preserve">Brown J. — </w:t>
      </w:r>
    </w:p>
    <w:p w:rsidR="00A27006" w:rsidRPr="00B42271" w:rsidRDefault="00A27006" w:rsidP="00A27006">
      <w:pPr>
        <w:pStyle w:val="Title1LevelTitre1Niveau-AltL"/>
        <w:rPr>
          <w:rFonts w:cs="Times New Roman"/>
        </w:rPr>
      </w:pPr>
      <w:r w:rsidRPr="00B42271">
        <w:rPr>
          <w:rFonts w:cs="Times New Roman"/>
        </w:rPr>
        <w:t>Introduction and Background</w:t>
      </w:r>
    </w:p>
    <w:p w:rsidR="00A27006" w:rsidRPr="00B42271" w:rsidRDefault="00A27006" w:rsidP="00A27006">
      <w:pPr>
        <w:pStyle w:val="ParaNoNdepar-AltN"/>
        <w:numPr>
          <w:ilvl w:val="0"/>
          <w:numId w:val="7"/>
        </w:numPr>
        <w:rPr>
          <w:rFonts w:cs="Times New Roman"/>
        </w:rPr>
      </w:pPr>
      <w:r w:rsidRPr="00B42271">
        <w:rPr>
          <w:rFonts w:cs="Times New Roman"/>
        </w:rPr>
        <w:t>At the conclusion of the hearing of this appeal, the Court allowed the appeal with costs throughout, and reinstated the order of Judge G. Smith of the Provincial Court of British Columbia, dated September 26, 2016, with reasons to follow. These are the reasons for that judgment.</w:t>
      </w:r>
    </w:p>
    <w:p w:rsidR="00A27006" w:rsidRPr="00B42271" w:rsidRDefault="00A27006" w:rsidP="00A27006">
      <w:pPr>
        <w:pStyle w:val="ParaNoNdepar-AltN"/>
        <w:numPr>
          <w:ilvl w:val="0"/>
          <w:numId w:val="7"/>
        </w:numPr>
        <w:rPr>
          <w:rFonts w:cs="Times New Roman"/>
        </w:rPr>
      </w:pPr>
      <w:r w:rsidRPr="00B42271">
        <w:rPr>
          <w:rFonts w:cs="Times New Roman"/>
        </w:rPr>
        <w:t xml:space="preserve">In </w:t>
      </w:r>
      <w:r w:rsidRPr="00B42271">
        <w:rPr>
          <w:rFonts w:cs="Times New Roman"/>
          <w:i/>
        </w:rPr>
        <w:t>D.B.S. v. S.R.G.</w:t>
      </w:r>
      <w:r w:rsidRPr="006D1783">
        <w:rPr>
          <w:rFonts w:cs="Times New Roman"/>
          <w:i/>
        </w:rPr>
        <w:t>;</w:t>
      </w:r>
      <w:r w:rsidRPr="00B42271">
        <w:rPr>
          <w:rFonts w:cs="Times New Roman"/>
          <w:i/>
        </w:rPr>
        <w:t xml:space="preserve"> L.J.W. v. T.A.R.</w:t>
      </w:r>
      <w:r w:rsidRPr="006D1783">
        <w:rPr>
          <w:rFonts w:cs="Times New Roman"/>
          <w:i/>
        </w:rPr>
        <w:t>;</w:t>
      </w:r>
      <w:r w:rsidRPr="00B42271">
        <w:rPr>
          <w:rFonts w:cs="Times New Roman"/>
          <w:i/>
        </w:rPr>
        <w:t xml:space="preserve"> Henry v. Henry</w:t>
      </w:r>
      <w:r w:rsidRPr="006D1783">
        <w:rPr>
          <w:rFonts w:cs="Times New Roman"/>
          <w:i/>
        </w:rPr>
        <w:t>;</w:t>
      </w:r>
      <w:r w:rsidRPr="00B42271">
        <w:rPr>
          <w:rFonts w:cs="Times New Roman"/>
          <w:i/>
        </w:rPr>
        <w:t xml:space="preserve"> Hiemstra v. Hiemstra</w:t>
      </w:r>
      <w:r w:rsidRPr="00B42271">
        <w:rPr>
          <w:rFonts w:cs="Times New Roman"/>
        </w:rPr>
        <w:t xml:space="preserve">, 2006 SCC 37, [2006] 2 S.C.R. 231, this Court interpreted s. 15.1 of </w:t>
      </w:r>
      <w:r w:rsidRPr="00B42271" w:rsidDel="00CD2F45">
        <w:rPr>
          <w:rFonts w:cs="Times New Roman"/>
        </w:rPr>
        <w:t xml:space="preserve">the </w:t>
      </w:r>
      <w:r w:rsidRPr="00B42271" w:rsidDel="00CD2F45">
        <w:rPr>
          <w:rFonts w:cs="Times New Roman"/>
          <w:i/>
        </w:rPr>
        <w:t>Divorce Act</w:t>
      </w:r>
      <w:r w:rsidRPr="00B42271" w:rsidDel="00CD2F45">
        <w:rPr>
          <w:rFonts w:cs="Times New Roman"/>
        </w:rPr>
        <w:t>, R.S.C. 1985, c. 3 (2nd Supp.)</w:t>
      </w:r>
      <w:r w:rsidRPr="00B42271">
        <w:rPr>
          <w:rFonts w:cs="Times New Roman"/>
        </w:rPr>
        <w:t>,</w:t>
      </w:r>
      <w:r w:rsidRPr="00B42271" w:rsidDel="00CD2F45">
        <w:rPr>
          <w:rFonts w:cs="Times New Roman"/>
        </w:rPr>
        <w:t xml:space="preserve"> </w:t>
      </w:r>
      <w:r w:rsidRPr="00B42271">
        <w:rPr>
          <w:rFonts w:cs="Times New Roman"/>
        </w:rPr>
        <w:t xml:space="preserve">as precluding a court from granting an order on an original application for retroactive child support unless the child beneficiary is a “child of the marriage”, as defined in the </w:t>
      </w:r>
      <w:r w:rsidRPr="00B42271">
        <w:rPr>
          <w:rFonts w:cs="Times New Roman"/>
          <w:i/>
        </w:rPr>
        <w:t>Divorce Act</w:t>
      </w:r>
      <w:r w:rsidRPr="00B42271">
        <w:rPr>
          <w:rFonts w:cs="Times New Roman"/>
        </w:rPr>
        <w:t xml:space="preserve">, when the application is made. This appeal raises the issue of whether the court’s authority to grant an order under s. 152 of the </w:t>
      </w:r>
      <w:r w:rsidRPr="00B42271">
        <w:rPr>
          <w:rFonts w:cs="Times New Roman"/>
          <w:i/>
        </w:rPr>
        <w:t>Family Law Act</w:t>
      </w:r>
      <w:r w:rsidRPr="00B42271">
        <w:rPr>
          <w:rFonts w:cs="Times New Roman"/>
        </w:rPr>
        <w:t>, S.B.C. 2011, c. 25 (“</w:t>
      </w:r>
      <w:r w:rsidRPr="00B42271">
        <w:rPr>
          <w:rFonts w:cs="Times New Roman"/>
          <w:i/>
        </w:rPr>
        <w:t>FLA</w:t>
      </w:r>
      <w:r w:rsidRPr="00B42271">
        <w:rPr>
          <w:rFonts w:cs="Times New Roman"/>
        </w:rPr>
        <w:t xml:space="preserve">”), is similarly confined. More particularly, is it possible to vary a child support order under the </w:t>
      </w:r>
      <w:r w:rsidRPr="00B42271">
        <w:rPr>
          <w:rFonts w:cs="Times New Roman"/>
          <w:i/>
        </w:rPr>
        <w:t xml:space="preserve">FLA </w:t>
      </w:r>
      <w:r w:rsidRPr="00B42271">
        <w:rPr>
          <w:rFonts w:cs="Times New Roman"/>
        </w:rPr>
        <w:t xml:space="preserve">after the order has expired, and after the child support beneficiary ceases to be a “child” as defined in the </w:t>
      </w:r>
      <w:r w:rsidRPr="00B42271">
        <w:rPr>
          <w:rFonts w:cs="Times New Roman"/>
          <w:i/>
        </w:rPr>
        <w:t>FLA</w:t>
      </w:r>
      <w:r w:rsidRPr="00B42271">
        <w:rPr>
          <w:rFonts w:cs="Times New Roman"/>
        </w:rPr>
        <w:t>?</w:t>
      </w:r>
    </w:p>
    <w:p w:rsidR="00A27006" w:rsidRPr="00B42271" w:rsidRDefault="00A27006" w:rsidP="00A27006">
      <w:pPr>
        <w:pStyle w:val="ParaNoNdepar-AltN"/>
        <w:numPr>
          <w:ilvl w:val="0"/>
          <w:numId w:val="7"/>
        </w:numPr>
        <w:rPr>
          <w:rFonts w:cs="Times New Roman"/>
        </w:rPr>
      </w:pPr>
      <w:r w:rsidRPr="00B42271">
        <w:rPr>
          <w:rFonts w:cs="Times New Roman"/>
        </w:rPr>
        <w:t xml:space="preserve">This question arises from the breakdown of a common law relationship between the parties, Danelle Michel and Sean Graydon. They are the parents of A.G., born in December 1991. After Ms. Michel and Mr. Graydon separated in 1994, A.G. lived with Ms. Michel, and Mr. Graydon agreed to pay child support of $341/month, based on an annual income of $39,832. This was formalized in a consent order made on March 29, 2001. </w:t>
      </w:r>
    </w:p>
    <w:p w:rsidR="00A27006" w:rsidRPr="00B42271" w:rsidRDefault="00A27006" w:rsidP="00A27006">
      <w:pPr>
        <w:pStyle w:val="ParaNoNdepar-AltN"/>
        <w:numPr>
          <w:ilvl w:val="0"/>
          <w:numId w:val="7"/>
        </w:numPr>
        <w:rPr>
          <w:rFonts w:cs="Times New Roman"/>
        </w:rPr>
      </w:pPr>
      <w:r w:rsidRPr="00B42271">
        <w:rPr>
          <w:rFonts w:cs="Times New Roman"/>
        </w:rPr>
        <w:t xml:space="preserve">Mr. Graydon had, in fact, understated his income. He earned $45,580 in 2001, and — with the exception of 2004 — his actual annual income continued to exceed his disclosed income until his child support obligation was terminated by court order effective April 30, 2012. </w:t>
      </w:r>
    </w:p>
    <w:p w:rsidR="00A27006" w:rsidRPr="00B42271" w:rsidRDefault="00A27006" w:rsidP="00A27006">
      <w:pPr>
        <w:pStyle w:val="ParaNoNdepar-AltN"/>
        <w:numPr>
          <w:ilvl w:val="0"/>
          <w:numId w:val="7"/>
        </w:numPr>
        <w:rPr>
          <w:rFonts w:cs="Times New Roman"/>
        </w:rPr>
      </w:pPr>
      <w:r w:rsidRPr="00B42271">
        <w:rPr>
          <w:rFonts w:cs="Times New Roman"/>
        </w:rPr>
        <w:t xml:space="preserve">During A.G.’s childhood, Ms. Michel was dependent on income assistance or disability benefits, in return for which she was required to assign her rights to receive child support to the Minister under the </w:t>
      </w:r>
      <w:r w:rsidRPr="00B42271">
        <w:rPr>
          <w:rFonts w:cs="Times New Roman"/>
          <w:i/>
        </w:rPr>
        <w:t>Employment and Assistance Act</w:t>
      </w:r>
      <w:r w:rsidRPr="00B42271">
        <w:rPr>
          <w:rFonts w:cs="Times New Roman"/>
        </w:rPr>
        <w:t xml:space="preserve">, S.B.C. 2002, c. 40. While Ms. Michel’s rights were assigned, the Minister never authorized an application to review child support for A.G. </w:t>
      </w:r>
    </w:p>
    <w:p w:rsidR="00A27006" w:rsidRPr="00B42271" w:rsidRDefault="00A27006" w:rsidP="00A27006">
      <w:pPr>
        <w:pStyle w:val="ParaNoNdepar-AltN"/>
        <w:numPr>
          <w:ilvl w:val="0"/>
          <w:numId w:val="7"/>
        </w:numPr>
        <w:rPr>
          <w:rFonts w:cs="Times New Roman"/>
          <w:i/>
        </w:rPr>
      </w:pPr>
      <w:r w:rsidRPr="00B42271">
        <w:rPr>
          <w:rFonts w:cs="Times New Roman"/>
        </w:rPr>
        <w:t>In January 2015, Ms. Michel applied to the Provincial Court to retroactively vary child support for the period between April 2009 (later amended to April 2001) and April 2012, to reflect Mr. Graydon’s actual income during that time. In granting that order, Smith Prov. Ct. J. rejected Mr. Graydon’s argument that, because A.G. was not a “child” when Ms. Michel brought her application, the court lacked authority to grant the order sought. In his view, and while his authority may have been so restricted under the now</w:t>
      </w:r>
      <w:r w:rsidRPr="00B42271">
        <w:rPr>
          <w:rFonts w:cs="Times New Roman"/>
        </w:rPr>
        <w:noBreakHyphen/>
        <w:t xml:space="preserve">repealed </w:t>
      </w:r>
      <w:r w:rsidRPr="00B42271">
        <w:rPr>
          <w:rFonts w:cs="Times New Roman"/>
          <w:i/>
        </w:rPr>
        <w:t>Family Relations Act</w:t>
      </w:r>
      <w:r w:rsidRPr="00B42271">
        <w:rPr>
          <w:rFonts w:cs="Times New Roman"/>
        </w:rPr>
        <w:t xml:space="preserve">, R.S.B.C. 1996, c. 128, no such limitation exists in the </w:t>
      </w:r>
      <w:r w:rsidRPr="00B42271">
        <w:rPr>
          <w:rFonts w:cs="Times New Roman"/>
          <w:i/>
        </w:rPr>
        <w:t>FLA</w:t>
      </w:r>
      <w:r w:rsidRPr="00B42271">
        <w:rPr>
          <w:rFonts w:cs="Times New Roman"/>
        </w:rPr>
        <w:t xml:space="preserve">. Applying this Court’s decision in </w:t>
      </w:r>
      <w:r w:rsidRPr="00B42271">
        <w:rPr>
          <w:rFonts w:cs="Times New Roman"/>
          <w:i/>
        </w:rPr>
        <w:t>D.B.S.</w:t>
      </w:r>
      <w:r w:rsidRPr="00B42271">
        <w:rPr>
          <w:rFonts w:cs="Times New Roman"/>
        </w:rPr>
        <w:t>, he held that the circumstances of Ms. Michel’s application warranted granting an award for retroactive child support. Her delay in bringing the application was reasonable; Mr. Graydon had engaged in blameworthy conduct by failing to accurately disclose his income; A.G. suffered as a result, as she could not attend her desired post</w:t>
      </w:r>
      <w:r w:rsidRPr="00B42271">
        <w:rPr>
          <w:rFonts w:cs="Times New Roman"/>
        </w:rPr>
        <w:noBreakHyphen/>
        <w:t>secondary program; and Mr. Graydon would not experience hardship from a retroactive award. He therefore ordered Mr. Graydon to pay $23,000 in retroactive child support — half to Ms. Michel, and half to A.G.</w:t>
      </w:r>
    </w:p>
    <w:p w:rsidR="00A27006" w:rsidRPr="00B42271" w:rsidRDefault="00A27006" w:rsidP="00A27006">
      <w:pPr>
        <w:pStyle w:val="ParaNoNdepar-AltN"/>
        <w:numPr>
          <w:ilvl w:val="0"/>
          <w:numId w:val="7"/>
        </w:numPr>
        <w:rPr>
          <w:rFonts w:cs="Times New Roman"/>
          <w:i/>
        </w:rPr>
      </w:pPr>
      <w:r w:rsidRPr="00B42271">
        <w:rPr>
          <w:rFonts w:cs="Times New Roman"/>
        </w:rPr>
        <w:t xml:space="preserve">The Supreme Court of British Columbia allowed Mr. Graydon’s appeal (2017 BCSC 887), holding that this Court’s conclusion in </w:t>
      </w:r>
      <w:r w:rsidRPr="00B42271">
        <w:rPr>
          <w:rFonts w:cs="Times New Roman"/>
          <w:i/>
        </w:rPr>
        <w:t>D.B.S.</w:t>
      </w:r>
      <w:r w:rsidRPr="00B42271">
        <w:rPr>
          <w:rFonts w:cs="Times New Roman"/>
        </w:rPr>
        <w:t xml:space="preserve"> that an application for child support must be made while the child remains a “child of the marriage” was equally applicable where child support is sought under the </w:t>
      </w:r>
      <w:r w:rsidRPr="00B42271">
        <w:rPr>
          <w:rFonts w:cs="Times New Roman"/>
          <w:i/>
        </w:rPr>
        <w:t>FLA</w:t>
      </w:r>
      <w:r w:rsidRPr="00B42271">
        <w:rPr>
          <w:rFonts w:cs="Times New Roman"/>
        </w:rPr>
        <w:t>. Ms. Michel then appealed to the British Columbia Court of Appeal (2018 BCCA 449, 20 B.C.L.R. (6th) 1).</w:t>
      </w:r>
    </w:p>
    <w:p w:rsidR="00A27006" w:rsidRPr="00B42271" w:rsidRDefault="00A27006" w:rsidP="00A27006">
      <w:pPr>
        <w:pStyle w:val="ParaNoNdepar-AltN"/>
        <w:numPr>
          <w:ilvl w:val="0"/>
          <w:numId w:val="7"/>
        </w:numPr>
        <w:rPr>
          <w:rFonts w:cs="Times New Roman"/>
        </w:rPr>
      </w:pPr>
      <w:r w:rsidRPr="00B42271">
        <w:rPr>
          <w:rFonts w:cs="Times New Roman"/>
        </w:rPr>
        <w:t>After Ms. Michel’s appeal was heard, but before judgment was rendered, the Court of Appeal sat as a five</w:t>
      </w:r>
      <w:r w:rsidRPr="00B42271">
        <w:rPr>
          <w:rFonts w:cs="Times New Roman"/>
        </w:rPr>
        <w:noBreakHyphen/>
        <w:t xml:space="preserve">member division in </w:t>
      </w:r>
      <w:r w:rsidRPr="00B42271">
        <w:rPr>
          <w:rFonts w:cs="Times New Roman"/>
          <w:i/>
        </w:rPr>
        <w:t>Dring v. Gheyle</w:t>
      </w:r>
      <w:r w:rsidRPr="00B42271">
        <w:rPr>
          <w:rFonts w:cs="Times New Roman"/>
        </w:rPr>
        <w:t xml:space="preserve">, 2018 BCCA 435, 17 B.C.L.R. (6th) 30. In </w:t>
      </w:r>
      <w:r w:rsidRPr="00B42271">
        <w:rPr>
          <w:rFonts w:cs="Times New Roman"/>
          <w:i/>
        </w:rPr>
        <w:t>Dring</w:t>
      </w:r>
      <w:r w:rsidRPr="00B42271">
        <w:rPr>
          <w:rFonts w:cs="Times New Roman"/>
        </w:rPr>
        <w:t xml:space="preserve">, a majority of the Court of Appeal held that the </w:t>
      </w:r>
      <w:r w:rsidRPr="00B42271">
        <w:rPr>
          <w:rFonts w:cs="Times New Roman"/>
          <w:i/>
        </w:rPr>
        <w:t>FLA</w:t>
      </w:r>
      <w:r w:rsidRPr="00B42271">
        <w:rPr>
          <w:rFonts w:cs="Times New Roman"/>
        </w:rPr>
        <w:t xml:space="preserve"> does not authorize a court to retroactively vary child support if the beneficiary is not a “child” at the time of the application. In light of </w:t>
      </w:r>
      <w:r w:rsidRPr="00B42271">
        <w:rPr>
          <w:rFonts w:cs="Times New Roman"/>
          <w:i/>
        </w:rPr>
        <w:t>Dring</w:t>
      </w:r>
      <w:r w:rsidRPr="00B42271">
        <w:rPr>
          <w:rFonts w:cs="Times New Roman"/>
        </w:rPr>
        <w:t xml:space="preserve">, Ms. Michel’s appeal was dismissed. </w:t>
      </w:r>
      <w:r w:rsidRPr="00B42271">
        <w:rPr>
          <w:rFonts w:cs="Times New Roman"/>
          <w:i/>
        </w:rPr>
        <w:t>D.B.S.</w:t>
      </w:r>
      <w:r w:rsidRPr="00B42271">
        <w:rPr>
          <w:rFonts w:cs="Times New Roman"/>
        </w:rPr>
        <w:t xml:space="preserve">, the Court of Appeal held, established a general rule precluding </w:t>
      </w:r>
      <w:r w:rsidRPr="00B42271">
        <w:rPr>
          <w:rFonts w:cs="Times New Roman"/>
          <w:i/>
        </w:rPr>
        <w:t>all</w:t>
      </w:r>
      <w:r w:rsidRPr="00B42271">
        <w:rPr>
          <w:rFonts w:cs="Times New Roman"/>
        </w:rPr>
        <w:t xml:space="preserve"> orders for child support where the application is brought after the beneficiary is no longer a “child”. It followed that the hearing judge did not have authority to grant the order for retroactive child support that Ms. Michel sought. </w:t>
      </w:r>
    </w:p>
    <w:p w:rsidR="00A27006" w:rsidRPr="00B42271" w:rsidRDefault="00A27006" w:rsidP="00A27006">
      <w:pPr>
        <w:pStyle w:val="ParaNoNdepar-AltN"/>
        <w:numPr>
          <w:ilvl w:val="0"/>
          <w:numId w:val="7"/>
        </w:numPr>
        <w:rPr>
          <w:rFonts w:cs="Times New Roman"/>
        </w:rPr>
      </w:pPr>
      <w:r w:rsidRPr="00B42271">
        <w:rPr>
          <w:rFonts w:cs="Times New Roman"/>
        </w:rPr>
        <w:t xml:space="preserve">I disagree. Section 152 of the </w:t>
      </w:r>
      <w:r w:rsidRPr="00B42271">
        <w:rPr>
          <w:rFonts w:cs="Times New Roman"/>
          <w:i/>
        </w:rPr>
        <w:t xml:space="preserve">FLA </w:t>
      </w:r>
      <w:r w:rsidRPr="00B42271">
        <w:rPr>
          <w:rFonts w:cs="Times New Roman"/>
        </w:rPr>
        <w:t>authorizes a court to retroactively vary a child support order, irrespective of whether the beneficiary is a “child” at the time of the application, and irrespective of whether the order has expired. The order of Smith Prov. Ct. J. should therefore not have been disturbed.</w:t>
      </w:r>
    </w:p>
    <w:p w:rsidR="00A27006" w:rsidRPr="00B42271" w:rsidRDefault="00A27006" w:rsidP="00A27006">
      <w:pPr>
        <w:pStyle w:val="Title1LevelTitre1Niveau-AltL"/>
        <w:rPr>
          <w:rFonts w:cs="Times New Roman"/>
        </w:rPr>
      </w:pPr>
      <w:r w:rsidRPr="00B42271">
        <w:rPr>
          <w:rFonts w:cs="Times New Roman"/>
        </w:rPr>
        <w:t>Analysis</w:t>
      </w:r>
    </w:p>
    <w:p w:rsidR="00A27006" w:rsidRPr="00B42271" w:rsidRDefault="00A27006" w:rsidP="00A27006">
      <w:pPr>
        <w:pStyle w:val="Title2LevelTitre2Niveau"/>
        <w:rPr>
          <w:rFonts w:cs="Times New Roman"/>
        </w:rPr>
      </w:pPr>
      <w:r w:rsidRPr="00B42271">
        <w:rPr>
          <w:rFonts w:cs="Times New Roman"/>
        </w:rPr>
        <w:t>Authority to Grant a Retroactive Child Support Award</w:t>
      </w:r>
    </w:p>
    <w:p w:rsidR="00A27006" w:rsidRPr="00B42271" w:rsidRDefault="00A27006" w:rsidP="00A27006">
      <w:pPr>
        <w:pStyle w:val="Title3LevelTitre3Niveau"/>
        <w:rPr>
          <w:rFonts w:cs="Times New Roman"/>
        </w:rPr>
      </w:pPr>
      <w:r w:rsidRPr="00B42271">
        <w:rPr>
          <w:rFonts w:cs="Times New Roman"/>
          <w:i/>
        </w:rPr>
        <w:t>D.B.S.</w:t>
      </w:r>
    </w:p>
    <w:p w:rsidR="00A27006" w:rsidRPr="00B42271" w:rsidRDefault="00A27006" w:rsidP="00A27006">
      <w:pPr>
        <w:pStyle w:val="ParaNoNdepar-AltN"/>
        <w:numPr>
          <w:ilvl w:val="0"/>
          <w:numId w:val="7"/>
        </w:numPr>
        <w:rPr>
          <w:rFonts w:cs="Times New Roman"/>
        </w:rPr>
      </w:pPr>
      <w:r w:rsidRPr="00B42271">
        <w:rPr>
          <w:rFonts w:cs="Times New Roman"/>
        </w:rPr>
        <w:t xml:space="preserve">In </w:t>
      </w:r>
      <w:r w:rsidRPr="00B42271">
        <w:rPr>
          <w:rFonts w:cs="Times New Roman"/>
          <w:i/>
        </w:rPr>
        <w:t>D.B.S.</w:t>
      </w:r>
      <w:r w:rsidRPr="00B42271">
        <w:rPr>
          <w:rFonts w:cs="Times New Roman"/>
        </w:rPr>
        <w:t>, this Court</w:t>
      </w:r>
      <w:r w:rsidRPr="00B42271">
        <w:rPr>
          <w:rFonts w:cs="Times New Roman"/>
          <w:i/>
        </w:rPr>
        <w:t xml:space="preserve"> </w:t>
      </w:r>
      <w:r w:rsidRPr="00B42271">
        <w:rPr>
          <w:rFonts w:cs="Times New Roman"/>
        </w:rPr>
        <w:t>endorsed certain important principles governing orders for child support (including retroactive child support) that merit restating here:</w:t>
      </w:r>
    </w:p>
    <w:p w:rsidR="00A27006" w:rsidRPr="00B42271" w:rsidRDefault="00A27006" w:rsidP="006D1783">
      <w:pPr>
        <w:pStyle w:val="ParaNoNdepar-AltN"/>
        <w:numPr>
          <w:ilvl w:val="0"/>
          <w:numId w:val="12"/>
        </w:numPr>
        <w:ind w:left="360"/>
        <w:rPr>
          <w:rFonts w:cs="Times New Roman"/>
        </w:rPr>
      </w:pPr>
      <w:r w:rsidRPr="00B42271">
        <w:rPr>
          <w:rFonts w:cs="Times New Roman"/>
        </w:rPr>
        <w:t xml:space="preserve">Child support is the right of </w:t>
      </w:r>
      <w:r w:rsidRPr="00B42271">
        <w:rPr>
          <w:rFonts w:cs="Times New Roman"/>
          <w:i/>
        </w:rPr>
        <w:t>the child</w:t>
      </w:r>
      <w:r w:rsidRPr="00B42271">
        <w:rPr>
          <w:rFonts w:cs="Times New Roman"/>
        </w:rPr>
        <w:t xml:space="preserve">, which right cannot be bargained away by the parents, and survives the breakdown of the relationship of the child’s parents (para. 38); </w:t>
      </w:r>
    </w:p>
    <w:p w:rsidR="00A27006" w:rsidRPr="00B42271" w:rsidRDefault="00A27006" w:rsidP="006D1783">
      <w:pPr>
        <w:pStyle w:val="ParaNoNdepar-AltN"/>
        <w:numPr>
          <w:ilvl w:val="0"/>
          <w:numId w:val="12"/>
        </w:numPr>
        <w:ind w:left="360"/>
        <w:rPr>
          <w:rFonts w:cs="Times New Roman"/>
        </w:rPr>
      </w:pPr>
      <w:r w:rsidRPr="00B42271">
        <w:rPr>
          <w:rFonts w:cs="Times New Roman"/>
        </w:rPr>
        <w:t xml:space="preserve">Child support should, as much as possible, provide children with the same standard of living they enjoyed when their parents were together (para. 38); </w:t>
      </w:r>
    </w:p>
    <w:p w:rsidR="00A27006" w:rsidRPr="00B42271" w:rsidRDefault="00A27006" w:rsidP="006D1783">
      <w:pPr>
        <w:pStyle w:val="ParaNoNdepar-AltN"/>
        <w:numPr>
          <w:ilvl w:val="0"/>
          <w:numId w:val="12"/>
        </w:numPr>
        <w:ind w:left="360"/>
        <w:rPr>
          <w:rFonts w:cs="Times New Roman"/>
        </w:rPr>
      </w:pPr>
      <w:r w:rsidRPr="00B42271">
        <w:rPr>
          <w:rFonts w:cs="Times New Roman"/>
        </w:rPr>
        <w:t>The child support owed will vary based upon the income of the payor parent, and is not confined to furnishing the “necessities of life” (paras. 38</w:t>
      </w:r>
      <w:r w:rsidRPr="00B42271">
        <w:rPr>
          <w:rFonts w:cs="Times New Roman"/>
        </w:rPr>
        <w:noBreakHyphen/>
        <w:t>45).</w:t>
      </w:r>
    </w:p>
    <w:p w:rsidR="00A27006" w:rsidRPr="00B42271" w:rsidRDefault="00A27006" w:rsidP="006D1783">
      <w:pPr>
        <w:pStyle w:val="ParaNoNdepar-AltN"/>
        <w:numPr>
          <w:ilvl w:val="0"/>
          <w:numId w:val="12"/>
        </w:numPr>
        <w:ind w:left="360"/>
        <w:rPr>
          <w:rFonts w:cs="Times New Roman"/>
        </w:rPr>
      </w:pPr>
      <w:r w:rsidRPr="00B42271">
        <w:rPr>
          <w:rFonts w:cs="Times New Roman"/>
        </w:rPr>
        <w:t xml:space="preserve">Retroactive awards are not truly “retroactive”, since they merely hold payors to the legal obligation they always had to pay support commensurate with their income (para. 2); </w:t>
      </w:r>
    </w:p>
    <w:p w:rsidR="00A27006" w:rsidRPr="00B42271" w:rsidRDefault="00A27006" w:rsidP="006D1783">
      <w:pPr>
        <w:pStyle w:val="ParaNoNdepar-AltN"/>
        <w:numPr>
          <w:ilvl w:val="0"/>
          <w:numId w:val="12"/>
        </w:numPr>
        <w:ind w:left="360"/>
        <w:rPr>
          <w:rFonts w:cs="Times New Roman"/>
        </w:rPr>
      </w:pPr>
      <w:r w:rsidRPr="00B42271">
        <w:rPr>
          <w:rFonts w:cs="Times New Roman"/>
        </w:rPr>
        <w:t>Retroactive awards are not confined to “exceptional circumstances” or “rare cases” (para. 5); and</w:t>
      </w:r>
    </w:p>
    <w:p w:rsidR="00A27006" w:rsidRPr="00B42271" w:rsidRDefault="00A27006" w:rsidP="006D1783">
      <w:pPr>
        <w:pStyle w:val="ParaNoNdepar-AltN"/>
        <w:numPr>
          <w:ilvl w:val="0"/>
          <w:numId w:val="12"/>
        </w:numPr>
        <w:ind w:left="360"/>
        <w:rPr>
          <w:rFonts w:cs="Times New Roman"/>
        </w:rPr>
      </w:pPr>
      <w:r w:rsidRPr="00B42271">
        <w:rPr>
          <w:rFonts w:cs="Times New Roman"/>
        </w:rPr>
        <w:t>In determining whether to make a retroactive award, the payor parent’s interest in certainty in his/her obligations must be balanced with the need for “fairness and . . . flexibility”. A court should consider whether the recipient parent’s delay in seeking retroactive support was reasonable in the circumstances, the conduct of the payor parent, the circumstances of the child, and the hardship the retroactive award might entail (para. 133).</w:t>
      </w:r>
    </w:p>
    <w:p w:rsidR="00A27006" w:rsidRPr="00B42271" w:rsidRDefault="00A27006" w:rsidP="00A27006">
      <w:pPr>
        <w:pStyle w:val="ParaNoNdepar-AltN"/>
        <w:numPr>
          <w:ilvl w:val="0"/>
          <w:numId w:val="7"/>
        </w:numPr>
        <w:rPr>
          <w:rFonts w:cs="Times New Roman"/>
        </w:rPr>
      </w:pPr>
      <w:r w:rsidRPr="00B42271">
        <w:rPr>
          <w:rFonts w:cs="Times New Roman"/>
        </w:rPr>
        <w:t xml:space="preserve">Further, this Court cautioned that, when deciding an application for retroactive child support, a court must analyze the statutory scheme in which the application was brought (para. 54): “different policy choices made by the federal and provincial governments must be respected” (para. 55). While a “retroactive” child support award does not impose a new obligation but simply serves to enforce a past unfulfilled obligation, the </w:t>
      </w:r>
      <w:r w:rsidRPr="00B42271">
        <w:rPr>
          <w:rFonts w:cs="Times New Roman"/>
          <w:i/>
        </w:rPr>
        <w:t>mechanism</w:t>
      </w:r>
      <w:r w:rsidRPr="00B42271">
        <w:rPr>
          <w:rFonts w:cs="Times New Roman"/>
        </w:rPr>
        <w:t xml:space="preserve"> for enforcing that obligation must be found in the governing legislative scheme. A court can enforce an unfulfilled child support obligation only where the governing legislation provides a mechanism for enforcement, and only in accordance with that mechanism. </w:t>
      </w:r>
    </w:p>
    <w:p w:rsidR="00A27006" w:rsidRPr="00B42271" w:rsidRDefault="00A27006" w:rsidP="00A27006">
      <w:pPr>
        <w:pStyle w:val="ParaNoNdepar-AltN"/>
        <w:numPr>
          <w:ilvl w:val="0"/>
          <w:numId w:val="7"/>
        </w:numPr>
        <w:rPr>
          <w:rFonts w:cs="Times New Roman"/>
        </w:rPr>
      </w:pPr>
      <w:r w:rsidRPr="00B42271">
        <w:rPr>
          <w:rFonts w:cs="Times New Roman"/>
        </w:rPr>
        <w:t xml:space="preserve">In </w:t>
      </w:r>
      <w:r w:rsidRPr="00B42271">
        <w:rPr>
          <w:rFonts w:cs="Times New Roman"/>
          <w:i/>
        </w:rPr>
        <w:t>D.B.S.</w:t>
      </w:r>
      <w:r w:rsidRPr="00B42271">
        <w:rPr>
          <w:rFonts w:cs="Times New Roman"/>
        </w:rPr>
        <w:t xml:space="preserve">, this Court examined the enforcement mechanism set out in </w:t>
      </w:r>
      <w:r w:rsidR="009352AF" w:rsidRPr="00B42271">
        <w:rPr>
          <w:rFonts w:cs="Times New Roman"/>
        </w:rPr>
        <w:t>s. </w:t>
      </w:r>
      <w:r w:rsidRPr="00B42271">
        <w:rPr>
          <w:rFonts w:cs="Times New Roman"/>
        </w:rPr>
        <w:t xml:space="preserve">15.1 of the </w:t>
      </w:r>
      <w:r w:rsidRPr="00B42271">
        <w:rPr>
          <w:rFonts w:cs="Times New Roman"/>
          <w:i/>
        </w:rPr>
        <w:t>Divorce Act</w:t>
      </w:r>
      <w:r w:rsidRPr="00B42271">
        <w:rPr>
          <w:rFonts w:cs="Times New Roman"/>
        </w:rPr>
        <w:t>, which addresses original child support orders. This result follows from the language of s. 15.1, which permits a court to make an original order compelling child support payments only for “children of the marriage</w:t>
      </w:r>
      <w:r w:rsidR="006D1783">
        <w:rPr>
          <w:rFonts w:cs="Times New Roman"/>
          <w:lang w:val="en-US"/>
        </w:rPr>
        <w:t>”</w:t>
      </w:r>
      <w:r w:rsidRPr="00B42271">
        <w:rPr>
          <w:rFonts w:cs="Times New Roman"/>
        </w:rPr>
        <w:t xml:space="preserve">. And s. 2 defines “child of the marriage” as “a child of two spouses or former spouses who, </w:t>
      </w:r>
      <w:r w:rsidRPr="00B42271">
        <w:rPr>
          <w:rFonts w:cs="Times New Roman"/>
          <w:u w:val="single"/>
        </w:rPr>
        <w:t>at the material time</w:t>
      </w:r>
      <w:r w:rsidRPr="00B42271">
        <w:rPr>
          <w:rFonts w:cs="Times New Roman"/>
        </w:rPr>
        <w:t>, is under the age of majority and who has not withdrawn from their charge, or is the age of majority or over and under their charge but unable, by reason of illness, disability or other cause, to withdraw from their charge or to obtain the necessaries of life</w:t>
      </w:r>
      <w:r w:rsidR="009352AF">
        <w:rPr>
          <w:rFonts w:cs="Times New Roman"/>
        </w:rPr>
        <w:t>.</w:t>
      </w:r>
      <w:r w:rsidRPr="00B42271">
        <w:rPr>
          <w:rFonts w:cs="Times New Roman"/>
        </w:rPr>
        <w:t xml:space="preserve">” The Court concluded in </w:t>
      </w:r>
      <w:r w:rsidRPr="00B42271">
        <w:rPr>
          <w:rFonts w:cs="Times New Roman"/>
          <w:i/>
        </w:rPr>
        <w:t xml:space="preserve">D.B.S. </w:t>
      </w:r>
      <w:r w:rsidRPr="00B42271">
        <w:rPr>
          <w:rFonts w:cs="Times New Roman"/>
        </w:rPr>
        <w:t>that</w:t>
      </w:r>
      <w:r w:rsidRPr="00B42271">
        <w:rPr>
          <w:rFonts w:cs="Times New Roman"/>
          <w:i/>
        </w:rPr>
        <w:t xml:space="preserve"> </w:t>
      </w:r>
      <w:r w:rsidRPr="00B42271">
        <w:rPr>
          <w:rFonts w:cs="Times New Roman"/>
        </w:rPr>
        <w:t xml:space="preserve">the “material time” for retroactive child support awards is the time of the application, and therefore that a court has no authority to grant a retroactive award of child support under s. 15.1 of the </w:t>
      </w:r>
      <w:r w:rsidRPr="00B42271">
        <w:rPr>
          <w:rFonts w:cs="Times New Roman"/>
          <w:i/>
        </w:rPr>
        <w:t>Divorce Act</w:t>
      </w:r>
      <w:r w:rsidRPr="00B42271">
        <w:rPr>
          <w:rFonts w:cs="Times New Roman"/>
        </w:rPr>
        <w:t xml:space="preserve"> if the child beneficiary is no longer a “child of the marriage” at the time of the application (paras. 88</w:t>
      </w:r>
      <w:r w:rsidRPr="00B42271">
        <w:rPr>
          <w:rFonts w:cs="Times New Roman"/>
        </w:rPr>
        <w:noBreakHyphen/>
        <w:t>89).</w:t>
      </w:r>
    </w:p>
    <w:p w:rsidR="00A27006" w:rsidRPr="00B42271" w:rsidRDefault="00A27006" w:rsidP="00A27006">
      <w:pPr>
        <w:pStyle w:val="ParaNoNdepar-AltN"/>
        <w:numPr>
          <w:ilvl w:val="0"/>
          <w:numId w:val="7"/>
        </w:numPr>
        <w:rPr>
          <w:rFonts w:cs="Times New Roman"/>
        </w:rPr>
      </w:pPr>
      <w:r w:rsidRPr="00B42271">
        <w:rPr>
          <w:rFonts w:cs="Times New Roman"/>
        </w:rPr>
        <w:t xml:space="preserve">Since </w:t>
      </w:r>
      <w:r w:rsidRPr="00B42271">
        <w:rPr>
          <w:rFonts w:cs="Times New Roman"/>
          <w:i/>
        </w:rPr>
        <w:t>D.B.S.</w:t>
      </w:r>
      <w:r w:rsidRPr="00B42271">
        <w:rPr>
          <w:rFonts w:cs="Times New Roman"/>
        </w:rPr>
        <w:t xml:space="preserve">, lower courts have grappled with whether the same principle also applies to provincial legislative schemes, or to variation applications under s. 17 of the </w:t>
      </w:r>
      <w:r w:rsidRPr="00B42271">
        <w:rPr>
          <w:rFonts w:cs="Times New Roman"/>
          <w:i/>
        </w:rPr>
        <w:t>Divorce Act</w:t>
      </w:r>
      <w:r w:rsidRPr="00B42271">
        <w:rPr>
          <w:rFonts w:cs="Times New Roman"/>
        </w:rPr>
        <w:t xml:space="preserve"> (see</w:t>
      </w:r>
      <w:r w:rsidRPr="00B42271">
        <w:rPr>
          <w:rFonts w:cs="Times New Roman"/>
          <w:i/>
        </w:rPr>
        <w:t xml:space="preserve"> Colucci v. Colucci</w:t>
      </w:r>
      <w:r w:rsidRPr="00B42271">
        <w:rPr>
          <w:rFonts w:cs="Times New Roman"/>
        </w:rPr>
        <w:t xml:space="preserve">, 2017 ONCA 892, 138 O.R. (3d) 321; </w:t>
      </w:r>
      <w:r w:rsidRPr="00B42271">
        <w:rPr>
          <w:rFonts w:cs="Times New Roman"/>
          <w:i/>
        </w:rPr>
        <w:t>Dring</w:t>
      </w:r>
      <w:r w:rsidRPr="00B42271">
        <w:rPr>
          <w:rFonts w:cs="Times New Roman"/>
        </w:rPr>
        <w:t xml:space="preserve">; </w:t>
      </w:r>
      <w:r w:rsidRPr="00B42271">
        <w:rPr>
          <w:rFonts w:cs="Times New Roman"/>
          <w:i/>
        </w:rPr>
        <w:t>Brear v. Brear</w:t>
      </w:r>
      <w:r w:rsidRPr="00B42271">
        <w:rPr>
          <w:rFonts w:cs="Times New Roman"/>
        </w:rPr>
        <w:t>, 2019 ABCA 419, 97 Alta. L.R. (6th) 1). In particular, courts have recognized that unjust results can flow from imposing impediments that prevent otherwise deserving parents from seeking retroactive child support (</w:t>
      </w:r>
      <w:r w:rsidRPr="00B42271">
        <w:rPr>
          <w:rFonts w:cs="Times New Roman"/>
          <w:i/>
        </w:rPr>
        <w:t>Colucci</w:t>
      </w:r>
      <w:r w:rsidRPr="00B42271">
        <w:rPr>
          <w:rFonts w:cs="Times New Roman"/>
        </w:rPr>
        <w:t xml:space="preserve">, at para. 26; </w:t>
      </w:r>
      <w:r w:rsidRPr="00B42271">
        <w:rPr>
          <w:rFonts w:cs="Times New Roman"/>
          <w:i/>
        </w:rPr>
        <w:t>Dring</w:t>
      </w:r>
      <w:r w:rsidRPr="00B42271">
        <w:rPr>
          <w:rFonts w:cs="Times New Roman"/>
        </w:rPr>
        <w:t>, at paras. 155</w:t>
      </w:r>
      <w:r w:rsidRPr="00B42271">
        <w:rPr>
          <w:rFonts w:cs="Times New Roman"/>
        </w:rPr>
        <w:noBreakHyphen/>
        <w:t xml:space="preserve">56, per Hunter J.A., concurring; </w:t>
      </w:r>
      <w:r w:rsidRPr="00B42271">
        <w:rPr>
          <w:rFonts w:cs="Times New Roman"/>
          <w:i/>
        </w:rPr>
        <w:t>Brear</w:t>
      </w:r>
      <w:r w:rsidRPr="00B42271">
        <w:rPr>
          <w:rFonts w:cs="Times New Roman"/>
        </w:rPr>
        <w:t xml:space="preserve">, at para. 60). Indeed, fairness concerns appear to have animated this Court’s approach to jurisdiction in </w:t>
      </w:r>
      <w:r w:rsidRPr="00B42271">
        <w:rPr>
          <w:rFonts w:cs="Times New Roman"/>
          <w:i/>
        </w:rPr>
        <w:t>D.B.S.</w:t>
      </w:r>
      <w:r w:rsidRPr="00B42271">
        <w:rPr>
          <w:rFonts w:cs="Times New Roman"/>
        </w:rPr>
        <w:t>, as it saw fit to create an exception that applies whenever a recipient parent initiates formal proceedings while the beneficiary remains a child of the marriage (para. 130). Moreover, and significantly, because women continue to face a disproportionate burden of the economic consequences flowing from marriage breakdown (</w:t>
      </w:r>
      <w:r w:rsidRPr="00B42271">
        <w:rPr>
          <w:rFonts w:cs="Times New Roman"/>
          <w:i/>
        </w:rPr>
        <w:t>Moge v. Moge</w:t>
      </w:r>
      <w:r w:rsidRPr="00B42271">
        <w:rPr>
          <w:rFonts w:cs="Times New Roman"/>
        </w:rPr>
        <w:t>, [1992] 3 S.C.R. 813, at pp. 849</w:t>
      </w:r>
      <w:r w:rsidRPr="00B42271">
        <w:rPr>
          <w:rFonts w:cs="Times New Roman"/>
        </w:rPr>
        <w:noBreakHyphen/>
        <w:t>50; I.F., at para. 20), they are also most affected by barriers that prevent courts from considering applications for retroactive child support. Motivated by these concerns, lower courts continue to create exceptions establishing jurisdiction to award support in respect of beneficiaries who are no longer children of the marriage (</w:t>
      </w:r>
      <w:r w:rsidRPr="00B42271">
        <w:rPr>
          <w:rFonts w:cs="Times New Roman"/>
          <w:i/>
        </w:rPr>
        <w:t>Brear</w:t>
      </w:r>
      <w:r w:rsidRPr="00B42271">
        <w:rPr>
          <w:rFonts w:cs="Times New Roman"/>
        </w:rPr>
        <w:t xml:space="preserve">, at para. 63). </w:t>
      </w:r>
    </w:p>
    <w:p w:rsidR="00A27006" w:rsidRPr="00B42271" w:rsidRDefault="00A27006" w:rsidP="00A27006">
      <w:pPr>
        <w:pStyle w:val="ParaNoNdepar-AltN"/>
        <w:numPr>
          <w:ilvl w:val="0"/>
          <w:numId w:val="7"/>
        </w:numPr>
        <w:rPr>
          <w:rFonts w:cs="Times New Roman"/>
        </w:rPr>
      </w:pPr>
      <w:r w:rsidRPr="00B42271">
        <w:rPr>
          <w:rFonts w:cs="Times New Roman"/>
        </w:rPr>
        <w:t xml:space="preserve">Given this history, I agree with my colleague Martin J. that this Court’s interpretation in </w:t>
      </w:r>
      <w:r w:rsidRPr="00B42271">
        <w:rPr>
          <w:rFonts w:cs="Times New Roman"/>
          <w:i/>
        </w:rPr>
        <w:t>D.B.S.</w:t>
      </w:r>
      <w:r w:rsidRPr="00B42271">
        <w:rPr>
          <w:rFonts w:cs="Times New Roman"/>
        </w:rPr>
        <w:t xml:space="preserve"> of “material time”, as that term appears in s. 2 of the </w:t>
      </w:r>
      <w:r w:rsidRPr="00B42271">
        <w:rPr>
          <w:rFonts w:cs="Times New Roman"/>
          <w:i/>
        </w:rPr>
        <w:t>Divorce Act</w:t>
      </w:r>
      <w:r w:rsidRPr="00B42271">
        <w:rPr>
          <w:rFonts w:cs="Times New Roman"/>
        </w:rPr>
        <w:t>, might merit reconsideration. In my respectful view, however, our deliberations on this point would likely benefit from submissions on</w:t>
      </w:r>
      <w:r w:rsidRPr="00B42271">
        <w:rPr>
          <w:rFonts w:cs="Times New Roman"/>
        </w:rPr>
        <w:noBreakHyphen/>
        <w:t xml:space="preserve">point. Further, it is unnecessary to undertake that reconsideration in order to resolve this appeal. The narrow question to be decided here is, ultimately, whether the </w:t>
      </w:r>
      <w:r w:rsidRPr="00B42271">
        <w:rPr>
          <w:rFonts w:cs="Times New Roman"/>
          <w:i/>
        </w:rPr>
        <w:t>FLA</w:t>
      </w:r>
      <w:r w:rsidRPr="00B42271">
        <w:rPr>
          <w:rFonts w:cs="Times New Roman"/>
        </w:rPr>
        <w:t xml:space="preserve"> authorizes variation of an existing child support order after the beneficiary ceases to be a “child”. Mr. Graydon argues that </w:t>
      </w:r>
      <w:r w:rsidRPr="00B42271">
        <w:rPr>
          <w:rFonts w:cs="Times New Roman"/>
          <w:i/>
        </w:rPr>
        <w:t>D.B.S.</w:t>
      </w:r>
      <w:r w:rsidRPr="00B42271">
        <w:rPr>
          <w:rFonts w:cs="Times New Roman"/>
        </w:rPr>
        <w:t xml:space="preserve"> states a general rule conditioning a court’s authority to grant both original and variation applications for retroactive child support upon the child beneficiary remaining a dependent child. He relies heavily upon a single passage from </w:t>
      </w:r>
      <w:r w:rsidRPr="00B42271">
        <w:rPr>
          <w:rFonts w:cs="Times New Roman"/>
          <w:i/>
        </w:rPr>
        <w:t>D.B.S.</w:t>
      </w:r>
      <w:r w:rsidRPr="00B42271">
        <w:rPr>
          <w:rFonts w:cs="Times New Roman"/>
        </w:rPr>
        <w:t xml:space="preserve"> where,</w:t>
      </w:r>
      <w:r w:rsidRPr="00B42271">
        <w:rPr>
          <w:rFonts w:cs="Times New Roman"/>
          <w:i/>
        </w:rPr>
        <w:t xml:space="preserve"> </w:t>
      </w:r>
      <w:r w:rsidRPr="00B42271">
        <w:rPr>
          <w:rFonts w:cs="Times New Roman"/>
        </w:rPr>
        <w:t xml:space="preserve">in disposing of one of the four appeals addressed in the </w:t>
      </w:r>
      <w:r w:rsidRPr="00B42271">
        <w:rPr>
          <w:rFonts w:cs="Times New Roman"/>
          <w:i/>
        </w:rPr>
        <w:t xml:space="preserve">D.B.S. </w:t>
      </w:r>
      <w:r w:rsidRPr="00B42271">
        <w:rPr>
          <w:rFonts w:cs="Times New Roman"/>
        </w:rPr>
        <w:t>reasons (</w:t>
      </w:r>
      <w:r w:rsidRPr="00B42271">
        <w:rPr>
          <w:rFonts w:cs="Times New Roman"/>
          <w:i/>
        </w:rPr>
        <w:t>Henry v. Henry</w:t>
      </w:r>
      <w:r w:rsidRPr="00B42271">
        <w:rPr>
          <w:rFonts w:cs="Times New Roman"/>
        </w:rPr>
        <w:t>), which involved an application to retroactively vary</w:t>
      </w:r>
      <w:r w:rsidRPr="00B42271">
        <w:rPr>
          <w:rFonts w:cs="Times New Roman"/>
          <w:i/>
        </w:rPr>
        <w:t xml:space="preserve"> </w:t>
      </w:r>
      <w:r w:rsidRPr="00B42271">
        <w:rPr>
          <w:rFonts w:cs="Times New Roman"/>
        </w:rPr>
        <w:t xml:space="preserve">an existing child support order, Bastarache J., for the majority, wrote the following: </w:t>
      </w:r>
    </w:p>
    <w:p w:rsidR="00A27006" w:rsidRPr="00B42271" w:rsidRDefault="00A27006" w:rsidP="00A27006">
      <w:pPr>
        <w:pStyle w:val="Citation-AltC"/>
        <w:ind w:firstLine="274"/>
      </w:pPr>
      <w:r w:rsidRPr="00B42271">
        <w:t>I would add that the eldest child affected by Rowbotham J.’s order was no longer a child of the marriage when the Notice of Motion for retroactive support was filed. In the circumstances of this appeal, however, this fact has no effect on the jurisdiction of the court to make a retroactive child support order under the </w:t>
      </w:r>
      <w:r w:rsidRPr="00B42271">
        <w:rPr>
          <w:i/>
          <w:iCs/>
        </w:rPr>
        <w:t>Divorce Act</w:t>
      </w:r>
      <w:r w:rsidRPr="00B42271">
        <w:t>. Because Mr. Henry did not disclose his income increases to Ms. Henry earlier, she was compelled to serve him with a Notice to Disclose/Notice of Motion in order to ascertain his income for the years relevant to this appeal. This formal legal procedure, contemplated in the </w:t>
      </w:r>
      <w:r w:rsidRPr="00B42271">
        <w:rPr>
          <w:i/>
          <w:iCs/>
        </w:rPr>
        <w:t>Guidelines</w:t>
      </w:r>
      <w:r w:rsidRPr="00B42271">
        <w:t> and a necessary antecedent to the present appeal, sufficed to trigger the jurisdiction of the court under the </w:t>
      </w:r>
      <w:r w:rsidRPr="00B42271">
        <w:rPr>
          <w:i/>
          <w:iCs/>
        </w:rPr>
        <w:t>Divorce Act</w:t>
      </w:r>
      <w:r w:rsidRPr="00B42271">
        <w:t>. Because it was completed prior to the time the eldest child ceased being a child of the marriage, the court was able to make a retroactive order for this daughter. [para. 150]</w:t>
      </w:r>
    </w:p>
    <w:p w:rsidR="00A27006" w:rsidRPr="00B42271" w:rsidRDefault="00A27006" w:rsidP="00A27006">
      <w:pPr>
        <w:pStyle w:val="ParaNoNdepar-AltN"/>
        <w:numPr>
          <w:ilvl w:val="0"/>
          <w:numId w:val="0"/>
        </w:numPr>
        <w:rPr>
          <w:rFonts w:cs="Times New Roman"/>
        </w:rPr>
      </w:pPr>
      <w:r w:rsidRPr="00B42271">
        <w:rPr>
          <w:rFonts w:cs="Times New Roman"/>
        </w:rPr>
        <w:t xml:space="preserve">Mr. Graydon’s argument is that it is necessarily implicit in this passage that Bastarache J. would have found that, </w:t>
      </w:r>
      <w:r w:rsidRPr="00B42271">
        <w:rPr>
          <w:rFonts w:cs="Times New Roman"/>
          <w:i/>
        </w:rPr>
        <w:t>but for</w:t>
      </w:r>
      <w:r w:rsidRPr="00B42271">
        <w:rPr>
          <w:rFonts w:cs="Times New Roman"/>
        </w:rPr>
        <w:t xml:space="preserve"> the earlier delivery of the Notice to Disclose/Notice of Motion, the court would have lacked authority to make the order sought, since the subject child “was no longer a child of the marriage when the Notice of Motion for retroactive support was filed.”</w:t>
      </w:r>
    </w:p>
    <w:p w:rsidR="00A27006" w:rsidRPr="00B42271" w:rsidRDefault="00A27006" w:rsidP="00A27006">
      <w:pPr>
        <w:pStyle w:val="ParaNoNdepar-AltN"/>
        <w:numPr>
          <w:ilvl w:val="0"/>
          <w:numId w:val="7"/>
        </w:numPr>
        <w:rPr>
          <w:rFonts w:cs="Times New Roman"/>
        </w:rPr>
      </w:pPr>
      <w:r w:rsidRPr="00B42271">
        <w:rPr>
          <w:rFonts w:cs="Times New Roman"/>
        </w:rPr>
        <w:t xml:space="preserve">Significantly, however, the </w:t>
      </w:r>
      <w:r w:rsidRPr="00B42271">
        <w:rPr>
          <w:rFonts w:cs="Times New Roman"/>
          <w:i/>
        </w:rPr>
        <w:t xml:space="preserve">Henry </w:t>
      </w:r>
      <w:r w:rsidRPr="00B42271">
        <w:rPr>
          <w:rFonts w:cs="Times New Roman"/>
        </w:rPr>
        <w:t xml:space="preserve">appeal arose from an application to vary an </w:t>
      </w:r>
      <w:r w:rsidRPr="00B42271">
        <w:rPr>
          <w:rFonts w:cs="Times New Roman"/>
          <w:i/>
        </w:rPr>
        <w:t>existing</w:t>
      </w:r>
      <w:r w:rsidRPr="00B42271">
        <w:rPr>
          <w:rFonts w:cs="Times New Roman"/>
        </w:rPr>
        <w:t xml:space="preserve"> child support order which engaged s. 17 of the </w:t>
      </w:r>
      <w:r w:rsidRPr="00B42271">
        <w:rPr>
          <w:rFonts w:cs="Times New Roman"/>
          <w:i/>
        </w:rPr>
        <w:t>Divorce Act</w:t>
      </w:r>
      <w:r w:rsidRPr="00B42271">
        <w:rPr>
          <w:rFonts w:cs="Times New Roman"/>
        </w:rPr>
        <w:t>. Unlike s. 15.1, ss. 17(1) and 17(4) do not refer to “children of the marriage”.</w:t>
      </w:r>
      <w:r w:rsidRPr="00B42271">
        <w:rPr>
          <w:rFonts w:cs="Times New Roman"/>
          <w:i/>
        </w:rPr>
        <w:t xml:space="preserve"> </w:t>
      </w:r>
      <w:r w:rsidRPr="00B42271">
        <w:rPr>
          <w:rFonts w:cs="Times New Roman"/>
        </w:rPr>
        <w:t xml:space="preserve">While it may therefore not have been strictly necessary to address jurisdiction in relation to the </w:t>
      </w:r>
      <w:r w:rsidRPr="00B42271">
        <w:rPr>
          <w:rFonts w:cs="Times New Roman"/>
          <w:i/>
        </w:rPr>
        <w:t xml:space="preserve">Henry </w:t>
      </w:r>
      <w:r w:rsidRPr="00B42271">
        <w:rPr>
          <w:rFonts w:cs="Times New Roman"/>
        </w:rPr>
        <w:t>appeal, it remains that “a case is only an authority for what it actually decides” (</w:t>
      </w:r>
      <w:r w:rsidRPr="00B42271">
        <w:rPr>
          <w:rFonts w:cs="Times New Roman"/>
          <w:i/>
        </w:rPr>
        <w:t>Quinn v. Leathem</w:t>
      </w:r>
      <w:r w:rsidRPr="00B42271">
        <w:rPr>
          <w:rFonts w:cs="Times New Roman"/>
        </w:rPr>
        <w:t xml:space="preserve">, [1901] A.C. 495 (H.L.), at p. 506). By referencing the phrase “child of the marriage”, Bastarache J.’s comments were plainly limited to the jurisdictional issue that arises under s. 15.1 of the </w:t>
      </w:r>
      <w:r w:rsidRPr="00B42271">
        <w:rPr>
          <w:rFonts w:cs="Times New Roman"/>
          <w:i/>
        </w:rPr>
        <w:t>Divorce Act</w:t>
      </w:r>
      <w:r w:rsidRPr="00B42271">
        <w:rPr>
          <w:rFonts w:cs="Times New Roman"/>
        </w:rPr>
        <w:t>, which he had already canvassed in his reasons (</w:t>
      </w:r>
      <w:r w:rsidRPr="00B42271">
        <w:rPr>
          <w:rFonts w:cs="Times New Roman"/>
          <w:i/>
        </w:rPr>
        <w:t>D.B.S.</w:t>
      </w:r>
      <w:r w:rsidRPr="00B42271">
        <w:rPr>
          <w:rFonts w:cs="Times New Roman"/>
        </w:rPr>
        <w:t>, at paras. 88</w:t>
      </w:r>
      <w:r w:rsidRPr="00B42271">
        <w:rPr>
          <w:rFonts w:cs="Times New Roman"/>
        </w:rPr>
        <w:noBreakHyphen/>
        <w:t xml:space="preserve">89). I therefore reject Mr. Graydon’s suggestion that the discussion of jurisdiction in relation to the </w:t>
      </w:r>
      <w:r w:rsidRPr="00B42271">
        <w:rPr>
          <w:rFonts w:cs="Times New Roman"/>
          <w:i/>
        </w:rPr>
        <w:t xml:space="preserve">Henry </w:t>
      </w:r>
      <w:r w:rsidRPr="00B42271">
        <w:rPr>
          <w:rFonts w:cs="Times New Roman"/>
        </w:rPr>
        <w:t>appeal</w:t>
      </w:r>
      <w:r w:rsidRPr="00B42271">
        <w:rPr>
          <w:rFonts w:cs="Times New Roman"/>
          <w:i/>
        </w:rPr>
        <w:t xml:space="preserve"> </w:t>
      </w:r>
      <w:r w:rsidRPr="00B42271">
        <w:rPr>
          <w:rFonts w:cs="Times New Roman"/>
        </w:rPr>
        <w:t>was</w:t>
      </w:r>
      <w:r w:rsidRPr="00B42271">
        <w:rPr>
          <w:rFonts w:cs="Times New Roman"/>
          <w:i/>
        </w:rPr>
        <w:t xml:space="preserve"> </w:t>
      </w:r>
      <w:r w:rsidRPr="00B42271">
        <w:rPr>
          <w:rFonts w:cs="Times New Roman"/>
        </w:rPr>
        <w:t>implicitly intended to</w:t>
      </w:r>
      <w:r w:rsidRPr="00B42271">
        <w:rPr>
          <w:rFonts w:cs="Times New Roman"/>
          <w:i/>
        </w:rPr>
        <w:t xml:space="preserve"> </w:t>
      </w:r>
      <w:r w:rsidRPr="00B42271">
        <w:rPr>
          <w:rFonts w:cs="Times New Roman"/>
        </w:rPr>
        <w:t xml:space="preserve">apply to retroactive variation orders under s. 17 of the </w:t>
      </w:r>
      <w:r w:rsidRPr="00B42271">
        <w:rPr>
          <w:rFonts w:cs="Times New Roman"/>
          <w:i/>
        </w:rPr>
        <w:t>Divorce Act</w:t>
      </w:r>
      <w:r w:rsidRPr="00B42271">
        <w:rPr>
          <w:rFonts w:cs="Times New Roman"/>
        </w:rPr>
        <w:t>, without any reference to the language of that provision. On my reading, the Court did not consider or decide the issue as it was unnecessary to dispose of the appeal. </w:t>
      </w:r>
      <w:r w:rsidRPr="00B42271">
        <w:rPr>
          <w:rFonts w:cs="Times New Roman"/>
          <w:i/>
        </w:rPr>
        <w:t>D.B.S.</w:t>
      </w:r>
      <w:r w:rsidRPr="00B42271">
        <w:rPr>
          <w:rFonts w:cs="Times New Roman"/>
        </w:rPr>
        <w:t xml:space="preserve"> therefore does not stand for the proposition that courts can retroactively vary child support only while the child beneficiary is a “child of the marriage” (see </w:t>
      </w:r>
      <w:r w:rsidRPr="00B42271">
        <w:rPr>
          <w:rFonts w:cs="Times New Roman"/>
          <w:i/>
        </w:rPr>
        <w:t>Colucci</w:t>
      </w:r>
      <w:r w:rsidRPr="00B42271">
        <w:rPr>
          <w:rFonts w:cs="Times New Roman"/>
        </w:rPr>
        <w:t>, at paras. 12</w:t>
      </w:r>
      <w:r w:rsidRPr="00B42271">
        <w:rPr>
          <w:rFonts w:cs="Times New Roman"/>
        </w:rPr>
        <w:noBreakHyphen/>
        <w:t xml:space="preserve">14; </w:t>
      </w:r>
      <w:r w:rsidRPr="00B42271">
        <w:rPr>
          <w:rFonts w:cs="Times New Roman"/>
          <w:i/>
        </w:rPr>
        <w:t>Dring</w:t>
      </w:r>
      <w:r w:rsidRPr="00B42271">
        <w:rPr>
          <w:rFonts w:cs="Times New Roman"/>
        </w:rPr>
        <w:t>, at paras. 190</w:t>
      </w:r>
      <w:r w:rsidRPr="00B42271">
        <w:rPr>
          <w:rFonts w:cs="Times New Roman"/>
        </w:rPr>
        <w:noBreakHyphen/>
        <w:t xml:space="preserve">200, per Hunter J.A., concurring; </w:t>
      </w:r>
      <w:r w:rsidRPr="00B42271">
        <w:rPr>
          <w:rFonts w:cs="Times New Roman"/>
          <w:i/>
        </w:rPr>
        <w:t>Brear</w:t>
      </w:r>
      <w:r w:rsidRPr="00B42271">
        <w:rPr>
          <w:rFonts w:cs="Times New Roman"/>
        </w:rPr>
        <w:t>, at paras. 46</w:t>
      </w:r>
      <w:r w:rsidRPr="00B42271">
        <w:rPr>
          <w:rFonts w:cs="Times New Roman"/>
        </w:rPr>
        <w:noBreakHyphen/>
        <w:t>50).</w:t>
      </w:r>
    </w:p>
    <w:p w:rsidR="00A27006" w:rsidRPr="00B42271" w:rsidRDefault="00A27006" w:rsidP="00A27006">
      <w:pPr>
        <w:pStyle w:val="ParaNoNdepar-AltN"/>
        <w:numPr>
          <w:ilvl w:val="0"/>
          <w:numId w:val="7"/>
        </w:numPr>
        <w:rPr>
          <w:rFonts w:cs="Times New Roman"/>
        </w:rPr>
      </w:pPr>
      <w:r w:rsidRPr="00B42271">
        <w:rPr>
          <w:rFonts w:cs="Times New Roman"/>
        </w:rPr>
        <w:t xml:space="preserve">Nor do I accept that the Court in </w:t>
      </w:r>
      <w:r w:rsidRPr="00B42271">
        <w:rPr>
          <w:rFonts w:cs="Times New Roman"/>
          <w:i/>
        </w:rPr>
        <w:t>D.B.S.</w:t>
      </w:r>
      <w:r w:rsidRPr="00B42271">
        <w:rPr>
          <w:rFonts w:cs="Times New Roman"/>
        </w:rPr>
        <w:t xml:space="preserve"> stated a sweeping principle that transcends the </w:t>
      </w:r>
      <w:r w:rsidRPr="00B42271">
        <w:rPr>
          <w:rFonts w:cs="Times New Roman"/>
          <w:i/>
        </w:rPr>
        <w:t>Divorce Act</w:t>
      </w:r>
      <w:r w:rsidRPr="00B42271">
        <w:rPr>
          <w:rFonts w:cs="Times New Roman"/>
        </w:rPr>
        <w:t xml:space="preserve"> to embrace all other statutory schemes and operates irrespective of legislative intent. Indeed, the Court insisted that provinces remain “free to espouse a different paradigm” than that adopted by Parliament in the </w:t>
      </w:r>
      <w:r w:rsidRPr="00B42271">
        <w:rPr>
          <w:rFonts w:cs="Times New Roman"/>
          <w:i/>
        </w:rPr>
        <w:t>Divorce Act</w:t>
      </w:r>
      <w:r w:rsidRPr="00B42271">
        <w:rPr>
          <w:rFonts w:cs="Times New Roman"/>
        </w:rPr>
        <w:t xml:space="preserve"> (para. 54). And where they do so via</w:t>
      </w:r>
      <w:r w:rsidRPr="00B42271">
        <w:rPr>
          <w:rFonts w:cs="Times New Roman"/>
          <w:i/>
        </w:rPr>
        <w:t xml:space="preserve"> </w:t>
      </w:r>
      <w:r w:rsidRPr="00B42271">
        <w:rPr>
          <w:rFonts w:cs="Times New Roman"/>
        </w:rPr>
        <w:t>legislation establishing an application</w:t>
      </w:r>
      <w:r w:rsidRPr="00B42271">
        <w:rPr>
          <w:rFonts w:cs="Times New Roman"/>
        </w:rPr>
        <w:noBreakHyphen/>
        <w:t xml:space="preserve">based regime such as the </w:t>
      </w:r>
      <w:r w:rsidRPr="00B42271">
        <w:rPr>
          <w:rFonts w:cs="Times New Roman"/>
          <w:i/>
        </w:rPr>
        <w:t>FLA</w:t>
      </w:r>
      <w:r w:rsidRPr="00B42271">
        <w:rPr>
          <w:rFonts w:cs="Times New Roman"/>
        </w:rPr>
        <w:t xml:space="preserve">, and where an application for retroactive child support is brought thereunder, it is </w:t>
      </w:r>
      <w:r w:rsidRPr="00B42271">
        <w:rPr>
          <w:rFonts w:cs="Times New Roman"/>
          <w:i/>
        </w:rPr>
        <w:t xml:space="preserve">that legislation </w:t>
      </w:r>
      <w:r w:rsidRPr="00B42271">
        <w:rPr>
          <w:rFonts w:cs="Times New Roman"/>
        </w:rPr>
        <w:t>which governs a court’s authority to grant retroactive child support (paras. 55</w:t>
      </w:r>
      <w:r w:rsidRPr="00B42271">
        <w:rPr>
          <w:rFonts w:cs="Times New Roman"/>
        </w:rPr>
        <w:noBreakHyphen/>
        <w:t>56).</w:t>
      </w:r>
    </w:p>
    <w:p w:rsidR="00A27006" w:rsidRPr="00B42271" w:rsidRDefault="00A27006" w:rsidP="00A27006">
      <w:pPr>
        <w:pStyle w:val="ParaNoNdepar-AltN"/>
        <w:numPr>
          <w:ilvl w:val="0"/>
          <w:numId w:val="7"/>
        </w:numPr>
        <w:rPr>
          <w:rFonts w:cs="Times New Roman"/>
        </w:rPr>
      </w:pPr>
      <w:r w:rsidRPr="00B42271">
        <w:rPr>
          <w:rFonts w:cs="Times New Roman"/>
        </w:rPr>
        <w:t>Moreover, courts should not be hasty to recognize jurisdictional impediments that bar applications for retroactive child support. This is because jurisdictional constraints are “inimical to the principles and policy objectives articulated in [</w:t>
      </w:r>
      <w:r w:rsidRPr="00B42271">
        <w:rPr>
          <w:rFonts w:cs="Times New Roman"/>
          <w:i/>
        </w:rPr>
        <w:t>D.B.S.</w:t>
      </w:r>
      <w:r w:rsidRPr="00B42271">
        <w:rPr>
          <w:rFonts w:cs="Times New Roman"/>
        </w:rPr>
        <w:t>]” (</w:t>
      </w:r>
      <w:r w:rsidRPr="00B42271">
        <w:rPr>
          <w:rFonts w:cs="Times New Roman"/>
          <w:i/>
        </w:rPr>
        <w:t>Brear</w:t>
      </w:r>
      <w:r w:rsidRPr="00B42271">
        <w:rPr>
          <w:rFonts w:cs="Times New Roman"/>
        </w:rPr>
        <w:t>,</w:t>
      </w:r>
      <w:r w:rsidRPr="00B42271">
        <w:rPr>
          <w:rFonts w:cs="Times New Roman"/>
          <w:i/>
        </w:rPr>
        <w:t xml:space="preserve"> </w:t>
      </w:r>
      <w:r w:rsidRPr="00B42271">
        <w:rPr>
          <w:rFonts w:cs="Times New Roman"/>
        </w:rPr>
        <w:t xml:space="preserve">at para. 60), and may be imposed only where the legislature has clearly intended that they be imposed. Such constraints must therefore be apparent in the statutory scheme, bearing in mind that preventing courts from even </w:t>
      </w:r>
      <w:r w:rsidRPr="00B42271">
        <w:rPr>
          <w:rFonts w:cs="Times New Roman"/>
          <w:i/>
        </w:rPr>
        <w:t>considering</w:t>
      </w:r>
      <w:r w:rsidRPr="00B42271">
        <w:rPr>
          <w:rFonts w:cs="Times New Roman"/>
        </w:rPr>
        <w:t xml:space="preserve"> an award for retroactive child support would prevent enforcement of an unfulfilled legal obligation even in the most appropriate of circumstances. As Sharpe J.A. explained in </w:t>
      </w:r>
      <w:r w:rsidRPr="00B42271">
        <w:rPr>
          <w:rFonts w:cs="Times New Roman"/>
          <w:i/>
        </w:rPr>
        <w:t>Colucci</w:t>
      </w:r>
      <w:r w:rsidRPr="00B42271">
        <w:rPr>
          <w:rFonts w:cs="Times New Roman"/>
        </w:rPr>
        <w:t>:</w:t>
      </w:r>
    </w:p>
    <w:p w:rsidR="00A27006" w:rsidRPr="00B42271" w:rsidRDefault="00A27006" w:rsidP="00A27006">
      <w:pPr>
        <w:pStyle w:val="Citation-AltC"/>
      </w:pPr>
      <w:r w:rsidRPr="00B42271">
        <w:t>I can see no reason why the court should be deprived of jurisdiction to consider the request of a recipient parent who struggled to support the children and to shift part of that burden to the payor parent if there was a change in circumstance that would have justified a variation while the children were still children of the marriage . . . . [A] regime that gave payor parents immunity after the children ceased to be children of the marriage would create a perverse incentive. If the payor parent is to be absolved from responsibility once the children cease to be “children of the marriage”, the payor whose income increases might be encouraged not to respond to his or her increased obligations in the hope that the reciprocal spouse will delay making an application for a variation increasing support until the children lose their status to avoid opening the door to an increased obligation . . . . [para. 26]</w:t>
      </w:r>
    </w:p>
    <w:p w:rsidR="00A27006" w:rsidRPr="00B42271" w:rsidRDefault="00A27006" w:rsidP="00A27006">
      <w:pPr>
        <w:pStyle w:val="ContinueParaSuitedupar-AltP"/>
        <w:rPr>
          <w:rFonts w:cs="Times New Roman"/>
        </w:rPr>
      </w:pPr>
      <w:r w:rsidRPr="00B42271">
        <w:rPr>
          <w:rFonts w:cs="Times New Roman"/>
        </w:rPr>
        <w:t>Unless compelled by the applicable legislative scheme, courts should avoid creating any incentive whatsoever for payor parents to avoid meeting their child support obligations (</w:t>
      </w:r>
      <w:r w:rsidRPr="00B42271">
        <w:rPr>
          <w:rFonts w:cs="Times New Roman"/>
          <w:i/>
        </w:rPr>
        <w:t>D.B.S.</w:t>
      </w:r>
      <w:r w:rsidRPr="00B42271">
        <w:rPr>
          <w:rFonts w:cs="Times New Roman"/>
        </w:rPr>
        <w:t xml:space="preserve">, at para. 4). Permitting retroactive child support awards, as this Court recognized in </w:t>
      </w:r>
      <w:r w:rsidRPr="00B42271">
        <w:rPr>
          <w:rFonts w:cs="Times New Roman"/>
          <w:i/>
        </w:rPr>
        <w:t>D.B.S.</w:t>
      </w:r>
      <w:r w:rsidRPr="00B42271">
        <w:rPr>
          <w:rFonts w:cs="Times New Roman"/>
        </w:rPr>
        <w:t>, is perfectly consistent with the child support system (para. 60).</w:t>
      </w:r>
    </w:p>
    <w:p w:rsidR="00A27006" w:rsidRPr="00B42271" w:rsidRDefault="00A27006" w:rsidP="00A27006">
      <w:pPr>
        <w:pStyle w:val="Title3LevelTitre3Niveau"/>
        <w:rPr>
          <w:rFonts w:cs="Times New Roman"/>
        </w:rPr>
      </w:pPr>
      <w:r w:rsidRPr="00B42271">
        <w:rPr>
          <w:rFonts w:cs="Times New Roman"/>
        </w:rPr>
        <w:t xml:space="preserve">The </w:t>
      </w:r>
      <w:r w:rsidRPr="00B42271">
        <w:rPr>
          <w:rFonts w:cs="Times New Roman"/>
          <w:i/>
        </w:rPr>
        <w:t xml:space="preserve">FLA </w:t>
      </w:r>
    </w:p>
    <w:p w:rsidR="00A27006" w:rsidRPr="00B42271" w:rsidRDefault="00A27006" w:rsidP="00A27006">
      <w:pPr>
        <w:pStyle w:val="ParaNoNdepar-AltN"/>
        <w:numPr>
          <w:ilvl w:val="0"/>
          <w:numId w:val="7"/>
        </w:numPr>
        <w:rPr>
          <w:rFonts w:cs="Times New Roman"/>
        </w:rPr>
      </w:pPr>
      <w:r w:rsidRPr="00B42271">
        <w:rPr>
          <w:rFonts w:cs="Times New Roman"/>
        </w:rPr>
        <w:t xml:space="preserve">I turn now to interpreting the relevant provisions of the statutory scheme at issue here: the </w:t>
      </w:r>
      <w:r w:rsidRPr="00B42271">
        <w:rPr>
          <w:rFonts w:cs="Times New Roman"/>
          <w:i/>
        </w:rPr>
        <w:t>FLA</w:t>
      </w:r>
      <w:r w:rsidRPr="00B42271">
        <w:rPr>
          <w:rFonts w:cs="Times New Roman"/>
        </w:rPr>
        <w:t xml:space="preserve">. For the purposes of determining who is eligible to receive child support, the </w:t>
      </w:r>
      <w:r w:rsidRPr="00B42271">
        <w:rPr>
          <w:rFonts w:cs="Times New Roman"/>
          <w:i/>
        </w:rPr>
        <w:t xml:space="preserve">FLA </w:t>
      </w:r>
      <w:r w:rsidRPr="00B42271">
        <w:rPr>
          <w:rFonts w:cs="Times New Roman"/>
        </w:rPr>
        <w:t xml:space="preserve">defines the term “child” in different ways. While “child” is defined in s. 1 as meaning “a person who is under 19 years of age”, the </w:t>
      </w:r>
      <w:r w:rsidRPr="00B42271">
        <w:rPr>
          <w:rFonts w:cs="Times New Roman"/>
          <w:i/>
        </w:rPr>
        <w:t>FLA</w:t>
      </w:r>
      <w:r w:rsidRPr="00B42271">
        <w:rPr>
          <w:rFonts w:cs="Times New Roman"/>
        </w:rPr>
        <w:t xml:space="preserve"> expands that general definition in relation to a parent or guardian’s duty to provide child support (ss. 146 and 147). In essence, the </w:t>
      </w:r>
      <w:r w:rsidRPr="00B42271">
        <w:rPr>
          <w:rFonts w:cs="Times New Roman"/>
          <w:i/>
        </w:rPr>
        <w:t>FLA</w:t>
      </w:r>
      <w:r w:rsidRPr="00B42271">
        <w:rPr>
          <w:rFonts w:cs="Times New Roman"/>
        </w:rPr>
        <w:t xml:space="preserve"> (like the </w:t>
      </w:r>
      <w:r w:rsidRPr="00B42271">
        <w:rPr>
          <w:rFonts w:cs="Times New Roman"/>
          <w:i/>
        </w:rPr>
        <w:t>Divorce Act</w:t>
      </w:r>
      <w:r w:rsidRPr="00B42271">
        <w:rPr>
          <w:rFonts w:cs="Times New Roman"/>
        </w:rPr>
        <w:t>) says that children who are dependent on their parents are eligible to receive child support.</w:t>
      </w:r>
    </w:p>
    <w:p w:rsidR="00A27006" w:rsidRPr="00B42271" w:rsidRDefault="00A27006" w:rsidP="00A27006">
      <w:pPr>
        <w:pStyle w:val="ParaNoNdepar-AltN"/>
        <w:numPr>
          <w:ilvl w:val="0"/>
          <w:numId w:val="7"/>
        </w:numPr>
        <w:rPr>
          <w:rFonts w:cs="Times New Roman"/>
          <w:lang w:val="en-US"/>
        </w:rPr>
      </w:pPr>
      <w:r w:rsidRPr="00B42271">
        <w:rPr>
          <w:rFonts w:cs="Times New Roman"/>
        </w:rPr>
        <w:t xml:space="preserve">Further, the </w:t>
      </w:r>
      <w:r w:rsidRPr="00B42271">
        <w:rPr>
          <w:rFonts w:cs="Times New Roman"/>
          <w:i/>
        </w:rPr>
        <w:t xml:space="preserve">FLA </w:t>
      </w:r>
      <w:r w:rsidRPr="00B42271">
        <w:rPr>
          <w:rFonts w:cs="Times New Roman"/>
        </w:rPr>
        <w:t xml:space="preserve">authorizes two kinds of applications respecting child support. First, s. 149(1) and (2), taken together, authorize a child’s parent or guardian, the child, a person acting on behalf of the child or (if the right to child support has been assigned to a minister) a minister to apply for an order of child support. Secondly, s. 152 authorizes a court to “change, suspend or terminate an order respecting child support”, and to do so prospectively or retroactively, so long as the court is “satisfied that at least one of the following exists, and take[s] it into consideration”: </w:t>
      </w:r>
    </w:p>
    <w:p w:rsidR="00A27006" w:rsidRPr="006D1783" w:rsidRDefault="00A27006" w:rsidP="006D1783">
      <w:pPr>
        <w:pStyle w:val="Citation-AltC"/>
        <w:numPr>
          <w:ilvl w:val="4"/>
          <w:numId w:val="1"/>
        </w:numPr>
        <w:spacing w:after="480" w:line="480" w:lineRule="auto"/>
        <w:ind w:left="446" w:hanging="446"/>
        <w:contextualSpacing w:val="0"/>
        <w:rPr>
          <w:lang w:val="en-US"/>
        </w:rPr>
      </w:pPr>
      <w:r w:rsidRPr="00B42271">
        <w:rPr>
          <w:lang w:val="en-US"/>
        </w:rPr>
        <w:t>a change in circumstances, as provided for in the child support guidelines, has occurred since the order respecting child support was made;</w:t>
      </w:r>
    </w:p>
    <w:p w:rsidR="00A27006" w:rsidRPr="006D1783" w:rsidRDefault="00A27006" w:rsidP="006D1783">
      <w:pPr>
        <w:pStyle w:val="Citation-AltC"/>
        <w:numPr>
          <w:ilvl w:val="4"/>
          <w:numId w:val="1"/>
        </w:numPr>
        <w:spacing w:after="480" w:line="480" w:lineRule="auto"/>
        <w:ind w:left="446" w:hanging="446"/>
        <w:contextualSpacing w:val="0"/>
        <w:rPr>
          <w:lang w:val="en-US"/>
        </w:rPr>
      </w:pPr>
      <w:r w:rsidRPr="00B42271">
        <w:rPr>
          <w:lang w:val="en-US"/>
        </w:rPr>
        <w:t>evidence of a substantial nature that was not available during the previous hearing has become available;</w:t>
      </w:r>
    </w:p>
    <w:p w:rsidR="00A27006" w:rsidRPr="00B42271" w:rsidRDefault="00A27006" w:rsidP="006D1783">
      <w:pPr>
        <w:pStyle w:val="Citation-AltC"/>
        <w:numPr>
          <w:ilvl w:val="4"/>
          <w:numId w:val="1"/>
        </w:numPr>
        <w:spacing w:after="480" w:line="480" w:lineRule="auto"/>
        <w:ind w:left="446" w:hanging="446"/>
        <w:contextualSpacing w:val="0"/>
        <w:rPr>
          <w:lang w:val="en-US"/>
        </w:rPr>
      </w:pPr>
      <w:r w:rsidRPr="00B42271">
        <w:rPr>
          <w:lang w:val="en-US"/>
        </w:rPr>
        <w:t>evidence of a lack of financial disclosure by a party was discovered after the last order was made.</w:t>
      </w:r>
    </w:p>
    <w:p w:rsidR="00A27006" w:rsidRPr="00B42271" w:rsidRDefault="00A27006" w:rsidP="00A27006">
      <w:pPr>
        <w:pStyle w:val="ParaNoNdepar-AltN"/>
        <w:numPr>
          <w:ilvl w:val="0"/>
          <w:numId w:val="7"/>
        </w:numPr>
        <w:rPr>
          <w:rFonts w:cs="Times New Roman"/>
        </w:rPr>
      </w:pPr>
      <w:r w:rsidRPr="00B42271">
        <w:rPr>
          <w:rFonts w:cs="Times New Roman"/>
        </w:rPr>
        <w:t xml:space="preserve">Ms. Michel relies on s. 152 in support of her application — that is, she says she seeks to vary the March 29, 2001 consent order. For two reasons, Mr. Graydon argues that she cannot succeed under s. 152. First, he contends that the application must be made while the beneficiary remains a dependent child. And secondly, he says that s. 152 can be used only to vary an extant order that imposes continuing child support obligations at the time the application is made. Properly interpreted, however, and as I shall explain, s. 152 of the </w:t>
      </w:r>
      <w:r w:rsidRPr="00B42271">
        <w:rPr>
          <w:rFonts w:cs="Times New Roman"/>
          <w:i/>
        </w:rPr>
        <w:t xml:space="preserve">FLA </w:t>
      </w:r>
      <w:r w:rsidRPr="00B42271">
        <w:rPr>
          <w:rFonts w:cs="Times New Roman"/>
        </w:rPr>
        <w:t xml:space="preserve">does not support either of Mr. Graydon’s arguments. Far from erecting barriers, s. 152 creates </w:t>
      </w:r>
      <w:r w:rsidRPr="00B42271">
        <w:rPr>
          <w:rFonts w:cs="Times New Roman"/>
          <w:i/>
        </w:rPr>
        <w:t>an avenue</w:t>
      </w:r>
      <w:r w:rsidRPr="00B42271">
        <w:rPr>
          <w:rFonts w:cs="Times New Roman"/>
        </w:rPr>
        <w:t xml:space="preserve"> for courts to retroactively change any child support order, irrespective of the beneficiary’s dependent status and irrespective of whether the order is extant at the time of the application.</w:t>
      </w:r>
    </w:p>
    <w:p w:rsidR="00A27006" w:rsidRPr="00B42271" w:rsidRDefault="00A27006" w:rsidP="00A27006">
      <w:pPr>
        <w:pStyle w:val="ParaNoNdepar-AltN"/>
        <w:numPr>
          <w:ilvl w:val="0"/>
          <w:numId w:val="7"/>
        </w:numPr>
        <w:rPr>
          <w:rFonts w:cs="Times New Roman"/>
        </w:rPr>
      </w:pPr>
      <w:r w:rsidRPr="00B42271">
        <w:rPr>
          <w:rFonts w:cs="Times New Roman"/>
        </w:rPr>
        <w:t>It is now trite law in Canada that statutory interpretation entails discerning legislative intent by examining statutory text in its entire context and in its grammatical and ordinary sense, in harmony with the statute’s scheme and objects</w:t>
      </w:r>
      <w:r w:rsidRPr="00B42271">
        <w:rPr>
          <w:rFonts w:cs="Times New Roman"/>
          <w:lang w:val="en-US"/>
        </w:rPr>
        <w:t xml:space="preserve">. In this case, this Court’s task of interpreting s. 152 of the </w:t>
      </w:r>
      <w:r w:rsidRPr="00B42271">
        <w:rPr>
          <w:rFonts w:cs="Times New Roman"/>
          <w:i/>
          <w:lang w:val="en-US"/>
        </w:rPr>
        <w:t>FLA</w:t>
      </w:r>
      <w:r w:rsidRPr="00B42271">
        <w:rPr>
          <w:rFonts w:cs="Times New Roman"/>
          <w:lang w:val="en-US"/>
        </w:rPr>
        <w:t xml:space="preserve"> has been lightened considerably by persuasive judicial analyses at other courts regarding its meaning (see </w:t>
      </w:r>
      <w:r w:rsidRPr="00B42271">
        <w:rPr>
          <w:rFonts w:cs="Times New Roman"/>
          <w:i/>
        </w:rPr>
        <w:t>Dring</w:t>
      </w:r>
      <w:r w:rsidRPr="00B42271">
        <w:rPr>
          <w:rFonts w:cs="Times New Roman"/>
        </w:rPr>
        <w:t>, at paras. 133</w:t>
      </w:r>
      <w:r w:rsidRPr="00B42271">
        <w:rPr>
          <w:rFonts w:cs="Times New Roman"/>
        </w:rPr>
        <w:noBreakHyphen/>
        <w:t xml:space="preserve">73, per Hunter J.A., concurring) and the meaning of similar provisions in other legislation (see </w:t>
      </w:r>
      <w:r w:rsidRPr="00B42271">
        <w:rPr>
          <w:rFonts w:cs="Times New Roman"/>
          <w:i/>
        </w:rPr>
        <w:t>Brear</w:t>
      </w:r>
      <w:r w:rsidRPr="00B42271">
        <w:rPr>
          <w:rFonts w:cs="Times New Roman"/>
        </w:rPr>
        <w:t>, at paras. 29</w:t>
      </w:r>
      <w:r w:rsidRPr="00B42271">
        <w:rPr>
          <w:rFonts w:cs="Times New Roman"/>
        </w:rPr>
        <w:noBreakHyphen/>
        <w:t>50, per Pentelechuk J.A.;</w:t>
      </w:r>
      <w:r w:rsidRPr="00B42271">
        <w:rPr>
          <w:rFonts w:cs="Times New Roman"/>
          <w:i/>
        </w:rPr>
        <w:t xml:space="preserve"> Colucci</w:t>
      </w:r>
      <w:r w:rsidRPr="00B42271">
        <w:rPr>
          <w:rFonts w:cs="Times New Roman"/>
        </w:rPr>
        <w:t>, at paras. 8</w:t>
      </w:r>
      <w:r w:rsidRPr="00B42271">
        <w:rPr>
          <w:rFonts w:cs="Times New Roman"/>
        </w:rPr>
        <w:noBreakHyphen/>
        <w:t xml:space="preserve">31, per Sharpe J.A.; </w:t>
      </w:r>
      <w:r w:rsidRPr="00B42271">
        <w:rPr>
          <w:rFonts w:cs="Times New Roman"/>
          <w:i/>
        </w:rPr>
        <w:t>Buckingham v. Buckingham</w:t>
      </w:r>
      <w:r w:rsidRPr="00B42271">
        <w:rPr>
          <w:rFonts w:cs="Times New Roman"/>
        </w:rPr>
        <w:t>, 2013 ABQB 155, 554 A.R. 256, at paras. 40</w:t>
      </w:r>
      <w:r w:rsidRPr="00B42271">
        <w:rPr>
          <w:rFonts w:cs="Times New Roman"/>
        </w:rPr>
        <w:noBreakHyphen/>
        <w:t xml:space="preserve">48, per Strekaf J. (as she then was)). </w:t>
      </w:r>
    </w:p>
    <w:p w:rsidR="00A27006" w:rsidRPr="00B42271" w:rsidRDefault="00A27006" w:rsidP="00A27006">
      <w:pPr>
        <w:pStyle w:val="ParaNoNdepar-AltN"/>
        <w:numPr>
          <w:ilvl w:val="0"/>
          <w:numId w:val="7"/>
        </w:numPr>
        <w:rPr>
          <w:rFonts w:cs="Times New Roman"/>
        </w:rPr>
      </w:pPr>
      <w:r w:rsidRPr="00B42271">
        <w:rPr>
          <w:rFonts w:cs="Times New Roman"/>
        </w:rPr>
        <w:t xml:space="preserve">Examining s. 152 of the </w:t>
      </w:r>
      <w:r w:rsidRPr="00B42271">
        <w:rPr>
          <w:rFonts w:cs="Times New Roman"/>
          <w:i/>
        </w:rPr>
        <w:t xml:space="preserve">FLA </w:t>
      </w:r>
      <w:r w:rsidRPr="00B42271">
        <w:rPr>
          <w:rFonts w:cs="Times New Roman"/>
        </w:rPr>
        <w:t xml:space="preserve">in the light of this Court’s examination in </w:t>
      </w:r>
      <w:r w:rsidRPr="00B42271">
        <w:rPr>
          <w:rFonts w:cs="Times New Roman"/>
          <w:i/>
        </w:rPr>
        <w:t>D.B.S.</w:t>
      </w:r>
      <w:r w:rsidRPr="00B42271">
        <w:rPr>
          <w:rFonts w:cs="Times New Roman"/>
        </w:rPr>
        <w:t xml:space="preserve"> of s. 15.1 of the </w:t>
      </w:r>
      <w:r w:rsidRPr="00B42271">
        <w:rPr>
          <w:rFonts w:cs="Times New Roman"/>
          <w:i/>
        </w:rPr>
        <w:t>Divorce Act</w:t>
      </w:r>
      <w:r w:rsidRPr="00B42271">
        <w:rPr>
          <w:rFonts w:cs="Times New Roman"/>
        </w:rPr>
        <w:t xml:space="preserve">, what becomes readily apparent is what s. 152 does </w:t>
      </w:r>
      <w:r w:rsidRPr="00B42271">
        <w:rPr>
          <w:rFonts w:cs="Times New Roman"/>
          <w:i/>
        </w:rPr>
        <w:t>not</w:t>
      </w:r>
      <w:r w:rsidRPr="00B42271">
        <w:rPr>
          <w:rFonts w:cs="Times New Roman"/>
        </w:rPr>
        <w:t xml:space="preserve"> contain. The </w:t>
      </w:r>
      <w:r w:rsidRPr="00B42271">
        <w:rPr>
          <w:rFonts w:cs="Times New Roman"/>
          <w:i/>
        </w:rPr>
        <w:t xml:space="preserve">FLA </w:t>
      </w:r>
      <w:r w:rsidRPr="00B42271">
        <w:rPr>
          <w:rFonts w:cs="Times New Roman"/>
        </w:rPr>
        <w:t xml:space="preserve">replaced its predecessor, the </w:t>
      </w:r>
      <w:r w:rsidRPr="00B42271">
        <w:rPr>
          <w:rFonts w:cs="Times New Roman"/>
          <w:i/>
        </w:rPr>
        <w:t>Family Relations Act</w:t>
      </w:r>
      <w:r w:rsidRPr="00B42271">
        <w:rPr>
          <w:rFonts w:cs="Times New Roman"/>
        </w:rPr>
        <w:t xml:space="preserve">, which stated, for both original and variation applications, that “[a]ny person may apply for an order . . . </w:t>
      </w:r>
      <w:r w:rsidRPr="00B42271">
        <w:rPr>
          <w:rFonts w:cs="Times New Roman"/>
          <w:u w:val="single"/>
        </w:rPr>
        <w:t>on behalf of a child</w:t>
      </w:r>
      <w:r w:rsidRPr="00B42271">
        <w:rPr>
          <w:rFonts w:cs="Times New Roman"/>
        </w:rPr>
        <w:t xml:space="preserve">” (s. 91(3)). Relying on </w:t>
      </w:r>
      <w:r w:rsidRPr="00B42271">
        <w:rPr>
          <w:rFonts w:cs="Times New Roman"/>
          <w:i/>
        </w:rPr>
        <w:t>D.B.S.</w:t>
      </w:r>
      <w:r w:rsidRPr="00B42271">
        <w:rPr>
          <w:rFonts w:cs="Times New Roman"/>
        </w:rPr>
        <w:t xml:space="preserve">, courts have interpreted this language as conditioning a court’s authority to order child support upon the beneficiary’s dependant status, which was the state of the law in British Columbia when the </w:t>
      </w:r>
      <w:r w:rsidRPr="00B42271">
        <w:rPr>
          <w:rFonts w:cs="Times New Roman"/>
          <w:i/>
        </w:rPr>
        <w:t xml:space="preserve">FLA </w:t>
      </w:r>
      <w:r w:rsidRPr="00B42271">
        <w:rPr>
          <w:rFonts w:cs="Times New Roman"/>
        </w:rPr>
        <w:t>was enacted (</w:t>
      </w:r>
      <w:r w:rsidRPr="00B42271">
        <w:rPr>
          <w:rFonts w:cs="Times New Roman"/>
          <w:i/>
        </w:rPr>
        <w:t>de Rooy v. Bergstrom</w:t>
      </w:r>
      <w:r w:rsidRPr="00B42271">
        <w:rPr>
          <w:rFonts w:cs="Times New Roman"/>
        </w:rPr>
        <w:t xml:space="preserve">, 2010 BCCA 5, 4 B.C.L.R. (5th) 74, at para. 65, citing </w:t>
      </w:r>
      <w:r w:rsidRPr="00B42271">
        <w:rPr>
          <w:rFonts w:cs="Times New Roman"/>
          <w:i/>
        </w:rPr>
        <w:t>McDonald v. McDonald</w:t>
      </w:r>
      <w:r w:rsidRPr="00B42271">
        <w:rPr>
          <w:rFonts w:cs="Times New Roman"/>
        </w:rPr>
        <w:t xml:space="preserve">, 2008 BCSC 1203, at para. 34 (CanLII)). While it is unnecessary to decide here whether a reference to the defined term “child” should properly be construed as limiting the court’s authority to grant retroactive support, what </w:t>
      </w:r>
      <w:r w:rsidRPr="00B42271">
        <w:rPr>
          <w:rFonts w:cs="Times New Roman"/>
          <w:i/>
        </w:rPr>
        <w:t>is</w:t>
      </w:r>
      <w:r w:rsidRPr="00B42271">
        <w:rPr>
          <w:rFonts w:cs="Times New Roman"/>
        </w:rPr>
        <w:t xml:space="preserve"> clear is that this same language was not included in s. 152(1) when the </w:t>
      </w:r>
      <w:r w:rsidRPr="00B42271">
        <w:rPr>
          <w:rFonts w:cs="Times New Roman"/>
          <w:i/>
        </w:rPr>
        <w:t xml:space="preserve">FLA </w:t>
      </w:r>
      <w:r w:rsidRPr="00B42271">
        <w:rPr>
          <w:rFonts w:cs="Times New Roman"/>
        </w:rPr>
        <w:t>was enacted. Section 152(1) contains no reference to the defined term “child” that might serve to qualify the authority of a court to vary child support. Rather, s. 152(1) states simply that “[o]n application, a court may change, suspend or terminate an order respecting child support, and may do so prospectively or retroactively.” While s. 152(2) lists preconditions (at least one of which must be present before making a variation order), none of those conditions relate to the dependent status of the beneficiary of a child support order.</w:t>
      </w:r>
      <w:r w:rsidRPr="00B42271">
        <w:rPr>
          <w:rFonts w:cs="Times New Roman"/>
          <w:i/>
        </w:rPr>
        <w:t xml:space="preserve"> </w:t>
      </w:r>
    </w:p>
    <w:p w:rsidR="00A27006" w:rsidRPr="00B42271" w:rsidRDefault="00A27006" w:rsidP="00A27006">
      <w:pPr>
        <w:pStyle w:val="ParaNoNdepar-AltN"/>
        <w:numPr>
          <w:ilvl w:val="0"/>
          <w:numId w:val="7"/>
        </w:numPr>
        <w:rPr>
          <w:rFonts w:cs="Times New Roman"/>
        </w:rPr>
      </w:pPr>
      <w:r w:rsidRPr="00B42271">
        <w:rPr>
          <w:rFonts w:cs="Times New Roman"/>
        </w:rPr>
        <w:t xml:space="preserve">Examining the </w:t>
      </w:r>
      <w:r w:rsidRPr="00B42271">
        <w:rPr>
          <w:rFonts w:cs="Times New Roman"/>
          <w:i/>
        </w:rPr>
        <w:t xml:space="preserve">FLA </w:t>
      </w:r>
      <w:r w:rsidRPr="00B42271">
        <w:rPr>
          <w:rFonts w:cs="Times New Roman"/>
        </w:rPr>
        <w:t xml:space="preserve">more broadly makes plain that, where the Legislature intends to state limitations relating to the types of persons who can bring an application (or on whose behalf an application can be brought), it states such limitations expressly. In this respect, s. 152’s bare reference to an “application”, with no conditions upon who may apply, contrasts sharply with other applications authorized by the </w:t>
      </w:r>
      <w:r w:rsidRPr="00B42271">
        <w:rPr>
          <w:rFonts w:cs="Times New Roman"/>
          <w:i/>
        </w:rPr>
        <w:t>FLA</w:t>
      </w:r>
      <w:r w:rsidRPr="00B42271">
        <w:rPr>
          <w:rFonts w:cs="Times New Roman"/>
        </w:rPr>
        <w:t xml:space="preserve"> (see, e.g., s. 45 (“application by a guardian”); s. 148(3) (“application by a party”); s. 157(1) (“application by a payor or recipient”); s. 164(3) (“application by a spouse”)). The absence from s. 152 of any limitations comparable to those used throughout the </w:t>
      </w:r>
      <w:r w:rsidRPr="00B42271">
        <w:rPr>
          <w:rFonts w:cs="Times New Roman"/>
          <w:i/>
        </w:rPr>
        <w:t xml:space="preserve">FLA </w:t>
      </w:r>
      <w:r w:rsidRPr="00B42271">
        <w:rPr>
          <w:rFonts w:cs="Times New Roman"/>
        </w:rPr>
        <w:t xml:space="preserve">implies that they were deliberately excluded (see R. Sullivan, </w:t>
      </w:r>
      <w:r w:rsidRPr="00B42271">
        <w:rPr>
          <w:rFonts w:cs="Times New Roman"/>
          <w:i/>
        </w:rPr>
        <w:t xml:space="preserve">Sullivan on the Construction of Statutes </w:t>
      </w:r>
      <w:r w:rsidRPr="00B42271">
        <w:rPr>
          <w:rFonts w:cs="Times New Roman"/>
        </w:rPr>
        <w:t>(6th ed. 2014), at p. 248).</w:t>
      </w:r>
    </w:p>
    <w:p w:rsidR="00A27006" w:rsidRPr="00B42271" w:rsidRDefault="00A27006" w:rsidP="00A27006">
      <w:pPr>
        <w:pStyle w:val="ParaNoNdepar-AltN"/>
        <w:numPr>
          <w:ilvl w:val="0"/>
          <w:numId w:val="7"/>
        </w:numPr>
        <w:rPr>
          <w:rFonts w:cs="Times New Roman"/>
        </w:rPr>
      </w:pPr>
      <w:r w:rsidRPr="00B42271">
        <w:rPr>
          <w:rFonts w:cs="Times New Roman"/>
        </w:rPr>
        <w:t xml:space="preserve">Further, s. 152 allows the court to “change, suspend </w:t>
      </w:r>
      <w:r w:rsidRPr="00B42271">
        <w:rPr>
          <w:rFonts w:cs="Times New Roman"/>
          <w:u w:val="single"/>
        </w:rPr>
        <w:t>or terminate</w:t>
      </w:r>
      <w:r w:rsidRPr="00B42271">
        <w:rPr>
          <w:rFonts w:cs="Times New Roman"/>
        </w:rPr>
        <w:t xml:space="preserve">” an order respecting child support. Given that s. 170(a) of the </w:t>
      </w:r>
      <w:r w:rsidRPr="00B42271">
        <w:rPr>
          <w:rFonts w:cs="Times New Roman"/>
          <w:i/>
        </w:rPr>
        <w:t>FLA</w:t>
      </w:r>
      <w:r w:rsidRPr="00B42271">
        <w:rPr>
          <w:rFonts w:cs="Times New Roman"/>
        </w:rPr>
        <w:t xml:space="preserve"> authorizes child support orders of an indefinite duration, payor parents may need to resort to s. 152 to terminate an indefinite order after the support beneficiary ceases to be a dependent child. Indeed, that is exactly what Mr. Graydon did to terminate his child support payments in 2012. There would, however, be no way to change or terminate an indefinite child support order after the beneficiary ceases to be a “child”, if s. 152 were subject to the limitation advanced by Mr. Graydon (</w:t>
      </w:r>
      <w:r w:rsidRPr="00B42271">
        <w:rPr>
          <w:rFonts w:cs="Times New Roman"/>
          <w:i/>
        </w:rPr>
        <w:t>Dring</w:t>
      </w:r>
      <w:r w:rsidRPr="00B42271">
        <w:rPr>
          <w:rFonts w:cs="Times New Roman"/>
        </w:rPr>
        <w:t>, at paras. 142</w:t>
      </w:r>
      <w:r w:rsidRPr="00B42271">
        <w:rPr>
          <w:rFonts w:cs="Times New Roman"/>
        </w:rPr>
        <w:noBreakHyphen/>
        <w:t>44). In my view, the Legislature is unlikely to have intended that result.</w:t>
      </w:r>
    </w:p>
    <w:p w:rsidR="00A27006" w:rsidRPr="00B42271" w:rsidRDefault="00A27006" w:rsidP="00A27006">
      <w:pPr>
        <w:pStyle w:val="ParaNoNdepar-AltN"/>
        <w:numPr>
          <w:ilvl w:val="0"/>
          <w:numId w:val="7"/>
        </w:numPr>
        <w:rPr>
          <w:rFonts w:cs="Times New Roman"/>
        </w:rPr>
      </w:pPr>
      <w:r w:rsidRPr="00B42271">
        <w:rPr>
          <w:rFonts w:cs="Times New Roman"/>
        </w:rPr>
        <w:t>As to Mr. Graydon’s argument that s. 152’s operation is confined to varying an extant (that is, not expired or terminated) child support order, I reiterate that retroactive child support simply holds payor parents to their existing (and unfulfilled) legal obligations (</w:t>
      </w:r>
      <w:r w:rsidRPr="00B42271">
        <w:rPr>
          <w:rFonts w:cs="Times New Roman"/>
          <w:i/>
        </w:rPr>
        <w:t>D.B.S.</w:t>
      </w:r>
      <w:r w:rsidRPr="00B42271">
        <w:rPr>
          <w:rFonts w:cs="Times New Roman"/>
        </w:rPr>
        <w:t>, at para. 2). Modifying a previous court order to reflect the proper measure of support “is in no way arbitrary for the payor parent” (</w:t>
      </w:r>
      <w:r w:rsidRPr="00B42271">
        <w:rPr>
          <w:rFonts w:cs="Times New Roman"/>
          <w:i/>
        </w:rPr>
        <w:t>D.B.S.</w:t>
      </w:r>
      <w:r w:rsidRPr="00B42271">
        <w:rPr>
          <w:rFonts w:cs="Times New Roman"/>
        </w:rPr>
        <w:t>, at para. 68). Thus, there is nothing wrong in principle with varying an order that no longer imposes continuing child support obligations at the time the application is made, so long as the statutory text allows for that result.</w:t>
      </w:r>
    </w:p>
    <w:p w:rsidR="00A27006" w:rsidRPr="00B42271" w:rsidRDefault="00A27006" w:rsidP="00A27006">
      <w:pPr>
        <w:pStyle w:val="ParaNoNdepar-AltN"/>
        <w:numPr>
          <w:ilvl w:val="0"/>
          <w:numId w:val="7"/>
        </w:numPr>
        <w:rPr>
          <w:rFonts w:cs="Times New Roman"/>
        </w:rPr>
      </w:pPr>
      <w:r w:rsidRPr="00B42271">
        <w:rPr>
          <w:rFonts w:cs="Times New Roman"/>
        </w:rPr>
        <w:t>With respect to the language of s. 152, I observe that the provision allows the court to vary “</w:t>
      </w:r>
      <w:r w:rsidRPr="00B42271">
        <w:rPr>
          <w:rFonts w:cs="Times New Roman"/>
          <w:u w:val="single"/>
        </w:rPr>
        <w:t>an order</w:t>
      </w:r>
      <w:r w:rsidRPr="00B42271">
        <w:rPr>
          <w:rFonts w:cs="Times New Roman"/>
        </w:rPr>
        <w:t xml:space="preserve"> respecting child support”. Mr. Graydon’s argument therefore rests on the premise that once a child support order expires, it is no longer </w:t>
      </w:r>
      <w:r w:rsidRPr="00B42271">
        <w:rPr>
          <w:rFonts w:cs="Times New Roman"/>
          <w:i/>
        </w:rPr>
        <w:t>an order</w:t>
      </w:r>
      <w:r w:rsidRPr="00B42271">
        <w:rPr>
          <w:rFonts w:cs="Times New Roman"/>
        </w:rPr>
        <w:t xml:space="preserve"> respecting child support. Such a conclusion is belied, however, by examining s. 152 alongside other provisions of the </w:t>
      </w:r>
      <w:r w:rsidRPr="00B42271">
        <w:rPr>
          <w:rFonts w:cs="Times New Roman"/>
          <w:i/>
        </w:rPr>
        <w:t>FLA</w:t>
      </w:r>
      <w:r w:rsidRPr="00B42271">
        <w:rPr>
          <w:rFonts w:cs="Times New Roman"/>
        </w:rPr>
        <w:t xml:space="preserve"> that expressly limit the court’s ability to vary orders that are no longer extant. Section 167 of the </w:t>
      </w:r>
      <w:r w:rsidRPr="00B42271">
        <w:rPr>
          <w:rFonts w:cs="Times New Roman"/>
          <w:i/>
        </w:rPr>
        <w:t>FLA</w:t>
      </w:r>
      <w:r w:rsidRPr="00B42271">
        <w:rPr>
          <w:rFonts w:cs="Times New Roman"/>
        </w:rPr>
        <w:t>, for example, authorizes a court to vary a spousal support order. Much of s. 167 mirrors s. 152, but</w:t>
      </w:r>
      <w:r w:rsidR="00911F0A">
        <w:rPr>
          <w:rFonts w:cs="Times New Roman"/>
        </w:rPr>
        <w:t xml:space="preserve"> s.</w:t>
      </w:r>
      <w:r w:rsidRPr="00B42271">
        <w:rPr>
          <w:rFonts w:cs="Times New Roman"/>
        </w:rPr>
        <w:t> 167(3) imposes an additional caveat where the variation relates to an expired spousal support order:</w:t>
      </w:r>
    </w:p>
    <w:p w:rsidR="00A27006" w:rsidRPr="00B42271" w:rsidRDefault="00A27006" w:rsidP="00A27006">
      <w:pPr>
        <w:pStyle w:val="Citation-AltC"/>
        <w:ind w:left="900"/>
      </w:pPr>
      <w:r w:rsidRPr="00B42271">
        <w:t xml:space="preserve">. . . if an order requires payment of spousal support for a definite period or until a specified event occurs, the court, </w:t>
      </w:r>
      <w:r w:rsidRPr="00B42271">
        <w:rPr>
          <w:u w:val="single"/>
        </w:rPr>
        <w:t>on an application made after the expiration of that period or occurrence of that event</w:t>
      </w:r>
      <w:r w:rsidRPr="00B42271">
        <w:t>, may not make an order . . . for the purpose of resuming spousal support unless satisfied that</w:t>
      </w:r>
    </w:p>
    <w:p w:rsidR="00A27006" w:rsidRPr="00B42271" w:rsidRDefault="00A27006" w:rsidP="00A27006">
      <w:pPr>
        <w:pStyle w:val="Citation-AltC"/>
      </w:pPr>
    </w:p>
    <w:p w:rsidR="00A27006" w:rsidRPr="00B42271" w:rsidRDefault="00A27006" w:rsidP="00A27006">
      <w:pPr>
        <w:pStyle w:val="Citation-AltC"/>
        <w:ind w:left="2790" w:hanging="1350"/>
      </w:pPr>
      <w:r w:rsidRPr="00B42271">
        <w:t>(a) the order is necessary to relieve economic hardship that</w:t>
      </w:r>
    </w:p>
    <w:p w:rsidR="00A27006" w:rsidRPr="00B42271" w:rsidRDefault="00A27006" w:rsidP="00A27006">
      <w:pPr>
        <w:pStyle w:val="Citation-AltC"/>
        <w:ind w:left="1886"/>
      </w:pPr>
    </w:p>
    <w:p w:rsidR="00A27006" w:rsidRPr="00B42271" w:rsidRDefault="00A27006" w:rsidP="00A27006">
      <w:pPr>
        <w:pStyle w:val="Citation-AltC"/>
        <w:ind w:left="2250" w:hanging="270"/>
      </w:pPr>
      <w:r w:rsidRPr="00B42271">
        <w:t xml:space="preserve">(i) arises from [a change in the condition, means, needs or other circumstances of either spouse </w:t>
      </w:r>
      <w:r w:rsidRPr="00B42271">
        <w:rPr>
          <w:lang w:val="en-US"/>
        </w:rPr>
        <w:t>[</w:t>
      </w:r>
      <w:r w:rsidRPr="00B42271">
        <w:t>that] occurred since the order respecting spousal support was made], and</w:t>
      </w:r>
    </w:p>
    <w:p w:rsidR="00A27006" w:rsidRPr="00B42271" w:rsidRDefault="00A27006" w:rsidP="00A27006">
      <w:pPr>
        <w:pStyle w:val="Citation-AltC"/>
        <w:ind w:left="2520" w:hanging="540"/>
      </w:pPr>
    </w:p>
    <w:p w:rsidR="00A27006" w:rsidRPr="00B42271" w:rsidRDefault="00A27006" w:rsidP="00A27006">
      <w:pPr>
        <w:pStyle w:val="Citation-AltC"/>
        <w:ind w:left="2520" w:hanging="540"/>
      </w:pPr>
      <w:r w:rsidRPr="00B42271">
        <w:t>(ii) is related to the relationship between the spouses, and</w:t>
      </w:r>
    </w:p>
    <w:p w:rsidR="00A27006" w:rsidRPr="00B42271" w:rsidRDefault="00A27006" w:rsidP="00A27006">
      <w:pPr>
        <w:pStyle w:val="Citation-AltC"/>
        <w:ind w:left="1886"/>
      </w:pPr>
    </w:p>
    <w:p w:rsidR="00A27006" w:rsidRPr="00B42271" w:rsidRDefault="00A27006" w:rsidP="00A27006">
      <w:pPr>
        <w:pStyle w:val="Citation-AltC"/>
        <w:ind w:left="1710" w:hanging="360"/>
      </w:pPr>
      <w:r w:rsidRPr="00B42271">
        <w:t>(b) the changed circumstances, had they existed at the time the order was made, would likely have resulted in a different order.</w:t>
      </w:r>
    </w:p>
    <w:p w:rsidR="00A27006" w:rsidRPr="00B42271" w:rsidRDefault="00A27006" w:rsidP="00A27006">
      <w:pPr>
        <w:pStyle w:val="ParaNoNdepar-AltN"/>
        <w:numPr>
          <w:ilvl w:val="0"/>
          <w:numId w:val="0"/>
        </w:numPr>
        <w:rPr>
          <w:rFonts w:cs="Times New Roman"/>
        </w:rPr>
      </w:pPr>
      <w:r w:rsidRPr="00B42271">
        <w:rPr>
          <w:rFonts w:cs="Times New Roman"/>
        </w:rPr>
        <w:t xml:space="preserve">To be sure, the text of s. 167 confines a court’s ability to vary an expired order. The point here is twofold: s. 167 shows that the </w:t>
      </w:r>
      <w:r w:rsidRPr="00B42271">
        <w:rPr>
          <w:rFonts w:cs="Times New Roman"/>
          <w:i/>
        </w:rPr>
        <w:t>FLA</w:t>
      </w:r>
      <w:r w:rsidRPr="00B42271">
        <w:rPr>
          <w:rFonts w:cs="Times New Roman"/>
        </w:rPr>
        <w:t xml:space="preserve"> contemplates that a court </w:t>
      </w:r>
      <w:r w:rsidRPr="00B42271">
        <w:rPr>
          <w:rFonts w:cs="Times New Roman"/>
          <w:i/>
        </w:rPr>
        <w:t>may</w:t>
      </w:r>
      <w:r w:rsidRPr="00B42271">
        <w:rPr>
          <w:rFonts w:cs="Times New Roman"/>
        </w:rPr>
        <w:t xml:space="preserve"> vary an expired order; and, s. 152 places none of the restrictions upon a court’s authority to vary a </w:t>
      </w:r>
      <w:r w:rsidRPr="00B42271">
        <w:rPr>
          <w:rFonts w:cs="Times New Roman"/>
          <w:i/>
        </w:rPr>
        <w:t>child</w:t>
      </w:r>
      <w:r w:rsidRPr="00B42271">
        <w:rPr>
          <w:rFonts w:cs="Times New Roman"/>
        </w:rPr>
        <w:t xml:space="preserve"> support order which s. 167 imposes upon a court’s authority to vary a </w:t>
      </w:r>
      <w:r w:rsidRPr="00B42271">
        <w:rPr>
          <w:rFonts w:cs="Times New Roman"/>
          <w:i/>
        </w:rPr>
        <w:t>spousal</w:t>
      </w:r>
      <w:r w:rsidRPr="00B42271">
        <w:rPr>
          <w:rFonts w:cs="Times New Roman"/>
        </w:rPr>
        <w:t xml:space="preserve"> support order. </w:t>
      </w:r>
    </w:p>
    <w:p w:rsidR="00A27006" w:rsidRPr="00B42271" w:rsidRDefault="00A27006" w:rsidP="00A27006">
      <w:pPr>
        <w:pStyle w:val="ParaNoNdepar-AltN"/>
        <w:numPr>
          <w:ilvl w:val="0"/>
          <w:numId w:val="7"/>
        </w:numPr>
        <w:rPr>
          <w:rFonts w:cs="Times New Roman"/>
        </w:rPr>
      </w:pPr>
      <w:r w:rsidRPr="00B42271">
        <w:rPr>
          <w:rFonts w:cs="Times New Roman"/>
        </w:rPr>
        <w:t xml:space="preserve">Similarly, while s. 187(1) of the </w:t>
      </w:r>
      <w:r w:rsidRPr="00B42271">
        <w:rPr>
          <w:rFonts w:cs="Times New Roman"/>
          <w:i/>
        </w:rPr>
        <w:t xml:space="preserve">FLA </w:t>
      </w:r>
      <w:r w:rsidRPr="00B42271">
        <w:rPr>
          <w:rFonts w:cs="Times New Roman"/>
        </w:rPr>
        <w:t>allows the court to shorten, extend, terminate, or otherwise change an order respecting protection, s. 187(2) requires an application under s. 187 to be made “before the expiry of the order that is the subject of the application”</w:t>
      </w:r>
      <w:r w:rsidR="009352AF">
        <w:rPr>
          <w:rFonts w:cs="Times New Roman"/>
        </w:rPr>
        <w:t>.</w:t>
      </w:r>
      <w:r w:rsidRPr="00B42271">
        <w:rPr>
          <w:rFonts w:cs="Times New Roman"/>
        </w:rPr>
        <w:t xml:space="preserve"> This provision further demonstrates that the </w:t>
      </w:r>
      <w:r w:rsidRPr="00B42271">
        <w:rPr>
          <w:rFonts w:cs="Times New Roman"/>
          <w:i/>
        </w:rPr>
        <w:t>FLA</w:t>
      </w:r>
      <w:r w:rsidRPr="00B42271">
        <w:rPr>
          <w:rFonts w:cs="Times New Roman"/>
        </w:rPr>
        <w:t xml:space="preserve"> allows expired orders to be varied, subject to the express limitations that it imposes for specific types of orders. Mr. Graydon is effectively urging this Court to read similar limitations into s. 152, but that avenue is simply not open to us where the scheme of the </w:t>
      </w:r>
      <w:r w:rsidRPr="00B42271">
        <w:rPr>
          <w:rFonts w:cs="Times New Roman"/>
          <w:i/>
        </w:rPr>
        <w:t>FLA</w:t>
      </w:r>
      <w:r w:rsidRPr="00B42271">
        <w:rPr>
          <w:rFonts w:cs="Times New Roman"/>
        </w:rPr>
        <w:t xml:space="preserve"> shows the Legislature’s intent to give courts broad discretion in matters of child support. </w:t>
      </w:r>
    </w:p>
    <w:p w:rsidR="00A27006" w:rsidRPr="00B42271" w:rsidRDefault="00A27006" w:rsidP="00A27006">
      <w:pPr>
        <w:pStyle w:val="ParaNoNdepar-AltN"/>
        <w:numPr>
          <w:ilvl w:val="0"/>
          <w:numId w:val="7"/>
        </w:numPr>
        <w:rPr>
          <w:rFonts w:cs="Times New Roman"/>
        </w:rPr>
      </w:pPr>
      <w:r w:rsidRPr="00B42271">
        <w:rPr>
          <w:rFonts w:cs="Times New Roman"/>
        </w:rPr>
        <w:t xml:space="preserve">In sum, the text of s. 152 and the scheme of the </w:t>
      </w:r>
      <w:r w:rsidRPr="00B42271">
        <w:rPr>
          <w:rFonts w:cs="Times New Roman"/>
          <w:i/>
        </w:rPr>
        <w:t xml:space="preserve">FLA </w:t>
      </w:r>
      <w:r w:rsidRPr="00B42271">
        <w:rPr>
          <w:rFonts w:cs="Times New Roman"/>
        </w:rPr>
        <w:t xml:space="preserve">indicate that the Legislature authorized a court to vary any child support order, irrespective of whether the beneficiary remains a dependent child, and irrespective of whether the order continues to require payment. This makes sense given that one of the purposes for replacing the </w:t>
      </w:r>
      <w:r w:rsidRPr="00B42271">
        <w:rPr>
          <w:rFonts w:cs="Times New Roman"/>
          <w:i/>
        </w:rPr>
        <w:t xml:space="preserve">Family Relations Act </w:t>
      </w:r>
      <w:r w:rsidRPr="00B42271">
        <w:rPr>
          <w:rFonts w:cs="Times New Roman"/>
        </w:rPr>
        <w:t xml:space="preserve">with the </w:t>
      </w:r>
      <w:r w:rsidRPr="00B42271">
        <w:rPr>
          <w:rFonts w:cs="Times New Roman"/>
          <w:i/>
        </w:rPr>
        <w:t>FLA</w:t>
      </w:r>
      <w:r w:rsidRPr="00B42271">
        <w:rPr>
          <w:rFonts w:cs="Times New Roman"/>
        </w:rPr>
        <w:t xml:space="preserve"> was to “expan[d] on the circumstances under which a court may vary a child support order” (British Columbia, Ministry of Attorney General, </w:t>
      </w:r>
      <w:r w:rsidRPr="00B42271">
        <w:rPr>
          <w:rFonts w:cs="Times New Roman"/>
          <w:i/>
        </w:rPr>
        <w:t>White Paper on Family Relations Act Reform: Proposals for a new Family Law Act</w:t>
      </w:r>
      <w:r w:rsidRPr="00B42271">
        <w:rPr>
          <w:rFonts w:cs="Times New Roman"/>
        </w:rPr>
        <w:t xml:space="preserve"> (2010), at p. 117). Straining to read jurisdictional impediments into s. 152 that would prevent a court from ordering retroactive child support in circumstances in which such an order is warranted would defeat that legislative purpose and create a perverse incentive for payor parents to avoid their obligations. </w:t>
      </w:r>
    </w:p>
    <w:p w:rsidR="00A27006" w:rsidRPr="00B42271" w:rsidRDefault="00A27006" w:rsidP="00A27006">
      <w:pPr>
        <w:pStyle w:val="Title2LevelTitre2Niveau"/>
        <w:rPr>
          <w:rFonts w:cs="Times New Roman"/>
        </w:rPr>
      </w:pPr>
      <w:r w:rsidRPr="00B42271">
        <w:rPr>
          <w:rFonts w:cs="Times New Roman"/>
        </w:rPr>
        <w:t>Is a Retroactive Award Appropriate in This Case?</w:t>
      </w:r>
    </w:p>
    <w:p w:rsidR="00A27006" w:rsidRPr="00B42271" w:rsidRDefault="00A27006" w:rsidP="00A27006">
      <w:pPr>
        <w:pStyle w:val="ParaNoNdepar-AltN"/>
        <w:numPr>
          <w:ilvl w:val="0"/>
          <w:numId w:val="7"/>
        </w:numPr>
        <w:rPr>
          <w:rFonts w:cs="Times New Roman"/>
        </w:rPr>
      </w:pPr>
      <w:r w:rsidRPr="00B42271">
        <w:rPr>
          <w:rFonts w:cs="Times New Roman"/>
        </w:rPr>
        <w:t xml:space="preserve">Having decided that the applicable legislative scheme confers authority on a court to order retroactive child support, the question then arises whether a court </w:t>
      </w:r>
      <w:r w:rsidRPr="00B42271">
        <w:rPr>
          <w:rFonts w:cs="Times New Roman"/>
          <w:i/>
        </w:rPr>
        <w:t>should</w:t>
      </w:r>
      <w:r w:rsidRPr="00B42271">
        <w:rPr>
          <w:rFonts w:cs="Times New Roman"/>
        </w:rPr>
        <w:t xml:space="preserve"> order retroactive child support in the circumstances of the case. To be clear, and as </w:t>
      </w:r>
      <w:r w:rsidRPr="00B42271">
        <w:rPr>
          <w:rFonts w:cs="Times New Roman"/>
          <w:i/>
        </w:rPr>
        <w:t>D.B.S.</w:t>
      </w:r>
      <w:r w:rsidRPr="00B42271">
        <w:rPr>
          <w:rFonts w:cs="Times New Roman"/>
        </w:rPr>
        <w:t xml:space="preserve"> shows, this is a distinct question and entails a distinct analysis. A court hearing an application for retroactive child support must consider whether the recipient parent’s delay in seeking variation is reasonable in the circumstances, the payor parent’s conduct, the circumstances of the child, and whether any hardship would result from a retroactive award (</w:t>
      </w:r>
      <w:r w:rsidRPr="00B42271">
        <w:rPr>
          <w:rFonts w:cs="Times New Roman"/>
          <w:i/>
        </w:rPr>
        <w:t>D.B.S.</w:t>
      </w:r>
      <w:r w:rsidRPr="00B42271">
        <w:rPr>
          <w:rFonts w:cs="Times New Roman"/>
        </w:rPr>
        <w:t xml:space="preserve">, at para. 133). These same considerations are equally applicable after the child support beneficiary ceases to be a dependent child; while the beneficiary may no longer be a dependent child because of the recipient parent’s delay, it remains open to the recipient parent to show that their delay was reasonable. </w:t>
      </w:r>
    </w:p>
    <w:p w:rsidR="00A27006" w:rsidRPr="00B42271" w:rsidRDefault="00A27006" w:rsidP="00A27006">
      <w:pPr>
        <w:pStyle w:val="ParaNoNdepar-AltN"/>
        <w:numPr>
          <w:ilvl w:val="0"/>
          <w:numId w:val="7"/>
        </w:numPr>
        <w:rPr>
          <w:rFonts w:cs="Times New Roman"/>
        </w:rPr>
      </w:pPr>
      <w:r w:rsidRPr="00B42271">
        <w:rPr>
          <w:rFonts w:cs="Times New Roman"/>
        </w:rPr>
        <w:t>Child support awards are highly discretionary, and the hearing judge’s findings and inferences of fact may not be disturbed absent an error on an extricable question of law, a palpable and overriding error, or a fundamental mischaracterization or misapprehension of the evidence (</w:t>
      </w:r>
      <w:r w:rsidRPr="00B42271">
        <w:rPr>
          <w:rFonts w:cs="Times New Roman"/>
          <w:i/>
        </w:rPr>
        <w:t>Rick v. Brandsema</w:t>
      </w:r>
      <w:r w:rsidRPr="00B42271">
        <w:rPr>
          <w:rFonts w:cs="Times New Roman"/>
        </w:rPr>
        <w:t xml:space="preserve">, 2009 SCC 10, [2009] 1 S.C.R. 295, at para. 30; see also </w:t>
      </w:r>
      <w:r w:rsidRPr="00B42271">
        <w:rPr>
          <w:rFonts w:cs="Times New Roman"/>
          <w:i/>
        </w:rPr>
        <w:t>Hickey v. Hickey</w:t>
      </w:r>
      <w:r w:rsidRPr="00B42271">
        <w:rPr>
          <w:rFonts w:cs="Times New Roman"/>
        </w:rPr>
        <w:t xml:space="preserve">, [1999] 2 S.C.R. 518, at para. 11). Here, as I have explained, the hearing judge was correct to conclude that s. 152 gave him authority to order retroactive child support. He also identified and applied the factors I have just recounted from </w:t>
      </w:r>
      <w:r w:rsidRPr="00B42271">
        <w:rPr>
          <w:rFonts w:cs="Times New Roman"/>
          <w:i/>
        </w:rPr>
        <w:t>D.B.S.</w:t>
      </w:r>
      <w:r w:rsidRPr="00B42271">
        <w:rPr>
          <w:rFonts w:cs="Times New Roman"/>
        </w:rPr>
        <w:t xml:space="preserve"> His conclusion that A.G. experienced hardship in her childhood as a result of Mr. Graydon’s neglect of his child support obligations was amply supported on the record. The hearing judge also found that Mr. Graydon would not experience hardship from a retroactive award. </w:t>
      </w:r>
    </w:p>
    <w:p w:rsidR="00A27006" w:rsidRPr="00B42271" w:rsidRDefault="00A27006" w:rsidP="00A27006">
      <w:pPr>
        <w:pStyle w:val="ParaNoNdepar-AltN"/>
        <w:numPr>
          <w:ilvl w:val="0"/>
          <w:numId w:val="7"/>
        </w:numPr>
        <w:rPr>
          <w:rFonts w:cs="Times New Roman"/>
        </w:rPr>
      </w:pPr>
      <w:r w:rsidRPr="00B42271">
        <w:rPr>
          <w:rFonts w:cs="Times New Roman"/>
          <w:lang w:val="en-US"/>
        </w:rPr>
        <w:t xml:space="preserve">As to </w:t>
      </w:r>
      <w:r w:rsidRPr="00B42271">
        <w:rPr>
          <w:rFonts w:cs="Times New Roman"/>
        </w:rPr>
        <w:t>Mr. Graydon’s</w:t>
      </w:r>
      <w:r w:rsidRPr="00B42271">
        <w:rPr>
          <w:rFonts w:cs="Times New Roman"/>
          <w:lang w:val="en-US"/>
        </w:rPr>
        <w:t xml:space="preserve"> conduct as the payor parent in this case, it is really this simple. </w:t>
      </w:r>
      <w:r w:rsidRPr="00B42271">
        <w:rPr>
          <w:rFonts w:cs="Times New Roman"/>
        </w:rPr>
        <w:t>When a payor parent fails to pay the appropriate amount of child support, the recipient parent is left to shoulder the burden. If the recipient parent does not have the means to provide their child reasonable support, the child suffers. Both the recipient parent and the child may experience hardship because of a payor parent’s neglect. Seen in this light, it bears repeating that retroactive child support is not exceptional relief (</w:t>
      </w:r>
      <w:r w:rsidRPr="00B42271">
        <w:rPr>
          <w:rFonts w:cs="Times New Roman"/>
          <w:i/>
        </w:rPr>
        <w:t>D.B.S.</w:t>
      </w:r>
      <w:r w:rsidRPr="00B42271">
        <w:rPr>
          <w:rFonts w:cs="Times New Roman"/>
        </w:rPr>
        <w:t>, at para. 5): there is nothing exceptional about judicial relief from the miserable consequences that can flow from payor parents’ indifference to their child support obligations. This is not to say that hardship is required to ground an award for retroactive child support, as there is also nothing exceptional about relief that creates a systemic incentive for payor parents to meet their obligations in the first place. Just as an order of child support is intended to provide children with the same standard of living they enjoyed when their parents were together (</w:t>
      </w:r>
      <w:r w:rsidRPr="00B42271">
        <w:rPr>
          <w:rFonts w:cs="Times New Roman"/>
          <w:i/>
        </w:rPr>
        <w:t>D.B.S.</w:t>
      </w:r>
      <w:r w:rsidRPr="00B42271">
        <w:rPr>
          <w:rFonts w:cs="Times New Roman"/>
        </w:rPr>
        <w:t xml:space="preserve">, at para. 38), an order of retroactive child support </w:t>
      </w:r>
      <w:r w:rsidRPr="00B42271">
        <w:rPr>
          <w:rFonts w:eastAsia="Times New Roman" w:cs="Times New Roman"/>
          <w:szCs w:val="24"/>
          <w:lang w:eastAsia="en-CA"/>
        </w:rPr>
        <w:t>provides an (albeit imperfect) remedy where that does not occur</w:t>
      </w:r>
      <w:r w:rsidRPr="00B42271">
        <w:rPr>
          <w:rFonts w:cs="Times New Roman"/>
        </w:rPr>
        <w:t xml:space="preserve">. And as this Court recognized in </w:t>
      </w:r>
      <w:r w:rsidRPr="00B42271">
        <w:rPr>
          <w:rFonts w:cs="Times New Roman"/>
          <w:i/>
        </w:rPr>
        <w:t>D.B.S.</w:t>
      </w:r>
      <w:r w:rsidRPr="00B42271">
        <w:rPr>
          <w:rFonts w:cs="Times New Roman"/>
        </w:rPr>
        <w:t xml:space="preserve">, “courts are not to be discouraged from defending the rights of children when they have the opportunity to do so” (para. 60). </w:t>
      </w:r>
    </w:p>
    <w:p w:rsidR="00A27006" w:rsidRPr="00B42271" w:rsidRDefault="00A27006" w:rsidP="00A27006">
      <w:pPr>
        <w:pStyle w:val="ParaNoNdepar-AltN"/>
        <w:numPr>
          <w:ilvl w:val="0"/>
          <w:numId w:val="7"/>
        </w:numPr>
        <w:rPr>
          <w:rFonts w:cs="Times New Roman"/>
        </w:rPr>
      </w:pPr>
      <w:r w:rsidRPr="00B42271">
        <w:rPr>
          <w:rFonts w:cs="Times New Roman"/>
        </w:rPr>
        <w:t xml:space="preserve">Retroactive child support awards will commonly be appropriate where payor parents fail to disclose increases in their income. Again, </w:t>
      </w:r>
      <w:r w:rsidRPr="00B42271">
        <w:rPr>
          <w:rFonts w:cs="Times New Roman"/>
          <w:i/>
        </w:rPr>
        <w:t>D.B.S.</w:t>
      </w:r>
      <w:r w:rsidRPr="00B42271">
        <w:rPr>
          <w:rFonts w:cs="Times New Roman"/>
        </w:rPr>
        <w:t xml:space="preserve"> is instructive: “</w:t>
      </w:r>
      <w:r w:rsidR="009352AF">
        <w:rPr>
          <w:rFonts w:cs="Times New Roman"/>
        </w:rPr>
        <w:t>.</w:t>
      </w:r>
      <w:r w:rsidR="009352AF">
        <w:t> . . </w:t>
      </w:r>
      <w:r w:rsidRPr="00B42271">
        <w:rPr>
          <w:rFonts w:cs="Times New Roman"/>
        </w:rPr>
        <w:t xml:space="preserve">a payor parent who knowingly avoids or diminishes his/her support obligation to his/her children should not be allowed to profit from such conduct” (para. 107). And where the strategy for avoiding child support obligations takes the form of inadequate or delayed disclosure of income, the effect on the child support regime is especially pernicious. This is because the methodology adopted by the </w:t>
      </w:r>
      <w:r w:rsidRPr="00B42271">
        <w:rPr>
          <w:rFonts w:cs="Times New Roman"/>
          <w:i/>
        </w:rPr>
        <w:t>Federal Child Support Guidelines</w:t>
      </w:r>
      <w:r w:rsidRPr="00B42271">
        <w:rPr>
          <w:rFonts w:cs="Times New Roman"/>
        </w:rPr>
        <w:t xml:space="preserve">, SOR/97‑175, which are expressly incorporated in the </w:t>
      </w:r>
      <w:r w:rsidRPr="00B42271">
        <w:rPr>
          <w:rFonts w:cs="Times New Roman"/>
          <w:i/>
        </w:rPr>
        <w:t>FLA</w:t>
      </w:r>
      <w:r w:rsidRPr="00B42271">
        <w:rPr>
          <w:rFonts w:cs="Times New Roman"/>
        </w:rPr>
        <w:t xml:space="preserve">, results in information asymmetry. Apart from shared parenting arrangements, the </w:t>
      </w:r>
      <w:r w:rsidRPr="00B42271">
        <w:rPr>
          <w:rFonts w:cs="Times New Roman"/>
          <w:i/>
        </w:rPr>
        <w:t xml:space="preserve">Guidelines </w:t>
      </w:r>
      <w:r w:rsidRPr="00B42271">
        <w:rPr>
          <w:rFonts w:cs="Times New Roman"/>
        </w:rPr>
        <w:t>calculate child support payments solely from the payor parent’s income. At any given point in time, therefore, the payor parent has the information required to determine the appropriate amount of child support owing, while the recipient parent may not. Quite simply, the payor parent is the one who holds the cards. While an application</w:t>
      </w:r>
      <w:r w:rsidRPr="00B42271">
        <w:rPr>
          <w:rFonts w:cs="Times New Roman"/>
        </w:rPr>
        <w:noBreakHyphen/>
        <w:t>based regime places responsibility on both parents in relation to child support (</w:t>
      </w:r>
      <w:r w:rsidRPr="00B42271">
        <w:rPr>
          <w:rFonts w:cs="Times New Roman"/>
          <w:i/>
        </w:rPr>
        <w:t>D.B.S.</w:t>
      </w:r>
      <w:r w:rsidRPr="00B42271">
        <w:rPr>
          <w:rFonts w:cs="Times New Roman"/>
        </w:rPr>
        <w:t>, at para. 56), the practical reality is that, without adequate disclosure, the recipient parent will not be well</w:t>
      </w:r>
      <w:r w:rsidRPr="00B42271">
        <w:rPr>
          <w:rFonts w:cs="Times New Roman"/>
        </w:rPr>
        <w:noBreakHyphen/>
        <w:t>positioned to marshall the case for variation.</w:t>
      </w:r>
    </w:p>
    <w:p w:rsidR="00A27006" w:rsidRPr="00B42271" w:rsidRDefault="00A27006" w:rsidP="00A27006">
      <w:pPr>
        <w:pStyle w:val="ParaNoNdepar-AltN"/>
        <w:numPr>
          <w:ilvl w:val="0"/>
          <w:numId w:val="7"/>
        </w:numPr>
        <w:rPr>
          <w:rFonts w:cs="Times New Roman"/>
        </w:rPr>
      </w:pPr>
      <w:r w:rsidRPr="00B42271">
        <w:rPr>
          <w:rFonts w:cs="Times New Roman"/>
        </w:rPr>
        <w:t>Failure to disclose material information is the cancer of family law litigation (</w:t>
      </w:r>
      <w:r w:rsidRPr="00B42271">
        <w:rPr>
          <w:rFonts w:cs="Times New Roman"/>
          <w:i/>
          <w:iCs/>
          <w:lang w:val="en-US"/>
        </w:rPr>
        <w:t>Cunha v. Cunha</w:t>
      </w:r>
      <w:r w:rsidRPr="00B42271">
        <w:rPr>
          <w:rFonts w:cs="Times New Roman"/>
          <w:lang w:val="en-US"/>
        </w:rPr>
        <w:t xml:space="preserve"> (1994), 99 B.C.L.R. (2d) 93 (S.C.), at para. 9, quoted in </w:t>
      </w:r>
      <w:r w:rsidRPr="00B42271">
        <w:rPr>
          <w:rFonts w:cs="Times New Roman"/>
          <w:i/>
          <w:lang w:val="en-US"/>
        </w:rPr>
        <w:t>Leskun v. Leskun</w:t>
      </w:r>
      <w:r w:rsidRPr="00B42271">
        <w:rPr>
          <w:rFonts w:cs="Times New Roman"/>
          <w:lang w:val="en-US"/>
        </w:rPr>
        <w:t>, 2006 SCC 25, [2006] 1 S.C.R. 920, at para. 34)</w:t>
      </w:r>
      <w:r w:rsidRPr="00B42271">
        <w:rPr>
          <w:rFonts w:cs="Times New Roman"/>
        </w:rPr>
        <w:t>. And yet, payor parents are typically well aware of their obligation as a parent to support their children, and are subject to a duty of full and honest disclosure — a duty comparable to that arising in matrimonial negotiations (</w:t>
      </w:r>
      <w:r w:rsidRPr="00B42271">
        <w:rPr>
          <w:rFonts w:cs="Times New Roman"/>
          <w:i/>
        </w:rPr>
        <w:t>Brandsema</w:t>
      </w:r>
      <w:r w:rsidRPr="00B42271">
        <w:rPr>
          <w:rFonts w:cs="Times New Roman"/>
        </w:rPr>
        <w:t>, at paras. 47</w:t>
      </w:r>
      <w:r w:rsidRPr="00B42271">
        <w:rPr>
          <w:rFonts w:cs="Times New Roman"/>
        </w:rPr>
        <w:noBreakHyphen/>
        <w:t>49). The payor parent’s obligation to disclose changes in income protects the integrity and certainty afforded by an existing order or agreement respecting child support. Absent full and honest disclosure, the recipient parent — and the child — are vulnerable to the payor parent’s non</w:t>
      </w:r>
      <w:r w:rsidRPr="00B42271">
        <w:rPr>
          <w:rFonts w:cs="Times New Roman"/>
        </w:rPr>
        <w:noBreakHyphen/>
        <w:t xml:space="preserve">disclosure. </w:t>
      </w:r>
    </w:p>
    <w:p w:rsidR="00A27006" w:rsidRPr="00B42271" w:rsidRDefault="00A27006" w:rsidP="00A27006">
      <w:pPr>
        <w:pStyle w:val="ParaNoNdepar-AltN"/>
        <w:numPr>
          <w:ilvl w:val="0"/>
          <w:numId w:val="7"/>
        </w:numPr>
        <w:rPr>
          <w:rFonts w:cs="Times New Roman"/>
        </w:rPr>
      </w:pPr>
      <w:r w:rsidRPr="00B42271">
        <w:rPr>
          <w:rFonts w:cs="Times New Roman"/>
        </w:rPr>
        <w:t xml:space="preserve">It follows that I agree with the hearing judge that Mr. Graydon’s failure to accurately disclose his income at the time of the March 29, 2001 order, and failure to disclose material changes in his income for the 11 years that followed, constituted blameworthy conduct, which justifies an order for retroactive child support </w:t>
      </w:r>
      <w:r w:rsidRPr="00B42271">
        <w:rPr>
          <w:rFonts w:eastAsia="Times New Roman" w:cs="Times New Roman"/>
          <w:szCs w:val="24"/>
          <w:lang w:eastAsia="en-CA"/>
        </w:rPr>
        <w:t xml:space="preserve">(and </w:t>
      </w:r>
      <w:r w:rsidRPr="00B42271">
        <w:rPr>
          <w:rFonts w:cs="Times New Roman"/>
        </w:rPr>
        <w:t xml:space="preserve">which also </w:t>
      </w:r>
      <w:r w:rsidRPr="00B42271" w:rsidDel="00CA388C">
        <w:rPr>
          <w:rFonts w:cs="Times New Roman"/>
        </w:rPr>
        <w:t>eliminates any need to protect</w:t>
      </w:r>
      <w:r w:rsidRPr="00B42271">
        <w:rPr>
          <w:rFonts w:cs="Times New Roman"/>
        </w:rPr>
        <w:t xml:space="preserve"> Mr. Graydon’s </w:t>
      </w:r>
      <w:r w:rsidRPr="00B42271" w:rsidDel="00CA388C">
        <w:rPr>
          <w:rFonts w:cs="Times New Roman"/>
        </w:rPr>
        <w:t xml:space="preserve">interest in </w:t>
      </w:r>
      <w:r w:rsidRPr="00B42271">
        <w:rPr>
          <w:rFonts w:cs="Times New Roman"/>
        </w:rPr>
        <w:t xml:space="preserve">the </w:t>
      </w:r>
      <w:r w:rsidRPr="00B42271" w:rsidDel="00CA388C">
        <w:rPr>
          <w:rFonts w:cs="Times New Roman"/>
        </w:rPr>
        <w:t>certainty</w:t>
      </w:r>
      <w:r w:rsidRPr="00B42271">
        <w:rPr>
          <w:rFonts w:cs="Times New Roman"/>
        </w:rPr>
        <w:t xml:space="preserve"> of his child support obligations</w:t>
      </w:r>
      <w:r w:rsidRPr="00B42271" w:rsidDel="00CA388C">
        <w:rPr>
          <w:rFonts w:cs="Times New Roman"/>
        </w:rPr>
        <w:t xml:space="preserve"> (</w:t>
      </w:r>
      <w:r w:rsidRPr="00B42271" w:rsidDel="00CA388C">
        <w:rPr>
          <w:rFonts w:cs="Times New Roman"/>
          <w:i/>
        </w:rPr>
        <w:t>D.B.S.</w:t>
      </w:r>
      <w:r w:rsidRPr="00B42271" w:rsidDel="00CA388C">
        <w:rPr>
          <w:rFonts w:cs="Times New Roman"/>
        </w:rPr>
        <w:t xml:space="preserve">, at </w:t>
      </w:r>
      <w:r w:rsidRPr="00B42271">
        <w:rPr>
          <w:rFonts w:cs="Times New Roman"/>
        </w:rPr>
        <w:t>para. </w:t>
      </w:r>
      <w:r w:rsidRPr="00B42271" w:rsidDel="00CA388C">
        <w:rPr>
          <w:rFonts w:cs="Times New Roman"/>
        </w:rPr>
        <w:t>125)</w:t>
      </w:r>
      <w:r w:rsidRPr="00B42271">
        <w:rPr>
          <w:rFonts w:cs="Times New Roman"/>
        </w:rPr>
        <w:t xml:space="preserve">). As I have explained, failure to disclose material changes in income undermines the child support regime imposed by the </w:t>
      </w:r>
      <w:r w:rsidRPr="00B42271">
        <w:rPr>
          <w:rFonts w:cs="Times New Roman"/>
          <w:i/>
        </w:rPr>
        <w:t>Guidelines</w:t>
      </w:r>
      <w:r w:rsidRPr="00B42271">
        <w:rPr>
          <w:rFonts w:cs="Times New Roman"/>
        </w:rPr>
        <w:t>. The record here also indicates that Mr. Graydon knew about his daughter’s financial circumstances and made disparaging remarks about her standard of living instead of modifying his child support payments to assist her.</w:t>
      </w:r>
    </w:p>
    <w:p w:rsidR="00A27006" w:rsidRPr="00B42271" w:rsidRDefault="00A27006" w:rsidP="00A27006">
      <w:pPr>
        <w:pStyle w:val="ParaNoNdepar-AltN"/>
        <w:numPr>
          <w:ilvl w:val="0"/>
          <w:numId w:val="7"/>
        </w:numPr>
        <w:rPr>
          <w:rFonts w:cs="Times New Roman"/>
        </w:rPr>
      </w:pPr>
      <w:r w:rsidRPr="00B42271">
        <w:rPr>
          <w:rFonts w:cs="Times New Roman"/>
        </w:rPr>
        <w:t>The only true dispute before the hearing judge in relation to the factors governing retroactive child support was whether Ms. Michel’s delay in seeking retroactive support was reasonable. The hearing judge accepted her evidence that she did not apply for retroactive support because she had suffered a severe injury and because her right to support was assigned to the Minister. I see no basis for interfering with the hearing judge’s conclusion that Ms. Michel’s delay was reasonable in light of those circumstances. Even were it otherwise, the reasonableness of Ms. Michel’s delay had to be weighed against the other factors canvassed by the hearing judge, all of which showed that a retroactive award would be appropriate.</w:t>
      </w:r>
    </w:p>
    <w:p w:rsidR="00A27006" w:rsidRPr="00B42271" w:rsidRDefault="00A27006" w:rsidP="00A27006">
      <w:pPr>
        <w:pStyle w:val="ParaNoNdepar-AltN"/>
        <w:numPr>
          <w:ilvl w:val="0"/>
          <w:numId w:val="7"/>
        </w:numPr>
        <w:rPr>
          <w:rFonts w:cs="Times New Roman"/>
        </w:rPr>
      </w:pPr>
      <w:r w:rsidRPr="00B42271">
        <w:rPr>
          <w:rFonts w:cs="Times New Roman"/>
        </w:rPr>
        <w:t>Finally, Mr. Graydon contests the effective date of retroactive child support adopted in the hearing judge’s award. The hearing judge awarded retroactive child support dating back to the March 29, 2001 consent order of child support (which he treated as taking effect on April 1, 2001). The hearing judge’s conclusion was based on his finding</w:t>
      </w:r>
      <w:r w:rsidRPr="00B42271" w:rsidDel="00707209">
        <w:rPr>
          <w:rFonts w:cs="Times New Roman"/>
        </w:rPr>
        <w:t xml:space="preserve"> </w:t>
      </w:r>
      <w:r w:rsidRPr="00B42271">
        <w:rPr>
          <w:rFonts w:cs="Times New Roman"/>
        </w:rPr>
        <w:t>that the date when Ms. Michel presented a settlement agreement to Mr. Graydon was the date of effective notice given to him. Mr. Graydon argues that merely presenting a draft settlement agreement could not serve as effective notice. His argument on this point is immaterial, however, because the date of effective notice is not relevant when a payor parent has engaged in blameworthy conduct (irrespective of the degree of blameworthiness). Again, in light of such conduct, there is no need to protect Mr. Graydon’s interest in the certainty of his obligations beyond the date when circumstances changed materially (</w:t>
      </w:r>
      <w:r w:rsidRPr="00B42271">
        <w:rPr>
          <w:rFonts w:cs="Times New Roman"/>
          <w:i/>
        </w:rPr>
        <w:t>D.B.S.</w:t>
      </w:r>
      <w:r w:rsidRPr="00B42271">
        <w:rPr>
          <w:rFonts w:cs="Times New Roman"/>
        </w:rPr>
        <w:t>, at para. 125). Having furnished an inaccurate picture of his income from the start of his child support payments, it does not lie in his mouth to now insist that it was inappropriate for the hearing judge to award support dating back to the March 29, 2001 consent order. Indeed, in the circumstances of this case it was clearly appropriate for the hearing judge to do so.</w:t>
      </w:r>
    </w:p>
    <w:p w:rsidR="00A27006" w:rsidRPr="00B42271" w:rsidRDefault="00A27006" w:rsidP="00A27006">
      <w:pPr>
        <w:pStyle w:val="Title1LevelTitre1Niveau-AltL"/>
        <w:rPr>
          <w:rFonts w:cs="Times New Roman"/>
        </w:rPr>
      </w:pPr>
      <w:r w:rsidRPr="00B42271">
        <w:rPr>
          <w:rFonts w:cs="Times New Roman"/>
        </w:rPr>
        <w:t>Conclusion</w:t>
      </w:r>
    </w:p>
    <w:p w:rsidR="00A27006" w:rsidRPr="00911F0A" w:rsidRDefault="00A27006" w:rsidP="00A27006">
      <w:pPr>
        <w:pStyle w:val="ParaNoNdepar-AltN"/>
        <w:numPr>
          <w:ilvl w:val="0"/>
          <w:numId w:val="7"/>
        </w:numPr>
        <w:rPr>
          <w:rStyle w:val="SCCCounselPartyRoleChar"/>
          <w:rFonts w:cs="Times New Roman"/>
        </w:rPr>
      </w:pPr>
      <w:r w:rsidRPr="00B42271">
        <w:rPr>
          <w:rFonts w:cs="Times New Roman"/>
        </w:rPr>
        <w:t>For these reasons, the Court allowed Ms. Michel’s appeal with costs throughout, and reinstated the hearing judge’s order.</w:t>
      </w:r>
    </w:p>
    <w:p w:rsidR="00A27006" w:rsidRDefault="00A27006" w:rsidP="00911F0A">
      <w:pPr>
        <w:ind w:left="1170"/>
      </w:pPr>
      <w:r w:rsidRPr="00F71361">
        <w:t>The reasons of Wagner C.J. and Martin J. were delivered by</w:t>
      </w:r>
    </w:p>
    <w:p w:rsidR="00A27006" w:rsidRPr="00F71361" w:rsidRDefault="00A27006" w:rsidP="00A27006"/>
    <w:p w:rsidR="00A27006" w:rsidRPr="00F02C4A" w:rsidRDefault="00A27006" w:rsidP="00A27006">
      <w:pPr>
        <w:pStyle w:val="JudgeJuge"/>
      </w:pPr>
      <w:r w:rsidRPr="00F02C4A">
        <w:tab/>
        <w:t xml:space="preserve">Martin J. — </w:t>
      </w:r>
    </w:p>
    <w:p w:rsidR="00A27006" w:rsidRPr="006A55A1" w:rsidRDefault="00A27006" w:rsidP="006A55A1">
      <w:pPr>
        <w:pStyle w:val="Title1LevelTitre1Niveau-AltL"/>
        <w:numPr>
          <w:ilvl w:val="0"/>
          <w:numId w:val="16"/>
        </w:numPr>
        <w:rPr>
          <w:rFonts w:cs="Times New Roman"/>
        </w:rPr>
      </w:pPr>
      <w:bookmarkStart w:id="1" w:name="_Toc38610206"/>
      <w:bookmarkStart w:id="2" w:name="_Toc46428234"/>
      <w:bookmarkStart w:id="3" w:name="_Toc48626809"/>
      <w:r w:rsidRPr="006A55A1">
        <w:rPr>
          <w:rFonts w:cs="Times New Roman"/>
        </w:rPr>
        <w:t>Introduction</w:t>
      </w:r>
      <w:bookmarkEnd w:id="1"/>
      <w:bookmarkEnd w:id="2"/>
      <w:bookmarkEnd w:id="3"/>
    </w:p>
    <w:p w:rsidR="00A27006" w:rsidRPr="00F02C4A" w:rsidRDefault="00A27006" w:rsidP="00A27006">
      <w:pPr>
        <w:pStyle w:val="ParaNoNdepar-AltN"/>
        <w:numPr>
          <w:ilvl w:val="0"/>
          <w:numId w:val="7"/>
        </w:numPr>
      </w:pPr>
      <w:r w:rsidRPr="00F02C4A">
        <w:t xml:space="preserve">The purpose and promise of child support is to protect the financial entitlements due to children by their parents. Canadian jurisprudence has not consistently fulfilled that promise when it comes to historical child support, which is the term used to describe when retroactive child support is sought after the child no longer qualifies as a beneficiary under the applicable legislation. This is evidenced by contrary judgments across different provinces about whether applications for historical awards can be considered, a multiplying number of exceptions to principles set out in </w:t>
      </w:r>
      <w:r w:rsidRPr="00F02C4A">
        <w:rPr>
          <w:i/>
        </w:rPr>
        <w:t>D.B.S. v. S.R.G.</w:t>
      </w:r>
      <w:r w:rsidRPr="00F02C4A">
        <w:t>, 2006 SCC 37, [2006] 2 S.C.R. 231, and a growing body of jurisprudence and social science findings demonstrating that, sometimes, parents delay their application for child support to protect their children from harm or because making an application is impracticable or inaccessible in their circumstances.</w:t>
      </w:r>
    </w:p>
    <w:p w:rsidR="00A27006" w:rsidRPr="00F02C4A" w:rsidRDefault="00A27006" w:rsidP="00A27006">
      <w:pPr>
        <w:pStyle w:val="ParaNoNdepar-AltN"/>
        <w:numPr>
          <w:ilvl w:val="0"/>
          <w:numId w:val="7"/>
        </w:numPr>
        <w:rPr>
          <w:rFonts w:cs="Times New Roman"/>
        </w:rPr>
      </w:pPr>
      <w:r w:rsidRPr="00F02C4A">
        <w:rPr>
          <w:rFonts w:cs="Times New Roman"/>
        </w:rPr>
        <w:t xml:space="preserve">In the case at bar, the appellant Danelle Michel asks this Court to recognize that s. 152 of British Columbia’s </w:t>
      </w:r>
      <w:r w:rsidRPr="00F02C4A">
        <w:rPr>
          <w:rFonts w:cs="Times New Roman"/>
          <w:i/>
        </w:rPr>
        <w:t>Family Law Act</w:t>
      </w:r>
      <w:r w:rsidRPr="00F02C4A">
        <w:rPr>
          <w:rFonts w:cs="Times New Roman"/>
        </w:rPr>
        <w:t xml:space="preserve">, S.B.C. 2011, c. 25, does not constrain the courts’ ability to grant retroactive child support once the child beneficiary is no longer a “child” under that legislation. The British Columbia Court of Appeal held that, in </w:t>
      </w:r>
      <w:r w:rsidRPr="00F02C4A">
        <w:rPr>
          <w:rFonts w:cs="Times New Roman"/>
          <w:i/>
        </w:rPr>
        <w:t>D.B.S.</w:t>
      </w:r>
      <w:r w:rsidRPr="00F02C4A">
        <w:rPr>
          <w:rFonts w:cs="Times New Roman"/>
        </w:rPr>
        <w:t xml:space="preserve">, this Court imposed a jurisdictional bar preventing such claims from being heard (2018 BCCA 449, 20 B.C.L.R. (6th) 1). </w:t>
      </w:r>
    </w:p>
    <w:p w:rsidR="00A27006" w:rsidRPr="00F02C4A" w:rsidRDefault="00A27006" w:rsidP="00A27006">
      <w:pPr>
        <w:pStyle w:val="ParaNoNdepar-AltN"/>
        <w:numPr>
          <w:ilvl w:val="0"/>
          <w:numId w:val="7"/>
        </w:numPr>
        <w:rPr>
          <w:rFonts w:cs="Times New Roman"/>
        </w:rPr>
      </w:pPr>
      <w:r w:rsidRPr="00F02C4A">
        <w:rPr>
          <w:rFonts w:cs="Times New Roman"/>
        </w:rPr>
        <w:t xml:space="preserve">In his reasons, my colleague Brown J. analyzes s. 152 of the </w:t>
      </w:r>
      <w:r w:rsidRPr="00F02C4A">
        <w:rPr>
          <w:rFonts w:cs="Times New Roman"/>
          <w:i/>
        </w:rPr>
        <w:t>Family Law Act</w:t>
      </w:r>
      <w:r w:rsidRPr="00F02C4A">
        <w:rPr>
          <w:rFonts w:cs="Times New Roman"/>
        </w:rPr>
        <w:t xml:space="preserve"> and concludes that the provincial legislation allows parents to seek retroactive child support even after their child no longer fits the definition of “child” in s. 1 of the </w:t>
      </w:r>
      <w:r w:rsidRPr="00F02C4A">
        <w:rPr>
          <w:rFonts w:cs="Times New Roman"/>
          <w:i/>
        </w:rPr>
        <w:t>Family Law Act</w:t>
      </w:r>
      <w:r w:rsidR="00911F0A">
        <w:rPr>
          <w:rFonts w:cs="Times New Roman"/>
        </w:rPr>
        <w:t xml:space="preserve"> (</w:t>
      </w:r>
      <w:r w:rsidRPr="00F02C4A">
        <w:rPr>
          <w:rFonts w:cs="Times New Roman"/>
        </w:rPr>
        <w:t xml:space="preserve">paras. 19-28). I agree with his conclusion, his analysis of s. 152, and that </w:t>
      </w:r>
      <w:r w:rsidRPr="00F02C4A">
        <w:rPr>
          <w:rFonts w:cs="Times New Roman"/>
          <w:i/>
        </w:rPr>
        <w:t>D.B.S.</w:t>
      </w:r>
      <w:r w:rsidRPr="00F02C4A">
        <w:rPr>
          <w:rFonts w:cs="Times New Roman"/>
        </w:rPr>
        <w:t xml:space="preserve"> did not decide this question. However, there are other compelling considerations and numerous additional reasons why s. 152 should be read to permit such applications. The jurisprudence on child support calls for a “</w:t>
      </w:r>
      <w:r w:rsidRPr="00F02C4A">
        <w:rPr>
          <w:rFonts w:cs="Times New Roman"/>
          <w:lang w:val="en-US"/>
        </w:rPr>
        <w:t>fair, large and liberal construction and interpretation as best ensures the attainment of its objects” (</w:t>
      </w:r>
      <w:r w:rsidRPr="00F02C4A">
        <w:rPr>
          <w:rFonts w:cs="Times New Roman"/>
          <w:i/>
          <w:lang w:val="en-US"/>
        </w:rPr>
        <w:t>Chartier</w:t>
      </w:r>
      <w:r w:rsidRPr="00F02C4A">
        <w:rPr>
          <w:rFonts w:eastAsia="Times New Roman" w:cs="Times New Roman"/>
          <w:i/>
          <w:szCs w:val="24"/>
          <w:lang w:val="en-US" w:eastAsia="en-CA"/>
        </w:rPr>
        <w:t xml:space="preserve"> </w:t>
      </w:r>
      <w:r w:rsidRPr="00F02C4A">
        <w:rPr>
          <w:rFonts w:cs="Times New Roman"/>
          <w:i/>
          <w:lang w:val="en-US"/>
        </w:rPr>
        <w:t>v. Chartier</w:t>
      </w:r>
      <w:r w:rsidRPr="00F02C4A">
        <w:rPr>
          <w:rFonts w:cs="Times New Roman"/>
          <w:lang w:val="en-US"/>
        </w:rPr>
        <w:t>, [1999] 1 S.C.R. 242,</w:t>
      </w:r>
      <w:r w:rsidRPr="00F02C4A">
        <w:rPr>
          <w:rFonts w:cs="Times New Roman"/>
          <w:i/>
          <w:lang w:val="en-US"/>
        </w:rPr>
        <w:t xml:space="preserve"> </w:t>
      </w:r>
      <w:r w:rsidRPr="00F02C4A">
        <w:rPr>
          <w:rFonts w:cs="Times New Roman"/>
          <w:lang w:val="en-US"/>
        </w:rPr>
        <w:t xml:space="preserve">at para. 32). Such objects include a consideration of the best interests of the child. The required </w:t>
      </w:r>
      <w:r w:rsidRPr="00F02C4A">
        <w:rPr>
          <w:rFonts w:cs="Times New Roman"/>
        </w:rPr>
        <w:t xml:space="preserve">contextual and purposive reading of s. 152 thus requires us to look to its wider legislative purposes, societal implications, and actual impacts. Seen in this way, a jurisdictional bar preventing these cases from being heard not only rests on unsound legal foundations, it is inconsistent with the bedrock principles underlying modern child support and contributes to systemic inequalities. </w:t>
      </w:r>
    </w:p>
    <w:p w:rsidR="00A27006" w:rsidRPr="00F02C4A" w:rsidRDefault="00A27006" w:rsidP="00A27006">
      <w:pPr>
        <w:pStyle w:val="ParaNoNdepar-AltN"/>
        <w:numPr>
          <w:ilvl w:val="0"/>
          <w:numId w:val="7"/>
        </w:numPr>
        <w:rPr>
          <w:rFonts w:cs="Times New Roman"/>
        </w:rPr>
      </w:pPr>
      <w:r w:rsidRPr="00F02C4A">
        <w:rPr>
          <w:rFonts w:cs="Times New Roman"/>
        </w:rPr>
        <w:t xml:space="preserve">Child support obligations arise upon a child’s birth or the separation of their parents. Retroactive awards are a recognized way to enforce such pre-existing, free-standing obligations and to recover monies owed but yet unpaid. Such a debt is a continuing obligation which does not evaporate or fade into history upon a child’s 18th or 19th birthday or their graduation from university. Under s. 152 of the </w:t>
      </w:r>
      <w:r w:rsidRPr="00F02C4A">
        <w:rPr>
          <w:rFonts w:cs="Times New Roman"/>
          <w:i/>
        </w:rPr>
        <w:t>Family Law Act</w:t>
      </w:r>
      <w:r w:rsidRPr="00F02C4A">
        <w:rPr>
          <w:rFonts w:cs="Times New Roman"/>
        </w:rPr>
        <w:t>, a debt exists if the child qualified as a beneficiary at the time the support was due, irrespective of their status at the moment of the application. This reading not only accords with the text, legislative scheme, and purpose of s. 152, it enhances access to justice, reinforces that child support is the right of the child and the responsibility of the parents, encourages the payment of child support, acknowledges that there are many reasons why a parent may delay making an application, and recognizes how the underpayment of child support leads to hardship and contributes to the feminization of poverty. In short, allowing recipient parents to make claims for historical child support is in the best interests of children and promotes equality and access to justice for all.</w:t>
      </w:r>
    </w:p>
    <w:p w:rsidR="00A27006" w:rsidRPr="00F02C4A" w:rsidRDefault="00A27006" w:rsidP="00A27006">
      <w:pPr>
        <w:pStyle w:val="ParaNoNdepar-AltN"/>
        <w:numPr>
          <w:ilvl w:val="0"/>
          <w:numId w:val="7"/>
        </w:numPr>
        <w:rPr>
          <w:rFonts w:cs="Times New Roman"/>
        </w:rPr>
      </w:pPr>
      <w:r w:rsidRPr="00F02C4A">
        <w:rPr>
          <w:rFonts w:cs="Times New Roman"/>
        </w:rPr>
        <w:t>Child support issues rarely make their way to this Court due to the high cost of appeals and the comparatively low value of awards. The evasiveness of review attaching to historical child support issues justifies that we begin to discuss and reconcile the deeply divided and confused jurisprudence which prevents the hearing of historical child support claims across Canada.</w:t>
      </w:r>
    </w:p>
    <w:p w:rsidR="00A27006" w:rsidRPr="00F02C4A" w:rsidRDefault="00A27006" w:rsidP="00A27006">
      <w:pPr>
        <w:pStyle w:val="ParaNoNdepar-AltN"/>
        <w:numPr>
          <w:ilvl w:val="0"/>
          <w:numId w:val="7"/>
        </w:numPr>
        <w:rPr>
          <w:rFonts w:cs="Times New Roman"/>
        </w:rPr>
      </w:pPr>
      <w:r w:rsidRPr="00F02C4A">
        <w:rPr>
          <w:rFonts w:cs="Times New Roman"/>
        </w:rPr>
        <w:t xml:space="preserve">In these reasons, I first provide an overview of the purposes and principles of child support in Canadian law to lay the groundwork for a fair, large, and liberal interpretation of the British Columbia legislation. Second, I turn to s. 152 and conclude that the </w:t>
      </w:r>
      <w:r w:rsidRPr="00F02C4A">
        <w:rPr>
          <w:rFonts w:cs="Times New Roman"/>
          <w:i/>
        </w:rPr>
        <w:t>Family Law Act</w:t>
      </w:r>
      <w:r w:rsidRPr="00F02C4A">
        <w:rPr>
          <w:rFonts w:cs="Times New Roman"/>
        </w:rPr>
        <w:t xml:space="preserve"> allows variation applications for historical child support because the imposition of a jurisdictional bar prevents access to justice for children, fails to account for the reasons why support applications may be delayed, and creates significant financial hardship for children and their caregivers. Third, I discuss the factors that courts ought to take into account to determine the scope of historical child support awards. My application of these principles to the facts of this case leads me to agree with Brown J. and allow Ms. Michel’s appeal.</w:t>
      </w:r>
    </w:p>
    <w:p w:rsidR="00A27006" w:rsidRPr="00F02C4A" w:rsidRDefault="00A27006" w:rsidP="00A27006">
      <w:pPr>
        <w:pStyle w:val="Title1LevelTitre1Niveau-AltL"/>
        <w:keepNext/>
        <w:rPr>
          <w:rFonts w:cs="Times New Roman"/>
        </w:rPr>
      </w:pPr>
      <w:bookmarkStart w:id="4" w:name="_Toc38610207"/>
      <w:bookmarkStart w:id="5" w:name="_Toc46428235"/>
      <w:bookmarkStart w:id="6" w:name="_Toc48626810"/>
      <w:r w:rsidRPr="00F02C4A">
        <w:rPr>
          <w:rFonts w:cs="Times New Roman"/>
        </w:rPr>
        <w:t>The Principles of Child Support</w:t>
      </w:r>
      <w:bookmarkEnd w:id="4"/>
      <w:bookmarkEnd w:id="5"/>
      <w:bookmarkEnd w:id="6"/>
      <w:r w:rsidRPr="00F02C4A">
        <w:rPr>
          <w:rFonts w:cs="Times New Roman"/>
        </w:rPr>
        <w:t xml:space="preserve"> </w:t>
      </w:r>
    </w:p>
    <w:p w:rsidR="00A27006" w:rsidRPr="00F02C4A" w:rsidRDefault="00A27006" w:rsidP="00A27006">
      <w:pPr>
        <w:pStyle w:val="ParaNoNdepar-AltN"/>
        <w:numPr>
          <w:ilvl w:val="0"/>
          <w:numId w:val="7"/>
        </w:numPr>
        <w:rPr>
          <w:rFonts w:cs="Times New Roman"/>
        </w:rPr>
      </w:pPr>
      <w:r w:rsidRPr="00F02C4A">
        <w:rPr>
          <w:rFonts w:cs="Times New Roman"/>
        </w:rPr>
        <w:t xml:space="preserve">Child support is the means through which the law ensures that individuals with parental responsibilities provide financial assistance to their children upon separation from their children’s other parent(s), or upon their children’s birth if the parents never cohabitated. The historical evolution of Canadian child support law bears on the proper interpretation not only the </w:t>
      </w:r>
      <w:r w:rsidRPr="00F02C4A">
        <w:rPr>
          <w:rFonts w:cs="Times New Roman"/>
          <w:i/>
        </w:rPr>
        <w:t>Family Law Act</w:t>
      </w:r>
      <w:r w:rsidRPr="00F02C4A">
        <w:rPr>
          <w:rFonts w:cs="Times New Roman"/>
        </w:rPr>
        <w:t>, but also of the</w:t>
      </w:r>
      <w:r w:rsidRPr="00F02C4A">
        <w:rPr>
          <w:rFonts w:cs="Times New Roman"/>
          <w:i/>
        </w:rPr>
        <w:t xml:space="preserve"> Divorce Act</w:t>
      </w:r>
      <w:r w:rsidRPr="00F02C4A">
        <w:rPr>
          <w:rFonts w:cs="Times New Roman"/>
        </w:rPr>
        <w:t>, R.S.C. 1985, c. 3 (2nd Supp.), and similar legislation across the country.</w:t>
      </w:r>
    </w:p>
    <w:p w:rsidR="00A27006" w:rsidRPr="00F02C4A" w:rsidRDefault="00A27006" w:rsidP="00A27006">
      <w:pPr>
        <w:pStyle w:val="Title2LevelTitre2Niveau"/>
        <w:rPr>
          <w:rFonts w:cs="Times New Roman"/>
          <w:lang w:val="en-US"/>
        </w:rPr>
      </w:pPr>
      <w:bookmarkStart w:id="7" w:name="_Toc38610208"/>
      <w:bookmarkStart w:id="8" w:name="_Toc46428236"/>
      <w:bookmarkStart w:id="9" w:name="_Toc48626811"/>
      <w:r w:rsidRPr="00F02C4A">
        <w:rPr>
          <w:rFonts w:cs="Times New Roman"/>
          <w:lang w:val="en-US"/>
        </w:rPr>
        <w:t>Pre-</w:t>
      </w:r>
      <w:r w:rsidRPr="00F02C4A">
        <w:rPr>
          <w:rFonts w:cs="Times New Roman"/>
        </w:rPr>
        <w:t>Guidelines</w:t>
      </w:r>
      <w:r w:rsidRPr="00F02C4A">
        <w:rPr>
          <w:rFonts w:cs="Times New Roman"/>
          <w:lang w:val="en-US"/>
        </w:rPr>
        <w:t xml:space="preserve"> </w:t>
      </w:r>
      <w:r w:rsidRPr="00F02C4A">
        <w:rPr>
          <w:rFonts w:cs="Times New Roman"/>
        </w:rPr>
        <w:t>Jurisprudence</w:t>
      </w:r>
      <w:r w:rsidRPr="00F02C4A">
        <w:rPr>
          <w:rFonts w:cs="Times New Roman"/>
          <w:lang w:val="en-US"/>
        </w:rPr>
        <w:t xml:space="preserve"> and Legislation on Child Support</w:t>
      </w:r>
      <w:bookmarkEnd w:id="7"/>
      <w:bookmarkEnd w:id="8"/>
      <w:bookmarkEnd w:id="9"/>
    </w:p>
    <w:p w:rsidR="00A27006" w:rsidRPr="00F02C4A" w:rsidRDefault="00A27006" w:rsidP="00A27006">
      <w:pPr>
        <w:pStyle w:val="ParaNoNdepar-AltN"/>
        <w:numPr>
          <w:ilvl w:val="0"/>
          <w:numId w:val="7"/>
        </w:numPr>
        <w:rPr>
          <w:rFonts w:cs="Times New Roman"/>
        </w:rPr>
      </w:pPr>
      <w:r w:rsidRPr="00F02C4A">
        <w:rPr>
          <w:rFonts w:cs="Times New Roman"/>
        </w:rPr>
        <w:t>Far from being solely moral in nature, the child support obligation “arises out of the common law, equity and statute” (</w:t>
      </w:r>
      <w:r w:rsidRPr="00F02C4A">
        <w:rPr>
          <w:rFonts w:cs="Times New Roman"/>
          <w:i/>
          <w:iCs/>
        </w:rPr>
        <w:t xml:space="preserve">MacMinn v. MacMinn </w:t>
      </w:r>
      <w:r w:rsidRPr="00F02C4A">
        <w:rPr>
          <w:rFonts w:cs="Times New Roman"/>
        </w:rPr>
        <w:t>(1995), 174 A.R. 261 (C.A.), at para. 15). Indeed, child support has found statutory expression as a feature of Canadian family law since 1855 (</w:t>
      </w:r>
      <w:r w:rsidRPr="00F02C4A">
        <w:rPr>
          <w:rFonts w:cs="Times New Roman"/>
          <w:i/>
        </w:rPr>
        <w:t>An Act to amend the Law relating to the custody of Infants</w:t>
      </w:r>
      <w:r w:rsidRPr="00F02C4A">
        <w:rPr>
          <w:rFonts w:cs="Times New Roman"/>
        </w:rPr>
        <w:t>, S.</w:t>
      </w:r>
      <w:r w:rsidR="00257BA1">
        <w:rPr>
          <w:rFonts w:cs="Times New Roman"/>
        </w:rPr>
        <w:t xml:space="preserve"> Prov</w:t>
      </w:r>
      <w:r w:rsidRPr="00F02C4A">
        <w:rPr>
          <w:rFonts w:cs="Times New Roman"/>
        </w:rPr>
        <w:t>.</w:t>
      </w:r>
      <w:r w:rsidR="00257BA1">
        <w:rPr>
          <w:rFonts w:cs="Times New Roman"/>
        </w:rPr>
        <w:t xml:space="preserve"> </w:t>
      </w:r>
      <w:r w:rsidRPr="00F02C4A">
        <w:rPr>
          <w:rFonts w:cs="Times New Roman"/>
        </w:rPr>
        <w:t xml:space="preserve">C. 1855, 18 Vict., c. 126, s. 1; see also P. Millar and A. H. Gauthier, “What Were They Thinking? The Development of Child Support Guidelines in Canada” (2002), 17 </w:t>
      </w:r>
      <w:r w:rsidRPr="00F02C4A">
        <w:rPr>
          <w:rFonts w:cs="Times New Roman"/>
          <w:i/>
        </w:rPr>
        <w:t>C.J.L.S.</w:t>
      </w:r>
      <w:r w:rsidRPr="00F02C4A">
        <w:rPr>
          <w:rFonts w:cs="Times New Roman"/>
        </w:rPr>
        <w:t xml:space="preserve"> 139, at pp. 139-40). The law has long recognized that a parent’s obligation of support to their child “arise[s] automatically, upon birth” and that these obligations “have come to be refined, quantified and amplified” through statute (</w:t>
      </w:r>
      <w:r w:rsidRPr="00F02C4A">
        <w:rPr>
          <w:rFonts w:cs="Times New Roman"/>
          <w:i/>
        </w:rPr>
        <w:t>D.B.S.</w:t>
      </w:r>
      <w:r w:rsidRPr="00F02C4A">
        <w:rPr>
          <w:rFonts w:cs="Times New Roman"/>
        </w:rPr>
        <w:t xml:space="preserve">, at para. 37, citing </w:t>
      </w:r>
      <w:r w:rsidRPr="00F02C4A">
        <w:rPr>
          <w:rFonts w:cs="Times New Roman"/>
          <w:i/>
        </w:rPr>
        <w:t>Poissant v. Barrette</w:t>
      </w:r>
      <w:r w:rsidRPr="00F02C4A">
        <w:rPr>
          <w:rFonts w:cs="Times New Roman"/>
        </w:rPr>
        <w:t xml:space="preserve"> (1879), 3 L.N. 12 (Que. C.A.)). </w:t>
      </w:r>
    </w:p>
    <w:p w:rsidR="00A27006" w:rsidRPr="00F02C4A" w:rsidRDefault="00A27006" w:rsidP="00A27006">
      <w:pPr>
        <w:pStyle w:val="ParaNoNdepar-AltN"/>
        <w:numPr>
          <w:ilvl w:val="0"/>
          <w:numId w:val="7"/>
        </w:numPr>
        <w:rPr>
          <w:rFonts w:cs="Times New Roman"/>
        </w:rPr>
      </w:pPr>
      <w:r w:rsidRPr="00F02C4A">
        <w:rPr>
          <w:rFonts w:cs="Times New Roman"/>
        </w:rPr>
        <w:t xml:space="preserve">Earlier statutory schemes, including the first iterations of the </w:t>
      </w:r>
      <w:r w:rsidRPr="00F02C4A">
        <w:rPr>
          <w:rFonts w:cs="Times New Roman"/>
          <w:i/>
        </w:rPr>
        <w:t>Divorce Act</w:t>
      </w:r>
      <w:r w:rsidRPr="00F02C4A">
        <w:rPr>
          <w:rFonts w:cs="Times New Roman"/>
        </w:rPr>
        <w:t xml:space="preserve">, treated need and judicial discretion as the governing principles in awards of child support, leaving it to judges to decide upon a reasonable sum to commit for the care of the child. In response, the courts attempted to specify guiding principles for awards of child support (see, e.g., </w:t>
      </w:r>
      <w:r w:rsidRPr="00F02C4A">
        <w:rPr>
          <w:rFonts w:cs="Times New Roman"/>
          <w:i/>
        </w:rPr>
        <w:t>Paras v. Paras</w:t>
      </w:r>
      <w:r w:rsidRPr="00F02C4A">
        <w:rPr>
          <w:rFonts w:cs="Times New Roman"/>
        </w:rPr>
        <w:t xml:space="preserve">, [1971] 1 O.R. 130 (C.A.), at pp. 134-35; </w:t>
      </w:r>
      <w:r w:rsidRPr="00F02C4A">
        <w:rPr>
          <w:rFonts w:cs="Times New Roman"/>
          <w:i/>
        </w:rPr>
        <w:t>Levesque v. Levesque</w:t>
      </w:r>
      <w:r w:rsidRPr="00F02C4A">
        <w:rPr>
          <w:rFonts w:cs="Times New Roman"/>
        </w:rPr>
        <w:t xml:space="preserve"> (1994), 155 A.R. 26 (C.A.), at pp. 29-42; </w:t>
      </w:r>
      <w:r w:rsidRPr="00F02C4A">
        <w:rPr>
          <w:rFonts w:cs="Times New Roman"/>
          <w:i/>
        </w:rPr>
        <w:t>Vincent v. Vincent</w:t>
      </w:r>
      <w:r w:rsidRPr="00F02C4A">
        <w:rPr>
          <w:rFonts w:cs="Times New Roman"/>
        </w:rPr>
        <w:t xml:space="preserve"> (1995), 132 Nfld. &amp; P.E.I.R. 181 (Nfld. C.A.), at paras. 38-46; see also </w:t>
      </w:r>
      <w:r w:rsidRPr="00F02C4A">
        <w:rPr>
          <w:rFonts w:cs="Times New Roman"/>
          <w:i/>
        </w:rPr>
        <w:t>Wright v. Wright</w:t>
      </w:r>
      <w:r w:rsidRPr="00F02C4A">
        <w:rPr>
          <w:rFonts w:cs="Times New Roman"/>
        </w:rPr>
        <w:t xml:space="preserve"> (1996), 141 Sask. R. 44 (C.A.), at paras. 35-39; C. J. Rogerson, “Judicial Interpretation of the Spousal and Child Support Provisions of the </w:t>
      </w:r>
      <w:r w:rsidRPr="00F02C4A">
        <w:rPr>
          <w:rFonts w:cs="Times New Roman"/>
          <w:i/>
        </w:rPr>
        <w:t>Divorce Act, 1985</w:t>
      </w:r>
      <w:r w:rsidRPr="00F02C4A">
        <w:rPr>
          <w:rFonts w:cs="Times New Roman"/>
        </w:rPr>
        <w:t xml:space="preserve"> (Part II)” (1991), 7 </w:t>
      </w:r>
      <w:r w:rsidRPr="00F02C4A">
        <w:rPr>
          <w:rFonts w:cs="Times New Roman"/>
          <w:i/>
        </w:rPr>
        <w:t>C.F.L.Q.</w:t>
      </w:r>
      <w:r w:rsidRPr="00F02C4A">
        <w:rPr>
          <w:rFonts w:cs="Times New Roman"/>
        </w:rPr>
        <w:t xml:space="preserve"> 271, at pp. 276-85).</w:t>
      </w:r>
    </w:p>
    <w:p w:rsidR="00A27006" w:rsidRPr="00F02C4A" w:rsidRDefault="00A27006" w:rsidP="00A27006">
      <w:pPr>
        <w:pStyle w:val="ParaNoNdepar-AltN"/>
        <w:numPr>
          <w:ilvl w:val="0"/>
          <w:numId w:val="7"/>
        </w:numPr>
        <w:rPr>
          <w:rFonts w:cs="Times New Roman"/>
        </w:rPr>
      </w:pPr>
      <w:r w:rsidRPr="00F02C4A">
        <w:rPr>
          <w:rFonts w:cs="Times New Roman"/>
        </w:rPr>
        <w:t>Consistent with the primacy of the child’s best interests, the courts thus recognized that “the children of the marriage should be sheltered from the economic consequences of divorce” (</w:t>
      </w:r>
      <w:r w:rsidRPr="00F02C4A">
        <w:rPr>
          <w:rFonts w:cs="Times New Roman"/>
          <w:i/>
        </w:rPr>
        <w:t>Willick v. Willick</w:t>
      </w:r>
      <w:r w:rsidRPr="00F02C4A">
        <w:rPr>
          <w:rFonts w:cs="Times New Roman"/>
        </w:rPr>
        <w:t xml:space="preserve">, [1994] 3 S.C.R. 670, at p. 690). Since the provisions of the </w:t>
      </w:r>
      <w:r w:rsidRPr="00F02C4A">
        <w:rPr>
          <w:rFonts w:cs="Times New Roman"/>
          <w:i/>
        </w:rPr>
        <w:t>Divorce Act</w:t>
      </w:r>
      <w:r w:rsidRPr="00F02C4A">
        <w:rPr>
          <w:rFonts w:cs="Times New Roman"/>
        </w:rPr>
        <w:t xml:space="preserve"> evinced Parliament’s intention that “the children’s needs come first”, neither a delay in enforcing the child’s right to support on the part of the custodial parent nor the putative “retroactivity” of a support order could override the parent’s obligation to support their children (</w:t>
      </w:r>
      <w:r w:rsidRPr="00F02C4A">
        <w:rPr>
          <w:rFonts w:cs="Times New Roman"/>
          <w:i/>
        </w:rPr>
        <w:t>MacMinn</w:t>
      </w:r>
      <w:r w:rsidRPr="00F02C4A">
        <w:rPr>
          <w:rFonts w:cs="Times New Roman"/>
        </w:rPr>
        <w:t>, at para</w:t>
      </w:r>
      <w:r w:rsidR="00BE6F12">
        <w:rPr>
          <w:rFonts w:cs="Times New Roman"/>
        </w:rPr>
        <w:t>s. </w:t>
      </w:r>
      <w:r w:rsidRPr="00F02C4A">
        <w:rPr>
          <w:rFonts w:cs="Times New Roman"/>
        </w:rPr>
        <w:t>15</w:t>
      </w:r>
      <w:r w:rsidR="00BE6F12">
        <w:rPr>
          <w:rFonts w:cs="Times New Roman"/>
        </w:rPr>
        <w:t>-16</w:t>
      </w:r>
      <w:r w:rsidRPr="00F02C4A">
        <w:rPr>
          <w:rFonts w:cs="Times New Roman"/>
        </w:rPr>
        <w:t xml:space="preserve">; </w:t>
      </w:r>
      <w:r w:rsidRPr="00F02C4A">
        <w:rPr>
          <w:rFonts w:cs="Times New Roman"/>
          <w:i/>
        </w:rPr>
        <w:t>Cherry v. Cherry</w:t>
      </w:r>
      <w:r w:rsidRPr="00F02C4A">
        <w:rPr>
          <w:rFonts w:cs="Times New Roman"/>
        </w:rPr>
        <w:t xml:space="preserve"> (1996), 24 B.C.L.R. (3d) 158 (C.A.), at para. 11).</w:t>
      </w:r>
    </w:p>
    <w:p w:rsidR="00A27006" w:rsidRPr="00F02C4A" w:rsidRDefault="00A27006" w:rsidP="00A27006">
      <w:pPr>
        <w:pStyle w:val="ParaNoNdepar-AltN"/>
        <w:numPr>
          <w:ilvl w:val="0"/>
          <w:numId w:val="7"/>
        </w:numPr>
        <w:rPr>
          <w:rFonts w:cs="Times New Roman"/>
        </w:rPr>
      </w:pPr>
      <w:r w:rsidRPr="00F02C4A">
        <w:rPr>
          <w:rFonts w:cs="Times New Roman"/>
        </w:rPr>
        <w:t xml:space="preserve">Commentators, however, criticized this discretionary approach, which was simultaneously subjective and needs-focussed, for being uncertain, inconsistent, and often resulting in unfair awards. In many cases, the inadequacy of awards resulted from judges, counsel, or parties underestimating the cost of raising a child, coupled with the courts’ insistence on proof of the child’s expenses. One adverse impact of this approach was to place the burden of proof on the custodial parent, though this same parent would often be the least able to afford litigation (Federal/Provincial/Territorial Family Law Committee, </w:t>
      </w:r>
      <w:r w:rsidRPr="00F02C4A">
        <w:rPr>
          <w:rFonts w:cs="Times New Roman"/>
          <w:i/>
        </w:rPr>
        <w:t>Child Support: Public Discussion Paper</w:t>
      </w:r>
      <w:r w:rsidRPr="00F02C4A">
        <w:rPr>
          <w:rFonts w:cs="Times New Roman"/>
        </w:rPr>
        <w:t xml:space="preserve"> (1991), at pp. 1 and 4-5; </w:t>
      </w:r>
      <w:r w:rsidRPr="00F02C4A">
        <w:rPr>
          <w:rFonts w:cs="Times New Roman"/>
          <w:i/>
        </w:rPr>
        <w:t>Wang v. Wang</w:t>
      </w:r>
      <w:r w:rsidRPr="00F02C4A">
        <w:rPr>
          <w:rFonts w:cs="Times New Roman"/>
        </w:rPr>
        <w:t xml:space="preserve"> (1998), 58 B.C.L.R. (3d) 159 (C.A.), at para. 13; T. Maisonneuve, “Child Support Under the Federal and Quebec Guidelines: A Step Forward or Behind?” (1999), 16 </w:t>
      </w:r>
      <w:r w:rsidRPr="00F02C4A">
        <w:rPr>
          <w:rFonts w:cs="Times New Roman"/>
          <w:i/>
        </w:rPr>
        <w:t>Can. J. Fam. L.</w:t>
      </w:r>
      <w:r w:rsidRPr="00F02C4A">
        <w:rPr>
          <w:rFonts w:cs="Times New Roman"/>
        </w:rPr>
        <w:t xml:space="preserve"> 284, at p. 300). In cases where such evidence was not adduced, there existed the concern that any award made under the prevailing approach would “necessarily be subjective and </w:t>
      </w:r>
      <w:r w:rsidR="00BE6F12">
        <w:rPr>
          <w:rFonts w:cs="Times New Roman"/>
        </w:rPr>
        <w:t xml:space="preserve">somewhat </w:t>
      </w:r>
      <w:r w:rsidRPr="00F02C4A">
        <w:rPr>
          <w:rFonts w:cs="Times New Roman"/>
        </w:rPr>
        <w:t>arbitrary” (</w:t>
      </w:r>
      <w:r w:rsidRPr="00F02C4A">
        <w:rPr>
          <w:rFonts w:cs="Times New Roman"/>
          <w:i/>
        </w:rPr>
        <w:t>Childs v. Childs</w:t>
      </w:r>
      <w:r w:rsidRPr="00F02C4A">
        <w:rPr>
          <w:rFonts w:cs="Times New Roman"/>
        </w:rPr>
        <w:t xml:space="preserve"> (1990), 107 N.B.R. (2d) 176 (C.A.), at para. 6).</w:t>
      </w:r>
    </w:p>
    <w:p w:rsidR="00A27006" w:rsidRPr="00F02C4A" w:rsidRDefault="00A27006" w:rsidP="00A27006">
      <w:pPr>
        <w:pStyle w:val="Title2LevelTitre2Niveau"/>
        <w:rPr>
          <w:rFonts w:cs="Times New Roman"/>
        </w:rPr>
      </w:pPr>
      <w:bookmarkStart w:id="10" w:name="_Toc38610209"/>
      <w:bookmarkStart w:id="11" w:name="_Toc46428237"/>
      <w:bookmarkStart w:id="12" w:name="_Toc48626812"/>
      <w:r w:rsidRPr="00F02C4A">
        <w:rPr>
          <w:rFonts w:cs="Times New Roman"/>
        </w:rPr>
        <w:t>Core Principles, Purposes, and Objectives in the Guidelines Era</w:t>
      </w:r>
      <w:bookmarkEnd w:id="10"/>
      <w:bookmarkEnd w:id="11"/>
      <w:bookmarkEnd w:id="12"/>
    </w:p>
    <w:p w:rsidR="00A27006" w:rsidRPr="00F02C4A" w:rsidRDefault="00A27006" w:rsidP="00A27006">
      <w:pPr>
        <w:pStyle w:val="ParaNoNdepar-AltN"/>
        <w:numPr>
          <w:ilvl w:val="0"/>
          <w:numId w:val="7"/>
        </w:numPr>
        <w:rPr>
          <w:rFonts w:cs="Times New Roman"/>
        </w:rPr>
      </w:pPr>
      <w:r w:rsidRPr="00F02C4A">
        <w:rPr>
          <w:rFonts w:cs="Times New Roman"/>
        </w:rPr>
        <w:t xml:space="preserve">The objective of the </w:t>
      </w:r>
      <w:r w:rsidRPr="00F02C4A">
        <w:rPr>
          <w:rFonts w:cs="Times New Roman"/>
          <w:i/>
        </w:rPr>
        <w:t>Federal Child Support Guidelines</w:t>
      </w:r>
      <w:r w:rsidRPr="00F02C4A">
        <w:rPr>
          <w:rFonts w:cs="Times New Roman"/>
        </w:rPr>
        <w:t>, SOR/97-175 (“</w:t>
      </w:r>
      <w:r w:rsidRPr="00F02C4A">
        <w:rPr>
          <w:rFonts w:cs="Times New Roman"/>
          <w:i/>
        </w:rPr>
        <w:t>Guidelines</w:t>
      </w:r>
      <w:r w:rsidRPr="00F02C4A">
        <w:rPr>
          <w:rFonts w:cs="Times New Roman"/>
        </w:rPr>
        <w:t>”) was to remedy this situation by maintaining the principles core to child support while providing much-needed certainty, consistency, predictability, and efficiency (</w:t>
      </w:r>
      <w:r w:rsidRPr="00F02C4A">
        <w:rPr>
          <w:rFonts w:cs="Times New Roman"/>
          <w:i/>
        </w:rPr>
        <w:t>Francis v. Baker</w:t>
      </w:r>
      <w:r w:rsidRPr="00F02C4A">
        <w:rPr>
          <w:rFonts w:cs="Times New Roman"/>
        </w:rPr>
        <w:t xml:space="preserve">, [1999] 3 S.C.R. 250, at paras. 39-40). In 1990, the federal, provincial, and territorial governments formed a Family Law Committee with the mandate to study child support in Canada. In its initial </w:t>
      </w:r>
      <w:r w:rsidRPr="00F02C4A">
        <w:rPr>
          <w:rFonts w:cs="Times New Roman"/>
          <w:i/>
        </w:rPr>
        <w:t>Public Discussion Paper</w:t>
      </w:r>
      <w:r w:rsidRPr="00F02C4A">
        <w:rPr>
          <w:rFonts w:cs="Times New Roman"/>
        </w:rPr>
        <w:t>, the Committee acknowledged the criticisms relating to child support awards, proposing a new method that would “[y]ield adequate and eq</w:t>
      </w:r>
      <w:r w:rsidR="009352AF">
        <w:rPr>
          <w:rFonts w:cs="Times New Roman"/>
        </w:rPr>
        <w:t>uitable levels of child support</w:t>
      </w:r>
      <w:r w:rsidRPr="00F02C4A">
        <w:rPr>
          <w:rFonts w:cs="Times New Roman"/>
        </w:rPr>
        <w:t>”</w:t>
      </w:r>
      <w:r w:rsidR="009352AF">
        <w:rPr>
          <w:rFonts w:cs="Times New Roman"/>
        </w:rPr>
        <w:t>,</w:t>
      </w:r>
      <w:r w:rsidRPr="00F02C4A">
        <w:rPr>
          <w:rFonts w:cs="Times New Roman"/>
        </w:rPr>
        <w:t xml:space="preserve"> produce “objectively determinable, consistent and predictable” awards, ensure flexibility, and be “understandable and inexpensive to administer” (p. 7). Following research and consultation, the Committee (with a reservation from Quebec) ultimately recommended the application of a child support formula under the </w:t>
      </w:r>
      <w:r w:rsidRPr="00F02C4A">
        <w:rPr>
          <w:rFonts w:cs="Times New Roman"/>
          <w:i/>
        </w:rPr>
        <w:t>Divorce Act</w:t>
      </w:r>
      <w:r w:rsidRPr="00F02C4A">
        <w:rPr>
          <w:rFonts w:cs="Times New Roman"/>
        </w:rPr>
        <w:t xml:space="preserve">, “guided by the principle that both parents have a responsibility to meet the financial needs of the children according to their income” (Federal/Provincial/Territorial Family Law Committee, </w:t>
      </w:r>
      <w:r w:rsidRPr="00F02C4A">
        <w:rPr>
          <w:rFonts w:cs="Times New Roman"/>
          <w:i/>
        </w:rPr>
        <w:t>Report and Recommendations on Child Support</w:t>
      </w:r>
      <w:r w:rsidRPr="00F02C4A">
        <w:rPr>
          <w:rFonts w:cs="Times New Roman"/>
        </w:rPr>
        <w:t xml:space="preserve"> (1995), at p. i). In 1997, Parliament gave effect to the Committee’s proposals by introducing the </w:t>
      </w:r>
      <w:r w:rsidRPr="00F02C4A">
        <w:rPr>
          <w:rFonts w:cs="Times New Roman"/>
          <w:i/>
        </w:rPr>
        <w:t>Guidelines</w:t>
      </w:r>
      <w:r w:rsidRPr="00F02C4A">
        <w:rPr>
          <w:rFonts w:cs="Times New Roman"/>
        </w:rPr>
        <w:t>.</w:t>
      </w:r>
    </w:p>
    <w:p w:rsidR="00A27006" w:rsidRPr="00F02C4A" w:rsidRDefault="00A27006" w:rsidP="00A27006">
      <w:pPr>
        <w:pStyle w:val="ParaNoNdepar-AltN"/>
        <w:numPr>
          <w:ilvl w:val="0"/>
          <w:numId w:val="7"/>
        </w:numPr>
        <w:rPr>
          <w:rFonts w:cs="Times New Roman"/>
        </w:rPr>
      </w:pPr>
      <w:r w:rsidRPr="00F02C4A">
        <w:rPr>
          <w:rFonts w:cs="Times New Roman"/>
        </w:rPr>
        <w:t xml:space="preserve">The </w:t>
      </w:r>
      <w:r w:rsidRPr="00F02C4A">
        <w:rPr>
          <w:rFonts w:cs="Times New Roman"/>
          <w:i/>
        </w:rPr>
        <w:t xml:space="preserve">Guidelines </w:t>
      </w:r>
      <w:r w:rsidRPr="00F02C4A">
        <w:rPr>
          <w:rFonts w:cs="Times New Roman"/>
        </w:rPr>
        <w:t>heralded a shift from a “need-based” regime, which focussed on expenses, to one that determines a child’s entitlement to support (</w:t>
      </w:r>
      <w:r w:rsidRPr="00F02C4A">
        <w:rPr>
          <w:rFonts w:cs="Times New Roman"/>
          <w:i/>
        </w:rPr>
        <w:t>D.B.S. v. S.R.G.</w:t>
      </w:r>
      <w:r w:rsidRPr="00F02C4A">
        <w:rPr>
          <w:rFonts w:cs="Times New Roman"/>
        </w:rPr>
        <w:t>, 2005 ABCA 2, 361 A.R. 60, at para. 66 (“</w:t>
      </w:r>
      <w:r w:rsidRPr="00F02C4A">
        <w:rPr>
          <w:rFonts w:cs="Times New Roman"/>
          <w:i/>
        </w:rPr>
        <w:t>D.B.S.</w:t>
      </w:r>
      <w:r w:rsidRPr="00F02C4A">
        <w:rPr>
          <w:rFonts w:cs="Times New Roman"/>
        </w:rPr>
        <w:t xml:space="preserve"> (C.A.)”)). The “Federal Child Support Tables” (“Tables”, incorporated in Sch. I of the </w:t>
      </w:r>
      <w:r w:rsidRPr="00F02C4A">
        <w:rPr>
          <w:rFonts w:cs="Times New Roman"/>
          <w:i/>
        </w:rPr>
        <w:t>Guidelines</w:t>
      </w:r>
      <w:r w:rsidRPr="00F02C4A">
        <w:rPr>
          <w:rFonts w:cs="Times New Roman"/>
        </w:rPr>
        <w:t xml:space="preserve">) prescribe the amount of support to which a child is entitled on the basis of the income of the payer parent and the number of children supported. Because the </w:t>
      </w:r>
      <w:r w:rsidRPr="00F02C4A">
        <w:rPr>
          <w:rFonts w:cs="Times New Roman"/>
          <w:i/>
        </w:rPr>
        <w:t>Guidelines</w:t>
      </w:r>
      <w:r w:rsidRPr="00F02C4A">
        <w:rPr>
          <w:rFonts w:cs="Times New Roman"/>
        </w:rPr>
        <w:t xml:space="preserve"> determine the amount of child support by reference to the payor parent’s actual income, an accurate assessment of that income is imperative. To this effect, the </w:t>
      </w:r>
      <w:r w:rsidRPr="00F02C4A">
        <w:rPr>
          <w:rFonts w:cs="Times New Roman"/>
          <w:i/>
        </w:rPr>
        <w:t xml:space="preserve">Guidelines </w:t>
      </w:r>
      <w:r w:rsidRPr="00F02C4A">
        <w:rPr>
          <w:rFonts w:cs="Times New Roman"/>
        </w:rPr>
        <w:t xml:space="preserve">impose an obligation of disclosure on both the applicant and respondent of a child support order (s. 21). </w:t>
      </w:r>
    </w:p>
    <w:p w:rsidR="00A27006" w:rsidRPr="00F02C4A" w:rsidRDefault="00A27006" w:rsidP="00A27006">
      <w:pPr>
        <w:pStyle w:val="ParaNoNdepar-AltN"/>
        <w:numPr>
          <w:ilvl w:val="0"/>
          <w:numId w:val="7"/>
        </w:numPr>
        <w:rPr>
          <w:rFonts w:cs="Times New Roman"/>
        </w:rPr>
      </w:pPr>
      <w:r w:rsidRPr="00F02C4A">
        <w:rPr>
          <w:rFonts w:cs="Times New Roman"/>
        </w:rPr>
        <w:t xml:space="preserve">These </w:t>
      </w:r>
      <w:r w:rsidRPr="00F02C4A">
        <w:rPr>
          <w:rFonts w:cs="Times New Roman"/>
          <w:i/>
        </w:rPr>
        <w:t>Guidelines</w:t>
      </w:r>
      <w:r w:rsidRPr="00F02C4A">
        <w:rPr>
          <w:rFonts w:cs="Times New Roman"/>
        </w:rPr>
        <w:t xml:space="preserve"> were not “</w:t>
      </w:r>
      <w:r w:rsidRPr="00F02C4A">
        <w:rPr>
          <w:rFonts w:cs="Times New Roman"/>
          <w:lang w:bidi="en-US"/>
        </w:rPr>
        <w:t>a complete break from the past” (</w:t>
      </w:r>
      <w:r w:rsidRPr="00F02C4A">
        <w:rPr>
          <w:rFonts w:cs="Times New Roman"/>
          <w:i/>
          <w:lang w:bidi="en-US"/>
        </w:rPr>
        <w:t>D.B.S.</w:t>
      </w:r>
      <w:r w:rsidRPr="00F02C4A">
        <w:rPr>
          <w:rFonts w:cs="Times New Roman"/>
          <w:lang w:bidi="en-US"/>
        </w:rPr>
        <w:t xml:space="preserve">, at para. 46). </w:t>
      </w:r>
      <w:r w:rsidRPr="00F02C4A">
        <w:rPr>
          <w:rFonts w:cs="Times New Roman"/>
        </w:rPr>
        <w:t xml:space="preserve">Rather, as the </w:t>
      </w:r>
      <w:r w:rsidRPr="00F02C4A">
        <w:rPr>
          <w:rFonts w:cs="Times New Roman"/>
          <w:i/>
        </w:rPr>
        <w:t>Report and Recommendations</w:t>
      </w:r>
      <w:r w:rsidRPr="00F02C4A">
        <w:rPr>
          <w:rFonts w:cs="Times New Roman"/>
        </w:rPr>
        <w:t xml:space="preserve"> of the Committee indicates, this shift in the child support regime was developed with “[t]he best interest of the children being at the centre of this project” (p. 24). Therefore, although the implementation of the </w:t>
      </w:r>
      <w:r w:rsidRPr="00F02C4A">
        <w:rPr>
          <w:rFonts w:cs="Times New Roman"/>
          <w:i/>
        </w:rPr>
        <w:t>Guidelines</w:t>
      </w:r>
      <w:r w:rsidRPr="00F02C4A">
        <w:rPr>
          <w:rFonts w:cs="Times New Roman"/>
        </w:rPr>
        <w:t xml:space="preserve"> simplified the quantification of child support, it was not intended to displace the significance of the best interests of the child.  </w:t>
      </w:r>
    </w:p>
    <w:p w:rsidR="00A27006" w:rsidRPr="00F02C4A" w:rsidRDefault="00A27006" w:rsidP="00A27006">
      <w:pPr>
        <w:pStyle w:val="ParaNoNdepar-AltN"/>
        <w:numPr>
          <w:ilvl w:val="0"/>
          <w:numId w:val="7"/>
        </w:numPr>
        <w:rPr>
          <w:rFonts w:cs="Times New Roman"/>
        </w:rPr>
      </w:pPr>
      <w:r w:rsidRPr="00F02C4A">
        <w:rPr>
          <w:rFonts w:cs="Times New Roman"/>
        </w:rPr>
        <w:t xml:space="preserve">Similarly, in </w:t>
      </w:r>
      <w:r w:rsidRPr="00F02C4A">
        <w:rPr>
          <w:rFonts w:cs="Times New Roman"/>
          <w:i/>
        </w:rPr>
        <w:t>Contino v. Leonelli-Contino</w:t>
      </w:r>
      <w:r w:rsidRPr="00F02C4A">
        <w:rPr>
          <w:rFonts w:cs="Times New Roman"/>
        </w:rPr>
        <w:t xml:space="preserve">, 2005 SCC 63, [2005] 3 S.C.R. 217, this Court observed that the underlying principle of the </w:t>
      </w:r>
      <w:r w:rsidRPr="00F02C4A">
        <w:rPr>
          <w:rFonts w:cs="Times New Roman"/>
          <w:i/>
        </w:rPr>
        <w:t>Guidelines</w:t>
      </w:r>
      <w:r w:rsidRPr="00F02C4A">
        <w:rPr>
          <w:rFonts w:cs="Times New Roman"/>
        </w:rPr>
        <w:t xml:space="preserve"> is a financial obligation resting jointly on the spouses (see </w:t>
      </w:r>
      <w:r w:rsidRPr="00F02C4A">
        <w:rPr>
          <w:rFonts w:cs="Times New Roman"/>
          <w:i/>
          <w:iCs/>
        </w:rPr>
        <w:t>Contino</w:t>
      </w:r>
      <w:r w:rsidRPr="00F02C4A">
        <w:rPr>
          <w:rFonts w:cs="Times New Roman"/>
        </w:rPr>
        <w:t xml:space="preserve">, at para. 32, citing </w:t>
      </w:r>
      <w:r w:rsidRPr="00F02C4A">
        <w:rPr>
          <w:rFonts w:cs="Times New Roman"/>
          <w:i/>
          <w:iCs/>
        </w:rPr>
        <w:t>Divorce Act</w:t>
      </w:r>
      <w:r w:rsidRPr="00F02C4A">
        <w:rPr>
          <w:rFonts w:cs="Times New Roman"/>
        </w:rPr>
        <w:t xml:space="preserve">, s. 26.1(2)). The </w:t>
      </w:r>
      <w:r w:rsidRPr="00F02C4A">
        <w:rPr>
          <w:rFonts w:cs="Times New Roman"/>
          <w:i/>
        </w:rPr>
        <w:t>Guidelines</w:t>
      </w:r>
      <w:r w:rsidRPr="00F02C4A">
        <w:rPr>
          <w:rFonts w:cs="Times New Roman"/>
        </w:rPr>
        <w:t xml:space="preserve"> thus helped shift the focus from the child’s needs to their entitlement to support, embracing in the process the principles of fairness and flexibility, balanced with consistency and efficiency, all in the child’s best interests. While the courts’ fact-specific inquiries and judicial discretion provide fairness and flexibility, the Tables provide certainty by determining how much child support a recipient parent is entitled to, based solely on the payor parent’s income and the number of children supported (unless the payor parent’s annual income surpasses $150,000). In addition to applying to all divorced couples, the </w:t>
      </w:r>
      <w:r w:rsidRPr="00F02C4A">
        <w:rPr>
          <w:rFonts w:cs="Times New Roman"/>
          <w:i/>
        </w:rPr>
        <w:t>Guidelines</w:t>
      </w:r>
      <w:r w:rsidRPr="00F02C4A">
        <w:rPr>
          <w:rFonts w:cs="Times New Roman"/>
        </w:rPr>
        <w:t xml:space="preserve"> and Tables have also been adopted or slightly modified to apply to unmarried separated parents in nine provinces, including British Columbia. </w:t>
      </w:r>
    </w:p>
    <w:p w:rsidR="00A27006" w:rsidRPr="00F02C4A" w:rsidRDefault="00A27006" w:rsidP="00A27006">
      <w:pPr>
        <w:pStyle w:val="Title2LevelTitre2Niveau"/>
        <w:keepNext/>
        <w:rPr>
          <w:rFonts w:cs="Times New Roman"/>
        </w:rPr>
      </w:pPr>
      <w:bookmarkStart w:id="13" w:name="_Toc38610210"/>
      <w:bookmarkStart w:id="14" w:name="_Toc46428238"/>
      <w:bookmarkStart w:id="15" w:name="_Toc48626813"/>
      <w:r w:rsidRPr="00F02C4A">
        <w:rPr>
          <w:rFonts w:cs="Times New Roman"/>
        </w:rPr>
        <w:t>Core Principles of British Columbia Laws on Child Support</w:t>
      </w:r>
      <w:bookmarkEnd w:id="13"/>
      <w:bookmarkEnd w:id="14"/>
      <w:bookmarkEnd w:id="15"/>
    </w:p>
    <w:p w:rsidR="00A27006" w:rsidRPr="00F02C4A" w:rsidRDefault="00A27006" w:rsidP="00A27006">
      <w:pPr>
        <w:pStyle w:val="ParaNoNdepar-AltN"/>
        <w:numPr>
          <w:ilvl w:val="0"/>
          <w:numId w:val="7"/>
        </w:numPr>
        <w:rPr>
          <w:rFonts w:cs="Times New Roman"/>
        </w:rPr>
      </w:pPr>
      <w:r w:rsidRPr="00F02C4A">
        <w:rPr>
          <w:rFonts w:cs="Times New Roman"/>
        </w:rPr>
        <w:t xml:space="preserve">Both the British Columbia </w:t>
      </w:r>
      <w:r w:rsidRPr="00F02C4A">
        <w:rPr>
          <w:rFonts w:cs="Times New Roman"/>
          <w:i/>
        </w:rPr>
        <w:t>Family Law Act</w:t>
      </w:r>
      <w:r w:rsidRPr="00F02C4A">
        <w:rPr>
          <w:rFonts w:cs="Times New Roman"/>
        </w:rPr>
        <w:t xml:space="preserve"> and its predecessor, the </w:t>
      </w:r>
      <w:r w:rsidRPr="00F02C4A">
        <w:rPr>
          <w:rFonts w:cs="Times New Roman"/>
          <w:i/>
        </w:rPr>
        <w:t>Family Relations Act</w:t>
      </w:r>
      <w:r w:rsidRPr="00F02C4A">
        <w:rPr>
          <w:rFonts w:cs="Times New Roman"/>
        </w:rPr>
        <w:t xml:space="preserve">, R.S.B.C. 1996, c. 128, embody this same understanding of the nature of child support, animated by the best interests of the child. </w:t>
      </w:r>
    </w:p>
    <w:p w:rsidR="00A27006" w:rsidRPr="00F02C4A" w:rsidRDefault="00A27006" w:rsidP="00A27006">
      <w:pPr>
        <w:pStyle w:val="ParaNoNdepar-AltN"/>
        <w:numPr>
          <w:ilvl w:val="0"/>
          <w:numId w:val="7"/>
        </w:numPr>
        <w:rPr>
          <w:rFonts w:cs="Times New Roman"/>
        </w:rPr>
      </w:pPr>
      <w:r w:rsidRPr="00F02C4A">
        <w:rPr>
          <w:rFonts w:cs="Times New Roman"/>
        </w:rPr>
        <w:t xml:space="preserve">The provincial regime under the </w:t>
      </w:r>
      <w:r w:rsidRPr="00F02C4A">
        <w:rPr>
          <w:rFonts w:cs="Times New Roman"/>
          <w:i/>
        </w:rPr>
        <w:t>Family Relations Act</w:t>
      </w:r>
      <w:r w:rsidRPr="00F02C4A">
        <w:rPr>
          <w:rFonts w:cs="Times New Roman"/>
        </w:rPr>
        <w:t xml:space="preserve"> provided statutory recognition that each parent “is responsible and liable for the reasonable and necessary support and maintenance of the child” (s. 88(1)). Courts in British Columbia have also embraced the fundamental principles under the </w:t>
      </w:r>
      <w:r w:rsidRPr="00F02C4A">
        <w:rPr>
          <w:rFonts w:cs="Times New Roman"/>
          <w:i/>
        </w:rPr>
        <w:t>Family Relations Act</w:t>
      </w:r>
      <w:r w:rsidRPr="00F02C4A">
        <w:rPr>
          <w:rFonts w:cs="Times New Roman"/>
        </w:rPr>
        <w:t xml:space="preserve"> that “child support is a right of the child” and “[t]he duty to support children is a duty owed to the children and not to the custodial parent” (</w:t>
      </w:r>
      <w:r w:rsidRPr="00F02C4A">
        <w:rPr>
          <w:rFonts w:cs="Times New Roman"/>
          <w:i/>
        </w:rPr>
        <w:t>Innes v. Van Den Ende</w:t>
      </w:r>
      <w:r w:rsidRPr="00F02C4A">
        <w:rPr>
          <w:rFonts w:cs="Times New Roman"/>
        </w:rPr>
        <w:t xml:space="preserve"> (1993), 83 B.C.L.R. (2d) 273 (C.A.), at para. 11, quoting </w:t>
      </w:r>
      <w:r w:rsidRPr="00F02C4A">
        <w:rPr>
          <w:rFonts w:cs="Times New Roman"/>
          <w:i/>
        </w:rPr>
        <w:t>Dickson v. Dickson</w:t>
      </w:r>
      <w:r w:rsidRPr="00F02C4A">
        <w:rPr>
          <w:rFonts w:cs="Times New Roman"/>
        </w:rPr>
        <w:t xml:space="preserve"> (1987), 21 B.C.L.R. (2d) 69 (C.A.), at pp. 90-91; </w:t>
      </w:r>
      <w:r w:rsidRPr="00F02C4A">
        <w:rPr>
          <w:rFonts w:cs="Times New Roman"/>
          <w:i/>
        </w:rPr>
        <w:t>S. (L.) v. P. (E.)</w:t>
      </w:r>
      <w:r w:rsidRPr="00F02C4A">
        <w:rPr>
          <w:rFonts w:cs="Times New Roman"/>
        </w:rPr>
        <w:t>, 1999 BCCA 393, 67 B.C.L.R. (3d) 254, at para. 58).</w:t>
      </w:r>
    </w:p>
    <w:p w:rsidR="00A27006" w:rsidRPr="00F02C4A" w:rsidRDefault="00A27006" w:rsidP="00A27006">
      <w:pPr>
        <w:pStyle w:val="ParaNoNdepar-AltN"/>
        <w:numPr>
          <w:ilvl w:val="0"/>
          <w:numId w:val="7"/>
        </w:numPr>
        <w:rPr>
          <w:rFonts w:cs="Times New Roman"/>
        </w:rPr>
      </w:pPr>
      <w:r w:rsidRPr="00F02C4A">
        <w:rPr>
          <w:rFonts w:cs="Times New Roman"/>
        </w:rPr>
        <w:t xml:space="preserve">After the adoption of the </w:t>
      </w:r>
      <w:r w:rsidRPr="00F02C4A">
        <w:rPr>
          <w:rFonts w:cs="Times New Roman"/>
          <w:i/>
        </w:rPr>
        <w:t>Guidelines</w:t>
      </w:r>
      <w:r w:rsidRPr="00F02C4A">
        <w:rPr>
          <w:rFonts w:cs="Times New Roman"/>
        </w:rPr>
        <w:t xml:space="preserve"> in 1997, the Legislative Assembly enacted amendments to the </w:t>
      </w:r>
      <w:r w:rsidRPr="00F02C4A">
        <w:rPr>
          <w:rFonts w:cs="Times New Roman"/>
          <w:i/>
        </w:rPr>
        <w:t>Family Relations Act</w:t>
      </w:r>
      <w:r w:rsidRPr="00F02C4A">
        <w:rPr>
          <w:rFonts w:cs="Times New Roman"/>
        </w:rPr>
        <w:t>. Referring to those amendments, the Attorney General affirmed that:</w:t>
      </w:r>
    </w:p>
    <w:p w:rsidR="00A27006" w:rsidRPr="00F02C4A" w:rsidRDefault="00A27006" w:rsidP="00BE6F12">
      <w:pPr>
        <w:pStyle w:val="Citation-AltC"/>
        <w:spacing w:after="480"/>
        <w:contextualSpacing w:val="0"/>
        <w:rPr>
          <w:lang w:bidi="en-US"/>
        </w:rPr>
      </w:pPr>
      <w:r w:rsidRPr="00F02C4A">
        <w:rPr>
          <w:lang w:bidi="en-US"/>
        </w:rPr>
        <w:t xml:space="preserve">The amendments are consistent with changes to the federal Divorce Act that came into effect on May 1, 1997. This will ensure that parents’ obligations to support their children are consistent under federal and provincial legislation, so that children will be treated equally regardless of whether their parents were ever married. </w:t>
      </w:r>
    </w:p>
    <w:p w:rsidR="00A27006" w:rsidRPr="00F02C4A" w:rsidRDefault="00A27006" w:rsidP="00492491">
      <w:pPr>
        <w:pStyle w:val="Citation-AltC"/>
        <w:spacing w:line="480" w:lineRule="auto"/>
        <w:ind w:left="0"/>
        <w:rPr>
          <w:lang w:bidi="en-US"/>
        </w:rPr>
      </w:pPr>
      <w:r w:rsidRPr="00F02C4A">
        <w:rPr>
          <w:lang w:bidi="en-US"/>
        </w:rPr>
        <w:t xml:space="preserve">(British Columbia, </w:t>
      </w:r>
      <w:r w:rsidRPr="00F02C4A">
        <w:rPr>
          <w:i/>
          <w:lang w:bidi="en-US"/>
        </w:rPr>
        <w:t xml:space="preserve">Official Report of </w:t>
      </w:r>
      <w:r w:rsidRPr="00F02C4A">
        <w:rPr>
          <w:i/>
          <w:iCs/>
          <w:lang w:bidi="en-US"/>
        </w:rPr>
        <w:t>Debates of the Legislative Assembly (Hansard)</w:t>
      </w:r>
      <w:r w:rsidRPr="00F02C4A">
        <w:rPr>
          <w:iCs/>
          <w:lang w:bidi="en-US"/>
        </w:rPr>
        <w:t>,</w:t>
      </w:r>
      <w:r w:rsidRPr="00F02C4A">
        <w:rPr>
          <w:i/>
          <w:iCs/>
          <w:lang w:bidi="en-US"/>
        </w:rPr>
        <w:t xml:space="preserve"> </w:t>
      </w:r>
      <w:r w:rsidRPr="00F02C4A">
        <w:rPr>
          <w:iCs/>
          <w:lang w:bidi="en-US"/>
        </w:rPr>
        <w:t>vol. 5, No. 15</w:t>
      </w:r>
      <w:r w:rsidRPr="00F02C4A">
        <w:rPr>
          <w:lang w:bidi="en-US"/>
        </w:rPr>
        <w:t>, 2nd Sess., 36th Parl., June 5, 1997, at p. 3953)</w:t>
      </w:r>
    </w:p>
    <w:p w:rsidR="00A27006" w:rsidRPr="00F02C4A" w:rsidRDefault="00A27006" w:rsidP="00A27006">
      <w:pPr>
        <w:pStyle w:val="ContinueParaSuitedupar-AltP"/>
        <w:rPr>
          <w:rFonts w:cs="Times New Roman"/>
        </w:rPr>
      </w:pPr>
      <w:r w:rsidRPr="00F02C4A">
        <w:rPr>
          <w:rFonts w:cs="Times New Roman"/>
        </w:rPr>
        <w:t>The overriding principle remained, in all cases, the best interests of the child (</w:t>
      </w:r>
      <w:r w:rsidRPr="00F02C4A">
        <w:rPr>
          <w:rFonts w:cs="Times New Roman"/>
          <w:i/>
        </w:rPr>
        <w:t>de Rooy v. Bergstrom</w:t>
      </w:r>
      <w:r w:rsidRPr="00F02C4A">
        <w:rPr>
          <w:rFonts w:cs="Times New Roman"/>
        </w:rPr>
        <w:t>, 2010 BCCA 5, 4 B.C.L.R. (5th) 74, at para. 71, per Chiasson J.A. (concurring)).</w:t>
      </w:r>
    </w:p>
    <w:p w:rsidR="00A27006" w:rsidRPr="00F02C4A" w:rsidRDefault="00A27006" w:rsidP="00A27006">
      <w:pPr>
        <w:pStyle w:val="ParaNoNdepar-AltN"/>
        <w:numPr>
          <w:ilvl w:val="0"/>
          <w:numId w:val="7"/>
        </w:numPr>
        <w:rPr>
          <w:rFonts w:cs="Times New Roman"/>
        </w:rPr>
      </w:pPr>
      <w:r w:rsidRPr="00F02C4A">
        <w:rPr>
          <w:rFonts w:cs="Times New Roman"/>
        </w:rPr>
        <w:t xml:space="preserve">Since 2013, the provincial regime of child support has been governed by the </w:t>
      </w:r>
      <w:r w:rsidRPr="00F02C4A">
        <w:rPr>
          <w:rFonts w:cs="Times New Roman"/>
          <w:i/>
        </w:rPr>
        <w:t>Family Law Act</w:t>
      </w:r>
      <w:r w:rsidRPr="00F02C4A">
        <w:rPr>
          <w:rFonts w:cs="Times New Roman"/>
        </w:rPr>
        <w:t xml:space="preserve">. The statute maintains the </w:t>
      </w:r>
      <w:r w:rsidRPr="00F02C4A">
        <w:rPr>
          <w:rFonts w:cs="Times New Roman"/>
          <w:i/>
        </w:rPr>
        <w:t>Family Relations Act</w:t>
      </w:r>
      <w:r w:rsidRPr="00F02C4A">
        <w:rPr>
          <w:rFonts w:cs="Times New Roman"/>
        </w:rPr>
        <w:t xml:space="preserve">’s focus on the best interests of the child, with s. 147(1) confirming that “[e]ach parent and guardian of a child has a duty to provide support for the child”. Unsurprisingly, there is an interpretive cohesion between these two statutes. </w:t>
      </w:r>
    </w:p>
    <w:p w:rsidR="00A27006" w:rsidRPr="00F02C4A" w:rsidRDefault="00A27006" w:rsidP="00A27006">
      <w:pPr>
        <w:pStyle w:val="Title1LevelTitre1Niveau-AltL"/>
        <w:rPr>
          <w:rFonts w:cs="Times New Roman"/>
        </w:rPr>
      </w:pPr>
      <w:bookmarkStart w:id="16" w:name="_Toc46428239"/>
      <w:bookmarkStart w:id="17" w:name="_Toc48626814"/>
      <w:bookmarkStart w:id="18" w:name="_Toc38610211"/>
      <w:r w:rsidRPr="00F02C4A">
        <w:rPr>
          <w:rFonts w:cs="Times New Roman"/>
        </w:rPr>
        <w:t xml:space="preserve">Section 152 of the </w:t>
      </w:r>
      <w:r w:rsidRPr="00F02C4A">
        <w:rPr>
          <w:rFonts w:cs="Times New Roman"/>
          <w:i/>
        </w:rPr>
        <w:t>Family Law Act</w:t>
      </w:r>
      <w:bookmarkEnd w:id="16"/>
      <w:bookmarkEnd w:id="17"/>
    </w:p>
    <w:bookmarkEnd w:id="18"/>
    <w:p w:rsidR="00A27006" w:rsidRPr="00F02C4A" w:rsidRDefault="00A27006" w:rsidP="00A27006">
      <w:pPr>
        <w:pStyle w:val="ParaNoNdepar-AltN"/>
        <w:numPr>
          <w:ilvl w:val="0"/>
          <w:numId w:val="7"/>
        </w:numPr>
        <w:rPr>
          <w:rFonts w:cs="Times New Roman"/>
          <w:lang w:bidi="en-US"/>
        </w:rPr>
      </w:pPr>
      <w:r w:rsidRPr="00F02C4A">
        <w:rPr>
          <w:rFonts w:cs="Times New Roman"/>
          <w:lang w:bidi="en-US"/>
        </w:rPr>
        <w:t xml:space="preserve">Historical child support is a type of retroactive child support. Retroactive awards for child support are those which enforce past child support obligations, as opposed to prospective awards. Such support may be sought either by way of an original order (a first application for child support, per s. 149 of the </w:t>
      </w:r>
      <w:r w:rsidRPr="00F02C4A">
        <w:rPr>
          <w:rFonts w:cs="Times New Roman"/>
          <w:i/>
          <w:lang w:bidi="en-US"/>
        </w:rPr>
        <w:t>Family Law Act</w:t>
      </w:r>
      <w:r w:rsidRPr="00F02C4A">
        <w:rPr>
          <w:rFonts w:cs="Times New Roman"/>
          <w:lang w:bidi="en-US"/>
        </w:rPr>
        <w:t xml:space="preserve"> or s. 15.1 of the </w:t>
      </w:r>
      <w:r w:rsidRPr="00F02C4A">
        <w:rPr>
          <w:rFonts w:cs="Times New Roman"/>
          <w:i/>
          <w:lang w:bidi="en-US"/>
        </w:rPr>
        <w:t>Divorce Act</w:t>
      </w:r>
      <w:r w:rsidRPr="00F02C4A">
        <w:rPr>
          <w:rFonts w:cs="Times New Roman"/>
          <w:lang w:bidi="en-US"/>
        </w:rPr>
        <w:t xml:space="preserve">) or a variation order (an application to vary a previous order for child support, per s. 152 of the </w:t>
      </w:r>
      <w:r w:rsidRPr="00F02C4A">
        <w:rPr>
          <w:rFonts w:cs="Times New Roman"/>
          <w:i/>
          <w:lang w:bidi="en-US"/>
        </w:rPr>
        <w:t xml:space="preserve">Family Law Act </w:t>
      </w:r>
      <w:r w:rsidRPr="00F02C4A">
        <w:rPr>
          <w:rFonts w:cs="Times New Roman"/>
          <w:lang w:bidi="en-US"/>
        </w:rPr>
        <w:t>or</w:t>
      </w:r>
      <w:r w:rsidRPr="00F02C4A">
        <w:rPr>
          <w:rFonts w:cs="Times New Roman"/>
          <w:i/>
          <w:lang w:bidi="en-US"/>
        </w:rPr>
        <w:t xml:space="preserve"> </w:t>
      </w:r>
      <w:r w:rsidRPr="00F02C4A">
        <w:rPr>
          <w:rFonts w:cs="Times New Roman"/>
          <w:lang w:bidi="en-US"/>
        </w:rPr>
        <w:t xml:space="preserve">s. 17 of the </w:t>
      </w:r>
      <w:r w:rsidRPr="00F02C4A">
        <w:rPr>
          <w:rFonts w:cs="Times New Roman"/>
          <w:i/>
          <w:lang w:bidi="en-US"/>
        </w:rPr>
        <w:t>Divorce Act</w:t>
      </w:r>
      <w:r w:rsidRPr="00F02C4A">
        <w:rPr>
          <w:rFonts w:cs="Times New Roman"/>
          <w:lang w:bidi="en-US"/>
        </w:rPr>
        <w:t xml:space="preserve">). Historical child support requires the performance of pre-existing obligations owed in respect of child beneficiaries who have subsequently become adults. This case arises from a claim for historical child support under provincial legislation which involves an application to vary an existing child support order.  </w:t>
      </w:r>
    </w:p>
    <w:p w:rsidR="00A27006" w:rsidRPr="00F02C4A" w:rsidRDefault="00A27006" w:rsidP="00A27006">
      <w:pPr>
        <w:pStyle w:val="ParaNoNdepar-AltN"/>
        <w:numPr>
          <w:ilvl w:val="0"/>
          <w:numId w:val="7"/>
        </w:numPr>
        <w:rPr>
          <w:rFonts w:cs="Times New Roman"/>
        </w:rPr>
      </w:pPr>
      <w:r w:rsidRPr="00F02C4A">
        <w:rPr>
          <w:rFonts w:cs="Times New Roman"/>
          <w:lang w:bidi="en-US"/>
        </w:rPr>
        <w:t xml:space="preserve">The legal issue is whether s. 152 of the </w:t>
      </w:r>
      <w:r w:rsidRPr="00F02C4A">
        <w:rPr>
          <w:rFonts w:cs="Times New Roman"/>
          <w:i/>
          <w:lang w:bidi="en-US"/>
        </w:rPr>
        <w:t>Family Law Act</w:t>
      </w:r>
      <w:r w:rsidRPr="00F02C4A">
        <w:rPr>
          <w:rFonts w:cs="Times New Roman"/>
          <w:lang w:bidi="en-US"/>
        </w:rPr>
        <w:t xml:space="preserve"> allows Ms. Michel to claim the amount of child support that ought to have been paid by Mr. Graydon even though she commenced her application after the parties’ daughter reached the age of maturity and had finished her post-secondary education, and was therefore no longer a child. To address this issue, particular attention must be paid to this Court’s decision in </w:t>
      </w:r>
      <w:r w:rsidRPr="00F02C4A">
        <w:rPr>
          <w:rFonts w:cs="Times New Roman"/>
          <w:i/>
          <w:lang w:bidi="en-US"/>
        </w:rPr>
        <w:t>D.B.S.</w:t>
      </w:r>
      <w:r w:rsidRPr="00F02C4A">
        <w:rPr>
          <w:rFonts w:cs="Times New Roman"/>
          <w:lang w:bidi="en-US"/>
        </w:rPr>
        <w:t xml:space="preserve"> In the case at bar and in </w:t>
      </w:r>
      <w:r w:rsidRPr="00F02C4A">
        <w:rPr>
          <w:rFonts w:cs="Times New Roman"/>
          <w:i/>
        </w:rPr>
        <w:t>Dring</w:t>
      </w:r>
      <w:r w:rsidRPr="00F02C4A">
        <w:rPr>
          <w:rFonts w:cs="Times New Roman"/>
          <w:i/>
          <w:shd w:val="clear" w:color="auto" w:fill="FFFFFF"/>
        </w:rPr>
        <w:t xml:space="preserve"> v. Gheyle</w:t>
      </w:r>
      <w:r w:rsidRPr="00F02C4A">
        <w:rPr>
          <w:rFonts w:cs="Times New Roman"/>
          <w:shd w:val="clear" w:color="auto" w:fill="FFFFFF"/>
        </w:rPr>
        <w:t>, 2018 BCCA 435,</w:t>
      </w:r>
      <w:r w:rsidRPr="00F02C4A">
        <w:rPr>
          <w:rFonts w:cs="Times New Roman"/>
        </w:rPr>
        <w:t xml:space="preserve"> 17 B.C.L.R. (6th) 30</w:t>
      </w:r>
      <w:r w:rsidRPr="00F02C4A">
        <w:rPr>
          <w:rFonts w:cs="Times New Roman"/>
          <w:shd w:val="clear" w:color="auto" w:fill="FFFFFF"/>
        </w:rPr>
        <w:t>, a prior decision on which the case at bar was based, the British Columbia Court of Appeal</w:t>
      </w:r>
      <w:r w:rsidRPr="00F02C4A">
        <w:rPr>
          <w:rFonts w:cs="Times New Roman"/>
        </w:rPr>
        <w:t xml:space="preserve"> found that s. 152 creates a jurisdictional bar on retroactive applications for historical child support because “</w:t>
      </w:r>
      <w:r w:rsidRPr="00F02C4A">
        <w:rPr>
          <w:rFonts w:cs="Times New Roman"/>
          <w:i/>
        </w:rPr>
        <w:t>D.B.S.</w:t>
      </w:r>
      <w:r w:rsidRPr="00F02C4A">
        <w:rPr>
          <w:rFonts w:cs="Times New Roman"/>
        </w:rPr>
        <w:t xml:space="preserve"> is binding on this Court” (para. 97). I will first set out what was said in </w:t>
      </w:r>
      <w:r w:rsidRPr="00F02C4A">
        <w:rPr>
          <w:rFonts w:cs="Times New Roman"/>
          <w:i/>
        </w:rPr>
        <w:t>D.B.S.</w:t>
      </w:r>
      <w:r w:rsidRPr="00F02C4A">
        <w:rPr>
          <w:rFonts w:cs="Times New Roman"/>
        </w:rPr>
        <w:t xml:space="preserve"> and then explain how it was used in the British Columbia Court of Appeal’s reasoning. I will also explain why a fair large and liberal interpretation of s. 152, which accords with its purpose and the best interests of children, does not support the imposition of a jurisdictional bar.</w:t>
      </w:r>
    </w:p>
    <w:p w:rsidR="00A27006" w:rsidRPr="00F02C4A" w:rsidRDefault="00A27006" w:rsidP="00A27006">
      <w:pPr>
        <w:pStyle w:val="Title2LevelTitre2Niveau"/>
        <w:rPr>
          <w:rFonts w:cs="Times New Roman"/>
        </w:rPr>
      </w:pPr>
      <w:bookmarkStart w:id="19" w:name="_Toc37360303"/>
      <w:bookmarkStart w:id="20" w:name="_Toc37371197"/>
      <w:bookmarkStart w:id="21" w:name="_Toc37360304"/>
      <w:bookmarkStart w:id="22" w:name="_Toc37371198"/>
      <w:bookmarkStart w:id="23" w:name="_Toc37360305"/>
      <w:bookmarkStart w:id="24" w:name="_Toc37371199"/>
      <w:bookmarkStart w:id="25" w:name="_Toc37360306"/>
      <w:bookmarkStart w:id="26" w:name="_Toc37371200"/>
      <w:bookmarkStart w:id="27" w:name="_Toc37360307"/>
      <w:bookmarkStart w:id="28" w:name="_Toc37371201"/>
      <w:bookmarkStart w:id="29" w:name="_Toc37360308"/>
      <w:bookmarkStart w:id="30" w:name="_Toc37371202"/>
      <w:bookmarkStart w:id="31" w:name="_Toc37360309"/>
      <w:bookmarkStart w:id="32" w:name="_Toc37371203"/>
      <w:bookmarkStart w:id="33" w:name="_Toc37360310"/>
      <w:bookmarkStart w:id="34" w:name="_Toc37371204"/>
      <w:bookmarkStart w:id="35" w:name="_Toc38610212"/>
      <w:bookmarkStart w:id="36" w:name="_Toc46428240"/>
      <w:bookmarkStart w:id="37" w:name="_Toc4862681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F02C4A">
        <w:rPr>
          <w:rFonts w:cs="Times New Roman"/>
        </w:rPr>
        <w:t>The British Columbia Court of Appeal Relies on D.B.S.</w:t>
      </w:r>
      <w:bookmarkEnd w:id="35"/>
      <w:bookmarkEnd w:id="36"/>
      <w:bookmarkEnd w:id="37"/>
    </w:p>
    <w:p w:rsidR="00A27006" w:rsidRPr="00F02C4A" w:rsidRDefault="00A27006" w:rsidP="00A27006">
      <w:pPr>
        <w:pStyle w:val="ParaNoNdepar-AltN"/>
        <w:numPr>
          <w:ilvl w:val="0"/>
          <w:numId w:val="7"/>
        </w:numPr>
        <w:rPr>
          <w:rFonts w:cs="Times New Roman"/>
        </w:rPr>
      </w:pPr>
      <w:r w:rsidRPr="00F02C4A">
        <w:rPr>
          <w:rFonts w:cs="Times New Roman"/>
          <w:i/>
        </w:rPr>
        <w:t>D.B.S.</w:t>
      </w:r>
      <w:r w:rsidRPr="00F02C4A">
        <w:rPr>
          <w:rFonts w:cs="Times New Roman"/>
        </w:rPr>
        <w:t xml:space="preserve"> is a landmark decision on child support. In that case, four appeals were before this Court, implicating two different legislative schemes: </w:t>
      </w:r>
      <w:r w:rsidRPr="00F02C4A">
        <w:rPr>
          <w:rFonts w:cs="Times New Roman"/>
          <w:i/>
        </w:rPr>
        <w:t>D.B.S. v. S.R.G.</w:t>
      </w:r>
      <w:r w:rsidRPr="00F02C4A">
        <w:rPr>
          <w:rFonts w:cs="Times New Roman"/>
        </w:rPr>
        <w:t xml:space="preserve"> and </w:t>
      </w:r>
      <w:r w:rsidRPr="00F02C4A">
        <w:rPr>
          <w:rFonts w:cs="Times New Roman"/>
          <w:i/>
        </w:rPr>
        <w:t>T.A.R. v. L.J.W.</w:t>
      </w:r>
      <w:r w:rsidRPr="00F02C4A">
        <w:rPr>
          <w:rFonts w:cs="Times New Roman"/>
        </w:rPr>
        <w:t xml:space="preserve"> were two original applications for child support between unmarried parents arising under Alberta’s repealed </w:t>
      </w:r>
      <w:r w:rsidRPr="00F02C4A">
        <w:rPr>
          <w:rFonts w:cs="Times New Roman"/>
          <w:i/>
        </w:rPr>
        <w:t>Parentage and Maintenance Act</w:t>
      </w:r>
      <w:r w:rsidRPr="00F02C4A">
        <w:rPr>
          <w:rFonts w:cs="Times New Roman"/>
        </w:rPr>
        <w:t xml:space="preserve">, R.S.A. 2000, c. P-1, which had very different wording than the </w:t>
      </w:r>
      <w:r w:rsidRPr="00F02C4A">
        <w:rPr>
          <w:rFonts w:cs="Times New Roman"/>
          <w:i/>
        </w:rPr>
        <w:t>Divorce Act</w:t>
      </w:r>
      <w:r w:rsidRPr="00F02C4A">
        <w:rPr>
          <w:rFonts w:cs="Times New Roman"/>
        </w:rPr>
        <w:t>.</w:t>
      </w:r>
      <w:r w:rsidRPr="00F02C4A">
        <w:rPr>
          <w:rFonts w:cs="Times New Roman"/>
          <w:i/>
        </w:rPr>
        <w:t xml:space="preserve"> Henry v. Henry</w:t>
      </w:r>
      <w:r w:rsidRPr="00F02C4A">
        <w:rPr>
          <w:rFonts w:cs="Times New Roman"/>
        </w:rPr>
        <w:t xml:space="preserve"> and </w:t>
      </w:r>
      <w:r w:rsidRPr="00F02C4A">
        <w:rPr>
          <w:rFonts w:cs="Times New Roman"/>
          <w:i/>
        </w:rPr>
        <w:t>Hiemstra v. Hiemstra</w:t>
      </w:r>
      <w:r w:rsidRPr="00F02C4A">
        <w:rPr>
          <w:rFonts w:cs="Times New Roman"/>
        </w:rPr>
        <w:t xml:space="preserve"> were applications seeking the variation of a court order for child support to be paid, under s. 17 of the </w:t>
      </w:r>
      <w:r w:rsidRPr="00F02C4A">
        <w:rPr>
          <w:rFonts w:cs="Times New Roman"/>
          <w:i/>
        </w:rPr>
        <w:t>Divorce Act</w:t>
      </w:r>
      <w:r w:rsidRPr="00F02C4A">
        <w:rPr>
          <w:rFonts w:cs="Times New Roman"/>
        </w:rPr>
        <w:t xml:space="preserve">. All four applications involved a claim for retroactive child support by the support recipient. Only in </w:t>
      </w:r>
      <w:r w:rsidRPr="00F02C4A">
        <w:rPr>
          <w:rFonts w:cs="Times New Roman"/>
          <w:i/>
        </w:rPr>
        <w:t>Henry</w:t>
      </w:r>
      <w:r w:rsidRPr="00F02C4A">
        <w:rPr>
          <w:rFonts w:cs="Times New Roman"/>
        </w:rPr>
        <w:t xml:space="preserve"> was one of the children no longer dependent when the application for child support was taken. This Court applied the </w:t>
      </w:r>
      <w:r w:rsidRPr="00F02C4A">
        <w:rPr>
          <w:rFonts w:cs="Times New Roman"/>
          <w:i/>
        </w:rPr>
        <w:t xml:space="preserve">Guidelines </w:t>
      </w:r>
      <w:r w:rsidRPr="00F02C4A">
        <w:rPr>
          <w:rFonts w:cs="Times New Roman"/>
        </w:rPr>
        <w:t>and the principles of child support that stem from them, without distinction, to all four appeals — whether they arose under provincial family law or federal divorce law (</w:t>
      </w:r>
      <w:r w:rsidRPr="00F02C4A">
        <w:rPr>
          <w:rFonts w:cs="Times New Roman"/>
          <w:i/>
        </w:rPr>
        <w:t>D.B.S.</w:t>
      </w:r>
      <w:r w:rsidRPr="00F02C4A">
        <w:rPr>
          <w:rFonts w:cs="Times New Roman"/>
        </w:rPr>
        <w:t xml:space="preserve">, at paras. 16 and 50-51; </w:t>
      </w:r>
      <w:r w:rsidRPr="00F02C4A">
        <w:rPr>
          <w:rFonts w:cs="Times New Roman"/>
          <w:i/>
        </w:rPr>
        <w:t>D.B.S.</w:t>
      </w:r>
      <w:r w:rsidRPr="00F02C4A">
        <w:rPr>
          <w:rFonts w:cs="Times New Roman"/>
        </w:rPr>
        <w:t xml:space="preserve"> (C.A.), at paras. 43 and 59). </w:t>
      </w:r>
    </w:p>
    <w:p w:rsidR="00A27006" w:rsidRPr="00F02C4A" w:rsidRDefault="00A27006" w:rsidP="00A27006">
      <w:pPr>
        <w:pStyle w:val="ParaNoNdepar-AltN"/>
        <w:numPr>
          <w:ilvl w:val="0"/>
          <w:numId w:val="7"/>
        </w:numPr>
        <w:rPr>
          <w:rFonts w:eastAsia="Times New Roman" w:cs="Times New Roman"/>
        </w:rPr>
      </w:pPr>
      <w:r w:rsidRPr="00F02C4A">
        <w:rPr>
          <w:rFonts w:eastAsia="Times New Roman" w:cs="Times New Roman"/>
        </w:rPr>
        <w:t xml:space="preserve">In </w:t>
      </w:r>
      <w:r w:rsidRPr="00F02C4A">
        <w:rPr>
          <w:rFonts w:eastAsia="Times New Roman" w:cs="Times New Roman"/>
          <w:i/>
        </w:rPr>
        <w:t>D.B.S.</w:t>
      </w:r>
      <w:r w:rsidRPr="00F02C4A">
        <w:rPr>
          <w:rFonts w:eastAsia="Times New Roman" w:cs="Times New Roman"/>
        </w:rPr>
        <w:t>,</w:t>
      </w:r>
      <w:r w:rsidRPr="00F02C4A">
        <w:rPr>
          <w:rFonts w:eastAsia="Times New Roman" w:cs="Times New Roman"/>
          <w:i/>
        </w:rPr>
        <w:t xml:space="preserve"> </w:t>
      </w:r>
      <w:r w:rsidRPr="00F02C4A">
        <w:rPr>
          <w:rFonts w:eastAsia="Times New Roman" w:cs="Times New Roman"/>
        </w:rPr>
        <w:t>th</w:t>
      </w:r>
      <w:r w:rsidRPr="00F02C4A">
        <w:rPr>
          <w:rFonts w:cs="Times New Roman"/>
        </w:rPr>
        <w:t>is Court articulated certain bedrock principles which shaped the law on child support responsibilities and deepened society’s understanding of modern child support obligations. They include how:</w:t>
      </w:r>
    </w:p>
    <w:p w:rsidR="00A27006" w:rsidRPr="00F02C4A" w:rsidRDefault="00A27006" w:rsidP="00A27006">
      <w:pPr>
        <w:pStyle w:val="Citation-AltC"/>
      </w:pPr>
      <w:r w:rsidRPr="00F02C4A">
        <w:t>. . . child support is the right of the child; the right to support survives the breakdown of a child’s parents’ marriage; child support should, as much as possible, provide children with the same standard of living they enjoyed when their parents were together; and finally, the specific amounts of child support owed will vary based upon the income of the payor parent. [para. 38]</w:t>
      </w:r>
    </w:p>
    <w:p w:rsidR="00A27006" w:rsidRPr="00F02C4A" w:rsidRDefault="00A27006" w:rsidP="00A27006">
      <w:pPr>
        <w:pStyle w:val="ParaNoNdepar-AltN"/>
        <w:numPr>
          <w:ilvl w:val="0"/>
          <w:numId w:val="7"/>
        </w:numPr>
        <w:rPr>
          <w:rFonts w:cs="Times New Roman"/>
        </w:rPr>
      </w:pPr>
      <w:r w:rsidRPr="00F02C4A">
        <w:rPr>
          <w:rFonts w:cs="Times New Roman"/>
        </w:rPr>
        <w:t>The Court ended the jurisprudential debate over whether parents could claim retroactive child support in favour of allowing such claims. It makes clear that awards for past child support “are not truly retroactive” because “a retroactive child support order . . . does not involve imposing an obligation on a payor parent that did not exist at the time for which support is being claimed” (paras. 67-68). Instead, in such awards, “the parents who owe support . . . are being ordered to pay what, in hindsight, should have been paid before” (para. 2). That is because in granting retroactive awards, courts are “enforcing an obligation that existed at the relevant time” (para. 82). For this reason, retroactive awards are not confined to “exceptional circumstances” or “rare cases” (para. 5). The Court</w:t>
      </w:r>
      <w:r w:rsidRPr="00F02C4A">
        <w:rPr>
          <w:rFonts w:cs="Times New Roman"/>
          <w:lang w:val="en-US"/>
        </w:rPr>
        <w:t xml:space="preserve"> emphasized the </w:t>
      </w:r>
      <w:r w:rsidRPr="00F02C4A">
        <w:rPr>
          <w:rFonts w:cs="Times New Roman"/>
          <w:i/>
          <w:lang w:val="en-US"/>
        </w:rPr>
        <w:t>Guidelines</w:t>
      </w:r>
      <w:r w:rsidRPr="00F02C4A">
        <w:rPr>
          <w:rFonts w:cs="Times New Roman"/>
          <w:lang w:val="en-US"/>
        </w:rPr>
        <w:t xml:space="preserve">’ objectives of </w:t>
      </w:r>
      <w:r w:rsidRPr="00F02C4A">
        <w:rPr>
          <w:rFonts w:cs="Times New Roman"/>
        </w:rPr>
        <w:t>efficiency, consistency, fairness, and flexibility in child support matters.</w:t>
      </w:r>
      <w:r w:rsidRPr="00F02C4A">
        <w:rPr>
          <w:rFonts w:cs="Times New Roman"/>
          <w:lang w:val="en-US"/>
        </w:rPr>
        <w:t xml:space="preserve"> These principles led to finding that, although the child support regimes enacted by Parliament and the Alberta Legislature were application-based regimes, they could still gi</w:t>
      </w:r>
      <w:r w:rsidR="00BE6F12">
        <w:rPr>
          <w:rFonts w:cs="Times New Roman"/>
          <w:lang w:val="en-US"/>
        </w:rPr>
        <w:t>ve rise to retroactive awards (</w:t>
      </w:r>
      <w:r w:rsidRPr="00F02C4A">
        <w:rPr>
          <w:rFonts w:cs="Times New Roman"/>
          <w:lang w:val="en-US"/>
        </w:rPr>
        <w:t xml:space="preserve">para. 59).  </w:t>
      </w:r>
    </w:p>
    <w:p w:rsidR="00A27006" w:rsidRPr="00F02C4A" w:rsidRDefault="00A27006" w:rsidP="00A27006">
      <w:pPr>
        <w:pStyle w:val="ParaNoNdepar-AltN"/>
        <w:numPr>
          <w:ilvl w:val="0"/>
          <w:numId w:val="7"/>
        </w:numPr>
        <w:rPr>
          <w:rFonts w:eastAsia="Times New Roman" w:cs="Times New Roman"/>
        </w:rPr>
      </w:pPr>
      <w:r w:rsidRPr="00F02C4A">
        <w:rPr>
          <w:rFonts w:cs="Times New Roman"/>
        </w:rPr>
        <w:t xml:space="preserve">The Court also set out certain factors which should guide the setting of fair and just awards for retroactive support. </w:t>
      </w:r>
      <w:r w:rsidRPr="00F02C4A">
        <w:rPr>
          <w:rFonts w:cs="Times New Roman"/>
          <w:lang w:val="en-US"/>
        </w:rPr>
        <w:t>I</w:t>
      </w:r>
      <w:r w:rsidRPr="00F02C4A">
        <w:rPr>
          <w:rFonts w:cs="Times New Roman"/>
        </w:rPr>
        <w:t xml:space="preserve">n respect of retroactive awards, “[t]he payor parent’s interest in certainty must be balanced with the need for fairness and for flexibility” (para. 133). The Court said that to encourage certainty, retroactive awards would generally go back no further than three years prior to the date when effective notice was given to the payor. Four factors are weighed to ensure the result in any given case is fair. They include the recipient parent’s reason for delaying their application for child support, the conduct of the payor parent, the circumstances of the child, and the hardship the award creates for the payor parent. </w:t>
      </w:r>
    </w:p>
    <w:p w:rsidR="00A27006" w:rsidRPr="00F02C4A" w:rsidRDefault="00A27006" w:rsidP="00A27006">
      <w:pPr>
        <w:pStyle w:val="ParaNoNdepar-AltN"/>
        <w:numPr>
          <w:ilvl w:val="0"/>
          <w:numId w:val="7"/>
        </w:numPr>
        <w:rPr>
          <w:rFonts w:cs="Times New Roman"/>
          <w:lang w:val="en-US"/>
        </w:rPr>
      </w:pPr>
      <w:r w:rsidRPr="00F02C4A">
        <w:rPr>
          <w:rFonts w:cs="Times New Roman"/>
        </w:rPr>
        <w:t>T</w:t>
      </w:r>
      <w:r w:rsidRPr="00F02C4A">
        <w:rPr>
          <w:rFonts w:cs="Times New Roman"/>
          <w:lang w:val="en-US"/>
        </w:rPr>
        <w:t>he majority further commented on whether a court has “jurisdiction to order support” when an application is brought after its beneficiary is no longer eligible for support (</w:t>
      </w:r>
      <w:r w:rsidRPr="00F02C4A">
        <w:rPr>
          <w:rFonts w:cs="Times New Roman"/>
          <w:i/>
          <w:lang w:val="en-US"/>
        </w:rPr>
        <w:t>D.B.S.</w:t>
      </w:r>
      <w:r w:rsidRPr="00F02C4A">
        <w:rPr>
          <w:rFonts w:cs="Times New Roman"/>
          <w:lang w:val="en-US"/>
        </w:rPr>
        <w:t xml:space="preserve">, at paras. 86-90). </w:t>
      </w:r>
      <w:r w:rsidRPr="00F02C4A">
        <w:rPr>
          <w:rFonts w:cs="Times New Roman"/>
        </w:rPr>
        <w:t xml:space="preserve">They expressed the view that </w:t>
      </w:r>
      <w:r w:rsidRPr="00F02C4A">
        <w:rPr>
          <w:rFonts w:cs="Times New Roman"/>
          <w:lang w:val="en-US"/>
        </w:rPr>
        <w:t>c</w:t>
      </w:r>
      <w:r w:rsidRPr="00F02C4A">
        <w:rPr>
          <w:rFonts w:cs="Times New Roman"/>
        </w:rPr>
        <w:t xml:space="preserve">ourts have no “jurisdiction” to hear original applications for child support brought after a child ceases to be a “child of the marriage”. Thus, the notion of a </w:t>
      </w:r>
      <w:r w:rsidRPr="00F02C4A">
        <w:rPr>
          <w:rFonts w:cs="Times New Roman"/>
          <w:lang w:val="en-US"/>
        </w:rPr>
        <w:t xml:space="preserve">jurisdictional bar for historical claims under the </w:t>
      </w:r>
      <w:r w:rsidRPr="00F02C4A">
        <w:rPr>
          <w:rFonts w:cs="Times New Roman"/>
          <w:i/>
          <w:lang w:val="en-US"/>
        </w:rPr>
        <w:t xml:space="preserve">Divorce </w:t>
      </w:r>
      <w:r w:rsidRPr="00F02C4A">
        <w:rPr>
          <w:rFonts w:cs="Times New Roman"/>
          <w:lang w:val="en-US"/>
        </w:rPr>
        <w:t xml:space="preserve">Act involved a rule for original orders and was based on the majority’s interpretation of s. 15.1 of the </w:t>
      </w:r>
      <w:r w:rsidRPr="00F02C4A">
        <w:rPr>
          <w:rFonts w:cs="Times New Roman"/>
          <w:i/>
          <w:lang w:val="en-US"/>
        </w:rPr>
        <w:t xml:space="preserve">Divorce Act </w:t>
      </w:r>
      <w:r w:rsidRPr="00F02C4A">
        <w:rPr>
          <w:rFonts w:cs="Times New Roman"/>
          <w:lang w:val="en-US"/>
        </w:rPr>
        <w:t>and who qualified as a “child of marriage”</w:t>
      </w:r>
      <w:r w:rsidRPr="00F02C4A">
        <w:rPr>
          <w:rFonts w:cs="Times New Roman"/>
          <w:i/>
          <w:lang w:val="en-US"/>
        </w:rPr>
        <w:t xml:space="preserve">. </w:t>
      </w:r>
    </w:p>
    <w:p w:rsidR="00A27006" w:rsidRPr="00F02C4A" w:rsidRDefault="00A27006" w:rsidP="00A27006">
      <w:pPr>
        <w:pStyle w:val="ParaNoNdepar-AltN"/>
        <w:numPr>
          <w:ilvl w:val="0"/>
          <w:numId w:val="7"/>
        </w:numPr>
        <w:rPr>
          <w:rFonts w:cs="Times New Roman"/>
          <w:lang w:bidi="en-US"/>
        </w:rPr>
      </w:pPr>
      <w:r w:rsidRPr="00F02C4A">
        <w:rPr>
          <w:rFonts w:cs="Times New Roman"/>
        </w:rPr>
        <w:t xml:space="preserve">These comments have led some courts, including the British Columbia Court of Appeal, to believe that the same jurisdictional bar also prevents applications to </w:t>
      </w:r>
      <w:r w:rsidRPr="00F02C4A">
        <w:rPr>
          <w:rFonts w:cs="Times New Roman"/>
          <w:i/>
        </w:rPr>
        <w:t>vary</w:t>
      </w:r>
      <w:r w:rsidRPr="00F02C4A">
        <w:rPr>
          <w:rFonts w:cs="Times New Roman"/>
        </w:rPr>
        <w:t xml:space="preserve"> historical child support</w:t>
      </w:r>
      <w:r w:rsidRPr="00F02C4A">
        <w:rPr>
          <w:rFonts w:cs="Times New Roman"/>
          <w:lang w:val="en-US"/>
        </w:rPr>
        <w:t xml:space="preserve"> (</w:t>
      </w:r>
      <w:r w:rsidRPr="00F02C4A">
        <w:rPr>
          <w:rFonts w:cs="Times New Roman"/>
          <w:i/>
        </w:rPr>
        <w:t>Dring</w:t>
      </w:r>
      <w:r w:rsidRPr="00F02C4A">
        <w:rPr>
          <w:rFonts w:cs="Times New Roman"/>
        </w:rPr>
        <w:t xml:space="preserve">; </w:t>
      </w:r>
      <w:r w:rsidRPr="00F02C4A">
        <w:rPr>
          <w:rFonts w:cs="Times New Roman"/>
          <w:i/>
        </w:rPr>
        <w:t>Daoust v. Alberg</w:t>
      </w:r>
      <w:r w:rsidRPr="00F02C4A">
        <w:rPr>
          <w:rFonts w:cs="Times New Roman"/>
        </w:rPr>
        <w:t xml:space="preserve">, 2016 MBCA 24, 71 R.F.L. (7th) 274; </w:t>
      </w:r>
      <w:r w:rsidRPr="00F02C4A">
        <w:rPr>
          <w:rFonts w:cs="Times New Roman"/>
          <w:i/>
        </w:rPr>
        <w:t>Calver v. Calver</w:t>
      </w:r>
      <w:r w:rsidRPr="00F02C4A">
        <w:rPr>
          <w:rFonts w:cs="Times New Roman"/>
        </w:rPr>
        <w:t xml:space="preserve">, 2014 ABCA 63, 569 A.R. 170; </w:t>
      </w:r>
      <w:r w:rsidRPr="00F02C4A">
        <w:rPr>
          <w:rFonts w:cs="Times New Roman"/>
          <w:i/>
        </w:rPr>
        <w:t>Selig v. Smith</w:t>
      </w:r>
      <w:r w:rsidRPr="00F02C4A">
        <w:rPr>
          <w:rFonts w:cs="Times New Roman"/>
        </w:rPr>
        <w:t xml:space="preserve">, 2008 NSCA 54, 266 N.S.R. (2d) 102; </w:t>
      </w:r>
      <w:r w:rsidRPr="00F02C4A">
        <w:rPr>
          <w:rFonts w:cs="Times New Roman"/>
          <w:i/>
        </w:rPr>
        <w:t>Krivanek v. Krivanek</w:t>
      </w:r>
      <w:r w:rsidRPr="00F02C4A">
        <w:rPr>
          <w:rFonts w:cs="Times New Roman"/>
        </w:rPr>
        <w:t xml:space="preserve"> (2008), 56 R.F.L. (6th) 390 (Ont. S.C.J.)). These courts read </w:t>
      </w:r>
      <w:r w:rsidRPr="00F02C4A">
        <w:rPr>
          <w:rFonts w:cs="Times New Roman"/>
          <w:i/>
        </w:rPr>
        <w:t>D.B.S.</w:t>
      </w:r>
      <w:r w:rsidRPr="00F02C4A">
        <w:rPr>
          <w:rFonts w:cs="Times New Roman"/>
        </w:rPr>
        <w:t xml:space="preserve"> as imposing a jurisdictional bar on original applications under s. 15.1 of the </w:t>
      </w:r>
      <w:r w:rsidRPr="00F02C4A">
        <w:rPr>
          <w:rFonts w:cs="Times New Roman"/>
          <w:i/>
        </w:rPr>
        <w:t>Divorce Act</w:t>
      </w:r>
      <w:r w:rsidRPr="00F02C4A">
        <w:rPr>
          <w:rFonts w:cs="Times New Roman"/>
        </w:rPr>
        <w:t xml:space="preserve">; they then extend this bar to variation applications under s. 17 of the </w:t>
      </w:r>
      <w:r w:rsidRPr="00F02C4A">
        <w:rPr>
          <w:rFonts w:cs="Times New Roman"/>
          <w:i/>
        </w:rPr>
        <w:t>Divorce Act</w:t>
      </w:r>
      <w:r w:rsidRPr="00F02C4A">
        <w:rPr>
          <w:rFonts w:cs="Times New Roman"/>
        </w:rPr>
        <w:t xml:space="preserve">, and from there, sometimes further extend it to similarly-worded provincial legislation, like s. 152 of the </w:t>
      </w:r>
      <w:r w:rsidRPr="00F02C4A">
        <w:rPr>
          <w:rFonts w:cs="Times New Roman"/>
          <w:i/>
        </w:rPr>
        <w:t>Family Law Act</w:t>
      </w:r>
      <w:r w:rsidRPr="00F02C4A">
        <w:rPr>
          <w:rFonts w:cs="Times New Roman"/>
        </w:rPr>
        <w:t xml:space="preserve">. The rationale for extending the bar to variation orders under s. 17 of the </w:t>
      </w:r>
      <w:r w:rsidRPr="00F02C4A">
        <w:rPr>
          <w:rFonts w:cs="Times New Roman"/>
          <w:i/>
        </w:rPr>
        <w:t>Divorce Act</w:t>
      </w:r>
      <w:r w:rsidRPr="00F02C4A">
        <w:rPr>
          <w:rFonts w:cs="Times New Roman"/>
        </w:rPr>
        <w:t xml:space="preserve"> is based on para. 150 of </w:t>
      </w:r>
      <w:r w:rsidRPr="00F02C4A">
        <w:rPr>
          <w:rFonts w:cs="Times New Roman"/>
          <w:i/>
        </w:rPr>
        <w:t>D.B.S.</w:t>
      </w:r>
      <w:r w:rsidRPr="00F02C4A">
        <w:rPr>
          <w:rFonts w:cs="Times New Roman"/>
        </w:rPr>
        <w:t xml:space="preserve">, in which the Court said it had jurisdiction to hear the variation application in the </w:t>
      </w:r>
      <w:r w:rsidRPr="00F02C4A">
        <w:rPr>
          <w:rFonts w:cs="Times New Roman"/>
          <w:i/>
        </w:rPr>
        <w:t>Henry</w:t>
      </w:r>
      <w:r w:rsidRPr="00F02C4A">
        <w:rPr>
          <w:rFonts w:cs="Times New Roman"/>
        </w:rPr>
        <w:t xml:space="preserve"> case because the child’s mother had filed a notice to disclose the payor’s income before the child became an adult. In this, these courts see a bar on variation applications for historical awards and an exception that applies where a necessary procedural antecedent to the application had alerted the payor to the upcoming application while the child still qualified for support. </w:t>
      </w:r>
    </w:p>
    <w:p w:rsidR="00A27006" w:rsidRPr="00F02C4A" w:rsidRDefault="00A27006" w:rsidP="00A27006">
      <w:pPr>
        <w:pStyle w:val="ParaNoNdepar-AltN"/>
        <w:numPr>
          <w:ilvl w:val="0"/>
          <w:numId w:val="7"/>
        </w:numPr>
        <w:rPr>
          <w:rFonts w:cs="Times New Roman"/>
          <w:u w:val="single"/>
          <w:lang w:bidi="en-US"/>
        </w:rPr>
      </w:pPr>
      <w:r w:rsidRPr="00F02C4A">
        <w:rPr>
          <w:rFonts w:cs="Times New Roman"/>
          <w:shd w:val="clear" w:color="auto" w:fill="FFFFFF"/>
        </w:rPr>
        <w:t xml:space="preserve">While some courts have interpreted the exception as applying to variation orders only, others have extended it to original applications as well (see, e.g., </w:t>
      </w:r>
      <w:r w:rsidRPr="00F02C4A">
        <w:rPr>
          <w:rFonts w:cs="Times New Roman"/>
          <w:i/>
          <w:shd w:val="clear" w:color="auto" w:fill="FFFFFF"/>
        </w:rPr>
        <w:t>Dring</w:t>
      </w:r>
      <w:r w:rsidRPr="00F02C4A">
        <w:rPr>
          <w:rFonts w:cs="Times New Roman"/>
          <w:shd w:val="clear" w:color="auto" w:fill="FFFFFF"/>
        </w:rPr>
        <w:t xml:space="preserve">, at paras. 65, 97 and 195; </w:t>
      </w:r>
      <w:r w:rsidRPr="00F02C4A">
        <w:rPr>
          <w:rFonts w:cs="Times New Roman"/>
          <w:i/>
        </w:rPr>
        <w:t>Hnidy v. Hnidy</w:t>
      </w:r>
      <w:r w:rsidRPr="00F02C4A">
        <w:rPr>
          <w:rFonts w:cs="Times New Roman"/>
        </w:rPr>
        <w:t>, 2017 SKCA 44, 414 D.L.R. (4th) 87, at paras. 62</w:t>
      </w:r>
      <w:r w:rsidRPr="00F02C4A">
        <w:rPr>
          <w:rFonts w:cs="Times New Roman"/>
          <w:shd w:val="clear" w:color="auto" w:fill="FFFFFF"/>
        </w:rPr>
        <w:t xml:space="preserve">, 70 and 81). Yet other courts have allowed variation applications not on the basis of the exception but on the grounds that </w:t>
      </w:r>
      <w:r w:rsidRPr="00F02C4A">
        <w:rPr>
          <w:rFonts w:cs="Times New Roman"/>
          <w:i/>
          <w:shd w:val="clear" w:color="auto" w:fill="FFFFFF"/>
        </w:rPr>
        <w:t xml:space="preserve">D.B.S. </w:t>
      </w:r>
      <w:r w:rsidRPr="00F02C4A">
        <w:rPr>
          <w:rFonts w:cs="Times New Roman"/>
          <w:shd w:val="clear" w:color="auto" w:fill="FFFFFF"/>
        </w:rPr>
        <w:t xml:space="preserve">only barred original applications for historical awards and did not preclude variation orders under s. 17 or relevant provincial legislation (see, e.g., </w:t>
      </w:r>
      <w:r w:rsidRPr="00F02C4A">
        <w:rPr>
          <w:rFonts w:cs="Times New Roman"/>
          <w:i/>
          <w:shd w:val="clear" w:color="auto" w:fill="FFFFFF"/>
        </w:rPr>
        <w:t>Brear v. Brear</w:t>
      </w:r>
      <w:r w:rsidRPr="00F02C4A">
        <w:rPr>
          <w:rFonts w:cs="Times New Roman"/>
          <w:shd w:val="clear" w:color="auto" w:fill="FFFFFF"/>
        </w:rPr>
        <w:t xml:space="preserve">, 2019 ABCA 419, 97 Alta. L.R. (6th) 1; </w:t>
      </w:r>
      <w:r w:rsidRPr="00F02C4A">
        <w:rPr>
          <w:rFonts w:cs="Times New Roman"/>
          <w:i/>
          <w:shd w:val="clear" w:color="auto" w:fill="FFFFFF"/>
        </w:rPr>
        <w:t>Colucci v. Colucci</w:t>
      </w:r>
      <w:r w:rsidRPr="00F02C4A">
        <w:rPr>
          <w:rFonts w:cs="Times New Roman"/>
          <w:shd w:val="clear" w:color="auto" w:fill="FFFFFF"/>
        </w:rPr>
        <w:t xml:space="preserve">, 2017 ONCA 892, 138 O.R. (3d) 321; </w:t>
      </w:r>
      <w:r w:rsidRPr="00F02C4A">
        <w:rPr>
          <w:rFonts w:cs="Times New Roman"/>
          <w:i/>
          <w:shd w:val="clear" w:color="auto" w:fill="FFFFFF"/>
        </w:rPr>
        <w:t>MacCarthy v. MacCarthy</w:t>
      </w:r>
      <w:r w:rsidRPr="00F02C4A">
        <w:rPr>
          <w:rFonts w:cs="Times New Roman"/>
          <w:shd w:val="clear" w:color="auto" w:fill="FFFFFF"/>
        </w:rPr>
        <w:t xml:space="preserve">, 2015 BCCA 496, 380 B.C.A.C. 102; </w:t>
      </w:r>
      <w:r w:rsidRPr="00F02C4A">
        <w:rPr>
          <w:rFonts w:cs="Times New Roman"/>
          <w:i/>
          <w:shd w:val="clear" w:color="auto" w:fill="FFFFFF"/>
        </w:rPr>
        <w:t>Buckingham v. Buckingham</w:t>
      </w:r>
      <w:r w:rsidRPr="00F02C4A">
        <w:rPr>
          <w:rFonts w:cs="Times New Roman"/>
          <w:shd w:val="clear" w:color="auto" w:fill="FFFFFF"/>
        </w:rPr>
        <w:t xml:space="preserve">, 2013 ABQB 155, 554 A.R. 256; </w:t>
      </w:r>
      <w:r w:rsidRPr="00F02C4A">
        <w:rPr>
          <w:rFonts w:cs="Times New Roman"/>
          <w:i/>
          <w:shd w:val="clear" w:color="auto" w:fill="FFFFFF"/>
        </w:rPr>
        <w:t>Catena v. Catena</w:t>
      </w:r>
      <w:r w:rsidRPr="00F02C4A">
        <w:rPr>
          <w:rFonts w:cs="Times New Roman"/>
          <w:shd w:val="clear" w:color="auto" w:fill="FFFFFF"/>
        </w:rPr>
        <w:t>, 2015 ONSC 3186, 61 R.F.L. (7th) 463).</w:t>
      </w:r>
      <w:r w:rsidRPr="00F02C4A">
        <w:rPr>
          <w:rFonts w:cs="Times New Roman"/>
        </w:rPr>
        <w:t xml:space="preserve"> </w:t>
      </w:r>
    </w:p>
    <w:p w:rsidR="00A27006" w:rsidRPr="00F02C4A" w:rsidRDefault="00A27006" w:rsidP="00A27006">
      <w:pPr>
        <w:pStyle w:val="ParaNoNdepar-AltN"/>
        <w:numPr>
          <w:ilvl w:val="0"/>
          <w:numId w:val="7"/>
        </w:numPr>
        <w:rPr>
          <w:rFonts w:cs="Times New Roman"/>
          <w:lang w:bidi="en-US"/>
        </w:rPr>
      </w:pPr>
      <w:r w:rsidRPr="00F02C4A">
        <w:rPr>
          <w:rFonts w:cs="Times New Roman"/>
        </w:rPr>
        <w:t xml:space="preserve">These courts all question what </w:t>
      </w:r>
      <w:r w:rsidRPr="00F02C4A">
        <w:rPr>
          <w:rFonts w:cs="Times New Roman"/>
          <w:i/>
        </w:rPr>
        <w:t>D.B.S.</w:t>
      </w:r>
      <w:r w:rsidRPr="00F02C4A">
        <w:rPr>
          <w:rFonts w:cs="Times New Roman"/>
        </w:rPr>
        <w:t xml:space="preserve"> actually decided, and challenge the premises and sequence of reasoning employed to support the extension of the jurisdictional bar. Given that for variation applications neither the exception nor the rule were ever made explicit by the Court in </w:t>
      </w:r>
      <w:r w:rsidRPr="00F02C4A">
        <w:rPr>
          <w:rFonts w:cs="Times New Roman"/>
          <w:i/>
        </w:rPr>
        <w:t>D.B.S.</w:t>
      </w:r>
      <w:r w:rsidRPr="00F02C4A">
        <w:rPr>
          <w:rFonts w:cs="Times New Roman"/>
        </w:rPr>
        <w:t>, some question the validity of the underlying proposition “that the unexpressed general rule is revealed by the purported exception” (</w:t>
      </w:r>
      <w:r w:rsidRPr="00F02C4A">
        <w:rPr>
          <w:rFonts w:cs="Times New Roman"/>
          <w:i/>
        </w:rPr>
        <w:t>Dring</w:t>
      </w:r>
      <w:r w:rsidRPr="00F02C4A">
        <w:rPr>
          <w:rFonts w:cs="Times New Roman"/>
        </w:rPr>
        <w:t>, at para. 196, per Hunter J.A.). The result has been a muddled jurisprudence: confused, contradictory, and divided. At some point it becomes futile, even impossible to untangle the strands of reasoning supporting the varied results between, or sometimes within provinces on historical child support.</w:t>
      </w:r>
    </w:p>
    <w:p w:rsidR="00A27006" w:rsidRPr="00F02C4A" w:rsidRDefault="00A27006" w:rsidP="00A27006">
      <w:pPr>
        <w:pStyle w:val="ParaNoNdepar-AltN"/>
        <w:numPr>
          <w:ilvl w:val="0"/>
          <w:numId w:val="7"/>
        </w:numPr>
        <w:rPr>
          <w:rFonts w:cs="Times New Roman"/>
        </w:rPr>
      </w:pPr>
      <w:r w:rsidRPr="00F02C4A">
        <w:rPr>
          <w:rFonts w:cs="Times New Roman"/>
        </w:rPr>
        <w:t xml:space="preserve">I agree with my colleague that </w:t>
      </w:r>
      <w:r w:rsidRPr="00F02C4A">
        <w:rPr>
          <w:rFonts w:cs="Times New Roman"/>
          <w:i/>
        </w:rPr>
        <w:t>D.B.S</w:t>
      </w:r>
      <w:r w:rsidRPr="00ED100B">
        <w:rPr>
          <w:rFonts w:cs="Times New Roman"/>
          <w:i/>
        </w:rPr>
        <w:t>.</w:t>
      </w:r>
      <w:r w:rsidRPr="00F02C4A">
        <w:rPr>
          <w:rFonts w:cs="Times New Roman"/>
        </w:rPr>
        <w:t xml:space="preserve"> did not decide the issue for variations orders under s. 17 (Brown J.’s reasons, at para. 15): there was no</w:t>
      </w:r>
      <w:r w:rsidRPr="00F02C4A">
        <w:rPr>
          <w:rFonts w:cs="Times New Roman"/>
          <w:lang w:val="en-US"/>
        </w:rPr>
        <w:t xml:space="preserve"> clear statement in </w:t>
      </w:r>
      <w:r w:rsidRPr="00F02C4A">
        <w:rPr>
          <w:rFonts w:cs="Times New Roman"/>
          <w:i/>
          <w:lang w:val="en-US"/>
        </w:rPr>
        <w:t>D.B.S.</w:t>
      </w:r>
      <w:r w:rsidRPr="00F02C4A">
        <w:rPr>
          <w:rFonts w:cs="Times New Roman"/>
          <w:lang w:val="en-US"/>
        </w:rPr>
        <w:t xml:space="preserve"> about whether the</w:t>
      </w:r>
      <w:r w:rsidRPr="00F02C4A">
        <w:rPr>
          <w:rFonts w:cs="Times New Roman"/>
          <w:i/>
          <w:lang w:val="en-US"/>
        </w:rPr>
        <w:t xml:space="preserve"> dicta</w:t>
      </w:r>
      <w:r w:rsidRPr="00F02C4A">
        <w:rPr>
          <w:rFonts w:cs="Times New Roman"/>
          <w:lang w:val="en-US"/>
        </w:rPr>
        <w:t xml:space="preserve"> concerning original applications in s. 15.1 also apply to the differently-worded s. 17 variation applications. </w:t>
      </w:r>
    </w:p>
    <w:p w:rsidR="00A27006" w:rsidRPr="00F02C4A" w:rsidRDefault="00A27006" w:rsidP="00A27006">
      <w:pPr>
        <w:pStyle w:val="ParaNoNdepar-AltN"/>
        <w:numPr>
          <w:ilvl w:val="0"/>
          <w:numId w:val="7"/>
        </w:numPr>
        <w:rPr>
          <w:rFonts w:cs="Times New Roman"/>
        </w:rPr>
      </w:pPr>
      <w:r w:rsidRPr="00F02C4A">
        <w:rPr>
          <w:rFonts w:cs="Times New Roman"/>
        </w:rPr>
        <w:t xml:space="preserve">I similarly agree with Goepel J.A. in </w:t>
      </w:r>
      <w:r w:rsidRPr="00F02C4A">
        <w:rPr>
          <w:rFonts w:cs="Times New Roman"/>
          <w:i/>
        </w:rPr>
        <w:t>Dring</w:t>
      </w:r>
      <w:r w:rsidRPr="00F02C4A">
        <w:rPr>
          <w:rFonts w:cs="Times New Roman"/>
        </w:rPr>
        <w:t xml:space="preserve">, that “[a]lthough the language of [the </w:t>
      </w:r>
      <w:r w:rsidRPr="00F02C4A">
        <w:rPr>
          <w:rFonts w:cs="Times New Roman"/>
          <w:i/>
        </w:rPr>
        <w:t>Divorce Act</w:t>
      </w:r>
      <w:r w:rsidRPr="00F02C4A">
        <w:rPr>
          <w:rFonts w:cs="Times New Roman"/>
        </w:rPr>
        <w:t xml:space="preserve"> and the </w:t>
      </w:r>
      <w:r w:rsidRPr="00F02C4A">
        <w:rPr>
          <w:rFonts w:cs="Times New Roman"/>
          <w:i/>
        </w:rPr>
        <w:t>Family Law Act</w:t>
      </w:r>
      <w:r w:rsidRPr="00F02C4A">
        <w:rPr>
          <w:rFonts w:cs="Times New Roman"/>
        </w:rPr>
        <w:t>] is not identical, it is sufficiently similar that they should be interpreted in the same manner” (para. 76). These two provisions share the same purpose, arise from the same social and legislative contexts, and address the same issue. When the focus is on the responsibilities of parents to their children, absent very clear legislative direction, little will turn on whether parents are married or not. There is therefore no binding authority requiring s. 152 to be read as imposing a jurisdictional bar on the hearing of variation application for historical child support. Section 152 must be interpreted and applied in accordance with first principles.</w:t>
      </w:r>
    </w:p>
    <w:p w:rsidR="00A27006" w:rsidRPr="00F02C4A" w:rsidRDefault="00A27006" w:rsidP="00A27006">
      <w:pPr>
        <w:pStyle w:val="Title2LevelTitre2Niveau"/>
        <w:rPr>
          <w:rFonts w:eastAsia="Times New Roman" w:cs="Times New Roman"/>
        </w:rPr>
      </w:pPr>
      <w:bookmarkStart w:id="38" w:name="_Toc46428242"/>
      <w:bookmarkStart w:id="39" w:name="_Toc48626816"/>
      <w:r w:rsidRPr="00F02C4A">
        <w:rPr>
          <w:rFonts w:cs="Times New Roman"/>
        </w:rPr>
        <w:t>Fair, Large, and Liberal Interpretation of Section 152 of the Family Law Act</w:t>
      </w:r>
      <w:bookmarkEnd w:id="38"/>
      <w:bookmarkEnd w:id="39"/>
    </w:p>
    <w:p w:rsidR="00A27006" w:rsidRPr="00F02C4A" w:rsidRDefault="00A27006" w:rsidP="00A27006">
      <w:pPr>
        <w:pStyle w:val="ParaNoNdepar-AltN"/>
        <w:numPr>
          <w:ilvl w:val="0"/>
          <w:numId w:val="7"/>
        </w:numPr>
        <w:rPr>
          <w:rFonts w:cs="Times New Roman"/>
        </w:rPr>
      </w:pPr>
      <w:r w:rsidRPr="00F02C4A">
        <w:rPr>
          <w:rFonts w:cs="Times New Roman"/>
        </w:rPr>
        <w:t xml:space="preserve">Determining the meaning of s. 152 of the </w:t>
      </w:r>
      <w:r w:rsidRPr="00F02C4A">
        <w:rPr>
          <w:rFonts w:cs="Times New Roman"/>
          <w:i/>
        </w:rPr>
        <w:t>Family Law Act</w:t>
      </w:r>
      <w:r w:rsidRPr="00F02C4A">
        <w:rPr>
          <w:rFonts w:cs="Times New Roman"/>
        </w:rPr>
        <w:t xml:space="preserve"> involves an exercise in statutory interpretation. Courts must </w:t>
      </w:r>
      <w:r w:rsidRPr="00F02C4A">
        <w:rPr>
          <w:rFonts w:cs="Times New Roman"/>
          <w:shd w:val="clear" w:color="auto" w:fill="FFFFFF"/>
        </w:rPr>
        <w:t>“read [the words of an Act] in their entire context and in their grammatical and ordinary sense harmoniously with the scheme of the Act, the object of the Act, and the intention of Parliament”</w:t>
      </w:r>
      <w:r w:rsidRPr="00F02C4A">
        <w:rPr>
          <w:rFonts w:cs="Times New Roman"/>
        </w:rPr>
        <w:t xml:space="preserve"> (</w:t>
      </w:r>
      <w:r w:rsidRPr="00F02C4A">
        <w:rPr>
          <w:rFonts w:cs="Times New Roman"/>
          <w:i/>
        </w:rPr>
        <w:t>Rizzo &amp; Rizzo Shoes Ltd. (Re)</w:t>
      </w:r>
      <w:r w:rsidRPr="00F02C4A">
        <w:rPr>
          <w:rFonts w:cs="Times New Roman"/>
        </w:rPr>
        <w:t xml:space="preserve">, [1998] 1 S.C.R. 27, at para. 21, citing E. Driedger, </w:t>
      </w:r>
      <w:r w:rsidRPr="00F02C4A">
        <w:rPr>
          <w:rFonts w:cs="Times New Roman"/>
          <w:i/>
        </w:rPr>
        <w:t>Construction of Statutes</w:t>
      </w:r>
      <w:r w:rsidRPr="00F02C4A">
        <w:rPr>
          <w:rFonts w:cs="Times New Roman"/>
        </w:rPr>
        <w:t xml:space="preserve"> (2nd ed. 1983), at p. 87).  </w:t>
      </w:r>
    </w:p>
    <w:p w:rsidR="00A27006" w:rsidRPr="00F02C4A" w:rsidRDefault="00A27006" w:rsidP="00A27006">
      <w:pPr>
        <w:pStyle w:val="ParaNoNdepar-AltN"/>
        <w:numPr>
          <w:ilvl w:val="0"/>
          <w:numId w:val="7"/>
        </w:numPr>
        <w:rPr>
          <w:rFonts w:cs="Times New Roman"/>
        </w:rPr>
      </w:pPr>
      <w:r w:rsidRPr="00F02C4A">
        <w:rPr>
          <w:rFonts w:cs="Times New Roman"/>
        </w:rPr>
        <w:t xml:space="preserve">My colleague Brown J. has conducted a careful textual analysis of s. 152 and I agree with his conclusion. There is no need to repeat all of the strong reasons he gives for finding that applications for historical child support by way of variation order under s. 152 are allowed by the terms of British Columbia’s </w:t>
      </w:r>
      <w:r w:rsidRPr="00F02C4A">
        <w:rPr>
          <w:rFonts w:cs="Times New Roman"/>
          <w:i/>
        </w:rPr>
        <w:t>Family Law Act</w:t>
      </w:r>
      <w:r w:rsidRPr="00F02C4A">
        <w:rPr>
          <w:rFonts w:cs="Times New Roman"/>
        </w:rPr>
        <w:t xml:space="preserve">. </w:t>
      </w:r>
    </w:p>
    <w:p w:rsidR="00A27006" w:rsidRPr="00F02C4A" w:rsidRDefault="00A27006" w:rsidP="00A27006">
      <w:pPr>
        <w:pStyle w:val="ParaNoNdepar-AltN"/>
        <w:numPr>
          <w:ilvl w:val="0"/>
          <w:numId w:val="7"/>
        </w:numPr>
        <w:rPr>
          <w:rFonts w:cs="Times New Roman"/>
          <w:lang w:val="en-US"/>
        </w:rPr>
      </w:pPr>
      <w:r w:rsidRPr="00F02C4A">
        <w:rPr>
          <w:rFonts w:cs="Times New Roman"/>
        </w:rPr>
        <w:t xml:space="preserve">In addition to the reasons provided by Brown J., however, there are other strong and equally-compelling reasons that support allowing the consideration of historical child support claims. In </w:t>
      </w:r>
      <w:r w:rsidRPr="00F02C4A">
        <w:rPr>
          <w:rFonts w:cs="Times New Roman"/>
          <w:i/>
        </w:rPr>
        <w:t>Chartier</w:t>
      </w:r>
      <w:r w:rsidRPr="00F02C4A">
        <w:rPr>
          <w:rFonts w:cs="Times New Roman"/>
          <w:lang w:val="en-US"/>
        </w:rPr>
        <w:t>,</w:t>
      </w:r>
      <w:r w:rsidRPr="00F02C4A">
        <w:rPr>
          <w:rFonts w:cs="Times New Roman"/>
        </w:rPr>
        <w:t xml:space="preserve"> a child support case, this Court </w:t>
      </w:r>
      <w:r w:rsidRPr="00F02C4A">
        <w:rPr>
          <w:rFonts w:cs="Times New Roman"/>
          <w:lang w:val="en-US"/>
        </w:rPr>
        <w:t xml:space="preserve">applied the modern principles of statutory interpretation, articulating a truly purposive and contextual approach for family law issues that weaves the fundamental principles of child support law into the interpretation of the </w:t>
      </w:r>
      <w:r w:rsidRPr="00F02C4A">
        <w:rPr>
          <w:rFonts w:cs="Times New Roman"/>
          <w:i/>
          <w:lang w:val="en-US"/>
        </w:rPr>
        <w:t>Divorce Act</w:t>
      </w:r>
      <w:r w:rsidRPr="00F02C4A">
        <w:rPr>
          <w:rFonts w:cs="Times New Roman"/>
          <w:lang w:val="en-US"/>
        </w:rPr>
        <w:t>. The Court thus set out the following guidelines:</w:t>
      </w:r>
    </w:p>
    <w:p w:rsidR="00A27006" w:rsidRPr="00F02C4A" w:rsidRDefault="00A27006" w:rsidP="00A27006">
      <w:pPr>
        <w:pStyle w:val="ListParagraph"/>
        <w:jc w:val="both"/>
        <w:rPr>
          <w:lang w:val="en-US"/>
        </w:rPr>
      </w:pPr>
      <w:r w:rsidRPr="00F02C4A">
        <w:rPr>
          <w:lang w:val="en-US"/>
        </w:rPr>
        <w:t xml:space="preserve">. . . the policies and values reflected in the </w:t>
      </w:r>
      <w:r w:rsidRPr="00F02C4A">
        <w:rPr>
          <w:i/>
          <w:lang w:val="en-US"/>
        </w:rPr>
        <w:t>Divorce Act</w:t>
      </w:r>
      <w:r w:rsidRPr="00F02C4A">
        <w:rPr>
          <w:lang w:val="en-US"/>
        </w:rPr>
        <w:t xml:space="preserve"> must relate to contemporary Canadian society . . . .</w:t>
      </w:r>
    </w:p>
    <w:p w:rsidR="00A27006" w:rsidRPr="00F02C4A" w:rsidRDefault="00A27006" w:rsidP="00A27006">
      <w:pPr>
        <w:pStyle w:val="ListParagraph"/>
        <w:jc w:val="both"/>
        <w:rPr>
          <w:lang w:val="en-US"/>
        </w:rPr>
      </w:pPr>
    </w:p>
    <w:p w:rsidR="00A27006" w:rsidRPr="00F02C4A" w:rsidRDefault="00A27006" w:rsidP="00A27006">
      <w:pPr>
        <w:pStyle w:val="ListParagraph"/>
        <w:jc w:val="center"/>
        <w:rPr>
          <w:lang w:val="en-US"/>
        </w:rPr>
      </w:pPr>
      <w:r w:rsidRPr="00F02C4A">
        <w:rPr>
          <w:lang w:val="en-US"/>
        </w:rPr>
        <w:t>. . .</w:t>
      </w:r>
    </w:p>
    <w:p w:rsidR="00A27006" w:rsidRPr="00F02C4A" w:rsidRDefault="00A27006" w:rsidP="00A27006">
      <w:pPr>
        <w:pStyle w:val="ListParagraph"/>
        <w:jc w:val="both"/>
        <w:rPr>
          <w:lang w:val="en-US"/>
        </w:rPr>
      </w:pPr>
    </w:p>
    <w:p w:rsidR="00A27006" w:rsidRPr="00F02C4A" w:rsidRDefault="00A27006" w:rsidP="00A27006">
      <w:pPr>
        <w:pStyle w:val="ListParagraph"/>
        <w:jc w:val="both"/>
        <w:rPr>
          <w:lang w:val="en-US"/>
        </w:rPr>
      </w:pPr>
      <w:r w:rsidRPr="00F02C4A">
        <w:rPr>
          <w:lang w:val="en-US"/>
        </w:rPr>
        <w:t xml:space="preserve">. . . </w:t>
      </w:r>
      <w:r>
        <w:rPr>
          <w:lang w:val="en-US"/>
        </w:rPr>
        <w:t xml:space="preserve">[thus] </w:t>
      </w:r>
      <w:r w:rsidRPr="00F02C4A">
        <w:rPr>
          <w:lang w:val="en-US"/>
        </w:rPr>
        <w:t xml:space="preserve">the proper approach to this issue . . . recognizes that the provisions of the </w:t>
      </w:r>
      <w:r w:rsidRPr="00F02C4A">
        <w:rPr>
          <w:i/>
          <w:lang w:val="en-US"/>
        </w:rPr>
        <w:t>Divorce Act</w:t>
      </w:r>
      <w:r w:rsidRPr="00F02C4A">
        <w:rPr>
          <w:lang w:val="en-US"/>
        </w:rPr>
        <w:t xml:space="preserve"> dealing with children focus on what is in the best interests of the children of the marriage . . . .</w:t>
      </w:r>
    </w:p>
    <w:p w:rsidR="00A27006" w:rsidRPr="00F02C4A" w:rsidRDefault="00A27006" w:rsidP="00A27006">
      <w:pPr>
        <w:pStyle w:val="ListParagraph"/>
        <w:jc w:val="both"/>
        <w:rPr>
          <w:lang w:val="en-US"/>
        </w:rPr>
      </w:pPr>
    </w:p>
    <w:p w:rsidR="00A27006" w:rsidRPr="00F02C4A" w:rsidRDefault="00A27006" w:rsidP="00A27006">
      <w:pPr>
        <w:pStyle w:val="ListParagraph"/>
        <w:jc w:val="center"/>
        <w:rPr>
          <w:lang w:val="en-US"/>
        </w:rPr>
      </w:pPr>
      <w:r w:rsidRPr="00F02C4A">
        <w:rPr>
          <w:lang w:val="en-US"/>
        </w:rPr>
        <w:t>. . .</w:t>
      </w:r>
    </w:p>
    <w:p w:rsidR="00A27006" w:rsidRPr="00F02C4A" w:rsidRDefault="00A27006" w:rsidP="00A27006">
      <w:pPr>
        <w:jc w:val="both"/>
        <w:rPr>
          <w:lang w:val="en-US"/>
        </w:rPr>
      </w:pPr>
    </w:p>
    <w:p w:rsidR="00A27006" w:rsidRPr="00F02C4A" w:rsidRDefault="009352AF" w:rsidP="00ED100B">
      <w:pPr>
        <w:pStyle w:val="ListParagraph"/>
        <w:spacing w:after="480"/>
        <w:contextualSpacing w:val="0"/>
        <w:jc w:val="both"/>
        <w:rPr>
          <w:lang w:val="en-US"/>
        </w:rPr>
      </w:pPr>
      <w:r>
        <w:rPr>
          <w:lang w:val="en-US"/>
        </w:rPr>
        <w:t>.</w:t>
      </w:r>
      <w:r>
        <w:t> . . </w:t>
      </w:r>
      <w:r w:rsidR="00A27006" w:rsidRPr="00F02C4A">
        <w:rPr>
          <w:lang w:val="en-US"/>
        </w:rPr>
        <w:t xml:space="preserve">The interpretation of the provisions of the </w:t>
      </w:r>
      <w:r w:rsidR="00A27006" w:rsidRPr="00F02C4A">
        <w:rPr>
          <w:i/>
          <w:lang w:val="en-US"/>
        </w:rPr>
        <w:t>Divorce Act</w:t>
      </w:r>
      <w:r w:rsidR="00A27006" w:rsidRPr="00F02C4A">
        <w:rPr>
          <w:lang w:val="en-US"/>
        </w:rPr>
        <w:t xml:space="preserve"> relating to “child[ren] of the marriage” should be “given such fair, large and liberal construction and interpretation as best ensures the attainment of its objects” </w:t>
      </w:r>
      <w:r>
        <w:rPr>
          <w:lang w:val="en-US"/>
        </w:rPr>
        <w:t>.</w:t>
      </w:r>
      <w:r>
        <w:t> . . .</w:t>
      </w:r>
    </w:p>
    <w:p w:rsidR="00A27006" w:rsidRPr="00ED100B" w:rsidRDefault="00A27006" w:rsidP="00492491">
      <w:pPr>
        <w:spacing w:line="480" w:lineRule="auto"/>
        <w:jc w:val="both"/>
        <w:rPr>
          <w:lang w:val="en-US"/>
        </w:rPr>
      </w:pPr>
      <w:r w:rsidRPr="00ED100B">
        <w:rPr>
          <w:lang w:val="en-US"/>
        </w:rPr>
        <w:t xml:space="preserve">(paras. 19 and 21; see also para. 32, citing </w:t>
      </w:r>
      <w:r w:rsidRPr="00ED100B">
        <w:rPr>
          <w:i/>
          <w:lang w:val="en-US"/>
        </w:rPr>
        <w:t>Interpretation Act</w:t>
      </w:r>
      <w:r w:rsidRPr="00ED100B">
        <w:rPr>
          <w:lang w:val="en-US"/>
        </w:rPr>
        <w:t>, R.S.C. 1985, c. I-21, s. 12</w:t>
      </w:r>
      <w:r w:rsidR="00ED100B">
        <w:rPr>
          <w:lang w:val="en-US"/>
        </w:rPr>
        <w:t>.)</w:t>
      </w:r>
      <w:r w:rsidRPr="00ED100B">
        <w:rPr>
          <w:lang w:val="en-US"/>
        </w:rPr>
        <w:t xml:space="preserve"> </w:t>
      </w:r>
    </w:p>
    <w:p w:rsidR="00A27006" w:rsidRPr="00F02C4A" w:rsidRDefault="00A27006" w:rsidP="00A27006">
      <w:pPr>
        <w:pStyle w:val="ParaNoNdepar-AltN"/>
        <w:numPr>
          <w:ilvl w:val="0"/>
          <w:numId w:val="7"/>
        </w:numPr>
        <w:rPr>
          <w:rFonts w:cs="Times New Roman"/>
          <w:lang w:val="en-US"/>
        </w:rPr>
      </w:pPr>
      <w:r w:rsidRPr="00F02C4A">
        <w:rPr>
          <w:rFonts w:cs="Times New Roman"/>
          <w:lang w:val="en-US"/>
        </w:rPr>
        <w:t xml:space="preserve">Grounded in these principles, the Court sought the “interpretation that will best serve children” (at para. 32) </w:t>
      </w:r>
      <w:r w:rsidRPr="00F02C4A">
        <w:rPr>
          <w:rFonts w:cs="Times New Roman"/>
          <w:szCs w:val="24"/>
          <w:lang w:val="en"/>
        </w:rPr>
        <w:t>and chose</w:t>
      </w:r>
      <w:r w:rsidRPr="00F02C4A">
        <w:rPr>
          <w:rFonts w:cs="Times New Roman"/>
        </w:rPr>
        <w:t xml:space="preserve"> </w:t>
      </w:r>
      <w:r w:rsidRPr="00F02C4A">
        <w:rPr>
          <w:rFonts w:cs="Times New Roman"/>
          <w:lang w:val="en-US"/>
        </w:rPr>
        <w:t xml:space="preserve">a measure for child support which allowed recovery from a step-parent. This same approach should also inform the interpretation of s. 152 of the </w:t>
      </w:r>
      <w:r w:rsidRPr="00F02C4A">
        <w:rPr>
          <w:rFonts w:cs="Times New Roman"/>
          <w:i/>
          <w:lang w:val="en-US"/>
        </w:rPr>
        <w:t>Family Law Act</w:t>
      </w:r>
      <w:r w:rsidRPr="00F02C4A">
        <w:rPr>
          <w:rFonts w:cs="Times New Roman"/>
          <w:lang w:val="en-US"/>
        </w:rPr>
        <w:t xml:space="preserve">. </w:t>
      </w:r>
      <w:r w:rsidRPr="00F02C4A">
        <w:rPr>
          <w:rFonts w:cs="Times New Roman"/>
        </w:rPr>
        <w:t>An analysis that takes into account t</w:t>
      </w:r>
      <w:r w:rsidRPr="00F02C4A">
        <w:rPr>
          <w:rFonts w:cs="Times New Roman"/>
          <w:lang w:val="en-US"/>
        </w:rPr>
        <w:t xml:space="preserve">he policies and values of contemporary Canadian society, focuses on the best interests of the child, and interprets s. 152 in a fair, large, and liberal manner to best ensure the attainment of the objects of child support clearly supports permitting historical child support claims to be heard by a court to determine if monies are owing and what amounts may be fairly recovered. This conclusion is supported by the fact that the jurisdictional bar imposed in this case prevents access to justice, runs counter to the best interest of many children, gives rise to an under-inclusive outcome, and reinforces patterns of socio-economic inequality. </w:t>
      </w:r>
    </w:p>
    <w:p w:rsidR="00A27006" w:rsidRPr="00F02C4A" w:rsidRDefault="00A27006" w:rsidP="00A27006">
      <w:pPr>
        <w:pStyle w:val="Title3LevelTitre3Niveau"/>
        <w:rPr>
          <w:rFonts w:cs="Times New Roman"/>
          <w:lang w:val="en-US"/>
        </w:rPr>
      </w:pPr>
      <w:bookmarkStart w:id="40" w:name="_Toc46428243"/>
      <w:bookmarkStart w:id="41" w:name="_Toc48626817"/>
      <w:r w:rsidRPr="00F02C4A">
        <w:rPr>
          <w:rFonts w:cs="Times New Roman"/>
          <w:lang w:val="en-US"/>
        </w:rPr>
        <w:t>Access to Justice</w:t>
      </w:r>
      <w:bookmarkEnd w:id="40"/>
      <w:bookmarkEnd w:id="41"/>
    </w:p>
    <w:p w:rsidR="00A27006" w:rsidRPr="00F02C4A" w:rsidRDefault="00A27006" w:rsidP="00A27006">
      <w:pPr>
        <w:pStyle w:val="ParaNoNdepar-AltN"/>
        <w:numPr>
          <w:ilvl w:val="0"/>
          <w:numId w:val="7"/>
        </w:numPr>
        <w:rPr>
          <w:rFonts w:cs="Times New Roman"/>
        </w:rPr>
      </w:pPr>
      <w:r w:rsidRPr="00F02C4A">
        <w:rPr>
          <w:rFonts w:cs="Times New Roman"/>
          <w:lang w:val="en-US"/>
        </w:rPr>
        <w:t xml:space="preserve">Whether seen as statutory authority, referred to as jurisdiction, or redefined as standing, the procedural </w:t>
      </w:r>
      <w:r w:rsidRPr="00F02C4A">
        <w:rPr>
          <w:rFonts w:cs="Times New Roman"/>
        </w:rPr>
        <w:t xml:space="preserve">bar that originated in </w:t>
      </w:r>
      <w:r w:rsidRPr="00F02C4A">
        <w:rPr>
          <w:rFonts w:cs="Times New Roman"/>
          <w:i/>
        </w:rPr>
        <w:t>D.B.S.</w:t>
      </w:r>
      <w:r w:rsidRPr="00F02C4A">
        <w:rPr>
          <w:rFonts w:cs="Times New Roman"/>
        </w:rPr>
        <w:t xml:space="preserve"> and is challenged by Ms. Michel in this appeal prevents access to justice for Canada’s children.</w:t>
      </w:r>
      <w:r w:rsidR="00FF29C8">
        <w:rPr>
          <w:rStyle w:val="FootnoteReference"/>
          <w:rFonts w:cs="Times New Roman"/>
        </w:rPr>
        <w:footnoteReference w:id="1"/>
      </w:r>
      <w:r w:rsidRPr="00F02C4A">
        <w:rPr>
          <w:rFonts w:cs="Times New Roman"/>
        </w:rPr>
        <w:t xml:space="preserve"> The courtroom doors should not be closed because certain categories of debts owed to children are classified as coming “too late”. As will be described later, </w:t>
      </w:r>
      <w:r w:rsidRPr="00F02C4A">
        <w:rPr>
          <w:rFonts w:cs="Times New Roman"/>
          <w:lang w:val="en-US"/>
        </w:rPr>
        <w:t xml:space="preserve">keeping whole types of claims from the courts </w:t>
      </w:r>
      <w:r w:rsidRPr="00F02C4A">
        <w:rPr>
          <w:rFonts w:cs="Times New Roman"/>
        </w:rPr>
        <w:t xml:space="preserve">creates hardship for children and their caregivers by </w:t>
      </w:r>
      <w:r w:rsidRPr="00F02C4A">
        <w:rPr>
          <w:rFonts w:cs="Times New Roman"/>
          <w:lang w:val="en-US"/>
        </w:rPr>
        <w:t xml:space="preserve">contributing to the underfunding of children and the feminization of poverty. But this procedural barrier not only works injustice, it is unnecessary: the present rules in relevant legislation and the </w:t>
      </w:r>
      <w:r w:rsidRPr="00F02C4A">
        <w:rPr>
          <w:rFonts w:cs="Times New Roman"/>
          <w:i/>
          <w:lang w:val="en-US"/>
        </w:rPr>
        <w:t>Guidelines</w:t>
      </w:r>
      <w:r w:rsidRPr="00F02C4A">
        <w:rPr>
          <w:rFonts w:cs="Times New Roman"/>
          <w:lang w:val="en-US"/>
        </w:rPr>
        <w:t xml:space="preserve"> are up to the task of providing guidance to determine which retroactive awards should be granted and in what amount.</w:t>
      </w:r>
      <w:r w:rsidRPr="00F02C4A">
        <w:rPr>
          <w:rFonts w:cs="Times New Roman"/>
        </w:rPr>
        <w:t xml:space="preserve"> Rather than being forced to wield the blunt instrument of a categorical exclusion, judges should be trusted to use their discretion to determine individual cases fairly. The </w:t>
      </w:r>
      <w:r w:rsidRPr="00F02C4A">
        <w:rPr>
          <w:rFonts w:cs="Times New Roman"/>
          <w:lang w:val="en-US"/>
        </w:rPr>
        <w:t xml:space="preserve">jurisdictional bar imposed in this case thus creates an unnecessary barrier to access to justice, which operates to prevent applications advanced on behalf of children from ever being heard on their merits. </w:t>
      </w:r>
    </w:p>
    <w:p w:rsidR="00A27006" w:rsidRPr="00F02C4A" w:rsidRDefault="00A27006" w:rsidP="00A27006">
      <w:pPr>
        <w:pStyle w:val="ParaNoNdepar-AltN"/>
        <w:numPr>
          <w:ilvl w:val="0"/>
          <w:numId w:val="7"/>
        </w:numPr>
        <w:rPr>
          <w:rFonts w:cs="Times New Roman"/>
        </w:rPr>
      </w:pPr>
      <w:r w:rsidRPr="00F02C4A">
        <w:rPr>
          <w:rFonts w:cs="Times New Roman"/>
        </w:rPr>
        <w:t xml:space="preserve">The injustice caused by an exclusionary bar is conveyed by how many courts have developed a proliferating number of exceptions to permit variation awards when appropriate. </w:t>
      </w:r>
      <w:bookmarkStart w:id="42" w:name="_Toc38610215"/>
      <w:r w:rsidRPr="00F02C4A">
        <w:rPr>
          <w:rFonts w:cs="Times New Roman"/>
        </w:rPr>
        <w:t>There are many examples of how courts, seeing the hardship an absolute bar creates for children and their caregivers, have found multiple, often creative ways around it so as to decide the claims and do justice in individual cases (</w:t>
      </w:r>
      <w:r w:rsidRPr="00F02C4A">
        <w:rPr>
          <w:rFonts w:cs="Times New Roman"/>
          <w:i/>
        </w:rPr>
        <w:t>Brear</w:t>
      </w:r>
      <w:r w:rsidRPr="00F02C4A">
        <w:rPr>
          <w:rFonts w:cs="Times New Roman"/>
        </w:rPr>
        <w:t xml:space="preserve">, at para. 28; </w:t>
      </w:r>
      <w:r w:rsidRPr="00F02C4A">
        <w:rPr>
          <w:rFonts w:cs="Times New Roman"/>
          <w:i/>
        </w:rPr>
        <w:t>Simone v. Herres</w:t>
      </w:r>
      <w:r w:rsidRPr="00F02C4A">
        <w:rPr>
          <w:rFonts w:cs="Times New Roman"/>
        </w:rPr>
        <w:t xml:space="preserve">, 2011 ONSC 1788; </w:t>
      </w:r>
      <w:r w:rsidRPr="00F02C4A">
        <w:rPr>
          <w:rFonts w:cs="Times New Roman"/>
          <w:i/>
        </w:rPr>
        <w:t>George v. Gayed</w:t>
      </w:r>
      <w:r w:rsidRPr="00F02C4A">
        <w:rPr>
          <w:rFonts w:cs="Times New Roman"/>
        </w:rPr>
        <w:t xml:space="preserve">, 2014 ONSC 5360; </w:t>
      </w:r>
      <w:r w:rsidRPr="00F02C4A">
        <w:rPr>
          <w:rFonts w:cs="Times New Roman"/>
          <w:i/>
        </w:rPr>
        <w:t>Gordashko v. Boston</w:t>
      </w:r>
      <w:r w:rsidRPr="00F02C4A">
        <w:rPr>
          <w:rFonts w:cs="Times New Roman"/>
        </w:rPr>
        <w:t xml:space="preserve">, 2009 ABQB 229; </w:t>
      </w:r>
      <w:r w:rsidRPr="00F02C4A">
        <w:rPr>
          <w:rFonts w:cs="Times New Roman"/>
          <w:i/>
        </w:rPr>
        <w:t>J.P. v. J.A.P.</w:t>
      </w:r>
      <w:r w:rsidRPr="00F02C4A">
        <w:rPr>
          <w:rFonts w:cs="Times New Roman"/>
        </w:rPr>
        <w:t xml:space="preserve">, 2010 ABQB 53; </w:t>
      </w:r>
      <w:r w:rsidRPr="00F02C4A">
        <w:rPr>
          <w:rFonts w:cs="Times New Roman"/>
          <w:i/>
        </w:rPr>
        <w:t>MacCarthy</w:t>
      </w:r>
      <w:r w:rsidRPr="00F02C4A">
        <w:rPr>
          <w:rFonts w:cs="Times New Roman"/>
        </w:rPr>
        <w:t xml:space="preserve">; </w:t>
      </w:r>
      <w:r w:rsidRPr="00F02C4A">
        <w:rPr>
          <w:rFonts w:cs="Times New Roman"/>
          <w:i/>
        </w:rPr>
        <w:t>Hnidy</w:t>
      </w:r>
      <w:r w:rsidRPr="00F02C4A">
        <w:rPr>
          <w:rFonts w:cs="Times New Roman"/>
        </w:rPr>
        <w:t xml:space="preserve">; </w:t>
      </w:r>
      <w:r w:rsidRPr="00F02C4A">
        <w:rPr>
          <w:rFonts w:cs="Times New Roman"/>
          <w:i/>
        </w:rPr>
        <w:t>Pitre v. Lalande</w:t>
      </w:r>
      <w:r w:rsidRPr="00F02C4A">
        <w:rPr>
          <w:rFonts w:cs="Times New Roman"/>
        </w:rPr>
        <w:t xml:space="preserve">, 2017 ONSC 208; </w:t>
      </w:r>
      <w:r w:rsidRPr="00F02C4A">
        <w:rPr>
          <w:rFonts w:cs="Times New Roman"/>
          <w:i/>
        </w:rPr>
        <w:t>Vohra v. Vohra</w:t>
      </w:r>
      <w:r w:rsidRPr="00F02C4A">
        <w:rPr>
          <w:rFonts w:cs="Times New Roman"/>
        </w:rPr>
        <w:t xml:space="preserve">, 2009 ONCJ 135, 66 R.F.L. (6th) 216; </w:t>
      </w:r>
      <w:r w:rsidRPr="00F02C4A">
        <w:rPr>
          <w:rFonts w:cs="Times New Roman"/>
          <w:i/>
        </w:rPr>
        <w:t>S.P. v. R.P.</w:t>
      </w:r>
      <w:r w:rsidRPr="00F02C4A">
        <w:rPr>
          <w:rFonts w:cs="Times New Roman"/>
        </w:rPr>
        <w:t xml:space="preserve">, 2010 ONSC 2247, rev’d 2011 ONCA 336, 281 O.A.C. 263; </w:t>
      </w:r>
      <w:r w:rsidRPr="00F02C4A">
        <w:rPr>
          <w:rFonts w:cs="Times New Roman"/>
          <w:i/>
        </w:rPr>
        <w:t>de Rooy</w:t>
      </w:r>
      <w:r w:rsidRPr="00F02C4A">
        <w:rPr>
          <w:rFonts w:cs="Times New Roman"/>
        </w:rPr>
        <w:t xml:space="preserve">; </w:t>
      </w:r>
      <w:r w:rsidRPr="00F02C4A">
        <w:rPr>
          <w:rFonts w:cs="Times New Roman"/>
          <w:i/>
        </w:rPr>
        <w:t>Hartshorne v. Hartshorne</w:t>
      </w:r>
      <w:r w:rsidRPr="00F02C4A">
        <w:rPr>
          <w:rFonts w:cs="Times New Roman"/>
        </w:rPr>
        <w:t xml:space="preserve">, 2010 BCCA 327, 289 B.C.A.C. 244; </w:t>
      </w:r>
      <w:r w:rsidRPr="00F02C4A">
        <w:rPr>
          <w:rFonts w:cs="Times New Roman"/>
          <w:i/>
          <w:lang w:val="en-US"/>
        </w:rPr>
        <w:t>MacLennan v. MacLennan</w:t>
      </w:r>
      <w:r w:rsidRPr="00F02C4A">
        <w:rPr>
          <w:rFonts w:cs="Times New Roman"/>
          <w:lang w:val="en-US"/>
        </w:rPr>
        <w:t xml:space="preserve">, 2003 NSCA 9, 212 N.S.R. (2d) 116). </w:t>
      </w:r>
      <w:r w:rsidRPr="00F02C4A">
        <w:rPr>
          <w:rFonts w:cs="Times New Roman"/>
        </w:rPr>
        <w:t>The motive is clear: such exceptions “are born from a desire . . . to grant relief when it is fair and just to do so” (</w:t>
      </w:r>
      <w:r w:rsidRPr="00F02C4A">
        <w:rPr>
          <w:rFonts w:cs="Times New Roman"/>
          <w:i/>
        </w:rPr>
        <w:t>Brear</w:t>
      </w:r>
      <w:r w:rsidRPr="00F02C4A">
        <w:rPr>
          <w:rFonts w:cs="Times New Roman"/>
        </w:rPr>
        <w:t xml:space="preserve">, at para. 63). </w:t>
      </w:r>
    </w:p>
    <w:p w:rsidR="00A27006" w:rsidRPr="00F02C4A" w:rsidRDefault="00A27006" w:rsidP="00A27006">
      <w:pPr>
        <w:pStyle w:val="ParaNoNdepar-AltN"/>
        <w:numPr>
          <w:ilvl w:val="0"/>
          <w:numId w:val="7"/>
        </w:numPr>
        <w:rPr>
          <w:rFonts w:cs="Times New Roman"/>
        </w:rPr>
      </w:pPr>
      <w:r w:rsidRPr="00F02C4A">
        <w:rPr>
          <w:rFonts w:cs="Times New Roman"/>
        </w:rPr>
        <w:t>There is another form of unfairness imposed by a jurisdictional bar, which arises when the variation application is made on behalf of more than one child. The bar operates to prevent the recovery of any support for the child who no longer qualifies under the applicable legislation. This means that sums due for the period during which this child qualified are not recovered, but monies owed to the other children are. In such cases, the bar creates a disparate treatment among siblings and this inequality between children may negatively affect both family finances and family dynamics.</w:t>
      </w:r>
    </w:p>
    <w:p w:rsidR="00A27006" w:rsidRPr="00F02C4A" w:rsidRDefault="00A27006" w:rsidP="00A27006">
      <w:pPr>
        <w:pStyle w:val="ParaNoNdepar-AltN"/>
        <w:numPr>
          <w:ilvl w:val="0"/>
          <w:numId w:val="7"/>
        </w:numPr>
        <w:rPr>
          <w:rFonts w:cs="Times New Roman"/>
        </w:rPr>
      </w:pPr>
      <w:r w:rsidRPr="00F02C4A">
        <w:rPr>
          <w:rFonts w:cs="Times New Roman"/>
        </w:rPr>
        <w:t xml:space="preserve">A fair, large, and liberal interpretation of s. 152 of the </w:t>
      </w:r>
      <w:r w:rsidRPr="00F02C4A">
        <w:rPr>
          <w:rFonts w:cs="Times New Roman"/>
          <w:i/>
        </w:rPr>
        <w:t>Family Law Act</w:t>
      </w:r>
      <w:r w:rsidRPr="00F02C4A">
        <w:rPr>
          <w:rFonts w:cs="Times New Roman"/>
        </w:rPr>
        <w:t xml:space="preserve"> cannot be one which creates exclusion and the type of injustice that invites the manufacture of multiple exceptions. Yet, this overview of Canadian jurisprudence demonstrates how a jurisdictional bar on variation applications for child support unfairly prevents access to child support payments and to the courts. The better approach is to interpret s. 152 with its underlying purposes in mind; that is, in the best interests of the child who is entitled to child support.</w:t>
      </w:r>
    </w:p>
    <w:p w:rsidR="00A27006" w:rsidRPr="00F02C4A" w:rsidRDefault="00A27006" w:rsidP="00A27006">
      <w:pPr>
        <w:pStyle w:val="ParaNoNdepar-AltN"/>
        <w:numPr>
          <w:ilvl w:val="0"/>
          <w:numId w:val="7"/>
        </w:numPr>
        <w:rPr>
          <w:rFonts w:cs="Times New Roman"/>
          <w:lang w:val="en-US"/>
        </w:rPr>
      </w:pPr>
      <w:r w:rsidRPr="00F02C4A">
        <w:rPr>
          <w:rFonts w:cs="Times New Roman"/>
          <w:lang w:val="en-US"/>
        </w:rPr>
        <w:t xml:space="preserve">Arriving at the modern understanding that child support is a right of the child enforceable by court order has taken a great deal of time and is the result of hundreds of years of progress and numerous shifts in thinking about children, human relationships, societal roles, and legal responsibilities. The status of children has changed dramatically from the times when children were viewed as property and the payment of monies for their upkeep was grounded more in grace and generosity than legal duty. Today, children are viewed as individuals who, as full rights bearers and members of a group made vulnerable by dependency, age, and need, merit society’s full protection. This includes a call on the real resources of their parents, translated into a right to child support based on their parents’ actual incomes. The bedrock principles in </w:t>
      </w:r>
      <w:r w:rsidRPr="00F02C4A">
        <w:rPr>
          <w:rFonts w:cs="Times New Roman"/>
          <w:i/>
          <w:lang w:val="en-US"/>
        </w:rPr>
        <w:t>D.B.S.</w:t>
      </w:r>
      <w:r w:rsidRPr="00F02C4A">
        <w:rPr>
          <w:rFonts w:cs="Times New Roman"/>
          <w:lang w:val="en-US"/>
        </w:rPr>
        <w:t xml:space="preserve"> both captured and significantly solidified such thinking. </w:t>
      </w:r>
    </w:p>
    <w:p w:rsidR="00A27006" w:rsidRPr="00F02C4A" w:rsidRDefault="00A27006" w:rsidP="00A27006">
      <w:pPr>
        <w:pStyle w:val="ParaNoNdepar-AltN"/>
        <w:numPr>
          <w:ilvl w:val="0"/>
          <w:numId w:val="7"/>
        </w:numPr>
        <w:rPr>
          <w:rFonts w:cs="Times New Roman"/>
          <w:lang w:val="en-US"/>
        </w:rPr>
      </w:pPr>
      <w:r w:rsidRPr="00F02C4A">
        <w:rPr>
          <w:rFonts w:cs="Times New Roman"/>
          <w:lang w:val="en-US"/>
        </w:rPr>
        <w:t>When modern family law obligations took shape, it became essential to remove any vestige of the view that child support obligations were a lesser form of debt. A</w:t>
      </w:r>
      <w:r w:rsidRPr="00F02C4A">
        <w:rPr>
          <w:rFonts w:cs="Times New Roman"/>
        </w:rPr>
        <w:t>llowing variation applications for historical child support to be heard thus not only respects the language of s. 152, but also the very nature of the award sought. Unmet child support obligations, whether they are in the form of arrears or have not yet been judicially recognized, are “a valid debt that must be paid, similar to any other financial obligation”, regardless of whether the quantum is significant (N. Bakht et al., “</w:t>
      </w:r>
      <w:r w:rsidRPr="00F02C4A">
        <w:rPr>
          <w:rFonts w:cs="Times New Roman"/>
          <w:i/>
        </w:rPr>
        <w:t>D.B.S. v. S.G.R.</w:t>
      </w:r>
      <w:r w:rsidRPr="00F02C4A">
        <w:rPr>
          <w:rFonts w:cs="Times New Roman"/>
        </w:rPr>
        <w:t xml:space="preserve">: Promoting Women’s Equality through the Automatic Recalculation of Child Support” (2006), 18 </w:t>
      </w:r>
      <w:r w:rsidRPr="00F02C4A">
        <w:rPr>
          <w:rFonts w:cs="Times New Roman"/>
          <w:i/>
          <w:iCs/>
        </w:rPr>
        <w:t>C.J.W.L.</w:t>
      </w:r>
      <w:r w:rsidRPr="00F02C4A">
        <w:rPr>
          <w:rFonts w:cs="Times New Roman"/>
          <w:iCs/>
        </w:rPr>
        <w:t xml:space="preserve"> 535, at p. 550)</w:t>
      </w:r>
      <w:r w:rsidRPr="00F02C4A">
        <w:rPr>
          <w:rFonts w:cs="Times New Roman"/>
        </w:rPr>
        <w:t>. The obligation to support children is not contingent on notice by one party to the other of an intention to seek additional child support (</w:t>
      </w:r>
      <w:r w:rsidRPr="00F02C4A">
        <w:rPr>
          <w:rFonts w:cs="Times New Roman"/>
          <w:i/>
        </w:rPr>
        <w:t>MacMinn</w:t>
      </w:r>
      <w:r w:rsidRPr="00F02C4A">
        <w:rPr>
          <w:rFonts w:cs="Times New Roman"/>
        </w:rPr>
        <w:t xml:space="preserve">, at para. 15; </w:t>
      </w:r>
      <w:r w:rsidRPr="00F02C4A">
        <w:rPr>
          <w:rFonts w:cs="Times New Roman"/>
          <w:i/>
        </w:rPr>
        <w:t>Hunt v. Smolis-Hunt</w:t>
      </w:r>
      <w:r w:rsidRPr="00F02C4A">
        <w:rPr>
          <w:rFonts w:cs="Times New Roman"/>
        </w:rPr>
        <w:t xml:space="preserve">, 2001 ABCA 229, 97 Alta. L.R. (3d) 238, at paras. 17-18; </w:t>
      </w:r>
      <w:r w:rsidRPr="00F02C4A">
        <w:rPr>
          <w:rFonts w:cs="Times New Roman"/>
          <w:i/>
        </w:rPr>
        <w:t>Dahl v. Dahl</w:t>
      </w:r>
      <w:r w:rsidRPr="00F02C4A">
        <w:rPr>
          <w:rFonts w:cs="Times New Roman"/>
        </w:rPr>
        <w:t xml:space="preserve"> (1995), 178 A.R. 119 (C.A.), at para. 4; </w:t>
      </w:r>
      <w:r w:rsidR="00B25F65">
        <w:rPr>
          <w:rFonts w:cs="Times New Roman"/>
          <w:i/>
        </w:rPr>
        <w:t>S (L.)</w:t>
      </w:r>
      <w:r w:rsidRPr="00F02C4A">
        <w:rPr>
          <w:rFonts w:cs="Times New Roman"/>
          <w:i/>
        </w:rPr>
        <w:t xml:space="preserve"> v. P</w:t>
      </w:r>
      <w:r w:rsidRPr="00F02C4A">
        <w:rPr>
          <w:rFonts w:cs="Times New Roman"/>
        </w:rPr>
        <w:t>. (</w:t>
      </w:r>
      <w:r w:rsidRPr="00F02C4A">
        <w:rPr>
          <w:rFonts w:cs="Times New Roman"/>
          <w:i/>
        </w:rPr>
        <w:t>E.)</w:t>
      </w:r>
      <w:r w:rsidRPr="00F02C4A">
        <w:rPr>
          <w:rFonts w:cs="Times New Roman"/>
        </w:rPr>
        <w:t>,</w:t>
      </w:r>
      <w:r w:rsidRPr="00F02C4A">
        <w:rPr>
          <w:rFonts w:cs="Times New Roman"/>
          <w:i/>
        </w:rPr>
        <w:t xml:space="preserve"> </w:t>
      </w:r>
      <w:r w:rsidRPr="00F02C4A">
        <w:rPr>
          <w:rFonts w:cs="Times New Roman"/>
        </w:rPr>
        <w:t>at para. 55</w:t>
      </w:r>
      <w:r w:rsidR="00B25F65">
        <w:rPr>
          <w:rFonts w:cs="Times New Roman"/>
        </w:rPr>
        <w:t>)</w:t>
      </w:r>
      <w:r w:rsidRPr="00F02C4A">
        <w:rPr>
          <w:rFonts w:cs="Times New Roman"/>
        </w:rPr>
        <w:t xml:space="preserve">. Likewise, the fact that the obligation to pay child support is confirmed in a statute does not imply it is any less of a debt. </w:t>
      </w:r>
    </w:p>
    <w:p w:rsidR="00A27006" w:rsidRPr="00F02C4A" w:rsidRDefault="00A27006" w:rsidP="00A27006">
      <w:pPr>
        <w:pStyle w:val="ParaNoNdepar-AltN"/>
        <w:numPr>
          <w:ilvl w:val="0"/>
          <w:numId w:val="7"/>
        </w:numPr>
        <w:rPr>
          <w:rFonts w:cs="Times New Roman"/>
          <w:lang w:val="en-US"/>
        </w:rPr>
      </w:pPr>
      <w:r w:rsidRPr="00F02C4A">
        <w:rPr>
          <w:rFonts w:cs="Times New Roman"/>
        </w:rPr>
        <w:t xml:space="preserve">Further, the obligation to support one’s child exists irrespective of whether an action has been started by the recipient parent against the payor parent to enforce it, because child support is a continued obligation owed independently of any statute or court order. While a child support debt may be forgiven by a court, it remains true that such a debt is owed from the moment it ought to have accrued — no matter the length of the delay. </w:t>
      </w:r>
    </w:p>
    <w:p w:rsidR="00A27006" w:rsidRPr="00F02C4A" w:rsidRDefault="00A27006" w:rsidP="00A27006">
      <w:pPr>
        <w:pStyle w:val="ParaNoNdepar-AltN"/>
        <w:numPr>
          <w:ilvl w:val="0"/>
          <w:numId w:val="7"/>
        </w:numPr>
        <w:rPr>
          <w:rFonts w:cs="Times New Roman"/>
        </w:rPr>
      </w:pPr>
      <w:r w:rsidRPr="00F02C4A">
        <w:rPr>
          <w:rFonts w:cs="Times New Roman"/>
          <w:lang w:val="en-US"/>
        </w:rPr>
        <w:t xml:space="preserve">Before this Court, Ms. Michel argued against protecting </w:t>
      </w:r>
      <w:r w:rsidRPr="00F02C4A">
        <w:rPr>
          <w:rFonts w:cs="Times New Roman"/>
        </w:rPr>
        <w:t xml:space="preserve">payors who are deficient in their child support obligations by disallowing claims against them the moment their child becomes independent. </w:t>
      </w:r>
      <w:r w:rsidRPr="00F02C4A">
        <w:rPr>
          <w:rFonts w:cs="Times New Roman"/>
          <w:lang w:val="en-US"/>
        </w:rPr>
        <w:t>I agree. Any interpretation of s. 152 should support the modern understanding of child support and not encourage behavio</w:t>
      </w:r>
      <w:r w:rsidR="000F2F51">
        <w:rPr>
          <w:rFonts w:cs="Times New Roman"/>
          <w:lang w:val="en-US"/>
        </w:rPr>
        <w:t>u</w:t>
      </w:r>
      <w:r w:rsidRPr="00F02C4A">
        <w:rPr>
          <w:rFonts w:cs="Times New Roman"/>
          <w:lang w:val="en-US"/>
        </w:rPr>
        <w:t xml:space="preserve">r that undercuts its values, efficiency, or effectiveness. </w:t>
      </w:r>
      <w:r w:rsidRPr="00F02C4A">
        <w:rPr>
          <w:rFonts w:cs="Times New Roman"/>
          <w:i/>
          <w:lang w:val="en-US"/>
        </w:rPr>
        <w:t>D.B.S.</w:t>
      </w:r>
      <w:r w:rsidRPr="00F02C4A">
        <w:rPr>
          <w:rFonts w:cs="Times New Roman"/>
          <w:lang w:val="en-US"/>
        </w:rPr>
        <w:t xml:space="preserve"> makes clear that “[a]ny incentives for payor parents to be deficient in meeting their obligations should be eliminated” (para. 4). Thus, the court should not create a “perverse incentive” by granting “payor parents immunity after the children ceased to be children of the marriage”. As stated by Sharpe J.A. in </w:t>
      </w:r>
      <w:r w:rsidRPr="00F02C4A">
        <w:rPr>
          <w:rFonts w:cs="Times New Roman"/>
          <w:i/>
          <w:lang w:val="en-US"/>
        </w:rPr>
        <w:t>Colucci</w:t>
      </w:r>
      <w:r w:rsidRPr="00F02C4A">
        <w:rPr>
          <w:rFonts w:cs="Times New Roman"/>
          <w:lang w:val="en-US"/>
        </w:rPr>
        <w:t>:</w:t>
      </w:r>
    </w:p>
    <w:p w:rsidR="00A27006" w:rsidRPr="00F02C4A" w:rsidRDefault="00A27006" w:rsidP="00A27006">
      <w:pPr>
        <w:pStyle w:val="Citation-AltC"/>
        <w:rPr>
          <w:lang w:val="en-US"/>
        </w:rPr>
      </w:pPr>
      <w:r w:rsidRPr="00F02C4A">
        <w:rPr>
          <w:lang w:val="en-US"/>
        </w:rPr>
        <w:t>If the payor parent is to be absolved from responsibility once the children cease to be “children of the marriage”, the payor whose income increases might be encouraged not to respond to his or her increased obligations in the hope that the reciprocal spouse will delay making an application for a variation increasing support until the children lose their status to avoid opening the door to an i</w:t>
      </w:r>
      <w:r w:rsidR="00B25F65">
        <w:rPr>
          <w:lang w:val="en-US"/>
        </w:rPr>
        <w:t>ncreased obligation. [para. 26]</w:t>
      </w:r>
    </w:p>
    <w:p w:rsidR="00A27006" w:rsidRPr="00F02C4A" w:rsidRDefault="00A27006" w:rsidP="00A27006">
      <w:pPr>
        <w:pStyle w:val="ParaNoNdepar-AltN"/>
        <w:numPr>
          <w:ilvl w:val="0"/>
          <w:numId w:val="7"/>
        </w:numPr>
        <w:rPr>
          <w:rFonts w:cs="Times New Roman"/>
          <w:lang w:val="en-US"/>
        </w:rPr>
      </w:pPr>
      <w:r w:rsidRPr="00F02C4A">
        <w:rPr>
          <w:rFonts w:cs="Times New Roman"/>
          <w:lang w:val="en-US"/>
        </w:rPr>
        <w:t xml:space="preserve">An additional “perverse incentive” is that the bar on applications for historical child support may also have the effect of discouraging negotiations between parents. As Pentelechuk J.A. points out in </w:t>
      </w:r>
      <w:r w:rsidRPr="00F02C4A">
        <w:rPr>
          <w:rFonts w:cs="Times New Roman"/>
          <w:i/>
          <w:lang w:val="en-US"/>
        </w:rPr>
        <w:t>Brear</w:t>
      </w:r>
      <w:r w:rsidRPr="00F02C4A">
        <w:rPr>
          <w:rFonts w:cs="Times New Roman"/>
          <w:lang w:val="en-US"/>
        </w:rPr>
        <w:t xml:space="preserve">, custodians wise to the legal effects of a bar might cut negotiations short of an agreement and file an application in order to secure the courts’ jurisdiction prior to their child ceasing to be a child of the marriage (para. 60). </w:t>
      </w:r>
    </w:p>
    <w:p w:rsidR="00A27006" w:rsidRPr="00F02C4A" w:rsidRDefault="00A27006" w:rsidP="00A27006">
      <w:pPr>
        <w:pStyle w:val="ParaNoNdepar-AltN"/>
        <w:numPr>
          <w:ilvl w:val="0"/>
          <w:numId w:val="7"/>
        </w:numPr>
        <w:rPr>
          <w:rFonts w:cs="Times New Roman"/>
          <w:lang w:val="en-US"/>
        </w:rPr>
      </w:pPr>
      <w:r w:rsidRPr="00F02C4A">
        <w:rPr>
          <w:rFonts w:cs="Times New Roman"/>
          <w:lang w:val="en-US"/>
        </w:rPr>
        <w:t xml:space="preserve">In a legal system which takes seriously that child support is an ongoing obligation throughout the child’s life and that retroactive claims are for amounts owed and unpaid, it is difficult to see why s. 152 of the </w:t>
      </w:r>
      <w:r w:rsidRPr="00F02C4A">
        <w:rPr>
          <w:rFonts w:cs="Times New Roman"/>
          <w:i/>
          <w:lang w:val="en-US"/>
        </w:rPr>
        <w:t>Family Law Act</w:t>
      </w:r>
      <w:r w:rsidRPr="00F02C4A">
        <w:rPr>
          <w:rFonts w:cs="Times New Roman"/>
          <w:lang w:val="en-US"/>
        </w:rPr>
        <w:t xml:space="preserve"> should be read to wipe out debts to children.</w:t>
      </w:r>
      <w:r w:rsidRPr="00F02C4A">
        <w:rPr>
          <w:rFonts w:cs="Times New Roman"/>
          <w:i/>
          <w:lang w:val="en-US"/>
        </w:rPr>
        <w:t xml:space="preserve"> </w:t>
      </w:r>
      <w:r w:rsidRPr="00F02C4A">
        <w:rPr>
          <w:rFonts w:cs="Times New Roman"/>
          <w:lang w:val="en-US"/>
        </w:rPr>
        <w:t>A jurisdictional bar produces a strong disincentive to the payment of child support, which is contrary to the objectives and purposes of child support and goes against a fair, large, and liberal construction of s. 152.</w:t>
      </w:r>
    </w:p>
    <w:p w:rsidR="00A27006" w:rsidRPr="00F02C4A" w:rsidRDefault="00A27006" w:rsidP="00A27006">
      <w:pPr>
        <w:pStyle w:val="Title3LevelTitre3Niveau"/>
        <w:rPr>
          <w:rFonts w:cs="Times New Roman"/>
          <w:lang w:val="en-US"/>
        </w:rPr>
      </w:pPr>
      <w:bookmarkStart w:id="43" w:name="_Toc38610221"/>
      <w:bookmarkStart w:id="44" w:name="_Toc46428244"/>
      <w:bookmarkStart w:id="45" w:name="_Toc48626818"/>
      <w:r w:rsidRPr="00F02C4A">
        <w:rPr>
          <w:rFonts w:cs="Times New Roman"/>
          <w:lang w:val="en-US"/>
        </w:rPr>
        <w:t xml:space="preserve">Understanding the </w:t>
      </w:r>
      <w:r w:rsidRPr="00F02C4A">
        <w:rPr>
          <w:rFonts w:cs="Times New Roman"/>
        </w:rPr>
        <w:t>Reasons</w:t>
      </w:r>
      <w:r w:rsidRPr="00F02C4A">
        <w:rPr>
          <w:rFonts w:cs="Times New Roman"/>
          <w:lang w:val="en-US"/>
        </w:rPr>
        <w:t xml:space="preserve"> for Delay</w:t>
      </w:r>
      <w:bookmarkEnd w:id="43"/>
      <w:bookmarkEnd w:id="44"/>
      <w:bookmarkEnd w:id="45"/>
    </w:p>
    <w:p w:rsidR="00A27006" w:rsidRPr="00F02C4A" w:rsidRDefault="00A27006" w:rsidP="00A27006">
      <w:pPr>
        <w:pStyle w:val="ParaNoNdepar-AltN"/>
        <w:numPr>
          <w:ilvl w:val="0"/>
          <w:numId w:val="7"/>
        </w:numPr>
        <w:rPr>
          <w:rFonts w:cs="Times New Roman"/>
        </w:rPr>
      </w:pPr>
      <w:r w:rsidRPr="00F02C4A">
        <w:rPr>
          <w:rFonts w:cs="Times New Roman"/>
        </w:rPr>
        <w:t>In many cases the consequences of an absolute bar may be more than perverse: they may become punitive. Developments in case law and social science research have shown a multitude of reasons that may justify a parent’s decision to delay seeking or varying an order for child support or which may prevent the parent from seeking such an order earlier. Understanding more clearly why applications for child support come to courts delayed, whether as claims for arrears, retroactive, or historical child support, is part of the contextual and purposive interpretation of s. 152 or any provision dealing with historical child support. Not only that, this understanding also provides insight into where the best interests of children who are owed historical child support may lie.</w:t>
      </w:r>
    </w:p>
    <w:p w:rsidR="00A27006" w:rsidRPr="00F02C4A" w:rsidRDefault="00A27006" w:rsidP="00A27006">
      <w:pPr>
        <w:pStyle w:val="ParaNoNdepar-AltN"/>
        <w:numPr>
          <w:ilvl w:val="0"/>
          <w:numId w:val="7"/>
        </w:numPr>
        <w:rPr>
          <w:rFonts w:cs="Times New Roman"/>
        </w:rPr>
      </w:pPr>
      <w:r w:rsidRPr="00F02C4A">
        <w:rPr>
          <w:rFonts w:cs="Times New Roman"/>
        </w:rPr>
        <w:t xml:space="preserve">In the case at bar, the trial judge accepted Ms. Michel’s evidence that she did not apply for retroactive support because she had suffered a severe injury, because her right to support was assigned to the Minister, and because she was afraid to raise these concerns with the respondent, Mr. Graydon (B.C. Prov. Ct., Port Coquitlam, File No. F3319, September 26, 2016). Ms. Michel also alleged domestic violence but the trial judge made no findings of fact in that regard. </w:t>
      </w:r>
    </w:p>
    <w:p w:rsidR="00A27006" w:rsidRPr="00F02C4A" w:rsidRDefault="00A27006" w:rsidP="00A27006">
      <w:pPr>
        <w:pStyle w:val="ParaNoNdepar-AltN"/>
        <w:numPr>
          <w:ilvl w:val="0"/>
          <w:numId w:val="7"/>
        </w:numPr>
        <w:rPr>
          <w:rFonts w:cs="Times New Roman"/>
        </w:rPr>
      </w:pPr>
      <w:bookmarkStart w:id="46" w:name="_Ref46420777"/>
      <w:r w:rsidRPr="00F02C4A">
        <w:rPr>
          <w:rFonts w:cs="Times New Roman"/>
        </w:rPr>
        <w:t>Jurisprudence similarly shows a vast array of reasons that courts have accepted as justifying a delayed application for child support:</w:t>
      </w:r>
      <w:r w:rsidR="00CB22B1">
        <w:rPr>
          <w:rStyle w:val="FootnoteReference"/>
          <w:rFonts w:cs="Times New Roman"/>
        </w:rPr>
        <w:footnoteReference w:id="2"/>
      </w:r>
      <w:r w:rsidRPr="00F02C4A">
        <w:rPr>
          <w:rFonts w:cs="Times New Roman"/>
        </w:rPr>
        <w:t xml:space="preserve"> fear of reprisal/violence from the payor parent;</w:t>
      </w:r>
      <w:r w:rsidR="006B380E">
        <w:rPr>
          <w:rStyle w:val="FootnoteReference"/>
          <w:rFonts w:cs="Times New Roman"/>
        </w:rPr>
        <w:footnoteReference w:id="3"/>
      </w:r>
      <w:r w:rsidRPr="00F02C4A">
        <w:rPr>
          <w:rFonts w:cs="Times New Roman"/>
        </w:rPr>
        <w:t xml:space="preserve"> prohibitive costs of litigation or fear of protracted litigation;</w:t>
      </w:r>
      <w:r w:rsidR="006B380E">
        <w:rPr>
          <w:rStyle w:val="FootnoteReference"/>
          <w:rFonts w:cs="Times New Roman"/>
        </w:rPr>
        <w:footnoteReference w:id="4"/>
      </w:r>
      <w:r w:rsidRPr="00F02C4A">
        <w:rPr>
          <w:rFonts w:cs="Times New Roman"/>
        </w:rPr>
        <w:t xml:space="preserve"> lack of information or misinformation over the payor parent’s income;</w:t>
      </w:r>
      <w:r w:rsidR="006B380E">
        <w:rPr>
          <w:rStyle w:val="FootnoteReference"/>
          <w:rFonts w:cs="Times New Roman"/>
        </w:rPr>
        <w:footnoteReference w:id="5"/>
      </w:r>
      <w:r w:rsidRPr="00F02C4A">
        <w:rPr>
          <w:rFonts w:cs="Times New Roman"/>
        </w:rPr>
        <w:t xml:space="preserve"> fear of counter-application for custody;</w:t>
      </w:r>
      <w:r w:rsidR="006B380E">
        <w:rPr>
          <w:rStyle w:val="FootnoteReference"/>
          <w:rFonts w:cs="Times New Roman"/>
        </w:rPr>
        <w:footnoteReference w:id="6"/>
      </w:r>
      <w:r w:rsidRPr="00F02C4A">
        <w:rPr>
          <w:rFonts w:cs="Times New Roman"/>
        </w:rPr>
        <w:t xml:space="preserve"> the payor leaving the jurisdiction or recipient unable to contact payor;</w:t>
      </w:r>
      <w:r w:rsidR="006B380E">
        <w:rPr>
          <w:rStyle w:val="FootnoteReference"/>
          <w:rFonts w:cs="Times New Roman"/>
        </w:rPr>
        <w:footnoteReference w:id="7"/>
      </w:r>
      <w:r w:rsidRPr="00F02C4A">
        <w:rPr>
          <w:rFonts w:cs="Times New Roman"/>
        </w:rPr>
        <w:t xml:space="preserve"> illness/disability of a child or the custodian;</w:t>
      </w:r>
      <w:r w:rsidR="006B380E">
        <w:rPr>
          <w:rStyle w:val="FootnoteReference"/>
          <w:rFonts w:cs="Times New Roman"/>
        </w:rPr>
        <w:footnoteReference w:id="8"/>
      </w:r>
      <w:r w:rsidRPr="00F02C4A">
        <w:rPr>
          <w:rFonts w:cs="Times New Roman"/>
        </w:rPr>
        <w:t xml:space="preserve"> lack of emotional means;</w:t>
      </w:r>
      <w:r w:rsidR="006B380E">
        <w:rPr>
          <w:rStyle w:val="FootnoteReference"/>
          <w:rFonts w:cs="Times New Roman"/>
        </w:rPr>
        <w:footnoteReference w:id="9"/>
      </w:r>
      <w:r w:rsidRPr="00F02C4A">
        <w:rPr>
          <w:rFonts w:cs="Times New Roman"/>
        </w:rPr>
        <w:t xml:space="preserve"> wanting the child and the payor to maintain a positive relationship or avoid the child’s involvement;</w:t>
      </w:r>
      <w:r w:rsidR="006B380E">
        <w:rPr>
          <w:rStyle w:val="FootnoteReference"/>
          <w:rFonts w:cs="Times New Roman"/>
        </w:rPr>
        <w:footnoteReference w:id="10"/>
      </w:r>
      <w:r w:rsidRPr="00F02C4A">
        <w:rPr>
          <w:rFonts w:cs="Times New Roman"/>
        </w:rPr>
        <w:t xml:space="preserve"> ongoing discussions in view of reconciliation, settlement negotiations, or mediation;</w:t>
      </w:r>
      <w:r w:rsidR="006B380E">
        <w:rPr>
          <w:rStyle w:val="FootnoteReference"/>
          <w:rFonts w:cs="Times New Roman"/>
        </w:rPr>
        <w:footnoteReference w:id="11"/>
      </w:r>
      <w:r w:rsidRPr="00F02C4A">
        <w:rPr>
          <w:rFonts w:cs="Times New Roman"/>
        </w:rPr>
        <w:t xml:space="preserve"> and the deliberate delay of the application or the trial by the payor.</w:t>
      </w:r>
      <w:bookmarkEnd w:id="46"/>
      <w:r w:rsidR="006B380E">
        <w:rPr>
          <w:rStyle w:val="FootnoteReference"/>
          <w:rFonts w:cs="Times New Roman"/>
        </w:rPr>
        <w:footnoteReference w:id="12"/>
      </w:r>
    </w:p>
    <w:p w:rsidR="00A27006" w:rsidRPr="00F02C4A" w:rsidRDefault="00A27006" w:rsidP="00A27006">
      <w:pPr>
        <w:pStyle w:val="ParaNoNdepar-AltN"/>
        <w:numPr>
          <w:ilvl w:val="0"/>
          <w:numId w:val="7"/>
        </w:numPr>
        <w:rPr>
          <w:rFonts w:cs="Times New Roman"/>
        </w:rPr>
      </w:pPr>
      <w:r w:rsidRPr="00F02C4A">
        <w:rPr>
          <w:rFonts w:cs="Times New Roman"/>
        </w:rPr>
        <w:t>These cases bring two different notions to mind: on the one hand, impracticability and inaccessible justice; and on the other, fear and danger. In neither case should claimants be barred from having their applications heard. In the second type of case, custodians who have been victims of domestic violence by the payor may be fearful of asking for support or increased support and may decide to wait prior to bringing an application (</w:t>
      </w:r>
      <w:r w:rsidRPr="00F02C4A">
        <w:rPr>
          <w:rFonts w:cs="Times New Roman"/>
          <w:i/>
        </w:rPr>
        <w:t>C.B.E. v. J.A.E.</w:t>
      </w:r>
      <w:r w:rsidRPr="00F02C4A">
        <w:rPr>
          <w:rFonts w:cs="Times New Roman"/>
        </w:rPr>
        <w:t>, at para. 36</w:t>
      </w:r>
      <w:r w:rsidR="009352AF">
        <w:rPr>
          <w:rFonts w:cs="Times New Roman"/>
        </w:rPr>
        <w:t xml:space="preserve"> (CanLII)</w:t>
      </w:r>
      <w:r w:rsidRPr="00F02C4A">
        <w:rPr>
          <w:rFonts w:cs="Times New Roman"/>
        </w:rPr>
        <w:t xml:space="preserve">). Studies have shown that “many, if not most, battered women will want to pursue child support if they can do so without increased risk to themselves or their children” (A. Menard and V. Turetsky, “Child Support Enforcement and Domestic Violence” (1999), 50 </w:t>
      </w:r>
      <w:r w:rsidRPr="00F02C4A">
        <w:rPr>
          <w:rFonts w:cs="Times New Roman"/>
          <w:i/>
        </w:rPr>
        <w:t>Juv. Fam. Court J.</w:t>
      </w:r>
      <w:r w:rsidRPr="00F02C4A">
        <w:rPr>
          <w:rFonts w:cs="Times New Roman"/>
        </w:rPr>
        <w:t xml:space="preserve"> 27, </w:t>
      </w:r>
      <w:r>
        <w:rPr>
          <w:rFonts w:cs="Times New Roman"/>
        </w:rPr>
        <w:t xml:space="preserve">at </w:t>
      </w:r>
      <w:r w:rsidRPr="00F02C4A">
        <w:rPr>
          <w:rFonts w:cs="Times New Roman"/>
        </w:rPr>
        <w:t xml:space="preserve">p. 27). </w:t>
      </w:r>
    </w:p>
    <w:p w:rsidR="00A27006" w:rsidRPr="00F02C4A" w:rsidRDefault="00A27006" w:rsidP="00A27006">
      <w:pPr>
        <w:pStyle w:val="ParaNoNdepar-AltN"/>
        <w:numPr>
          <w:ilvl w:val="0"/>
          <w:numId w:val="7"/>
        </w:numPr>
        <w:rPr>
          <w:rFonts w:cs="Times New Roman"/>
        </w:rPr>
      </w:pPr>
      <w:r w:rsidRPr="00F02C4A">
        <w:rPr>
          <w:rFonts w:cs="Times New Roman"/>
        </w:rPr>
        <w:t>It is generally a good idea to seek child support as soon as practicable, but it is unfair to bar parents from applying for the financial support they are due because they put their safety and that of their children ahead of their financial needs or because they could not access justice earlier. Remember, “courts are not to be discouraged from defending the rights of children when they have the opportunity to do so” (</w:t>
      </w:r>
      <w:r w:rsidRPr="00F02C4A">
        <w:rPr>
          <w:rFonts w:cs="Times New Roman"/>
          <w:i/>
        </w:rPr>
        <w:t>D.B.S.</w:t>
      </w:r>
      <w:r w:rsidRPr="00F02C4A">
        <w:rPr>
          <w:rFonts w:cs="Times New Roman"/>
        </w:rPr>
        <w:t xml:space="preserve">, at para. 60) and this requires taking into account the realities of those recipient parents for whom it is impossible, impracticable, or unsafe to apply for child support without some delay. To read s. 152 of the </w:t>
      </w:r>
      <w:r w:rsidRPr="00F02C4A">
        <w:rPr>
          <w:rFonts w:cs="Times New Roman"/>
          <w:i/>
        </w:rPr>
        <w:t>Family Law Act</w:t>
      </w:r>
      <w:r w:rsidRPr="00F02C4A">
        <w:rPr>
          <w:rFonts w:cs="Times New Roman"/>
        </w:rPr>
        <w:t xml:space="preserve"> as creating a jurisdictional bar fails to take these important realities into account. This is not only problematic, but curious: courts are required under the </w:t>
      </w:r>
      <w:r w:rsidRPr="00F02C4A">
        <w:rPr>
          <w:rFonts w:cs="Times New Roman"/>
          <w:i/>
        </w:rPr>
        <w:t>D.B.S.</w:t>
      </w:r>
      <w:r w:rsidRPr="00F02C4A">
        <w:rPr>
          <w:rFonts w:cs="Times New Roman"/>
        </w:rPr>
        <w:t xml:space="preserve"> factors to consider the reasons for the delay and these very same realities when determining whether an award should be made and its amount. The better and more theoretically-consistent approach is to allow the reasons for delay to inform both whether a variation application may be heard under s. 152 as well as whether it should be granted or dismissed. </w:t>
      </w:r>
    </w:p>
    <w:p w:rsidR="00A27006" w:rsidRPr="00F02C4A" w:rsidRDefault="00A27006" w:rsidP="00A27006">
      <w:pPr>
        <w:pStyle w:val="Title3LevelTitre3Niveau"/>
        <w:rPr>
          <w:rFonts w:cs="Times New Roman"/>
        </w:rPr>
      </w:pPr>
      <w:bookmarkStart w:id="47" w:name="_Toc38610222"/>
      <w:bookmarkStart w:id="48" w:name="_Toc46428245"/>
      <w:bookmarkStart w:id="49" w:name="_Toc48626819"/>
      <w:r w:rsidRPr="00F02C4A">
        <w:rPr>
          <w:rFonts w:cs="Times New Roman"/>
        </w:rPr>
        <w:t>Relationship Between Child Support and Poverty</w:t>
      </w:r>
      <w:bookmarkEnd w:id="47"/>
      <w:bookmarkEnd w:id="48"/>
      <w:bookmarkEnd w:id="49"/>
      <w:r w:rsidRPr="00F02C4A">
        <w:rPr>
          <w:rFonts w:cs="Times New Roman"/>
        </w:rPr>
        <w:t xml:space="preserve"> </w:t>
      </w:r>
    </w:p>
    <w:p w:rsidR="00A27006" w:rsidRPr="00F02C4A" w:rsidRDefault="00A27006" w:rsidP="00A27006">
      <w:pPr>
        <w:pStyle w:val="ParaNoNdepar-AltN"/>
        <w:numPr>
          <w:ilvl w:val="0"/>
          <w:numId w:val="7"/>
        </w:numPr>
        <w:rPr>
          <w:rFonts w:cs="Times New Roman"/>
          <w:szCs w:val="24"/>
          <w:lang w:val="en-US"/>
        </w:rPr>
      </w:pPr>
      <w:r w:rsidRPr="00F02C4A">
        <w:rPr>
          <w:rFonts w:cs="Times New Roman"/>
        </w:rPr>
        <w:t xml:space="preserve">A decision preventing historical claims for child support under s. 152 of the </w:t>
      </w:r>
      <w:r w:rsidRPr="00F02C4A">
        <w:rPr>
          <w:rFonts w:cs="Times New Roman"/>
          <w:i/>
        </w:rPr>
        <w:t>Family Law Act</w:t>
      </w:r>
      <w:r w:rsidRPr="00F02C4A">
        <w:rPr>
          <w:rFonts w:cs="Times New Roman"/>
        </w:rPr>
        <w:t xml:space="preserve"> also ignores how family law calls for an approach that takes into account the broader social framework in which family dynamics operate (</w:t>
      </w:r>
      <w:r w:rsidRPr="00F02C4A">
        <w:rPr>
          <w:rFonts w:cs="Times New Roman"/>
          <w:i/>
          <w:iCs/>
        </w:rPr>
        <w:t>Moge v. Moge</w:t>
      </w:r>
      <w:r w:rsidRPr="00F02C4A">
        <w:rPr>
          <w:rFonts w:cs="Times New Roman"/>
        </w:rPr>
        <w:t>, [1992] 3 S.C</w:t>
      </w:r>
      <w:r>
        <w:rPr>
          <w:rFonts w:cs="Times New Roman"/>
        </w:rPr>
        <w:t>.R. 813, at p. 853</w:t>
      </w:r>
      <w:r w:rsidRPr="00F02C4A">
        <w:rPr>
          <w:rFonts w:cs="Times New Roman"/>
        </w:rPr>
        <w:t xml:space="preserve">; </w:t>
      </w:r>
      <w:r w:rsidRPr="00F02C4A">
        <w:rPr>
          <w:rFonts w:cs="Times New Roman"/>
          <w:i/>
          <w:iCs/>
        </w:rPr>
        <w:t>Bracklow v. Bracklow</w:t>
      </w:r>
      <w:r w:rsidRPr="00F02C4A">
        <w:rPr>
          <w:rFonts w:cs="Times New Roman"/>
        </w:rPr>
        <w:t>, [1999] 1 S.C.R. 420, at paras. 15-23</w:t>
      </w:r>
      <w:r>
        <w:rPr>
          <w:rFonts w:cs="Times New Roman"/>
        </w:rPr>
        <w:t xml:space="preserve">; </w:t>
      </w:r>
      <w:r w:rsidRPr="00F02C4A">
        <w:rPr>
          <w:rFonts w:cs="Times New Roman"/>
          <w:i/>
          <w:iCs/>
        </w:rPr>
        <w:t>Miglin v. Miglin</w:t>
      </w:r>
      <w:r w:rsidRPr="00F02C4A">
        <w:rPr>
          <w:rFonts w:cs="Times New Roman"/>
        </w:rPr>
        <w:t xml:space="preserve">, 2003 SCC 24, [2003] 1 S.C.R. 303, at para. 204; </w:t>
      </w:r>
      <w:r w:rsidRPr="00F02C4A">
        <w:rPr>
          <w:rFonts w:cs="Times New Roman"/>
          <w:i/>
        </w:rPr>
        <w:t>Rick v. Brandsema</w:t>
      </w:r>
      <w:r w:rsidRPr="00F02C4A">
        <w:rPr>
          <w:rFonts w:cs="Times New Roman"/>
        </w:rPr>
        <w:t xml:space="preserve">, 2009 SCC 10, [2009] 1 S.C.R. 295, at para. 41). </w:t>
      </w:r>
    </w:p>
    <w:p w:rsidR="00A27006" w:rsidRPr="00F02C4A" w:rsidRDefault="00A27006" w:rsidP="00A27006">
      <w:pPr>
        <w:pStyle w:val="ParaNoNdepar-AltN"/>
        <w:numPr>
          <w:ilvl w:val="0"/>
          <w:numId w:val="7"/>
        </w:numPr>
        <w:spacing w:after="240"/>
        <w:rPr>
          <w:rFonts w:cs="Times New Roman"/>
          <w:szCs w:val="24"/>
          <w:lang w:val="en-US"/>
        </w:rPr>
      </w:pPr>
      <w:r w:rsidRPr="00F02C4A">
        <w:rPr>
          <w:rFonts w:cs="Times New Roman"/>
        </w:rPr>
        <w:t>In 1994, this Court took judicial notice of “the significant level of poverty amongst children in single parent families and the failure of courts to contemplate hidden costs in their calculation of child support awards” (</w:t>
      </w:r>
      <w:r w:rsidRPr="00F02C4A">
        <w:rPr>
          <w:rFonts w:cs="Times New Roman"/>
          <w:i/>
          <w:iCs/>
        </w:rPr>
        <w:t>Willick</w:t>
      </w:r>
      <w:r w:rsidRPr="00F02C4A">
        <w:rPr>
          <w:rFonts w:cs="Times New Roman"/>
        </w:rPr>
        <w:t xml:space="preserve">, at p. 704), and in 1995 that: </w:t>
      </w:r>
    </w:p>
    <w:p w:rsidR="00A27006" w:rsidRPr="00F02C4A" w:rsidRDefault="00A27006" w:rsidP="005D179A">
      <w:pPr>
        <w:pStyle w:val="Citation-AltC"/>
        <w:spacing w:after="480"/>
        <w:contextualSpacing w:val="0"/>
      </w:pPr>
      <w:r w:rsidRPr="00F02C4A">
        <w:t>Separated or divorced custodial parents as heads of single-parent families confront economic, social and personal difficulties not faced by non-custodial parents or those in two-parent families. Several studies in Canada and abroad indicate that the standard of living of the custodial parent and the children is significantly reduced following a divorce, whereas the standard of living of the non-custodial parent increases following the divorce.</w:t>
      </w:r>
    </w:p>
    <w:p w:rsidR="00A27006" w:rsidRPr="00F02C4A" w:rsidRDefault="00A27006" w:rsidP="005D179A">
      <w:pPr>
        <w:pStyle w:val="Citation-AltC"/>
        <w:ind w:left="0"/>
      </w:pPr>
      <w:r w:rsidRPr="00F02C4A">
        <w:rPr>
          <w:iCs/>
        </w:rPr>
        <w:t>(</w:t>
      </w:r>
      <w:r w:rsidRPr="00F02C4A">
        <w:rPr>
          <w:i/>
          <w:iCs/>
        </w:rPr>
        <w:t>Thibaudeau v. Canada</w:t>
      </w:r>
      <w:r w:rsidR="005D179A">
        <w:t>, [1995] 2 S.C.R. 627, at para. 208</w:t>
      </w:r>
      <w:r w:rsidRPr="00F02C4A">
        <w:t>)</w:t>
      </w:r>
    </w:p>
    <w:p w:rsidR="00A27006" w:rsidRPr="00F02C4A" w:rsidRDefault="00A27006" w:rsidP="00A27006">
      <w:pPr>
        <w:pStyle w:val="ParaNoNdepar-AltN"/>
        <w:numPr>
          <w:ilvl w:val="0"/>
          <w:numId w:val="7"/>
        </w:numPr>
        <w:rPr>
          <w:rFonts w:cs="Times New Roman"/>
        </w:rPr>
      </w:pPr>
      <w:r w:rsidRPr="00F02C4A">
        <w:rPr>
          <w:rFonts w:cs="Times New Roman"/>
        </w:rPr>
        <w:t>Three decades later, it remains true that gender roles, divorce, separation, and lone parenthood contribute to child poverty and place a disproportionate burden on women. A bar against applications for historical child support means children have gone without their due, and the law provides no remedy for the hardship this has created for the children and their caregivers, most of whom are still women.</w:t>
      </w:r>
    </w:p>
    <w:p w:rsidR="00A27006" w:rsidRPr="00F02C4A" w:rsidRDefault="00A27006" w:rsidP="00A27006">
      <w:pPr>
        <w:pStyle w:val="ParaNoNdepar-AltN"/>
        <w:numPr>
          <w:ilvl w:val="0"/>
          <w:numId w:val="7"/>
        </w:numPr>
        <w:autoSpaceDE w:val="0"/>
        <w:autoSpaceDN w:val="0"/>
        <w:snapToGrid w:val="0"/>
        <w:rPr>
          <w:rFonts w:cs="Times New Roman"/>
          <w:lang w:val="x-none"/>
        </w:rPr>
      </w:pPr>
      <w:r w:rsidRPr="00F02C4A">
        <w:rPr>
          <w:rFonts w:cs="Times New Roman"/>
        </w:rPr>
        <w:t xml:space="preserve">The evidence in this case provides but one example of what happens when child support remains unpaid. </w:t>
      </w:r>
      <w:r w:rsidRPr="00F02C4A">
        <w:rPr>
          <w:rFonts w:cs="Times New Roman"/>
          <w:lang w:val="x-none"/>
        </w:rPr>
        <w:t>Ms. Michel</w:t>
      </w:r>
      <w:r w:rsidRPr="00F02C4A">
        <w:rPr>
          <w:rFonts w:cs="Times New Roman"/>
        </w:rPr>
        <w:t xml:space="preserve"> explained how</w:t>
      </w:r>
      <w:r w:rsidRPr="00F02C4A">
        <w:rPr>
          <w:rFonts w:cs="Times New Roman"/>
          <w:lang w:val="x-none"/>
        </w:rPr>
        <w:t xml:space="preserve"> she did her best as a single mother who, at times, required disability income assistance. She spoke to the difficulties she faced providing for </w:t>
      </w:r>
      <w:r w:rsidRPr="00F02C4A">
        <w:rPr>
          <w:rFonts w:cs="Times New Roman"/>
        </w:rPr>
        <w:t xml:space="preserve">her child </w:t>
      </w:r>
      <w:r w:rsidRPr="00F02C4A">
        <w:rPr>
          <w:rFonts w:cs="Times New Roman"/>
          <w:lang w:val="x-none"/>
        </w:rPr>
        <w:t>without receiving adequate child suppor</w:t>
      </w:r>
      <w:r w:rsidRPr="00F02C4A">
        <w:rPr>
          <w:rFonts w:cs="Times New Roman"/>
        </w:rPr>
        <w:t>t based on Mr. Graydon’s actual income</w:t>
      </w:r>
      <w:r w:rsidRPr="00F02C4A">
        <w:rPr>
          <w:rFonts w:cs="Times New Roman"/>
          <w:lang w:val="x-none"/>
        </w:rPr>
        <w:t>:</w:t>
      </w:r>
    </w:p>
    <w:p w:rsidR="00A27006" w:rsidRPr="00F02C4A" w:rsidRDefault="00A27006" w:rsidP="00E825D5">
      <w:pPr>
        <w:pStyle w:val="Citation-AltC"/>
        <w:spacing w:after="480"/>
        <w:contextualSpacing w:val="0"/>
      </w:pPr>
      <w:r w:rsidRPr="00F02C4A">
        <w:rPr>
          <w:lang w:val="en-US"/>
        </w:rPr>
        <w:t xml:space="preserve">. . . </w:t>
      </w:r>
      <w:r w:rsidRPr="00F02C4A">
        <w:t xml:space="preserve">but when he was lacking in supporting and not contributing the — in accordance to his income, I was the one who paid and supported and found ways to entertain our child and, you know, whether it was calling people and purchasing items from Value Village or </w:t>
      </w:r>
      <w:r w:rsidR="00E825D5">
        <w:t>whatever, it is me who provided.</w:t>
      </w:r>
    </w:p>
    <w:p w:rsidR="00A27006" w:rsidRPr="00F02C4A" w:rsidRDefault="00A27006" w:rsidP="00E825D5">
      <w:pPr>
        <w:pStyle w:val="Citation-AltC"/>
        <w:ind w:left="0"/>
      </w:pPr>
      <w:r w:rsidRPr="00F02C4A">
        <w:t>(Transcript of proceedings before Smith J., reproduced in A.R., at p. 157</w:t>
      </w:r>
      <w:r w:rsidR="009352AF">
        <w:t>.</w:t>
      </w:r>
      <w:r w:rsidRPr="00F02C4A">
        <w:t>)</w:t>
      </w:r>
    </w:p>
    <w:p w:rsidR="00A27006" w:rsidRPr="00F02C4A" w:rsidRDefault="00A27006" w:rsidP="00A27006">
      <w:pPr>
        <w:pStyle w:val="ParaNoNdepar-AltN"/>
        <w:numPr>
          <w:ilvl w:val="0"/>
          <w:numId w:val="7"/>
        </w:numPr>
        <w:autoSpaceDE w:val="0"/>
        <w:autoSpaceDN w:val="0"/>
        <w:snapToGrid w:val="0"/>
        <w:rPr>
          <w:rFonts w:cs="Times New Roman"/>
        </w:rPr>
      </w:pPr>
      <w:r w:rsidRPr="00F02C4A">
        <w:rPr>
          <w:rFonts w:cs="Times New Roman"/>
        </w:rPr>
        <w:t xml:space="preserve">The daughter spoke of the situation for her mother and herself: </w:t>
      </w:r>
    </w:p>
    <w:p w:rsidR="00A27006" w:rsidRPr="00F02C4A" w:rsidRDefault="00A27006" w:rsidP="00A27006">
      <w:pPr>
        <w:pStyle w:val="Citation-AltC"/>
      </w:pPr>
      <w:r w:rsidRPr="00F02C4A">
        <w:t xml:space="preserve">When a young woman is below the poverty line and is being under supported by her co-parent, where is she going to find money for daycare to go out and work a “9-5” job? Where is she going to find the money to put her child in extra activities? How could she possibly be expected to provide any more than her child’s basic needs? I grew up thinking that I did not deserve “extra”. My Dad would drop me off and refer to my childhood neighbourhood as the “ghetto”. </w:t>
      </w:r>
    </w:p>
    <w:p w:rsidR="00A27006" w:rsidRPr="00F02C4A" w:rsidRDefault="00A27006" w:rsidP="00A27006">
      <w:pPr>
        <w:pStyle w:val="Citation-AltC"/>
      </w:pPr>
    </w:p>
    <w:p w:rsidR="00E825D5" w:rsidRPr="00F02C4A" w:rsidRDefault="00A27006" w:rsidP="00E825D5">
      <w:pPr>
        <w:pStyle w:val="Citation-AltC"/>
        <w:spacing w:after="480"/>
        <w:contextualSpacing w:val="0"/>
      </w:pPr>
      <w:r w:rsidRPr="00F02C4A">
        <w:t xml:space="preserve">Eventually my Dad and step-Mom started a family of their own in a nice house, white picket fence and all. I still lived in “the ghetto”. I listened to stories about how unlike me, my future siblings would play sports, learn to swim, </w:t>
      </w:r>
      <w:r w:rsidR="00E825D5">
        <w:t>learn whatever they wanted. It’s not that I wasn’t interested, I just didn’</w:t>
      </w:r>
      <w:r w:rsidRPr="00F02C4A">
        <w:t xml:space="preserve">t deserve “extra”. </w:t>
      </w:r>
    </w:p>
    <w:p w:rsidR="00A27006" w:rsidRPr="00F02C4A" w:rsidRDefault="00A27006" w:rsidP="00E825D5">
      <w:pPr>
        <w:pStyle w:val="Citation-AltC"/>
        <w:ind w:left="0"/>
      </w:pPr>
      <w:r w:rsidRPr="00F02C4A">
        <w:t>(Letter from A.G., reproduced in A.R., at p. 91</w:t>
      </w:r>
      <w:r w:rsidR="009352AF">
        <w:t>.</w:t>
      </w:r>
      <w:r w:rsidRPr="00F02C4A">
        <w:t>)</w:t>
      </w:r>
    </w:p>
    <w:p w:rsidR="00A27006" w:rsidRPr="00F02C4A" w:rsidRDefault="00A27006" w:rsidP="00A27006">
      <w:pPr>
        <w:pStyle w:val="ParaNoNdepar-AltN"/>
        <w:numPr>
          <w:ilvl w:val="0"/>
          <w:numId w:val="7"/>
        </w:numPr>
        <w:autoSpaceDE w:val="0"/>
        <w:autoSpaceDN w:val="0"/>
        <w:snapToGrid w:val="0"/>
        <w:rPr>
          <w:rFonts w:cs="Times New Roman"/>
          <w:lang w:val="x-none"/>
        </w:rPr>
      </w:pPr>
      <w:r w:rsidRPr="00F02C4A">
        <w:rPr>
          <w:rFonts w:cs="Times New Roman"/>
          <w:lang w:val="x-none"/>
        </w:rPr>
        <w:t xml:space="preserve">Mr. Graydon also </w:t>
      </w:r>
      <w:r w:rsidRPr="00F02C4A">
        <w:rPr>
          <w:rFonts w:cs="Times New Roman"/>
        </w:rPr>
        <w:t>testified</w:t>
      </w:r>
      <w:r w:rsidRPr="00F02C4A">
        <w:rPr>
          <w:rFonts w:cs="Times New Roman"/>
          <w:lang w:val="x-none"/>
        </w:rPr>
        <w:t xml:space="preserve"> that he was aware that Ms. Michel and </w:t>
      </w:r>
      <w:r w:rsidRPr="00F02C4A">
        <w:rPr>
          <w:rFonts w:cs="Times New Roman"/>
          <w:lang w:val="en-US"/>
        </w:rPr>
        <w:t>his daughter</w:t>
      </w:r>
      <w:r w:rsidRPr="00F02C4A">
        <w:rPr>
          <w:rFonts w:cs="Times New Roman"/>
          <w:lang w:val="x-none"/>
        </w:rPr>
        <w:t xml:space="preserve"> were living in poverty when he was underpaying child support. </w:t>
      </w:r>
    </w:p>
    <w:p w:rsidR="00A27006" w:rsidRPr="00F02C4A" w:rsidRDefault="00A27006" w:rsidP="00A27006">
      <w:pPr>
        <w:pStyle w:val="ParaNoNdepar-AltN"/>
        <w:numPr>
          <w:ilvl w:val="0"/>
          <w:numId w:val="7"/>
        </w:numPr>
      </w:pPr>
      <w:r w:rsidRPr="00F02C4A">
        <w:t xml:space="preserve">This case too illustrates how children’s wellbeing and that of their custodian are intertwined parts of the same whole. Today, women still bear the bulk of child care and custody obligations </w:t>
      </w:r>
      <w:r w:rsidRPr="00F02C4A">
        <w:rPr>
          <w:i/>
        </w:rPr>
        <w:t>and</w:t>
      </w:r>
      <w:r w:rsidRPr="00F02C4A">
        <w:t xml:space="preserve"> earn less money than men, so women’s poverty remains inextricably linked to child poverty (Statistics Canada, </w:t>
      </w:r>
      <w:r w:rsidRPr="00F02C4A">
        <w:rPr>
          <w:i/>
        </w:rPr>
        <w:t>The gender wage gap in Canada: 1998 to 2018</w:t>
      </w:r>
      <w:r w:rsidRPr="00F02C4A">
        <w:t xml:space="preserve"> (October 2019), at pp. 4 and 10; Statistics Canada, </w:t>
      </w:r>
      <w:r w:rsidRPr="00F02C4A">
        <w:rPr>
          <w:i/>
        </w:rPr>
        <w:t>Maximum insights on minimum wage workers: 20 years of data</w:t>
      </w:r>
      <w:r w:rsidRPr="00F02C4A">
        <w:t xml:space="preserve"> (September 2019), at p. 8</w:t>
      </w:r>
      <w:r w:rsidR="00CE7CCA">
        <w:t>)</w:t>
      </w:r>
      <w:r w:rsidRPr="00F02C4A">
        <w:t xml:space="preserve">. Among the Canadian population of children aged 14 years and under in 2016, 81.29 percent of children living in a lone-parent family lived with their mother (Statistics Canada, </w:t>
      </w:r>
      <w:r w:rsidRPr="00F02C4A">
        <w:rPr>
          <w:i/>
        </w:rPr>
        <w:t>Portrait of children’s family life in Canada</w:t>
      </w:r>
      <w:r w:rsidRPr="00E77DFF">
        <w:rPr>
          <w:i/>
        </w:rPr>
        <w:t xml:space="preserve">, </w:t>
      </w:r>
      <w:r w:rsidRPr="00F02C4A">
        <w:rPr>
          <w:i/>
        </w:rPr>
        <w:t>2016 Census</w:t>
      </w:r>
      <w:r>
        <w:t xml:space="preserve"> (August</w:t>
      </w:r>
      <w:r w:rsidRPr="00F02C4A">
        <w:t xml:space="preserve"> 2017), at p. 2). Children in lone-parent families live in low-income households at a rate more than three times higher than children in a two-parent household. Among these lone-parent families, the low income-rate for such children living with a mother (42 percent) is much higher than those living with a father (25.5 percent) (Statistics Canada, </w:t>
      </w:r>
      <w:r w:rsidRPr="00F02C4A">
        <w:rPr>
          <w:i/>
        </w:rPr>
        <w:t>Children living in low</w:t>
      </w:r>
      <w:r w:rsidRPr="00F02C4A">
        <w:rPr>
          <w:i/>
        </w:rPr>
        <w:noBreakHyphen/>
        <w:t>income households, 2016 Census</w:t>
      </w:r>
      <w:r w:rsidRPr="00F02C4A">
        <w:t xml:space="preserve"> (September 2017), at pp. 2-3). In 2018, Attorney General Wilson-Raybould announced that approximately 96 percent of cases registered for enforcement involved female recipients (</w:t>
      </w:r>
      <w:r w:rsidRPr="00F02C4A">
        <w:rPr>
          <w:i/>
        </w:rPr>
        <w:t>House of Commons Debates</w:t>
      </w:r>
      <w:r w:rsidRPr="00F02C4A">
        <w:t xml:space="preserve">, vol. 148, No. 326, 1st Sess., 42nd Parl., </w:t>
      </w:r>
      <w:r w:rsidRPr="00E77DFF">
        <w:rPr>
          <w:rFonts w:cs="Times New Roman"/>
        </w:rPr>
        <w:t xml:space="preserve">September 26, 2018, </w:t>
      </w:r>
      <w:r w:rsidRPr="00F02C4A">
        <w:t>at p. 21867).</w:t>
      </w:r>
    </w:p>
    <w:p w:rsidR="00A27006" w:rsidRPr="00F02C4A" w:rsidRDefault="00A27006" w:rsidP="00A27006">
      <w:pPr>
        <w:pStyle w:val="ParaNoNdepar-AltN"/>
        <w:numPr>
          <w:ilvl w:val="0"/>
          <w:numId w:val="7"/>
        </w:numPr>
        <w:rPr>
          <w:rFonts w:cs="Times New Roman"/>
          <w:b/>
        </w:rPr>
      </w:pPr>
      <w:r w:rsidRPr="00F02C4A">
        <w:rPr>
          <w:rFonts w:cs="Times New Roman"/>
        </w:rPr>
        <w:t xml:space="preserve">Women in relationships are more likely to suffer intimate partner violence than their male counterparts (see Statistics Canada, </w:t>
      </w:r>
      <w:r>
        <w:rPr>
          <w:rFonts w:cs="Times New Roman"/>
          <w:i/>
        </w:rPr>
        <w:t>Family v</w:t>
      </w:r>
      <w:r w:rsidRPr="00F02C4A">
        <w:rPr>
          <w:rFonts w:cs="Times New Roman"/>
          <w:i/>
        </w:rPr>
        <w:t xml:space="preserve">iolence in Canada: A </w:t>
      </w:r>
      <w:r>
        <w:rPr>
          <w:rFonts w:cs="Times New Roman"/>
          <w:i/>
        </w:rPr>
        <w:t>statistical p</w:t>
      </w:r>
      <w:r w:rsidRPr="00F02C4A">
        <w:rPr>
          <w:rFonts w:cs="Times New Roman"/>
          <w:i/>
        </w:rPr>
        <w:t>rofile, 2018</w:t>
      </w:r>
      <w:r w:rsidRPr="00F02C4A">
        <w:rPr>
          <w:rFonts w:cs="Times New Roman"/>
        </w:rPr>
        <w:t xml:space="preserve"> (December 2019), at p. 24, indicating that in 2018, women accounted for 79 percent of intimate partner violence victims in police-reported assaults). As a result, they are more likely to leave their home and belongings — and their financial security — behind and to seek shelter or become homeless. A 2014 Statistics Canada analysis reported most women in shelters for abused women in Canada identified their abuser as a current or former partner; just over half of these were admitted with their children (</w:t>
      </w:r>
      <w:r w:rsidRPr="00F02C4A">
        <w:rPr>
          <w:rFonts w:cs="Times New Roman"/>
          <w:i/>
        </w:rPr>
        <w:t>Shelters for abused women in Canada, 2014</w:t>
      </w:r>
      <w:r w:rsidRPr="00F02C4A">
        <w:rPr>
          <w:rFonts w:cs="Times New Roman"/>
        </w:rPr>
        <w:t xml:space="preserve"> (2015), at p. 6). The impact of unstable housing and the lack of legal or financial resources on a person’s ability to bring any kind of legal claim is evident. The impact of a history of violence on a person’s emotional health and their consequent potential fear, unwillingness to engage with their past abuser, or inability to do so are just as apparent. In addition to this, “some abusive fathers may use the child support process as a way to continue to exercise dominance and control over their ex-wives” (D. Bonnet, “Recalculating </w:t>
      </w:r>
      <w:r w:rsidRPr="00F02C4A">
        <w:rPr>
          <w:rFonts w:cs="Times New Roman"/>
          <w:i/>
          <w:iCs/>
        </w:rPr>
        <w:t>D.B.S.</w:t>
      </w:r>
      <w:r w:rsidRPr="00F02C4A">
        <w:rPr>
          <w:rFonts w:cs="Times New Roman"/>
        </w:rPr>
        <w:t xml:space="preserve">: Envisioning a Child Support Recalculation Scheme for Ontario” (2007), 23 </w:t>
      </w:r>
      <w:r w:rsidRPr="00F02C4A">
        <w:rPr>
          <w:rFonts w:cs="Times New Roman"/>
          <w:i/>
        </w:rPr>
        <w:t>Can. J. Fam. L.</w:t>
      </w:r>
      <w:r w:rsidRPr="00F02C4A">
        <w:rPr>
          <w:rFonts w:cs="Times New Roman"/>
        </w:rPr>
        <w:t xml:space="preserve"> 115, at p. 144).</w:t>
      </w:r>
    </w:p>
    <w:p w:rsidR="00A27006" w:rsidRPr="00F02C4A" w:rsidRDefault="00A27006" w:rsidP="00A27006">
      <w:pPr>
        <w:pStyle w:val="ParaNoNdepar-AltN"/>
        <w:numPr>
          <w:ilvl w:val="0"/>
          <w:numId w:val="7"/>
        </w:numPr>
        <w:rPr>
          <w:rFonts w:cs="Times New Roman"/>
        </w:rPr>
      </w:pPr>
      <w:r w:rsidRPr="00F02C4A">
        <w:rPr>
          <w:rFonts w:cs="Times New Roman"/>
        </w:rPr>
        <w:t xml:space="preserve">Given these circumstances, women will often face financial, occupational, temporal, and emotional disadvantages. Moreover, access to justice in family law is not always possible due to the high costs of litigation. In this larger social context, women who obtain custody are often badly placed to evaluate their co-parent’s financial situation and to take action against it. Measures that place further barriers on their ability to claim and enforce their rights, like a jurisdictional bar, inhibit their ability to improve their circumstances and those of their children. Yet, as this Court stated in </w:t>
      </w:r>
      <w:r w:rsidRPr="00F02C4A">
        <w:rPr>
          <w:rFonts w:cs="Times New Roman"/>
          <w:i/>
          <w:iCs/>
        </w:rPr>
        <w:t>Hryniak v. Mauldin</w:t>
      </w:r>
      <w:r w:rsidRPr="00F02C4A">
        <w:rPr>
          <w:rFonts w:cs="Times New Roman"/>
        </w:rPr>
        <w:t>, 2014 SCC 7, [2014] 1 S.C.R. 87, at para. 1: “Without an effective and accessible means of enforcing rights, the rule of law is threatened.”</w:t>
      </w:r>
    </w:p>
    <w:p w:rsidR="00A27006" w:rsidRPr="00F02C4A" w:rsidRDefault="00A27006" w:rsidP="00A27006">
      <w:pPr>
        <w:pStyle w:val="ParaNoNdepar-AltN"/>
        <w:numPr>
          <w:ilvl w:val="0"/>
          <w:numId w:val="7"/>
        </w:numPr>
        <w:rPr>
          <w:rFonts w:cs="Times New Roman"/>
        </w:rPr>
      </w:pPr>
      <w:r w:rsidRPr="00F02C4A">
        <w:rPr>
          <w:rFonts w:cs="Times New Roman"/>
        </w:rPr>
        <w:t xml:space="preserve">Similarly, the principle of statutory interpretation that the legislator is taken to know the social and historical context in which it makes its intention known also supports reading s. 152 as allowing such claims to be heard (see </w:t>
      </w:r>
      <w:r w:rsidRPr="00F02C4A">
        <w:rPr>
          <w:rFonts w:cs="Times New Roman"/>
          <w:i/>
        </w:rPr>
        <w:t>Moge</w:t>
      </w:r>
      <w:r w:rsidRPr="00F02C4A">
        <w:rPr>
          <w:rFonts w:cs="Times New Roman"/>
        </w:rPr>
        <w:t xml:space="preserve">, at p. 857; </w:t>
      </w:r>
      <w:r w:rsidRPr="00F02C4A">
        <w:rPr>
          <w:rFonts w:cs="Times New Roman"/>
          <w:i/>
        </w:rPr>
        <w:t>Canada 3000 Inc. (Re)</w:t>
      </w:r>
      <w:r w:rsidRPr="00F02C4A">
        <w:rPr>
          <w:rFonts w:cs="Times New Roman"/>
        </w:rPr>
        <w:t>,</w:t>
      </w:r>
      <w:r w:rsidRPr="00F02C4A">
        <w:rPr>
          <w:rFonts w:cs="Times New Roman"/>
          <w:i/>
        </w:rPr>
        <w:t xml:space="preserve"> </w:t>
      </w:r>
      <w:r w:rsidRPr="00F02C4A">
        <w:rPr>
          <w:rFonts w:cs="Times New Roman"/>
        </w:rPr>
        <w:t>2006 SCC 24, [2006] 1 S.C.R. 865, at para. 37).</w:t>
      </w:r>
      <w:r w:rsidRPr="00F02C4A">
        <w:rPr>
          <w:rFonts w:eastAsiaTheme="minorHAnsi" w:cs="Times New Roman"/>
        </w:rPr>
        <w:t xml:space="preserve"> </w:t>
      </w:r>
      <w:r w:rsidRPr="00F02C4A">
        <w:rPr>
          <w:rFonts w:cs="Times New Roman"/>
        </w:rPr>
        <w:t xml:space="preserve">In </w:t>
      </w:r>
      <w:r w:rsidRPr="00F02C4A">
        <w:rPr>
          <w:rFonts w:cs="Times New Roman"/>
          <w:i/>
        </w:rPr>
        <w:t>Moge</w:t>
      </w:r>
      <w:r w:rsidRPr="00F02C4A">
        <w:rPr>
          <w:rFonts w:cs="Times New Roman"/>
        </w:rPr>
        <w:t>, for instance, the majority relied on this principle to find that Parliament did not intend to adopt a deemed self-sufficiency approach to spousal support because of the social context that showed a link between the feminization of poverty and marriage breakdown. As L’Heureux-Dubé J. reasoned, in light of this social context, “[i]t would be perverse in the extreme to assume that Parliament’s intention</w:t>
      </w:r>
      <w:r w:rsidR="009352AF">
        <w:rPr>
          <w:rFonts w:cs="Times New Roman"/>
        </w:rPr>
        <w:t xml:space="preserve"> </w:t>
      </w:r>
      <w:r w:rsidR="002C039C">
        <w:rPr>
          <w:rFonts w:cs="Times New Roman"/>
        </w:rPr>
        <w:t>. . .</w:t>
      </w:r>
      <w:r w:rsidR="009352AF">
        <w:rPr>
          <w:rFonts w:cs="Times New Roman"/>
        </w:rPr>
        <w:t xml:space="preserve"> </w:t>
      </w:r>
      <w:r w:rsidRPr="00F02C4A">
        <w:rPr>
          <w:rFonts w:cs="Times New Roman"/>
        </w:rPr>
        <w:t xml:space="preserve">was to financially penalize women” (p. 857). Likewise, in this case and in light of the social context showing the link between the underpayment of child support, child poverty, and the feminization of poverty that existed both at the time of the 1986 </w:t>
      </w:r>
      <w:r w:rsidRPr="00F02C4A">
        <w:rPr>
          <w:rFonts w:cs="Times New Roman"/>
          <w:i/>
        </w:rPr>
        <w:t>Divorce Act</w:t>
      </w:r>
      <w:r w:rsidRPr="00F02C4A">
        <w:rPr>
          <w:rFonts w:cs="Times New Roman"/>
        </w:rPr>
        <w:t xml:space="preserve"> and today, it would also be perverse to assume that Parliament’s intention was to financially penalize women and children.</w:t>
      </w:r>
    </w:p>
    <w:p w:rsidR="00A27006" w:rsidRPr="00F02C4A" w:rsidRDefault="00A27006" w:rsidP="00A27006">
      <w:pPr>
        <w:pStyle w:val="ParaNoNdepar-AltN"/>
        <w:numPr>
          <w:ilvl w:val="0"/>
          <w:numId w:val="7"/>
        </w:numPr>
        <w:rPr>
          <w:rFonts w:cs="Times New Roman"/>
          <w:b/>
          <w:lang w:val="en-US"/>
        </w:rPr>
      </w:pPr>
      <w:r w:rsidRPr="00F02C4A">
        <w:rPr>
          <w:rFonts w:cs="Times New Roman"/>
        </w:rPr>
        <w:t>“[T]he reality that the nurture of children is inextricably intertwined with the well being of the nurturing parent” has previously been acknowledged by this Court (</w:t>
      </w:r>
      <w:r w:rsidRPr="00F02C4A">
        <w:rPr>
          <w:rFonts w:cs="Times New Roman"/>
          <w:i/>
        </w:rPr>
        <w:t>Pelech v. Pelech</w:t>
      </w:r>
      <w:r w:rsidRPr="00F02C4A">
        <w:rPr>
          <w:rFonts w:cs="Times New Roman"/>
        </w:rPr>
        <w:t xml:space="preserve">, [1987] 1 S.C.R. 801, at p. 845; see also </w:t>
      </w:r>
      <w:r w:rsidRPr="00F02C4A">
        <w:rPr>
          <w:rFonts w:cs="Times New Roman"/>
          <w:i/>
        </w:rPr>
        <w:t>Willick</w:t>
      </w:r>
      <w:r w:rsidRPr="00F02C4A">
        <w:rPr>
          <w:rFonts w:cs="Times New Roman"/>
        </w:rPr>
        <w:t xml:space="preserve">, at pp. 724-25, per L’Heureux-Dubé J.). In 1992, this Court recognized in </w:t>
      </w:r>
      <w:r w:rsidRPr="00F02C4A">
        <w:rPr>
          <w:rFonts w:cs="Times New Roman"/>
          <w:i/>
          <w:iCs/>
        </w:rPr>
        <w:t>Moge</w:t>
      </w:r>
      <w:r w:rsidRPr="00F02C4A">
        <w:rPr>
          <w:rFonts w:cs="Times New Roman"/>
        </w:rPr>
        <w:t xml:space="preserve"> that “[w]omen have tended to suffer economic disadvantages and hardships from marriage or its breakdown because of the traditional division of labour within that institution” (p. 861). A year later, it added that “women disproportionately incur the social cost</w:t>
      </w:r>
      <w:r>
        <w:rPr>
          <w:rFonts w:cs="Times New Roman"/>
        </w:rPr>
        <w:t>s</w:t>
      </w:r>
      <w:r w:rsidRPr="00F02C4A">
        <w:rPr>
          <w:rFonts w:cs="Times New Roman"/>
        </w:rPr>
        <w:t xml:space="preserve"> of child care” (</w:t>
      </w:r>
      <w:r w:rsidRPr="00F02C4A">
        <w:rPr>
          <w:rFonts w:cs="Times New Roman"/>
          <w:i/>
          <w:iCs/>
        </w:rPr>
        <w:t>Symes v. Canada</w:t>
      </w:r>
      <w:r w:rsidRPr="00F02C4A">
        <w:rPr>
          <w:rFonts w:cs="Times New Roman"/>
        </w:rPr>
        <w:t>, [1993] 4 S.C.R. 695,</w:t>
      </w:r>
      <w:r w:rsidRPr="00F02C4A">
        <w:rPr>
          <w:rFonts w:cs="Times New Roman"/>
          <w:i/>
          <w:iCs/>
        </w:rPr>
        <w:t xml:space="preserve"> </w:t>
      </w:r>
      <w:r w:rsidRPr="00F02C4A">
        <w:rPr>
          <w:rFonts w:cs="Times New Roman"/>
        </w:rPr>
        <w:t>at p. 763</w:t>
      </w:r>
      <w:r>
        <w:rPr>
          <w:rFonts w:cs="Times New Roman"/>
        </w:rPr>
        <w:t xml:space="preserve"> (emphasis deleted</w:t>
      </w:r>
      <w:r w:rsidRPr="00F02C4A">
        <w:rPr>
          <w:rFonts w:cs="Times New Roman"/>
        </w:rPr>
        <w:t xml:space="preserve">); see also </w:t>
      </w:r>
      <w:r w:rsidRPr="00F02C4A">
        <w:rPr>
          <w:rFonts w:cs="Times New Roman"/>
          <w:i/>
        </w:rPr>
        <w:t>Young v. Young</w:t>
      </w:r>
      <w:r w:rsidRPr="00F02C4A">
        <w:rPr>
          <w:rFonts w:cs="Times New Roman"/>
        </w:rPr>
        <w:t xml:space="preserve">, [1993] 4 S.C.R. 3, at p. 62, per L’Heureux-Dubé J.). These long-standing recognitions and the current data bear on how courts should approach child support claims, including historical ones. </w:t>
      </w:r>
    </w:p>
    <w:p w:rsidR="00A27006" w:rsidRPr="00F02C4A" w:rsidRDefault="00A27006" w:rsidP="00A27006">
      <w:pPr>
        <w:pStyle w:val="ParaNoNdepar-AltN"/>
        <w:numPr>
          <w:ilvl w:val="0"/>
          <w:numId w:val="7"/>
        </w:numPr>
        <w:rPr>
          <w:rFonts w:cs="Times New Roman"/>
        </w:rPr>
      </w:pPr>
      <w:r w:rsidRPr="00F02C4A">
        <w:rPr>
          <w:rFonts w:cs="Times New Roman"/>
        </w:rPr>
        <w:t>In historical child support claims, what is really at stake is monies that ought to have been paid for the care and support of children but were directed elsewhere. This means children and their caregivers do without, and this has lasting consequences for each of them. As the child in this case poignantly said: “</w:t>
      </w:r>
      <w:r w:rsidRPr="00F02C4A">
        <w:rPr>
          <w:rFonts w:eastAsia="Times New Roman" w:cs="Times New Roman"/>
          <w:szCs w:val="24"/>
          <w:lang w:val="x-none"/>
        </w:rPr>
        <w:t xml:space="preserve">I was a confident, bright and enthusiastically ambitious </w:t>
      </w:r>
      <w:r w:rsidRPr="00F02C4A">
        <w:rPr>
          <w:rFonts w:eastAsia="Times New Roman" w:cs="Times New Roman"/>
          <w:szCs w:val="24"/>
          <w:lang w:val="en-US"/>
        </w:rPr>
        <w:t>kid</w:t>
      </w:r>
      <w:r w:rsidRPr="00F02C4A">
        <w:rPr>
          <w:rFonts w:eastAsia="Times New Roman" w:cs="Times New Roman"/>
          <w:szCs w:val="24"/>
          <w:lang w:val="x-none"/>
        </w:rPr>
        <w:t>. I am a bright and ambitious adult. Somewhere along the line confidence and enthusiasm fell to the wayside</w:t>
      </w:r>
      <w:r w:rsidRPr="00F02C4A">
        <w:rPr>
          <w:rFonts w:eastAsia="Times New Roman" w:cs="Times New Roman"/>
          <w:szCs w:val="24"/>
          <w:lang w:val="en-US"/>
        </w:rPr>
        <w:t>” (</w:t>
      </w:r>
      <w:r w:rsidRPr="00F02C4A">
        <w:rPr>
          <w:rFonts w:eastAsia="Times New Roman" w:cs="Times New Roman"/>
          <w:szCs w:val="24"/>
          <w:lang w:val="x-none"/>
        </w:rPr>
        <w:t>A</w:t>
      </w:r>
      <w:r w:rsidRPr="00F02C4A">
        <w:rPr>
          <w:rFonts w:eastAsia="Times New Roman" w:cs="Times New Roman"/>
          <w:szCs w:val="24"/>
          <w:lang w:val="en-US"/>
        </w:rPr>
        <w:t>.</w:t>
      </w:r>
      <w:r w:rsidRPr="00F02C4A">
        <w:rPr>
          <w:rFonts w:eastAsia="Times New Roman" w:cs="Times New Roman"/>
          <w:szCs w:val="24"/>
          <w:lang w:val="x-none"/>
        </w:rPr>
        <w:t>R</w:t>
      </w:r>
      <w:r w:rsidRPr="00F02C4A">
        <w:rPr>
          <w:rFonts w:eastAsia="Times New Roman" w:cs="Times New Roman"/>
          <w:szCs w:val="24"/>
          <w:lang w:val="en-US"/>
        </w:rPr>
        <w:t>.</w:t>
      </w:r>
      <w:r w:rsidRPr="00F02C4A">
        <w:rPr>
          <w:rFonts w:eastAsia="Times New Roman" w:cs="Times New Roman"/>
          <w:szCs w:val="24"/>
          <w:lang w:val="x-none"/>
        </w:rPr>
        <w:t>, at p. </w:t>
      </w:r>
      <w:r w:rsidRPr="00F02C4A">
        <w:rPr>
          <w:rFonts w:eastAsia="Times New Roman" w:cs="Times New Roman"/>
          <w:szCs w:val="24"/>
          <w:lang w:val="en-US"/>
        </w:rPr>
        <w:t>91)</w:t>
      </w:r>
      <w:r w:rsidRPr="00F02C4A">
        <w:rPr>
          <w:rFonts w:eastAsia="Times New Roman" w:cs="Times New Roman"/>
          <w:szCs w:val="24"/>
          <w:lang w:val="x-none"/>
        </w:rPr>
        <w:t>.</w:t>
      </w:r>
    </w:p>
    <w:p w:rsidR="00A27006" w:rsidRPr="00F02C4A" w:rsidRDefault="00A27006" w:rsidP="00A27006">
      <w:pPr>
        <w:pStyle w:val="ParaNoNdepar-AltN"/>
        <w:numPr>
          <w:ilvl w:val="0"/>
          <w:numId w:val="7"/>
        </w:numPr>
        <w:autoSpaceDE w:val="0"/>
        <w:autoSpaceDN w:val="0"/>
        <w:snapToGrid w:val="0"/>
        <w:rPr>
          <w:rFonts w:cs="Times New Roman"/>
          <w:u w:val="single"/>
        </w:rPr>
      </w:pPr>
      <w:r w:rsidRPr="00F02C4A">
        <w:rPr>
          <w:rFonts w:cs="Times New Roman"/>
        </w:rPr>
        <w:t xml:space="preserve">Family law’s holistic approach demands that we take account of the interconnected nature of issues of child support, child poverty, and the consequent feminization of poverty. Given the gender dynamics in child support law, legal rules cannot ignore the realities that shape women’s lives and opens them up to experiences and risks less likely to be experienced by men: like intimate partner violence, a higher proportion of unpaid domestic work accompanied by less work experience and lower wages, and the burden of most childcare obligations. </w:t>
      </w:r>
    </w:p>
    <w:p w:rsidR="00A27006" w:rsidRPr="00F02C4A" w:rsidRDefault="00A27006" w:rsidP="00A27006">
      <w:pPr>
        <w:pStyle w:val="ParaNoNdepar-AltN"/>
        <w:numPr>
          <w:ilvl w:val="0"/>
          <w:numId w:val="7"/>
        </w:numPr>
        <w:autoSpaceDE w:val="0"/>
        <w:autoSpaceDN w:val="0"/>
        <w:snapToGrid w:val="0"/>
        <w:rPr>
          <w:rFonts w:cs="Times New Roman"/>
          <w:u w:val="single"/>
        </w:rPr>
      </w:pPr>
      <w:r w:rsidRPr="00F02C4A">
        <w:rPr>
          <w:rFonts w:cs="Times New Roman"/>
        </w:rPr>
        <w:t xml:space="preserve">At the same time, while we take account of women’s marginalization and lived experiences, we must not lose sight of the fact that equality and equity also require us to turn our minds to other forms of marginalization in the courtroom. The gendered dimensions of poverty at different times mirror or obscure its intersections with race, disability, religion, gender modality, sexual orientation, and socioeconomic class, for instance. It is the delicate task of our judiciary to take these differences into account and to give them their due weight in considering the tests at issue. In the end, a system that can account for the social dynamics which act to impoverish certain members of society over others, or to prevent them from accessing the courtroom and reclaiming their rights, is a fairer system for all. </w:t>
      </w:r>
    </w:p>
    <w:p w:rsidR="00A27006" w:rsidRPr="00F02C4A" w:rsidRDefault="00A27006" w:rsidP="00A27006">
      <w:pPr>
        <w:pStyle w:val="ParaNoNdepar-AltN"/>
        <w:numPr>
          <w:ilvl w:val="0"/>
          <w:numId w:val="7"/>
        </w:numPr>
        <w:rPr>
          <w:rFonts w:cs="Times New Roman"/>
        </w:rPr>
      </w:pPr>
      <w:r w:rsidRPr="00F02C4A">
        <w:rPr>
          <w:rFonts w:cs="Times New Roman"/>
        </w:rPr>
        <w:t>The principles of child support also favour the interpretation that is favourable to children such that the best interest of the child is at the heart of any interpretive exercise (</w:t>
      </w:r>
      <w:r w:rsidRPr="00F02C4A">
        <w:rPr>
          <w:rFonts w:cs="Times New Roman"/>
          <w:i/>
        </w:rPr>
        <w:t>Chartier</w:t>
      </w:r>
      <w:r w:rsidRPr="00F02C4A">
        <w:rPr>
          <w:rFonts w:cs="Times New Roman"/>
        </w:rPr>
        <w:t xml:space="preserve">, at para. 21; </w:t>
      </w:r>
      <w:r w:rsidRPr="00F02C4A">
        <w:rPr>
          <w:rFonts w:cs="Times New Roman"/>
          <w:i/>
        </w:rPr>
        <w:t>K.L.B. v. British Columbia</w:t>
      </w:r>
      <w:r w:rsidRPr="00F02C4A">
        <w:rPr>
          <w:rFonts w:cs="Times New Roman"/>
        </w:rPr>
        <w:t xml:space="preserve">, 2003 SCC 51, [2003] 2 S.C.R. 403, at para. 47; </w:t>
      </w:r>
      <w:r w:rsidRPr="00F02C4A">
        <w:rPr>
          <w:rFonts w:cs="Times New Roman"/>
          <w:i/>
        </w:rPr>
        <w:t>Paras</w:t>
      </w:r>
      <w:r w:rsidRPr="00F02C4A">
        <w:rPr>
          <w:rFonts w:cs="Times New Roman"/>
        </w:rPr>
        <w:t xml:space="preserve">, at pp. 134-35; </w:t>
      </w:r>
      <w:r w:rsidRPr="00F02C4A">
        <w:rPr>
          <w:rFonts w:cs="Times New Roman"/>
          <w:i/>
          <w:lang w:bidi="en-US"/>
        </w:rPr>
        <w:t>Richardson v. Richardson</w:t>
      </w:r>
      <w:r w:rsidRPr="00F02C4A">
        <w:rPr>
          <w:rFonts w:cs="Times New Roman"/>
          <w:lang w:bidi="en-US"/>
        </w:rPr>
        <w:t>, [1987] 1 S.C.R. 857</w:t>
      </w:r>
      <w:r w:rsidRPr="00F02C4A">
        <w:rPr>
          <w:rFonts w:cs="Times New Roman"/>
        </w:rPr>
        <w:t>, at pp. 869-70;</w:t>
      </w:r>
      <w:r w:rsidRPr="00F02C4A">
        <w:rPr>
          <w:rFonts w:cs="Times New Roman"/>
          <w:i/>
        </w:rPr>
        <w:t xml:space="preserve"> Francis</w:t>
      </w:r>
      <w:r w:rsidRPr="00F02C4A">
        <w:rPr>
          <w:rFonts w:cs="Times New Roman"/>
        </w:rPr>
        <w:t xml:space="preserve">, at para. 39; </w:t>
      </w:r>
      <w:r w:rsidRPr="00F02C4A">
        <w:rPr>
          <w:rFonts w:cs="Times New Roman"/>
          <w:i/>
        </w:rPr>
        <w:t>Theriault v. Theriault</w:t>
      </w:r>
      <w:r w:rsidRPr="00F02C4A">
        <w:rPr>
          <w:rFonts w:cs="Times New Roman"/>
        </w:rPr>
        <w:t xml:space="preserve"> (1994), 149 A.R. 210 (C.A.), at pp. 212-14). </w:t>
      </w:r>
    </w:p>
    <w:p w:rsidR="00A27006" w:rsidRPr="00F02C4A" w:rsidRDefault="00A27006" w:rsidP="00A27006">
      <w:pPr>
        <w:pStyle w:val="ParaNoNdepar-AltN"/>
        <w:numPr>
          <w:ilvl w:val="0"/>
          <w:numId w:val="7"/>
        </w:numPr>
        <w:rPr>
          <w:rFonts w:cs="Times New Roman"/>
        </w:rPr>
      </w:pPr>
      <w:r w:rsidRPr="00F02C4A">
        <w:rPr>
          <w:rFonts w:cs="Times New Roman"/>
        </w:rPr>
        <w:t>Not only is this interpretive approach mandated by Canadian jurisprudence, it also results from Canada’s international obligations. It is presumed that the legislature takes account of Canada’s international obligations, which favour an understanding of legislative intent that is in conformity with customary and conventional international law (</w:t>
      </w:r>
      <w:r w:rsidRPr="00F02C4A">
        <w:rPr>
          <w:rFonts w:cs="Times New Roman"/>
          <w:i/>
          <w:iCs/>
        </w:rPr>
        <w:t>Canada (Minister of Citizenship and Immigration) v. Vavilov</w:t>
      </w:r>
      <w:r w:rsidRPr="00F02C4A">
        <w:rPr>
          <w:rFonts w:cs="Times New Roman"/>
        </w:rPr>
        <w:t xml:space="preserve">, 2019 SCC 65, </w:t>
      </w:r>
      <w:r w:rsidR="006417BF">
        <w:rPr>
          <w:rFonts w:cs="Times New Roman"/>
        </w:rPr>
        <w:t>[2019</w:t>
      </w:r>
      <w:r w:rsidR="006417BF" w:rsidRPr="00F02C4A">
        <w:rPr>
          <w:rFonts w:cs="Times New Roman"/>
        </w:rPr>
        <w:t>]</w:t>
      </w:r>
      <w:r w:rsidR="006417BF">
        <w:rPr>
          <w:rFonts w:cs="Times New Roman"/>
        </w:rPr>
        <w:t xml:space="preserve"> 4 S.C.R. 653, </w:t>
      </w:r>
      <w:r w:rsidRPr="00F02C4A">
        <w:rPr>
          <w:rFonts w:cs="Times New Roman"/>
        </w:rPr>
        <w:t>at para. 182). Canada is a party to international conventions that affirm the legal principle of “the best interests of the child” (</w:t>
      </w:r>
      <w:r w:rsidRPr="00F02C4A">
        <w:rPr>
          <w:rFonts w:cs="Times New Roman"/>
          <w:i/>
        </w:rPr>
        <w:t>Convention on the Rights of the Child</w:t>
      </w:r>
      <w:r w:rsidRPr="00F02C4A">
        <w:rPr>
          <w:rFonts w:cs="Times New Roman"/>
        </w:rPr>
        <w:t xml:space="preserve">, Can. T.S. 1992 No. 3, art. 3(1); </w:t>
      </w:r>
      <w:r w:rsidRPr="00F02C4A">
        <w:rPr>
          <w:rFonts w:cs="Times New Roman"/>
          <w:i/>
        </w:rPr>
        <w:t>Convention on the Elimination of All Forms of Discrimination against Women</w:t>
      </w:r>
      <w:r w:rsidRPr="00F02C4A">
        <w:rPr>
          <w:rFonts w:cs="Times New Roman"/>
        </w:rPr>
        <w:t xml:space="preserve">, Can. T.S. 1982 No. 31, art. 16(1)(d)). Article 27(2) of the </w:t>
      </w:r>
      <w:r w:rsidRPr="00F02C4A">
        <w:rPr>
          <w:rFonts w:cs="Times New Roman"/>
          <w:i/>
        </w:rPr>
        <w:t>Convention on the Rights of the Child</w:t>
      </w:r>
      <w:r w:rsidRPr="00F02C4A">
        <w:rPr>
          <w:rFonts w:cs="Times New Roman"/>
        </w:rPr>
        <w:t xml:space="preserve">, for instance, thus recognizes that parents and custodians are primarily responsible for securing the conditions of living necessary for the child’s development, and art. 27(4) recognizes the duty of state parties to “take all appropriate measures to secure the recovery of maintenance for the child from the parents or other persons having financial responsibility for the child”. The principles embodied in these Conventions help inform the contextual approach to the interpretation of the </w:t>
      </w:r>
      <w:r w:rsidRPr="00F02C4A">
        <w:rPr>
          <w:rFonts w:cs="Times New Roman"/>
          <w:i/>
        </w:rPr>
        <w:t>Family Law Act</w:t>
      </w:r>
      <w:r w:rsidRPr="00F02C4A">
        <w:rPr>
          <w:rFonts w:cs="Times New Roman"/>
        </w:rPr>
        <w:t xml:space="preserve">, as well as the </w:t>
      </w:r>
      <w:r w:rsidRPr="00F02C4A">
        <w:rPr>
          <w:rFonts w:cs="Times New Roman"/>
          <w:i/>
        </w:rPr>
        <w:t>Divorce Act</w:t>
      </w:r>
      <w:r w:rsidRPr="00F02C4A">
        <w:rPr>
          <w:rFonts w:cs="Times New Roman"/>
        </w:rPr>
        <w:t xml:space="preserve"> and the </w:t>
      </w:r>
      <w:r w:rsidRPr="00F02C4A">
        <w:rPr>
          <w:rFonts w:cs="Times New Roman"/>
          <w:i/>
        </w:rPr>
        <w:t>Guidelines</w:t>
      </w:r>
      <w:r w:rsidRPr="00F02C4A">
        <w:rPr>
          <w:rFonts w:cs="Times New Roman"/>
        </w:rPr>
        <w:t>,</w:t>
      </w:r>
      <w:r w:rsidRPr="00F02C4A">
        <w:rPr>
          <w:rFonts w:cs="Times New Roman"/>
          <w:i/>
        </w:rPr>
        <w:t xml:space="preserve"> </w:t>
      </w:r>
      <w:r w:rsidRPr="00F02C4A">
        <w:rPr>
          <w:rFonts w:cs="Times New Roman"/>
        </w:rPr>
        <w:t>in understanding how to interpret the legislation with a focus on the best interests of the child (</w:t>
      </w:r>
      <w:r w:rsidRPr="00F02C4A">
        <w:rPr>
          <w:rFonts w:cs="Times New Roman"/>
          <w:i/>
        </w:rPr>
        <w:t>Baker v. Canada (Minister of Citizenship and Immigration)</w:t>
      </w:r>
      <w:r w:rsidRPr="00F02C4A">
        <w:rPr>
          <w:rFonts w:cs="Times New Roman"/>
        </w:rPr>
        <w:t xml:space="preserve">, [1999] 2 S.C.R. 817, at paras. 69-71). </w:t>
      </w:r>
    </w:p>
    <w:p w:rsidR="00A27006" w:rsidRPr="00F02C4A" w:rsidRDefault="00A27006" w:rsidP="00A27006">
      <w:pPr>
        <w:pStyle w:val="ParaNoNdepar-AltN"/>
        <w:numPr>
          <w:ilvl w:val="0"/>
          <w:numId w:val="7"/>
        </w:numPr>
        <w:rPr>
          <w:rFonts w:cs="Times New Roman"/>
        </w:rPr>
      </w:pPr>
      <w:r w:rsidRPr="00F02C4A">
        <w:rPr>
          <w:rFonts w:cs="Times New Roman"/>
        </w:rPr>
        <w:t>Moreover, an interpretation adverse to the pre-existing common law rights of children and to the interests of recipient parents</w:t>
      </w:r>
      <w:r w:rsidRPr="00F02C4A" w:rsidDel="00C331FB">
        <w:rPr>
          <w:rFonts w:cs="Times New Roman"/>
        </w:rPr>
        <w:t xml:space="preserve"> </w:t>
      </w:r>
      <w:r w:rsidRPr="00F02C4A">
        <w:rPr>
          <w:rFonts w:cs="Times New Roman"/>
        </w:rPr>
        <w:t>should be avoided absent clear statutory expression. As a debt obligation, which exists independently of any statute, child support benefits from the well-established principle of statutory interpretation that the legislature is presumed not to intend to limit a citizen’s right unless the statutory language is unequivocal (</w:t>
      </w:r>
      <w:r w:rsidRPr="00F02C4A">
        <w:rPr>
          <w:rFonts w:cs="Times New Roman"/>
          <w:i/>
        </w:rPr>
        <w:t>Morguard Properties Ltd. v. City of Winnipeg</w:t>
      </w:r>
      <w:r w:rsidRPr="00F02C4A">
        <w:rPr>
          <w:rFonts w:cs="Times New Roman"/>
        </w:rPr>
        <w:t xml:space="preserve">, [1983] 2 S.C.R. 493, at p. 509; </w:t>
      </w:r>
      <w:r w:rsidRPr="00F02C4A">
        <w:rPr>
          <w:rFonts w:cs="Times New Roman"/>
          <w:i/>
        </w:rPr>
        <w:t>Toronto Area Transit Operating Authority v. Dell Holdings Ltd.</w:t>
      </w:r>
      <w:r w:rsidRPr="00F02C4A">
        <w:rPr>
          <w:rFonts w:cs="Times New Roman"/>
        </w:rPr>
        <w:t>, [1997] 1 S.C.R. 32, at para. 20; </w:t>
      </w:r>
      <w:r w:rsidRPr="00F02C4A">
        <w:rPr>
          <w:rFonts w:cs="Times New Roman"/>
          <w:bCs/>
          <w:i/>
          <w:iCs/>
        </w:rPr>
        <w:t>Royal Bank of Canada v. Sparrow Electric Corp.</w:t>
      </w:r>
      <w:r w:rsidRPr="00F02C4A">
        <w:rPr>
          <w:rFonts w:cs="Times New Roman"/>
        </w:rPr>
        <w:t>,</w:t>
      </w:r>
      <w:r w:rsidRPr="00F02C4A">
        <w:rPr>
          <w:rFonts w:cs="Times New Roman"/>
          <w:bCs/>
          <w:i/>
          <w:iCs/>
        </w:rPr>
        <w:t> </w:t>
      </w:r>
      <w:r w:rsidRPr="00F02C4A">
        <w:rPr>
          <w:rFonts w:cs="Times New Roman"/>
        </w:rPr>
        <w:t xml:space="preserve">[1997] 1 S.C.R. 411, at para. 110; see also R. Sullivan, </w:t>
      </w:r>
      <w:r w:rsidRPr="00F02C4A">
        <w:rPr>
          <w:rFonts w:cs="Times New Roman"/>
          <w:i/>
        </w:rPr>
        <w:t>Sullivan on the Construction of Statutes</w:t>
      </w:r>
      <w:r w:rsidRPr="00F02C4A">
        <w:rPr>
          <w:rFonts w:cs="Times New Roman"/>
        </w:rPr>
        <w:t xml:space="preserve"> (6th ed. 2014)</w:t>
      </w:r>
      <w:r>
        <w:rPr>
          <w:rFonts w:cs="Times New Roman"/>
        </w:rPr>
        <w:t>,</w:t>
      </w:r>
      <w:r w:rsidRPr="00F02C4A">
        <w:rPr>
          <w:rFonts w:cs="Times New Roman"/>
        </w:rPr>
        <w:t xml:space="preserve"> at pp. 497-98; </w:t>
      </w:r>
      <w:r w:rsidRPr="00F02C4A">
        <w:rPr>
          <w:rFonts w:cs="Times New Roman"/>
          <w:i/>
        </w:rPr>
        <w:t>Brear</w:t>
      </w:r>
      <w:r w:rsidRPr="00F02C4A">
        <w:rPr>
          <w:rFonts w:cs="Times New Roman"/>
        </w:rPr>
        <w:t xml:space="preserve">, at para. 50). That is clearly not the case here. Rather, all the elements reviewed indicate that the best interests of the child, which are intrinsically tied to those of their caregiver, are in favour of reading s. 152 of the </w:t>
      </w:r>
      <w:r w:rsidRPr="00F02C4A">
        <w:rPr>
          <w:rFonts w:cs="Times New Roman"/>
          <w:i/>
        </w:rPr>
        <w:t xml:space="preserve">Family Law Act </w:t>
      </w:r>
      <w:r w:rsidRPr="00F02C4A">
        <w:rPr>
          <w:rFonts w:cs="Times New Roman"/>
        </w:rPr>
        <w:t>to allow applications for historical child support.</w:t>
      </w:r>
    </w:p>
    <w:p w:rsidR="00A27006" w:rsidRPr="00F02C4A" w:rsidRDefault="00A27006" w:rsidP="00A27006">
      <w:pPr>
        <w:pStyle w:val="Title3LevelTitre3Niveau"/>
        <w:keepNext/>
        <w:rPr>
          <w:rFonts w:cs="Times New Roman"/>
        </w:rPr>
      </w:pPr>
      <w:bookmarkStart w:id="50" w:name="_Toc46428246"/>
      <w:bookmarkStart w:id="51" w:name="_Toc48626820"/>
      <w:r w:rsidRPr="00F02C4A">
        <w:rPr>
          <w:rFonts w:cs="Times New Roman"/>
        </w:rPr>
        <w:t xml:space="preserve">Conclusion on Section 152 of the </w:t>
      </w:r>
      <w:r w:rsidRPr="00F02C4A">
        <w:rPr>
          <w:rFonts w:cs="Times New Roman"/>
          <w:i/>
        </w:rPr>
        <w:t>Family Law Act</w:t>
      </w:r>
      <w:bookmarkEnd w:id="50"/>
      <w:bookmarkEnd w:id="51"/>
    </w:p>
    <w:p w:rsidR="00A27006" w:rsidRPr="00F02C4A" w:rsidRDefault="00A27006" w:rsidP="00A27006">
      <w:pPr>
        <w:pStyle w:val="ParaNoNdepar-AltN"/>
        <w:numPr>
          <w:ilvl w:val="0"/>
          <w:numId w:val="7"/>
        </w:numPr>
        <w:rPr>
          <w:rFonts w:cs="Times New Roman"/>
          <w:szCs w:val="24"/>
          <w:lang w:val="en-US"/>
        </w:rPr>
      </w:pPr>
      <w:r w:rsidRPr="00F02C4A">
        <w:rPr>
          <w:rFonts w:cs="Times New Roman"/>
        </w:rPr>
        <w:t xml:space="preserve">For all of the above reasons, a fair, large and liberal reading of s. 152 of the </w:t>
      </w:r>
      <w:r w:rsidRPr="00F02C4A">
        <w:rPr>
          <w:rFonts w:cs="Times New Roman"/>
          <w:i/>
        </w:rPr>
        <w:t>Family Law Act</w:t>
      </w:r>
      <w:r w:rsidRPr="00F02C4A">
        <w:rPr>
          <w:rFonts w:cs="Times New Roman"/>
        </w:rPr>
        <w:t xml:space="preserve"> means that courts may hear variation applications for historical child support. </w:t>
      </w:r>
      <w:bookmarkStart w:id="52" w:name="_Toc38610223"/>
      <w:bookmarkEnd w:id="42"/>
      <w:r w:rsidRPr="00F02C4A">
        <w:rPr>
          <w:rFonts w:cs="Times New Roman"/>
        </w:rPr>
        <w:t>Recognizing that there is no bar preventing the consideration of historical child support for variation applications calls into question whether one should continue to exist for original orders under s.</w:t>
      </w:r>
      <w:r>
        <w:rPr>
          <w:rFonts w:cs="Times New Roman"/>
        </w:rPr>
        <w:t xml:space="preserve"> </w:t>
      </w:r>
      <w:r w:rsidRPr="00F02C4A">
        <w:rPr>
          <w:rFonts w:cs="Times New Roman"/>
        </w:rPr>
        <w:t xml:space="preserve">15.1 of the </w:t>
      </w:r>
      <w:r w:rsidRPr="00F02C4A">
        <w:rPr>
          <w:rFonts w:cs="Times New Roman"/>
          <w:i/>
        </w:rPr>
        <w:t>Divorce Act</w:t>
      </w:r>
      <w:r w:rsidRPr="00F02C4A">
        <w:rPr>
          <w:rFonts w:cs="Times New Roman"/>
        </w:rPr>
        <w:t xml:space="preserve">. As Goepel J.A. compellingly stated in </w:t>
      </w:r>
      <w:r w:rsidRPr="00F02C4A">
        <w:rPr>
          <w:rFonts w:cs="Times New Roman"/>
          <w:i/>
        </w:rPr>
        <w:t>Dring</w:t>
      </w:r>
      <w:r w:rsidRPr="00F02C4A">
        <w:rPr>
          <w:rFonts w:cs="Times New Roman"/>
        </w:rPr>
        <w:t>:</w:t>
      </w:r>
    </w:p>
    <w:p w:rsidR="00A27006" w:rsidRPr="00F02C4A" w:rsidRDefault="00A27006" w:rsidP="00A27006">
      <w:pPr>
        <w:ind w:left="720"/>
        <w:jc w:val="both"/>
      </w:pPr>
      <w:r w:rsidRPr="00F02C4A">
        <w:t>There is no juridical or rational reason to distinguish the two situations. Parties are encouraged to settle their disputes outside the court process. When parties have reached an agreement concerning child support it is often pure happenstance whether they take the additional step of having their agreement embodied in a court order. I would suggest this is particularly so in the case of unmarried parents when child support is the only issue they need resolve. [para. 97]</w:t>
      </w:r>
    </w:p>
    <w:p w:rsidR="00A27006" w:rsidRPr="00F02C4A" w:rsidRDefault="00A27006" w:rsidP="00A27006">
      <w:pPr>
        <w:pStyle w:val="ParaNoNdepar-AltN"/>
        <w:numPr>
          <w:ilvl w:val="0"/>
          <w:numId w:val="7"/>
        </w:numPr>
        <w:rPr>
          <w:rFonts w:cs="Times New Roman"/>
        </w:rPr>
      </w:pPr>
      <w:r w:rsidRPr="00F02C4A">
        <w:rPr>
          <w:rFonts w:cs="Times New Roman"/>
        </w:rPr>
        <w:t xml:space="preserve">It may thus be time to reconsider the </w:t>
      </w:r>
      <w:r w:rsidRPr="00F02C4A">
        <w:rPr>
          <w:rFonts w:cs="Times New Roman"/>
          <w:i/>
        </w:rPr>
        <w:t>obiter</w:t>
      </w:r>
      <w:r w:rsidRPr="00F02C4A">
        <w:rPr>
          <w:rFonts w:cs="Times New Roman"/>
        </w:rPr>
        <w:t xml:space="preserve"> comments from </w:t>
      </w:r>
      <w:r w:rsidRPr="00F02C4A">
        <w:rPr>
          <w:rFonts w:cs="Times New Roman"/>
          <w:i/>
        </w:rPr>
        <w:t>D.B.S.</w:t>
      </w:r>
      <w:r w:rsidRPr="00F02C4A">
        <w:rPr>
          <w:rFonts w:cs="Times New Roman"/>
        </w:rPr>
        <w:t xml:space="preserve"> that stated that there is a procedural bar preventing courts from hearing original applications for historical child support. </w:t>
      </w:r>
    </w:p>
    <w:p w:rsidR="00A27006" w:rsidRPr="00F02C4A" w:rsidRDefault="00A27006" w:rsidP="00A27006">
      <w:pPr>
        <w:pStyle w:val="ParaNoNdepar-AltN"/>
        <w:numPr>
          <w:ilvl w:val="0"/>
          <w:numId w:val="7"/>
        </w:numPr>
        <w:rPr>
          <w:rFonts w:cs="Times New Roman"/>
          <w:szCs w:val="24"/>
          <w:lang w:val="en-US"/>
        </w:rPr>
      </w:pPr>
      <w:r w:rsidRPr="00F02C4A">
        <w:rPr>
          <w:rFonts w:cs="Times New Roman"/>
        </w:rPr>
        <w:t>This Court has been prepared to revisit precedents that are “unsound in principle, that had proven to be unworkable and unnecessarily complex to apply, or that had attracted significant and valid judicial, academic and other criticism” (</w:t>
      </w:r>
      <w:r w:rsidRPr="00F02C4A">
        <w:rPr>
          <w:rFonts w:cs="Times New Roman"/>
          <w:i/>
        </w:rPr>
        <w:t>Vavilov</w:t>
      </w:r>
      <w:r w:rsidRPr="00F02C4A">
        <w:rPr>
          <w:rFonts w:cs="Times New Roman"/>
        </w:rPr>
        <w:t xml:space="preserve">, at para. 20). It has also recognized that precedents may be appropriately revisited when they result in unfairness (see </w:t>
      </w:r>
      <w:r w:rsidRPr="00F02C4A">
        <w:rPr>
          <w:rFonts w:cs="Times New Roman"/>
          <w:i/>
        </w:rPr>
        <w:t>R. v. Henry</w:t>
      </w:r>
      <w:r w:rsidRPr="00F02C4A">
        <w:rPr>
          <w:rFonts w:cs="Times New Roman"/>
        </w:rPr>
        <w:t xml:space="preserve">, 2005 SCC 76, [2005] 3 S.C.R. 609, at paras. 45-46; </w:t>
      </w:r>
      <w:r w:rsidRPr="00F02C4A">
        <w:rPr>
          <w:rFonts w:cs="Times New Roman"/>
          <w:i/>
        </w:rPr>
        <w:t>Ontario (Attorney General) v. Fraser</w:t>
      </w:r>
      <w:r w:rsidRPr="00F02C4A">
        <w:rPr>
          <w:rFonts w:cs="Times New Roman"/>
        </w:rPr>
        <w:t xml:space="preserve">, 2011 SCC 20, [2011] 2 S.C.R. 3, at para. 135, per Rothstein J.). None of the four appeals heard in </w:t>
      </w:r>
      <w:r w:rsidRPr="00F02C4A">
        <w:rPr>
          <w:rFonts w:cs="Times New Roman"/>
          <w:i/>
          <w:iCs/>
        </w:rPr>
        <w:t>D.B.S.</w:t>
      </w:r>
      <w:r w:rsidRPr="00F02C4A">
        <w:rPr>
          <w:rFonts w:cs="Times New Roman"/>
        </w:rPr>
        <w:t xml:space="preserve"> were original applications for historical child support.</w:t>
      </w:r>
      <w:r w:rsidR="00B25CB1">
        <w:rPr>
          <w:rStyle w:val="FootnoteReference"/>
          <w:rFonts w:cs="Times New Roman"/>
        </w:rPr>
        <w:footnoteReference w:id="13"/>
      </w:r>
      <w:r w:rsidR="00B25CB1" w:rsidRPr="00F02C4A">
        <w:rPr>
          <w:rFonts w:cs="Times New Roman"/>
        </w:rPr>
        <w:t xml:space="preserve"> </w:t>
      </w:r>
      <w:r w:rsidRPr="00F02C4A">
        <w:rPr>
          <w:rFonts w:cs="Times New Roman"/>
        </w:rPr>
        <w:t xml:space="preserve">The divided and confused jurisprudence that has followed </w:t>
      </w:r>
      <w:r w:rsidRPr="00F02C4A">
        <w:rPr>
          <w:rFonts w:cs="Times New Roman"/>
          <w:i/>
        </w:rPr>
        <w:t>D.B.S.</w:t>
      </w:r>
      <w:r w:rsidRPr="00F02C4A">
        <w:rPr>
          <w:rFonts w:cs="Times New Roman"/>
        </w:rPr>
        <w:t xml:space="preserve"> evinces the unsound bases of the “jurisdictional bar” on original orders for child support, has rendered its application unnecessarily complex and operates to undermine the legislative objectives of clarity, certainty and consistency.</w:t>
      </w:r>
      <w:r w:rsidRPr="00F02C4A">
        <w:rPr>
          <w:rFonts w:eastAsiaTheme="minorHAnsi" w:cs="Times New Roman"/>
        </w:rPr>
        <w:t xml:space="preserve"> </w:t>
      </w:r>
      <w:r w:rsidRPr="00F02C4A">
        <w:rPr>
          <w:rFonts w:cs="Times New Roman"/>
        </w:rPr>
        <w:t xml:space="preserve">The deleterious effects on access to justice and the relationship between child support underpayment and poverty canvassed above reveal the profound unfairness visited upon children and their custodians by this bar. All of these reasons make clear that the question of a “jurisdictional bar” on historical child support sought by original orders under the </w:t>
      </w:r>
      <w:r w:rsidRPr="00F02C4A">
        <w:rPr>
          <w:rFonts w:cs="Times New Roman"/>
          <w:i/>
        </w:rPr>
        <w:t>Divorce Act</w:t>
      </w:r>
      <w:r w:rsidRPr="00F02C4A">
        <w:rPr>
          <w:rFonts w:cs="Times New Roman"/>
        </w:rPr>
        <w:t xml:space="preserve"> is ripe for reconsideration. However, given that reconsidering this issue is unnecessary to resolve this appeal, I leave its determination to a more appropriate case.</w:t>
      </w:r>
    </w:p>
    <w:p w:rsidR="00A27006" w:rsidRPr="00F02C4A" w:rsidRDefault="00A27006" w:rsidP="00A27006">
      <w:pPr>
        <w:pStyle w:val="Title1LevelTitre1Niveau-AltL"/>
        <w:rPr>
          <w:rFonts w:cs="Times New Roman"/>
        </w:rPr>
      </w:pPr>
      <w:bookmarkStart w:id="53" w:name="_Toc38610230"/>
      <w:bookmarkStart w:id="54" w:name="_Toc46428247"/>
      <w:bookmarkStart w:id="55" w:name="_Toc48626821"/>
      <w:bookmarkEnd w:id="52"/>
      <w:r w:rsidRPr="00F02C4A">
        <w:rPr>
          <w:rFonts w:cs="Times New Roman"/>
        </w:rPr>
        <w:t>Factors Affecting Awards for Retroactive and Historical Child Support</w:t>
      </w:r>
      <w:bookmarkEnd w:id="53"/>
      <w:r w:rsidRPr="00F02C4A">
        <w:rPr>
          <w:rFonts w:cs="Times New Roman"/>
        </w:rPr>
        <w:t xml:space="preserve"> and the Date of Retroactivity</w:t>
      </w:r>
      <w:bookmarkEnd w:id="54"/>
      <w:bookmarkEnd w:id="55"/>
    </w:p>
    <w:p w:rsidR="00A27006" w:rsidRPr="00F02C4A" w:rsidRDefault="00A27006" w:rsidP="00A27006">
      <w:pPr>
        <w:pStyle w:val="ParaNoNdepar-AltN"/>
        <w:numPr>
          <w:ilvl w:val="0"/>
          <w:numId w:val="7"/>
        </w:numPr>
        <w:rPr>
          <w:rFonts w:cs="Times New Roman"/>
        </w:rPr>
      </w:pPr>
      <w:r w:rsidRPr="00F02C4A">
        <w:rPr>
          <w:rFonts w:cs="Times New Roman"/>
        </w:rPr>
        <w:t xml:space="preserve">Removing the jurisdictional bar from variation applications means that courts will be called upon to hear these matters on their merits. Courts are well equipped to do justice in individual cases. Judges will still have to first determine whether there is a debt outstanding and will then also have to consider what would be a fair award under the </w:t>
      </w:r>
      <w:r w:rsidRPr="00F02C4A">
        <w:rPr>
          <w:rFonts w:cs="Times New Roman"/>
          <w:i/>
        </w:rPr>
        <w:t>D.B.S.</w:t>
      </w:r>
      <w:r w:rsidRPr="00F02C4A">
        <w:rPr>
          <w:rFonts w:cs="Times New Roman"/>
        </w:rPr>
        <w:t xml:space="preserve"> factors. In this section, I review the application of the </w:t>
      </w:r>
      <w:r w:rsidRPr="00F02C4A">
        <w:rPr>
          <w:rFonts w:cs="Times New Roman"/>
          <w:i/>
        </w:rPr>
        <w:t>D.B.S.</w:t>
      </w:r>
      <w:r w:rsidRPr="00F02C4A">
        <w:rPr>
          <w:rFonts w:cs="Times New Roman"/>
        </w:rPr>
        <w:t xml:space="preserve"> factors to awards of historical child support.</w:t>
      </w:r>
    </w:p>
    <w:p w:rsidR="00A27006" w:rsidRPr="00F02C4A" w:rsidRDefault="00A27006" w:rsidP="00A27006">
      <w:pPr>
        <w:pStyle w:val="Title2LevelTitre2Niveau"/>
        <w:rPr>
          <w:rFonts w:cs="Times New Roman"/>
        </w:rPr>
      </w:pPr>
      <w:bookmarkStart w:id="56" w:name="_Toc38610232"/>
      <w:bookmarkStart w:id="57" w:name="_Toc46428248"/>
      <w:bookmarkStart w:id="58" w:name="_Toc48626822"/>
      <w:r w:rsidRPr="00F02C4A">
        <w:rPr>
          <w:rFonts w:cs="Times New Roman"/>
        </w:rPr>
        <w:t>The D.B.S. Factors</w:t>
      </w:r>
      <w:bookmarkEnd w:id="56"/>
      <w:bookmarkEnd w:id="57"/>
      <w:bookmarkEnd w:id="58"/>
    </w:p>
    <w:p w:rsidR="00A27006" w:rsidRPr="00F02C4A" w:rsidRDefault="00A27006" w:rsidP="00A27006">
      <w:pPr>
        <w:pStyle w:val="ParaNoNdepar-AltN"/>
        <w:numPr>
          <w:ilvl w:val="0"/>
          <w:numId w:val="7"/>
        </w:numPr>
        <w:rPr>
          <w:rFonts w:cs="Times New Roman"/>
          <w:lang w:val="en-US"/>
        </w:rPr>
      </w:pPr>
      <w:r w:rsidRPr="00F02C4A">
        <w:rPr>
          <w:rFonts w:cs="Times New Roman"/>
          <w:lang w:val="en-US"/>
        </w:rPr>
        <w:t xml:space="preserve">In </w:t>
      </w:r>
      <w:r w:rsidRPr="00F02C4A">
        <w:rPr>
          <w:rFonts w:cs="Times New Roman"/>
          <w:i/>
          <w:lang w:val="en-US"/>
        </w:rPr>
        <w:t>D.B.S.</w:t>
      </w:r>
      <w:r w:rsidRPr="00F02C4A">
        <w:rPr>
          <w:rFonts w:cs="Times New Roman"/>
          <w:lang w:val="en-US"/>
        </w:rPr>
        <w:t xml:space="preserve">, the majority presented four factors to help determine when an award for retroactive child support is appropriate: </w:t>
      </w:r>
      <w:r w:rsidRPr="00F02C4A">
        <w:rPr>
          <w:rFonts w:cs="Times New Roman"/>
        </w:rPr>
        <w:t>the recipient parent’s reason(s) for delaying their application for child support;</w:t>
      </w:r>
      <w:r w:rsidRPr="00F02C4A">
        <w:rPr>
          <w:rFonts w:cs="Times New Roman"/>
          <w:lang w:val="en-US"/>
        </w:rPr>
        <w:t xml:space="preserve"> </w:t>
      </w:r>
      <w:r w:rsidRPr="00F02C4A">
        <w:rPr>
          <w:rFonts w:cs="Times New Roman"/>
        </w:rPr>
        <w:t>the conduct of the payor parent; the circumstances of the child; and the hardship the award creates for the payor parent.</w:t>
      </w:r>
      <w:r w:rsidRPr="00F02C4A">
        <w:rPr>
          <w:rFonts w:cs="Times New Roman"/>
          <w:lang w:val="en-US"/>
        </w:rPr>
        <w:t xml:space="preserve"> No one factor is decisive. These factors must be interpreted and applied in accordance with the fact that, as noted above, retroactive support is for a legally enforceable debt: by default, monies that were owed to the child but were unpaid ought to give rise to an award. </w:t>
      </w:r>
      <w:r w:rsidRPr="00F02C4A">
        <w:rPr>
          <w:rFonts w:cs="Times New Roman"/>
          <w:iCs/>
        </w:rPr>
        <w:t xml:space="preserve">In applying the </w:t>
      </w:r>
      <w:r w:rsidRPr="00F02C4A">
        <w:rPr>
          <w:rFonts w:cs="Times New Roman"/>
          <w:i/>
          <w:iCs/>
        </w:rPr>
        <w:t>D.B.S.</w:t>
      </w:r>
      <w:r w:rsidRPr="00F02C4A">
        <w:rPr>
          <w:rFonts w:cs="Times New Roman"/>
          <w:iCs/>
        </w:rPr>
        <w:t xml:space="preserve"> factors, courts should be careful to avoid the past judicial error of treating child support as a lesser form of debt where debtors are entitled to an unusual leniency not present in other areas of creditor-debtor law (see </w:t>
      </w:r>
      <w:r w:rsidRPr="00F02C4A">
        <w:rPr>
          <w:rFonts w:cs="Times New Roman"/>
          <w:i/>
          <w:iCs/>
        </w:rPr>
        <w:t>Hunt</w:t>
      </w:r>
      <w:r w:rsidRPr="00F02C4A">
        <w:rPr>
          <w:rFonts w:cs="Times New Roman"/>
          <w:iCs/>
        </w:rPr>
        <w:t>, at para. 19)</w:t>
      </w:r>
      <w:r w:rsidRPr="00F02C4A">
        <w:rPr>
          <w:rFonts w:cs="Times New Roman"/>
          <w:lang w:val="en-US"/>
        </w:rPr>
        <w:t xml:space="preserve">. </w:t>
      </w:r>
    </w:p>
    <w:p w:rsidR="00A27006" w:rsidRPr="00F02C4A" w:rsidRDefault="00A27006" w:rsidP="00A27006">
      <w:pPr>
        <w:pStyle w:val="ParaNoNdepar-AltN"/>
        <w:numPr>
          <w:ilvl w:val="0"/>
          <w:numId w:val="7"/>
        </w:numPr>
        <w:rPr>
          <w:rFonts w:cs="Times New Roman"/>
          <w:lang w:val="en-US"/>
        </w:rPr>
      </w:pPr>
      <w:r w:rsidRPr="00F02C4A">
        <w:rPr>
          <w:rFonts w:cs="Times New Roman"/>
          <w:lang w:val="en-US"/>
        </w:rPr>
        <w:t xml:space="preserve">I now turn to the four </w:t>
      </w:r>
      <w:r w:rsidRPr="00F02C4A">
        <w:rPr>
          <w:rFonts w:cs="Times New Roman"/>
          <w:i/>
          <w:lang w:val="en-US"/>
        </w:rPr>
        <w:t>D.B.S.</w:t>
      </w:r>
      <w:r w:rsidRPr="00F02C4A">
        <w:rPr>
          <w:rFonts w:cs="Times New Roman"/>
          <w:lang w:val="en-US"/>
        </w:rPr>
        <w:t xml:space="preserve"> factors as they arise in the context of historical claims.</w:t>
      </w:r>
    </w:p>
    <w:p w:rsidR="00A27006" w:rsidRPr="00F02C4A" w:rsidRDefault="00A27006" w:rsidP="00A27006">
      <w:pPr>
        <w:pStyle w:val="Title3LevelTitre3Niveau"/>
        <w:rPr>
          <w:rFonts w:cs="Times New Roman"/>
        </w:rPr>
      </w:pPr>
      <w:bookmarkStart w:id="59" w:name="_Toc38610233"/>
      <w:bookmarkStart w:id="60" w:name="_Toc46428249"/>
      <w:bookmarkStart w:id="61" w:name="_Toc48626823"/>
      <w:r w:rsidRPr="00F02C4A">
        <w:rPr>
          <w:rFonts w:cs="Times New Roman"/>
        </w:rPr>
        <w:t>The Reasons for the Delay</w:t>
      </w:r>
      <w:bookmarkEnd w:id="59"/>
      <w:bookmarkEnd w:id="60"/>
      <w:bookmarkEnd w:id="61"/>
    </w:p>
    <w:p w:rsidR="00A27006" w:rsidRPr="00F02C4A" w:rsidRDefault="00A27006" w:rsidP="00A27006">
      <w:pPr>
        <w:pStyle w:val="ParaNoNdepar-AltN"/>
        <w:numPr>
          <w:ilvl w:val="0"/>
          <w:numId w:val="7"/>
        </w:numPr>
        <w:rPr>
          <w:rFonts w:cs="Times New Roman"/>
        </w:rPr>
      </w:pPr>
      <w:r w:rsidRPr="00F02C4A">
        <w:rPr>
          <w:rFonts w:cs="Times New Roman"/>
        </w:rPr>
        <w:t xml:space="preserve">This factor requires the court to consider why a claimant waited to bring an application. While timely applications are the norm and are to be encouraged, there are many reasons why even a person in need may delay making an application. In light of what the jurisprudence discloses, the focus should be on whether the reason provided is understandable. I do not think we should be looking for a “reasonable </w:t>
      </w:r>
      <w:r w:rsidRPr="00F02C4A">
        <w:rPr>
          <w:rFonts w:cs="Times New Roman"/>
          <w:u w:val="single"/>
        </w:rPr>
        <w:t>excuse</w:t>
      </w:r>
      <w:r w:rsidRPr="00F02C4A">
        <w:rPr>
          <w:rFonts w:cs="Times New Roman"/>
        </w:rPr>
        <w:t>” for the recipient parent’s delay (</w:t>
      </w:r>
      <w:r w:rsidRPr="00F02C4A">
        <w:rPr>
          <w:rFonts w:cs="Times New Roman"/>
          <w:i/>
        </w:rPr>
        <w:t>D.B.S.</w:t>
      </w:r>
      <w:r w:rsidRPr="00F02C4A">
        <w:rPr>
          <w:rFonts w:cs="Times New Roman"/>
        </w:rPr>
        <w:t>, at paras. 100-</w:t>
      </w:r>
      <w:r w:rsidR="009352AF">
        <w:rPr>
          <w:rFonts w:cs="Times New Roman"/>
        </w:rPr>
        <w:t>10</w:t>
      </w:r>
      <w:r w:rsidRPr="00F02C4A">
        <w:rPr>
          <w:rFonts w:cs="Times New Roman"/>
        </w:rPr>
        <w:t xml:space="preserve">3 (emphasis added)). That language, unfortunately, works to implicitly attribute blame onto parents who delay applications for child support. </w:t>
      </w:r>
    </w:p>
    <w:p w:rsidR="00A27006" w:rsidRPr="00F02C4A" w:rsidRDefault="00A27006" w:rsidP="00A27006">
      <w:pPr>
        <w:pStyle w:val="ParaNoNdepar-AltN"/>
        <w:numPr>
          <w:ilvl w:val="0"/>
          <w:numId w:val="7"/>
        </w:numPr>
        <w:rPr>
          <w:rFonts w:cs="Times New Roman"/>
        </w:rPr>
      </w:pPr>
      <w:r w:rsidRPr="00F02C4A">
        <w:rPr>
          <w:rFonts w:cs="Times New Roman"/>
        </w:rPr>
        <w:t xml:space="preserve">An analysis of Canadian case law on historical and retroactive child support awards since </w:t>
      </w:r>
      <w:r w:rsidRPr="00F02C4A">
        <w:rPr>
          <w:rFonts w:cs="Times New Roman"/>
          <w:i/>
        </w:rPr>
        <w:t>D.B.S.</w:t>
      </w:r>
      <w:r w:rsidRPr="00F02C4A">
        <w:rPr>
          <w:rFonts w:cs="Times New Roman"/>
        </w:rPr>
        <w:t xml:space="preserve"> shows that courts focused on “excuses” have often been too quick to use this criterion as more of a precondition to an award than as one of many factors to consider. Indeed, “[d]elay is invariably raised as a defence to a claim for retroactive child support” (Gordon (2012), at p. 74), with courts interpreting </w:t>
      </w:r>
      <w:r w:rsidRPr="00F02C4A">
        <w:rPr>
          <w:rFonts w:cs="Times New Roman"/>
          <w:i/>
        </w:rPr>
        <w:t>D.B.S.</w:t>
      </w:r>
      <w:r w:rsidRPr="00F02C4A">
        <w:rPr>
          <w:rFonts w:cs="Times New Roman"/>
        </w:rPr>
        <w:t xml:space="preserve"> as imposing upon recipients a “positive duty</w:t>
      </w:r>
      <w:r w:rsidR="00C04EFB">
        <w:rPr>
          <w:rFonts w:cs="Times New Roman"/>
        </w:rPr>
        <w:t xml:space="preserve"> </w:t>
      </w:r>
      <w:r w:rsidRPr="00F02C4A">
        <w:rPr>
          <w:rFonts w:cs="Times New Roman"/>
        </w:rPr>
        <w:t xml:space="preserve">. . . to ensure that support was adequate” (D. Smith, “Retroactive Child Support — An Update” (2007), 26 </w:t>
      </w:r>
      <w:r w:rsidRPr="00F02C4A">
        <w:rPr>
          <w:rFonts w:cs="Times New Roman"/>
          <w:i/>
        </w:rPr>
        <w:t>C.F.L.Q.</w:t>
      </w:r>
      <w:r w:rsidRPr="00F02C4A">
        <w:rPr>
          <w:rFonts w:cs="Times New Roman"/>
        </w:rPr>
        <w:t xml:space="preserve"> 209, at p. 245). At times, courts have considered that a failure to “justify” the recipient’s delay mitigated against a retroactive award (see, e.g., </w:t>
      </w:r>
      <w:r w:rsidRPr="00F02C4A">
        <w:rPr>
          <w:rFonts w:cs="Times New Roman"/>
          <w:i/>
        </w:rPr>
        <w:t>A</w:t>
      </w:r>
      <w:r w:rsidRPr="00F02C4A">
        <w:rPr>
          <w:rFonts w:cs="Times New Roman"/>
          <w:bCs/>
          <w:i/>
          <w:iCs/>
          <w:shd w:val="clear" w:color="auto" w:fill="FFFFFF"/>
        </w:rPr>
        <w:t>nderson v. Laboucan</w:t>
      </w:r>
      <w:r w:rsidRPr="00F02C4A">
        <w:rPr>
          <w:rFonts w:cs="Times New Roman"/>
          <w:bCs/>
          <w:iCs/>
          <w:shd w:val="clear" w:color="auto" w:fill="FFFFFF"/>
        </w:rPr>
        <w:t>, 2017 ABQB 642, at paras 45-55</w:t>
      </w:r>
      <w:r w:rsidRPr="00F02C4A">
        <w:rPr>
          <w:rFonts w:cs="Times New Roman"/>
        </w:rPr>
        <w:t xml:space="preserve"> </w:t>
      </w:r>
      <w:r w:rsidRPr="00F02C4A">
        <w:rPr>
          <w:rFonts w:cs="Times New Roman"/>
          <w:bCs/>
          <w:iCs/>
          <w:shd w:val="clear" w:color="auto" w:fill="FFFFFF"/>
        </w:rPr>
        <w:t xml:space="preserve">(CanLII); </w:t>
      </w:r>
      <w:r w:rsidRPr="00F02C4A">
        <w:rPr>
          <w:rFonts w:cs="Times New Roman"/>
          <w:bCs/>
          <w:i/>
          <w:iCs/>
          <w:shd w:val="clear" w:color="auto" w:fill="FFFFFF"/>
        </w:rPr>
        <w:t>Baldwin v. Funston</w:t>
      </w:r>
      <w:r w:rsidRPr="00F02C4A">
        <w:rPr>
          <w:rFonts w:cs="Times New Roman"/>
        </w:rPr>
        <w:t xml:space="preserve"> </w:t>
      </w:r>
      <w:r w:rsidRPr="00F02C4A">
        <w:rPr>
          <w:rFonts w:cs="Times New Roman"/>
          <w:bCs/>
          <w:iCs/>
          <w:shd w:val="clear" w:color="auto" w:fill="FFFFFF"/>
        </w:rPr>
        <w:t xml:space="preserve">(2007), 85 O.R. (3d) 721 (C.A.), at para. 25; </w:t>
      </w:r>
      <w:r w:rsidRPr="00F02C4A">
        <w:rPr>
          <w:rFonts w:cs="Times New Roman"/>
          <w:bCs/>
          <w:i/>
          <w:iCs/>
          <w:shd w:val="clear" w:color="auto" w:fill="FFFFFF"/>
        </w:rPr>
        <w:t>Foster v. Foster</w:t>
      </w:r>
      <w:r w:rsidRPr="00F02C4A">
        <w:rPr>
          <w:rFonts w:cs="Times New Roman"/>
          <w:bCs/>
          <w:iCs/>
          <w:shd w:val="clear" w:color="auto" w:fill="FFFFFF"/>
        </w:rPr>
        <w:t>, 2013 BCCA 205</w:t>
      </w:r>
      <w:r w:rsidRPr="00F02C4A">
        <w:rPr>
          <w:rFonts w:cs="Times New Roman"/>
        </w:rPr>
        <w:t xml:space="preserve">, at para. 17 (CanLII)) or against an enlarged temporal scope, even if blameworthy conduct was present (see, e.g., </w:t>
      </w:r>
      <w:r w:rsidRPr="00F02C4A">
        <w:rPr>
          <w:rFonts w:cs="Times New Roman"/>
          <w:i/>
        </w:rPr>
        <w:t>Tepleski v. Girardin</w:t>
      </w:r>
      <w:r w:rsidRPr="00F02C4A">
        <w:rPr>
          <w:rFonts w:cs="Times New Roman"/>
        </w:rPr>
        <w:t xml:space="preserve">, 2017 MBCA 37, at paras. 24-28 (CanLII)). </w:t>
      </w:r>
    </w:p>
    <w:p w:rsidR="00A27006" w:rsidRPr="00F02C4A" w:rsidRDefault="00A27006" w:rsidP="00A27006">
      <w:pPr>
        <w:pStyle w:val="ParaNoNdepar-AltN"/>
        <w:numPr>
          <w:ilvl w:val="0"/>
          <w:numId w:val="7"/>
        </w:numPr>
        <w:rPr>
          <w:rFonts w:cs="Times New Roman"/>
        </w:rPr>
      </w:pPr>
      <w:r w:rsidRPr="00F02C4A">
        <w:rPr>
          <w:rFonts w:cs="Times New Roman"/>
        </w:rPr>
        <w:t>It bears repeating that a delay, in itself, is not inherently unreasonable and the mere fact of a delay does not prejudice an application, as not all factors need to be present for a retroactive award to be granted (</w:t>
      </w:r>
      <w:r w:rsidRPr="00F02C4A">
        <w:rPr>
          <w:rFonts w:cs="Times New Roman"/>
          <w:i/>
        </w:rPr>
        <w:t>D.B.S.</w:t>
      </w:r>
      <w:r w:rsidRPr="00F02C4A">
        <w:rPr>
          <w:rFonts w:cs="Times New Roman"/>
        </w:rPr>
        <w:t xml:space="preserve">, at para. 99; </w:t>
      </w:r>
      <w:r w:rsidRPr="00F02C4A">
        <w:rPr>
          <w:rFonts w:cs="Times New Roman"/>
          <w:i/>
        </w:rPr>
        <w:t>Swiderski</w:t>
      </w:r>
      <w:r w:rsidR="009352AF">
        <w:rPr>
          <w:rFonts w:cs="Times New Roman"/>
        </w:rPr>
        <w:t xml:space="preserve"> (C.A.), at para. 43</w:t>
      </w:r>
      <w:r w:rsidRPr="00F02C4A">
        <w:rPr>
          <w:rFonts w:cs="Times New Roman"/>
        </w:rPr>
        <w:t>). Rather, a delay will be prejudicial only if it is deemed to be “unreasonable”, taking into account a generous appreciation of the social context in which the claimant’s decision to seek child support was made (</w:t>
      </w:r>
      <w:r w:rsidRPr="00F02C4A">
        <w:rPr>
          <w:rFonts w:cs="Times New Roman"/>
          <w:i/>
        </w:rPr>
        <w:t>D.B.S.</w:t>
      </w:r>
      <w:r w:rsidRPr="00F02C4A">
        <w:rPr>
          <w:rFonts w:cs="Times New Roman"/>
        </w:rPr>
        <w:t xml:space="preserve">, at para. 101). Indeed, the courts should not hold constraints and inequalities faced by recipient parents against the child. Accordingly, a delay motivated by any one of the reasons set out above, at para. 48, should generally not be understood as arbitrary within the meaning of </w:t>
      </w:r>
      <w:r w:rsidRPr="00F02C4A">
        <w:rPr>
          <w:rFonts w:cs="Times New Roman"/>
          <w:i/>
        </w:rPr>
        <w:t>D.B.S</w:t>
      </w:r>
      <w:r w:rsidRPr="00F02C4A">
        <w:rPr>
          <w:rFonts w:cs="Times New Roman"/>
        </w:rPr>
        <w:t>. Lastly, an unreasonable basis for the delay does not negate the payor parent’s blameworthy conduct; indeed the blameworthy conduct may sometimes cause or contribute to the delay.</w:t>
      </w:r>
    </w:p>
    <w:p w:rsidR="00A27006" w:rsidRPr="00F02C4A" w:rsidRDefault="00A27006" w:rsidP="00A27006">
      <w:pPr>
        <w:pStyle w:val="ParaNoNdepar-AltN"/>
        <w:numPr>
          <w:ilvl w:val="0"/>
          <w:numId w:val="7"/>
        </w:numPr>
        <w:rPr>
          <w:rFonts w:cs="Times New Roman"/>
        </w:rPr>
      </w:pPr>
      <w:r w:rsidRPr="00F02C4A">
        <w:rPr>
          <w:rFonts w:cs="Times New Roman"/>
        </w:rPr>
        <w:t xml:space="preserve">Courts may pay particular attention to the length of the delay </w:t>
      </w:r>
      <w:r w:rsidRPr="00F02C4A">
        <w:rPr>
          <w:rFonts w:cs="Times New Roman"/>
          <w:i/>
        </w:rPr>
        <w:t>after</w:t>
      </w:r>
      <w:r w:rsidRPr="00F02C4A">
        <w:rPr>
          <w:rFonts w:cs="Times New Roman"/>
        </w:rPr>
        <w:t xml:space="preserve"> the beneficiary ceased to be a “child” or “child of the marriage” </w:t>
      </w:r>
      <w:r w:rsidRPr="00F02C4A">
        <w:rPr>
          <w:rFonts w:cs="Times New Roman"/>
          <w:i/>
        </w:rPr>
        <w:t>or after</w:t>
      </w:r>
      <w:r w:rsidRPr="00F02C4A">
        <w:rPr>
          <w:rFonts w:cs="Times New Roman"/>
        </w:rPr>
        <w:t xml:space="preserve"> the reason that caused the delay has ceased to be. The longer this delay, the more weight may go against the justification (</w:t>
      </w:r>
      <w:r w:rsidRPr="00F02C4A">
        <w:rPr>
          <w:rFonts w:cs="Times New Roman"/>
          <w:i/>
        </w:rPr>
        <w:t>Dring</w:t>
      </w:r>
      <w:r w:rsidRPr="00F02C4A">
        <w:rPr>
          <w:rFonts w:cs="Times New Roman"/>
        </w:rPr>
        <w:t xml:space="preserve">, at para. 177, per Hunter J.A.). This tends to uphold the values of certainty and finality, with the goal of encouraging parties to move forward with their lives following family breakdown (see </w:t>
      </w:r>
      <w:r w:rsidRPr="00F02C4A">
        <w:rPr>
          <w:rFonts w:cs="Times New Roman"/>
          <w:i/>
        </w:rPr>
        <w:t>Colucci</w:t>
      </w:r>
      <w:r w:rsidRPr="00F02C4A">
        <w:rPr>
          <w:rFonts w:cs="Times New Roman"/>
        </w:rPr>
        <w:t>, at para. 28).</w:t>
      </w:r>
    </w:p>
    <w:p w:rsidR="00A27006" w:rsidRPr="00F02C4A" w:rsidRDefault="00A27006" w:rsidP="00A27006">
      <w:pPr>
        <w:pStyle w:val="Title3LevelTitre3Niveau"/>
        <w:rPr>
          <w:rFonts w:cs="Times New Roman"/>
        </w:rPr>
      </w:pPr>
      <w:bookmarkStart w:id="62" w:name="_Toc38610234"/>
      <w:bookmarkStart w:id="63" w:name="_Toc46428250"/>
      <w:bookmarkStart w:id="64" w:name="_Toc48626824"/>
      <w:r w:rsidRPr="00F02C4A">
        <w:rPr>
          <w:rFonts w:cs="Times New Roman"/>
        </w:rPr>
        <w:t>Conduct of the Payor Parent</w:t>
      </w:r>
      <w:bookmarkEnd w:id="62"/>
      <w:bookmarkEnd w:id="63"/>
      <w:bookmarkEnd w:id="64"/>
    </w:p>
    <w:p w:rsidR="00A27006" w:rsidRPr="00F02C4A" w:rsidRDefault="00A27006" w:rsidP="00A27006">
      <w:pPr>
        <w:pStyle w:val="ParaNoNdepar-AltN"/>
        <w:numPr>
          <w:ilvl w:val="0"/>
          <w:numId w:val="7"/>
        </w:numPr>
        <w:rPr>
          <w:rFonts w:cs="Times New Roman"/>
        </w:rPr>
      </w:pPr>
      <w:r w:rsidRPr="00F02C4A">
        <w:rPr>
          <w:rFonts w:cs="Times New Roman"/>
        </w:rPr>
        <w:t xml:space="preserve">This factor effectively serves to place the payor’s conduct on a scale of blameworthiness. </w:t>
      </w:r>
      <w:r w:rsidRPr="00F02C4A">
        <w:rPr>
          <w:rFonts w:cs="Times New Roman"/>
          <w:i/>
        </w:rPr>
        <w:t>D.B.S.</w:t>
      </w:r>
      <w:r w:rsidRPr="00F02C4A">
        <w:rPr>
          <w:rFonts w:cs="Times New Roman"/>
        </w:rPr>
        <w:t xml:space="preserve"> purposively provided an expansive definition of blameworthy conduct, being “anything that privileges the payor parent’s own interests over [their] children’s right to an appropriate amount of support” (para. 106). </w:t>
      </w:r>
    </w:p>
    <w:p w:rsidR="00A27006" w:rsidRPr="00F02C4A" w:rsidRDefault="00A27006" w:rsidP="00A27006">
      <w:pPr>
        <w:pStyle w:val="ParaNoNdepar-AltN"/>
        <w:numPr>
          <w:ilvl w:val="0"/>
          <w:numId w:val="7"/>
        </w:numPr>
        <w:rPr>
          <w:rFonts w:cs="Times New Roman"/>
        </w:rPr>
      </w:pPr>
      <w:r w:rsidRPr="00F02C4A">
        <w:rPr>
          <w:rFonts w:cs="Times New Roman"/>
        </w:rPr>
        <w:t xml:space="preserve">Despite its intentional breadth, some courts have been hesitant to apply this expansive definition, out of fear that any change in the payor’s income which was not disclosed to the recipient would constitute blameworthy conduct. The failure to disclose actual income, a fact within the knowledge of the payor, is a failure of a significant obligation and is often the root cause of a delayed application. Indeed, in </w:t>
      </w:r>
      <w:r w:rsidRPr="00F02C4A">
        <w:rPr>
          <w:rFonts w:cs="Times New Roman"/>
          <w:i/>
        </w:rPr>
        <w:t>D.B.S.</w:t>
      </w:r>
      <w:r w:rsidRPr="00F02C4A">
        <w:rPr>
          <w:rFonts w:cs="Times New Roman"/>
        </w:rPr>
        <w:t>, the Court recognized at para. 124 that “[n]</w:t>
      </w:r>
      <w:r w:rsidRPr="00F02C4A">
        <w:rPr>
          <w:rFonts w:cs="Times New Roman"/>
          <w:lang w:val="en"/>
        </w:rPr>
        <w:t xml:space="preserve">ot disclosing a material change in circumstances — including an increase in income that one would expect to alter the amount of child support payable — is itself blameworthy conduct.” It further commented that “a payor parent cannot use [their] informational advantage to justify [their] deficient child support payments” and </w:t>
      </w:r>
      <w:r w:rsidRPr="00F02C4A">
        <w:rPr>
          <w:rFonts w:cs="Times New Roman"/>
        </w:rPr>
        <w:t>at para. 106 that “[</w:t>
      </w:r>
      <w:r w:rsidRPr="00F02C4A">
        <w:rPr>
          <w:rFonts w:cs="Times New Roman"/>
          <w:lang w:val="en"/>
        </w:rPr>
        <w:t xml:space="preserve">a] payor parent cannot hide [their] income increases from the recipient parent in the hopes of avoiding larger child support payments”. </w:t>
      </w:r>
    </w:p>
    <w:p w:rsidR="00A27006" w:rsidRPr="00F02C4A" w:rsidRDefault="00A27006" w:rsidP="00A27006">
      <w:pPr>
        <w:pStyle w:val="ParaNoNdepar-AltN"/>
        <w:numPr>
          <w:ilvl w:val="0"/>
          <w:numId w:val="7"/>
        </w:numPr>
        <w:rPr>
          <w:rFonts w:cs="Times New Roman"/>
        </w:rPr>
      </w:pPr>
      <w:r w:rsidRPr="00F02C4A">
        <w:rPr>
          <w:rFonts w:cs="Times New Roman"/>
        </w:rPr>
        <w:t>The nature and objective of the post-</w:t>
      </w:r>
      <w:r w:rsidRPr="00F02C4A">
        <w:rPr>
          <w:rFonts w:cs="Times New Roman"/>
          <w:i/>
        </w:rPr>
        <w:t>Guidelines</w:t>
      </w:r>
      <w:r w:rsidRPr="00F02C4A">
        <w:rPr>
          <w:rFonts w:cs="Times New Roman"/>
        </w:rPr>
        <w:t xml:space="preserve"> child support system provide payor parents with the certainty and predictability that any material change in income should be disclosed and lead to a change in child support payments. The certainty provided by the </w:t>
      </w:r>
      <w:r w:rsidRPr="00F02C4A">
        <w:rPr>
          <w:rFonts w:cs="Times New Roman"/>
          <w:i/>
        </w:rPr>
        <w:t>Guidelines</w:t>
      </w:r>
      <w:r w:rsidRPr="00F02C4A">
        <w:rPr>
          <w:rFonts w:cs="Times New Roman"/>
        </w:rPr>
        <w:t xml:space="preserve"> has been acknowledged by this Court in </w:t>
      </w:r>
      <w:r w:rsidRPr="00F02C4A">
        <w:rPr>
          <w:rFonts w:cs="Times New Roman"/>
          <w:i/>
        </w:rPr>
        <w:t>Miglin</w:t>
      </w:r>
      <w:r w:rsidRPr="00F02C4A">
        <w:rPr>
          <w:rFonts w:cs="Times New Roman"/>
        </w:rPr>
        <w:t xml:space="preserve">, at para. 56, </w:t>
      </w:r>
      <w:r w:rsidRPr="00F02C4A">
        <w:rPr>
          <w:rFonts w:cs="Times New Roman"/>
          <w:i/>
        </w:rPr>
        <w:t>Kerr v. Baranow</w:t>
      </w:r>
      <w:r w:rsidRPr="00F02C4A">
        <w:rPr>
          <w:rFonts w:cs="Times New Roman"/>
        </w:rPr>
        <w:t>,</w:t>
      </w:r>
      <w:r w:rsidRPr="00F02C4A">
        <w:rPr>
          <w:rFonts w:cs="Times New Roman"/>
          <w:i/>
        </w:rPr>
        <w:t xml:space="preserve"> </w:t>
      </w:r>
      <w:r w:rsidRPr="00F02C4A">
        <w:rPr>
          <w:rFonts w:cs="Times New Roman"/>
        </w:rPr>
        <w:t xml:space="preserve">2011 SCC 10, [2011] 1 S.C.R. 269, at para. 208, and </w:t>
      </w:r>
      <w:r w:rsidRPr="00F02C4A">
        <w:rPr>
          <w:rFonts w:cs="Times New Roman"/>
          <w:i/>
        </w:rPr>
        <w:t>Contino</w:t>
      </w:r>
      <w:r w:rsidRPr="00683DA3">
        <w:rPr>
          <w:rFonts w:cs="Times New Roman"/>
        </w:rPr>
        <w:t>,</w:t>
      </w:r>
      <w:r w:rsidRPr="00F02C4A">
        <w:rPr>
          <w:rFonts w:cs="Times New Roman"/>
          <w:i/>
        </w:rPr>
        <w:t xml:space="preserve"> </w:t>
      </w:r>
      <w:r w:rsidRPr="00F02C4A">
        <w:rPr>
          <w:rFonts w:cs="Times New Roman"/>
        </w:rPr>
        <w:t xml:space="preserve">at paras. 94-95, per Fish J. It is also notable that s. 3(1)(a) of the </w:t>
      </w:r>
      <w:r w:rsidRPr="00F02C4A">
        <w:rPr>
          <w:rFonts w:cs="Times New Roman"/>
          <w:i/>
        </w:rPr>
        <w:t>Guidelines</w:t>
      </w:r>
      <w:r w:rsidRPr="00F02C4A">
        <w:rPr>
          <w:rFonts w:cs="Times New Roman"/>
        </w:rPr>
        <w:t xml:space="preserve"> makes the presumptive amount of a child support order the amount set out in the applicable table. Therefore, a payor’s conduct may be presumptively reasonable if they conform to an order or agreement, but only if there is no change in their income (see </w:t>
      </w:r>
      <w:r w:rsidRPr="00F02C4A">
        <w:rPr>
          <w:rFonts w:cs="Times New Roman"/>
          <w:i/>
        </w:rPr>
        <w:t>Loughlin v. Loughlin</w:t>
      </w:r>
      <w:r w:rsidRPr="00F02C4A">
        <w:rPr>
          <w:rFonts w:cs="Times New Roman"/>
        </w:rPr>
        <w:t>, 2007 ABQB 10, at para. 22 (CanLII);</w:t>
      </w:r>
      <w:r w:rsidRPr="00F02C4A">
        <w:rPr>
          <w:rFonts w:cs="Times New Roman"/>
          <w:i/>
        </w:rPr>
        <w:t xml:space="preserve"> Baldwin</w:t>
      </w:r>
      <w:r w:rsidRPr="00F02C4A">
        <w:rPr>
          <w:rFonts w:cs="Times New Roman"/>
        </w:rPr>
        <w:t xml:space="preserve">, at paras. 18 and 22-23). </w:t>
      </w:r>
    </w:p>
    <w:p w:rsidR="00A27006" w:rsidRPr="00F02C4A" w:rsidRDefault="00A27006" w:rsidP="00A27006">
      <w:pPr>
        <w:pStyle w:val="ParaNoNdepar-AltN"/>
        <w:numPr>
          <w:ilvl w:val="0"/>
          <w:numId w:val="7"/>
        </w:numPr>
        <w:rPr>
          <w:rFonts w:cs="Times New Roman"/>
        </w:rPr>
      </w:pPr>
      <w:r w:rsidRPr="00F02C4A">
        <w:rPr>
          <w:rFonts w:cs="Times New Roman"/>
        </w:rPr>
        <w:t xml:space="preserve">While a subjective approach to the reasons for the recipient’s delay in applying for child support should be explicitly endorsed, the same is no longer true of the payor’s conduct. Since </w:t>
      </w:r>
      <w:r w:rsidRPr="00F02C4A">
        <w:rPr>
          <w:rFonts w:cs="Times New Roman"/>
          <w:i/>
        </w:rPr>
        <w:t>D.B.S.</w:t>
      </w:r>
      <w:r w:rsidRPr="00F02C4A">
        <w:rPr>
          <w:rFonts w:cs="Times New Roman"/>
        </w:rPr>
        <w:t xml:space="preserve">, Canadian courts have gradually steered away from a focus on what the payor meant by what they did, in light of the problems posed by a “subjective” inquiry into the payor’s intention (see, e.g., </w:t>
      </w:r>
      <w:r w:rsidRPr="00F02C4A">
        <w:rPr>
          <w:rFonts w:cs="Times New Roman"/>
          <w:i/>
        </w:rPr>
        <w:t>C.M.M. v. P.M.M.</w:t>
      </w:r>
      <w:r w:rsidRPr="00F02C4A">
        <w:rPr>
          <w:rFonts w:cs="Times New Roman"/>
        </w:rPr>
        <w:t>, at para. 55 (CanLII); </w:t>
      </w:r>
      <w:r w:rsidRPr="00F02C4A">
        <w:rPr>
          <w:rFonts w:cs="Times New Roman"/>
          <w:i/>
          <w:iCs/>
        </w:rPr>
        <w:t>Burchill</w:t>
      </w:r>
      <w:r w:rsidRPr="00F02C4A">
        <w:rPr>
          <w:rFonts w:cs="Times New Roman"/>
          <w:iCs/>
        </w:rPr>
        <w:t>, at paras. 24-31</w:t>
      </w:r>
      <w:r w:rsidRPr="00F02C4A">
        <w:rPr>
          <w:rFonts w:cs="Times New Roman"/>
        </w:rPr>
        <w:t xml:space="preserve">; </w:t>
      </w:r>
      <w:r w:rsidRPr="00F02C4A">
        <w:rPr>
          <w:rFonts w:cs="Times New Roman"/>
          <w:i/>
          <w:iCs/>
        </w:rPr>
        <w:t>Koback v. Koback</w:t>
      </w:r>
      <w:r w:rsidRPr="00F02C4A">
        <w:rPr>
          <w:rFonts w:cs="Times New Roman"/>
          <w:iCs/>
        </w:rPr>
        <w:t>, 2013 SKCA 91, 423 Sask. R. 35, at para. 30</w:t>
      </w:r>
      <w:r w:rsidRPr="00F02C4A">
        <w:rPr>
          <w:rFonts w:cs="Times New Roman"/>
        </w:rPr>
        <w:t xml:space="preserve">; </w:t>
      </w:r>
      <w:r w:rsidRPr="00F02C4A">
        <w:rPr>
          <w:rFonts w:cs="Times New Roman"/>
          <w:i/>
          <w:iCs/>
        </w:rPr>
        <w:t>L.L. v. G.B.</w:t>
      </w:r>
      <w:r w:rsidRPr="00F02C4A">
        <w:rPr>
          <w:rFonts w:cs="Times New Roman"/>
          <w:iCs/>
        </w:rPr>
        <w:t>, 2008 ABQB 536, 10 Alta. L.R. (5th) 67, at para. 118</w:t>
      </w:r>
      <w:r w:rsidRPr="00F02C4A">
        <w:rPr>
          <w:rFonts w:cs="Times New Roman"/>
        </w:rPr>
        <w:t xml:space="preserve">). Intent can be a basis on which to increase blameworthiness but the primary focus needs to be on the payor’s actions and their consequences. Today, “[t]he payor’s subjective intention is rarely relevant — the real question is whether the payor’s conduct had the </w:t>
      </w:r>
      <w:r w:rsidRPr="00F02C4A">
        <w:rPr>
          <w:rFonts w:cs="Times New Roman"/>
          <w:i/>
        </w:rPr>
        <w:t>effect</w:t>
      </w:r>
      <w:r w:rsidRPr="00F02C4A">
        <w:rPr>
          <w:rFonts w:cs="Times New Roman"/>
        </w:rPr>
        <w:t xml:space="preserve"> of privileging [their] interests over the child’s right to support” (</w:t>
      </w:r>
      <w:r w:rsidRPr="00F02C4A">
        <w:rPr>
          <w:rFonts w:cs="Times New Roman"/>
          <w:i/>
        </w:rPr>
        <w:t>Goulding</w:t>
      </w:r>
      <w:r w:rsidRPr="00F02C4A">
        <w:rPr>
          <w:rFonts w:cs="Times New Roman"/>
        </w:rPr>
        <w:t>,</w:t>
      </w:r>
      <w:r w:rsidRPr="00F02C4A">
        <w:rPr>
          <w:rFonts w:cs="Times New Roman"/>
          <w:i/>
        </w:rPr>
        <w:t xml:space="preserve"> </w:t>
      </w:r>
      <w:r w:rsidRPr="00F02C4A">
        <w:rPr>
          <w:rFonts w:cs="Times New Roman"/>
        </w:rPr>
        <w:t>at para. 44</w:t>
      </w:r>
      <w:r w:rsidR="009352AF">
        <w:rPr>
          <w:rFonts w:cs="Times New Roman"/>
        </w:rPr>
        <w:t xml:space="preserve"> (emphasis in original</w:t>
      </w:r>
      <w:r w:rsidRPr="00F02C4A">
        <w:rPr>
          <w:rFonts w:cs="Times New Roman"/>
        </w:rPr>
        <w:t>).</w:t>
      </w:r>
    </w:p>
    <w:p w:rsidR="00A27006" w:rsidRPr="00F02C4A" w:rsidRDefault="00A27006" w:rsidP="00A27006">
      <w:pPr>
        <w:pStyle w:val="ParaNoNdepar-AltN"/>
        <w:numPr>
          <w:ilvl w:val="0"/>
          <w:numId w:val="7"/>
        </w:numPr>
        <w:rPr>
          <w:rFonts w:cs="Times New Roman"/>
        </w:rPr>
      </w:pPr>
      <w:r w:rsidRPr="00F02C4A">
        <w:rPr>
          <w:rFonts w:cs="Times New Roman"/>
        </w:rPr>
        <w:t xml:space="preserve">It bears repeating that the presence of blameworthy conduct is not a necessary trigger to the payor’s obligation to pay the claimed child support. Where present, blameworthy conduct weighs in favour of an award and may also serve to expand the temporal scope of the retroactive award, to increase its amount by providing for interest or costs, or create an additional consideration for the calculation of child support in cases of income above $150,000 per s. 4(b)(ii) of the </w:t>
      </w:r>
      <w:r w:rsidRPr="00F02C4A">
        <w:rPr>
          <w:rFonts w:cs="Times New Roman"/>
          <w:i/>
        </w:rPr>
        <w:t>Guidelines</w:t>
      </w:r>
      <w:r w:rsidRPr="00F02C4A">
        <w:rPr>
          <w:rFonts w:cs="Times New Roman"/>
        </w:rPr>
        <w:t xml:space="preserve">. Generally speaking, this factor is not evaluated differently in cases involving historical child support than it is in general retroactive child support cases. The same expansive definition applies. </w:t>
      </w:r>
    </w:p>
    <w:p w:rsidR="00A27006" w:rsidRPr="00F02C4A" w:rsidRDefault="00A27006" w:rsidP="00A27006">
      <w:pPr>
        <w:pStyle w:val="Title3LevelTitre3Niveau"/>
        <w:rPr>
          <w:rFonts w:cs="Times New Roman"/>
        </w:rPr>
      </w:pPr>
      <w:bookmarkStart w:id="65" w:name="_Toc38610235"/>
      <w:bookmarkStart w:id="66" w:name="_Toc46428251"/>
      <w:bookmarkStart w:id="67" w:name="_Toc48626825"/>
      <w:r w:rsidRPr="00F02C4A">
        <w:rPr>
          <w:rFonts w:cs="Times New Roman"/>
        </w:rPr>
        <w:t>Circumstances of the Child</w:t>
      </w:r>
      <w:bookmarkEnd w:id="65"/>
      <w:bookmarkEnd w:id="66"/>
      <w:bookmarkEnd w:id="67"/>
    </w:p>
    <w:p w:rsidR="00A27006" w:rsidRPr="00F02C4A" w:rsidRDefault="00A27006" w:rsidP="00A27006">
      <w:pPr>
        <w:pStyle w:val="ParaNoNdepar-AltN"/>
        <w:numPr>
          <w:ilvl w:val="0"/>
          <w:numId w:val="7"/>
        </w:numPr>
        <w:rPr>
          <w:rFonts w:cs="Times New Roman"/>
        </w:rPr>
      </w:pPr>
      <w:r w:rsidRPr="00F02C4A">
        <w:rPr>
          <w:rFonts w:cs="Times New Roman"/>
        </w:rPr>
        <w:t xml:space="preserve">Although the </w:t>
      </w:r>
      <w:r w:rsidRPr="00F02C4A">
        <w:rPr>
          <w:rFonts w:cs="Times New Roman"/>
          <w:i/>
        </w:rPr>
        <w:t>Guidelines</w:t>
      </w:r>
      <w:r w:rsidRPr="00F02C4A">
        <w:rPr>
          <w:rFonts w:cs="Times New Roman"/>
        </w:rPr>
        <w:t xml:space="preserve"> heralded a shift from the conception of need as the primary motivator for child support to an understanding of support as the child’s entitlement, a child’s needs may still be relevant in awarding and calculating retroactive child support. If there has been hardship present during their childhood, or if the child needs funds at the time of the hearing, this weighs in favour not only of an award but also of extending the temporal reach of the award. This factor may play a particular role in applications for historical child support.</w:t>
      </w:r>
    </w:p>
    <w:p w:rsidR="00A27006" w:rsidRPr="00F02C4A" w:rsidRDefault="00A27006" w:rsidP="00A27006">
      <w:pPr>
        <w:pStyle w:val="ParaNoNdepar-AltN"/>
        <w:numPr>
          <w:ilvl w:val="0"/>
          <w:numId w:val="7"/>
        </w:numPr>
        <w:rPr>
          <w:rFonts w:cs="Times New Roman"/>
        </w:rPr>
      </w:pPr>
      <w:r w:rsidRPr="00F02C4A">
        <w:rPr>
          <w:rFonts w:cs="Times New Roman"/>
        </w:rPr>
        <w:t xml:space="preserve">Where the child has suffered deprivation, this factor is a significant consideration in favour of relief. There is some suggestion in the commentary that courts have been subordinating this factor to others, such as delay (see Gordon (2012), at p. 74). But as I have discussed, the neglect or refusal to pay child support is strongly linked to child poverty and female poverty. As L’Heureux-Dubé J. pointed out in </w:t>
      </w:r>
      <w:r w:rsidRPr="00F02C4A">
        <w:rPr>
          <w:rFonts w:cs="Times New Roman"/>
          <w:i/>
        </w:rPr>
        <w:t>Willick</w:t>
      </w:r>
      <w:r w:rsidRPr="00F02C4A">
        <w:rPr>
          <w:rFonts w:cs="Times New Roman"/>
        </w:rPr>
        <w:t xml:space="preserve">: </w:t>
      </w:r>
    </w:p>
    <w:p w:rsidR="00A27006" w:rsidRPr="00F02C4A" w:rsidRDefault="00A27006" w:rsidP="00A27006">
      <w:pPr>
        <w:pStyle w:val="Citation-AltC"/>
        <w:ind w:firstLine="274"/>
      </w:pPr>
      <w:r w:rsidRPr="00F02C4A">
        <w:t>. . . the financial burden of divorce should not be borne primarily by children and their custodial parents. Children are our country’s most important resource, our future. Their needs cannot be minimized on account of their parents’ divorce. They are entitled to be looked after properly both before and after divorce. I do not mean to imply that they must live in luxury. I strenuously object, however, to situations in which children live at or near the poverty level despite the fact that the means of the non-custodial parent are sufficient to meet their needs. [p. 718]</w:t>
      </w:r>
    </w:p>
    <w:p w:rsidR="00A27006" w:rsidRPr="00F02C4A" w:rsidRDefault="00A27006" w:rsidP="00A27006">
      <w:pPr>
        <w:pStyle w:val="ParaNoNdepar-AltN"/>
        <w:numPr>
          <w:ilvl w:val="0"/>
          <w:numId w:val="7"/>
        </w:numPr>
        <w:rPr>
          <w:rFonts w:cs="Times New Roman"/>
          <w:lang w:val="en-US"/>
        </w:rPr>
      </w:pPr>
      <w:r w:rsidRPr="00F02C4A">
        <w:rPr>
          <w:rFonts w:cs="Times New Roman"/>
        </w:rPr>
        <w:t xml:space="preserve">At the same time, this does not mean that any kind of need or hardship is a necessary antecedent to an award for retroactive child support. Indeed, </w:t>
      </w:r>
      <w:r w:rsidRPr="00F02C4A">
        <w:rPr>
          <w:rFonts w:cs="Times New Roman"/>
          <w:i/>
        </w:rPr>
        <w:t xml:space="preserve">D.B.S. </w:t>
      </w:r>
      <w:r w:rsidRPr="00F02C4A">
        <w:rPr>
          <w:rFonts w:cs="Times New Roman"/>
        </w:rPr>
        <w:t>explicitly indicated at para. 113 that a payor parent’s obligation will not “disappear where [their] children do not ‘need’ [their] financial support”</w:t>
      </w:r>
      <w:r w:rsidRPr="00F02C4A">
        <w:rPr>
          <w:rFonts w:eastAsia="Times New Roman" w:cs="Times New Roman"/>
          <w:szCs w:val="24"/>
          <w:lang w:eastAsia="en-CA"/>
        </w:rPr>
        <w:t xml:space="preserve"> </w:t>
      </w:r>
      <w:r w:rsidRPr="00F02C4A">
        <w:rPr>
          <w:rFonts w:cs="Times New Roman"/>
        </w:rPr>
        <w:t xml:space="preserve">(see also </w:t>
      </w:r>
      <w:r w:rsidRPr="00F02C4A">
        <w:rPr>
          <w:rFonts w:cs="Times New Roman"/>
          <w:i/>
          <w:iCs/>
        </w:rPr>
        <w:t xml:space="preserve">Swiderski </w:t>
      </w:r>
      <w:r w:rsidRPr="00F02C4A">
        <w:rPr>
          <w:rFonts w:cs="Times New Roman"/>
          <w:iCs/>
        </w:rPr>
        <w:t>(S.C.)</w:t>
      </w:r>
      <w:r w:rsidRPr="00F02C4A">
        <w:rPr>
          <w:rFonts w:cs="Times New Roman"/>
        </w:rPr>
        <w:t>, at paras. 93-95</w:t>
      </w:r>
      <w:r w:rsidR="009352AF">
        <w:rPr>
          <w:rFonts w:cs="Times New Roman"/>
        </w:rPr>
        <w:t xml:space="preserve"> (CanLII)</w:t>
      </w:r>
      <w:r w:rsidRPr="00F02C4A">
        <w:rPr>
          <w:rFonts w:cs="Times New Roman"/>
        </w:rPr>
        <w:t xml:space="preserve">). In </w:t>
      </w:r>
      <w:r w:rsidRPr="00F02C4A">
        <w:rPr>
          <w:rFonts w:cs="Times New Roman"/>
          <w:i/>
          <w:lang w:val="en-US"/>
        </w:rPr>
        <w:t>C.A.R. v. G.F.R.</w:t>
      </w:r>
      <w:r w:rsidRPr="00F02C4A">
        <w:rPr>
          <w:rFonts w:cs="Times New Roman"/>
          <w:lang w:val="en-US"/>
        </w:rPr>
        <w:t>, 2006 BCSC 1407, the court held that “if this factor were to tip the balance against making a retroactive award, then, in essence, the [payor] will have profited from ‘holding off’ on paying increased child support” (para. 48</w:t>
      </w:r>
      <w:r w:rsidRPr="00F02C4A">
        <w:rPr>
          <w:rFonts w:cs="Times New Roman"/>
        </w:rPr>
        <w:t xml:space="preserve"> </w:t>
      </w:r>
      <w:r w:rsidRPr="00F02C4A">
        <w:rPr>
          <w:rFonts w:cs="Times New Roman"/>
          <w:lang w:val="en-US"/>
        </w:rPr>
        <w:t>(CanLII)).</w:t>
      </w:r>
    </w:p>
    <w:p w:rsidR="00A27006" w:rsidRPr="00F02C4A" w:rsidRDefault="00A27006" w:rsidP="00A27006">
      <w:pPr>
        <w:pStyle w:val="ParaNoNdepar-AltN"/>
        <w:numPr>
          <w:ilvl w:val="0"/>
          <w:numId w:val="7"/>
        </w:numPr>
        <w:rPr>
          <w:rFonts w:cs="Times New Roman"/>
        </w:rPr>
      </w:pPr>
      <w:r w:rsidRPr="00F02C4A">
        <w:rPr>
          <w:rFonts w:cs="Times New Roman"/>
        </w:rPr>
        <w:t xml:space="preserve">Additionally, there are plenty of circumstances where a parent will absorb the hardship that accompanies a dearth of child support so as to prioritize their child’s wellbeing (see </w:t>
      </w:r>
      <w:r w:rsidRPr="00F02C4A">
        <w:rPr>
          <w:rFonts w:cs="Times New Roman"/>
          <w:i/>
        </w:rPr>
        <w:t>Richardson</w:t>
      </w:r>
      <w:r w:rsidRPr="00F02C4A">
        <w:rPr>
          <w:rFonts w:cs="Times New Roman"/>
        </w:rPr>
        <w:t xml:space="preserve">, at p. 869; </w:t>
      </w:r>
      <w:r w:rsidRPr="00F02C4A">
        <w:rPr>
          <w:rFonts w:cs="Times New Roman"/>
          <w:i/>
        </w:rPr>
        <w:t>Willick</w:t>
      </w:r>
      <w:r w:rsidRPr="00F02C4A">
        <w:rPr>
          <w:rFonts w:cs="Times New Roman"/>
        </w:rPr>
        <w:t xml:space="preserve">, at pp. 724-25; see also </w:t>
      </w:r>
      <w:r w:rsidRPr="00F02C4A">
        <w:rPr>
          <w:rFonts w:cs="Times New Roman"/>
          <w:i/>
        </w:rPr>
        <w:t>Buckingham</w:t>
      </w:r>
      <w:r w:rsidRPr="00F02C4A">
        <w:rPr>
          <w:rFonts w:cs="Times New Roman"/>
        </w:rPr>
        <w:t xml:space="preserve">, at para. 51). There is absolutely no principled reason why this parent should receive less support as a result of choices that protect their child (see </w:t>
      </w:r>
      <w:r w:rsidRPr="00F02C4A">
        <w:rPr>
          <w:rFonts w:cs="Times New Roman"/>
          <w:i/>
        </w:rPr>
        <w:t>D.B.S.</w:t>
      </w:r>
      <w:r w:rsidRPr="00F02C4A">
        <w:rPr>
          <w:rFonts w:cs="Times New Roman"/>
        </w:rPr>
        <w:t xml:space="preserve">, at para. 170, per Abella J. (concurring); </w:t>
      </w:r>
      <w:r w:rsidRPr="00F02C4A">
        <w:rPr>
          <w:rFonts w:cs="Times New Roman"/>
          <w:i/>
        </w:rPr>
        <w:t>Colucci</w:t>
      </w:r>
      <w:r w:rsidRPr="00F02C4A">
        <w:rPr>
          <w:rFonts w:cs="Times New Roman"/>
        </w:rPr>
        <w:t>, at para. 26). Indeed, it has been recognized that “[t]he fact that the respondent will indirectly benefit is not a reason to refuse to make the award of support” (</w:t>
      </w:r>
      <w:r w:rsidRPr="00F02C4A">
        <w:rPr>
          <w:rFonts w:cs="Times New Roman"/>
          <w:i/>
        </w:rPr>
        <w:t>Debora v. Debora</w:t>
      </w:r>
      <w:r w:rsidRPr="00F02C4A">
        <w:rPr>
          <w:rFonts w:cs="Times New Roman"/>
        </w:rPr>
        <w:t xml:space="preserve"> (2006), 218 O.A.C. 237, at para. 70; </w:t>
      </w:r>
      <w:r w:rsidRPr="00F02C4A">
        <w:rPr>
          <w:rFonts w:cs="Times New Roman"/>
          <w:i/>
        </w:rPr>
        <w:t>Innes</w:t>
      </w:r>
      <w:r w:rsidRPr="00F02C4A">
        <w:rPr>
          <w:rFonts w:cs="Times New Roman"/>
        </w:rPr>
        <w:t xml:space="preserve">, at para. 11). Thus, the fact that a child did not have to suffer hardship because of their custodial parents’ sacrifice is not one that weighs against awarding retroactive or historical child support. Rather, a recipient parent’s hardship, like that of a child, weighs in favour of the award of retroactive child support and an enlarged temporal scope. </w:t>
      </w:r>
    </w:p>
    <w:p w:rsidR="00A27006" w:rsidRPr="00F02C4A" w:rsidRDefault="00A27006" w:rsidP="00A27006">
      <w:pPr>
        <w:pStyle w:val="Title3LevelTitre3Niveau"/>
        <w:rPr>
          <w:rFonts w:cs="Times New Roman"/>
        </w:rPr>
      </w:pPr>
      <w:bookmarkStart w:id="68" w:name="_Toc38610236"/>
      <w:bookmarkStart w:id="69" w:name="_Toc46428252"/>
      <w:bookmarkStart w:id="70" w:name="_Toc48626826"/>
      <w:r w:rsidRPr="00F02C4A">
        <w:rPr>
          <w:rFonts w:cs="Times New Roman"/>
        </w:rPr>
        <w:t>Hardship the Award Might Entail</w:t>
      </w:r>
      <w:bookmarkEnd w:id="68"/>
      <w:bookmarkEnd w:id="69"/>
      <w:bookmarkEnd w:id="70"/>
    </w:p>
    <w:p w:rsidR="00A27006" w:rsidRPr="00F02C4A" w:rsidRDefault="00A27006" w:rsidP="00A27006">
      <w:pPr>
        <w:pStyle w:val="ParaNoNdepar-AltN"/>
        <w:numPr>
          <w:ilvl w:val="0"/>
          <w:numId w:val="7"/>
        </w:numPr>
        <w:rPr>
          <w:rFonts w:cs="Times New Roman"/>
        </w:rPr>
      </w:pPr>
      <w:r w:rsidRPr="00F02C4A">
        <w:rPr>
          <w:rFonts w:cs="Times New Roman"/>
        </w:rPr>
        <w:t>This factor takes into account the ease with which the payor might be able to pay the award. If the award would cause the payor undue hardship, and if the other factors do not militate against it, this factor may weigh against an award or affect its temporal scope to achieve a fair result. It is not necessary that there be no hardship caused by the award for it to be granted. If there is the potential for hardship on the payor’s part, but there is also blameworthy conduct which precipitated or exacerbated the delay, it may be open to the courts to disregard the presence of undue hardship (</w:t>
      </w:r>
      <w:r w:rsidRPr="00F02C4A">
        <w:rPr>
          <w:rFonts w:cs="Times New Roman"/>
          <w:i/>
        </w:rPr>
        <w:t>D.B.S.</w:t>
      </w:r>
      <w:r w:rsidRPr="00F02C4A">
        <w:rPr>
          <w:rFonts w:cs="Times New Roman"/>
        </w:rPr>
        <w:t xml:space="preserve">, at para. 116; </w:t>
      </w:r>
      <w:r w:rsidRPr="00F02C4A">
        <w:rPr>
          <w:rFonts w:cs="Times New Roman"/>
          <w:i/>
        </w:rPr>
        <w:t>Tschudi v. Tschudi</w:t>
      </w:r>
      <w:r w:rsidRPr="00F02C4A">
        <w:rPr>
          <w:rFonts w:cs="Times New Roman"/>
        </w:rPr>
        <w:t>, 2010 BCCA 170, 86 R.F.L. (6th) 23, at paras. 4-5). In all cases, hardship may be addressed by the form of payment (</w:t>
      </w:r>
      <w:r w:rsidRPr="00F02C4A">
        <w:rPr>
          <w:rFonts w:cs="Times New Roman"/>
          <w:i/>
        </w:rPr>
        <w:t>Purba v. Purba</w:t>
      </w:r>
      <w:r w:rsidR="00C04EFB">
        <w:rPr>
          <w:rFonts w:cs="Times New Roman"/>
        </w:rPr>
        <w:t>, 2009 ABCA 32, 44</w:t>
      </w:r>
      <w:r w:rsidRPr="00F02C4A">
        <w:rPr>
          <w:rFonts w:cs="Times New Roman"/>
        </w:rPr>
        <w:t xml:space="preserve">6 A.R. 175, at para. 15). </w:t>
      </w:r>
    </w:p>
    <w:p w:rsidR="00A27006" w:rsidRPr="00F02C4A" w:rsidRDefault="00A27006" w:rsidP="00A27006">
      <w:pPr>
        <w:pStyle w:val="ParaNoNdepar-AltN"/>
        <w:numPr>
          <w:ilvl w:val="0"/>
          <w:numId w:val="7"/>
        </w:numPr>
        <w:rPr>
          <w:rFonts w:cs="Times New Roman"/>
        </w:rPr>
      </w:pPr>
      <w:r w:rsidRPr="00F02C4A">
        <w:rPr>
          <w:rFonts w:cs="Times New Roman"/>
        </w:rPr>
        <w:t xml:space="preserve">While the focus is on hardship to the payor, that hardship can only be assessed after taking into account the hardship which would be caused to the child and the recipient parent from not ordering the payment of sums owing but unpaid (see, e.g., </w:t>
      </w:r>
      <w:r w:rsidRPr="00F02C4A">
        <w:rPr>
          <w:rFonts w:cs="Times New Roman"/>
          <w:i/>
        </w:rPr>
        <w:t>Cornelissen v. Cornelissen</w:t>
      </w:r>
      <w:r w:rsidRPr="00F02C4A">
        <w:rPr>
          <w:rFonts w:cs="Times New Roman"/>
        </w:rPr>
        <w:t xml:space="preserve">, 2003 BCCA 666, 21 B.C.L.R. (4th) 308, at paras. 9 and 38; </w:t>
      </w:r>
      <w:r w:rsidRPr="00F02C4A">
        <w:rPr>
          <w:rFonts w:cs="Times New Roman"/>
          <w:i/>
        </w:rPr>
        <w:t>Brear</w:t>
      </w:r>
      <w:r w:rsidRPr="00F02C4A">
        <w:rPr>
          <w:rFonts w:cs="Times New Roman"/>
        </w:rPr>
        <w:t xml:space="preserve">, at para. 59; </w:t>
      </w:r>
      <w:r w:rsidRPr="00F02C4A">
        <w:rPr>
          <w:rFonts w:cs="Times New Roman"/>
          <w:i/>
        </w:rPr>
        <w:t>Warwoda v. Warwoda</w:t>
      </w:r>
      <w:r w:rsidRPr="00F02C4A">
        <w:rPr>
          <w:rFonts w:cs="Times New Roman"/>
        </w:rPr>
        <w:t xml:space="preserve">, 2009 ABQB 582, at paras. 11-12 (CanLII); </w:t>
      </w:r>
      <w:r w:rsidRPr="00F02C4A">
        <w:rPr>
          <w:rFonts w:cs="Times New Roman"/>
          <w:i/>
        </w:rPr>
        <w:t>George</w:t>
      </w:r>
      <w:r w:rsidRPr="00F02C4A">
        <w:rPr>
          <w:rFonts w:cs="Times New Roman"/>
        </w:rPr>
        <w:t xml:space="preserve">, at para. 55). In </w:t>
      </w:r>
      <w:r w:rsidRPr="00F02C4A">
        <w:rPr>
          <w:rFonts w:cs="Times New Roman"/>
          <w:i/>
        </w:rPr>
        <w:t>D.B.S.</w:t>
      </w:r>
      <w:r w:rsidRPr="00F02C4A">
        <w:rPr>
          <w:rFonts w:cs="Times New Roman"/>
        </w:rPr>
        <w:t>, the majority recognized at para. 115 that “</w:t>
      </w:r>
      <w:r w:rsidRPr="00F02C4A">
        <w:rPr>
          <w:rFonts w:cs="Times New Roman"/>
          <w:lang w:val="en"/>
        </w:rPr>
        <w:t xml:space="preserve">courts should recognize that hardship considerations in this context are not limited to the payor parent.” While they referred to the impact on other children, it is clear that </w:t>
      </w:r>
      <w:r w:rsidRPr="00F02C4A">
        <w:rPr>
          <w:rFonts w:cs="Times New Roman"/>
        </w:rPr>
        <w:t xml:space="preserve">hardship cannot be measured in the abstract but must be grounded in the facts and the totality of the circumstances. For example, the payor may be able to establish that paying past due child support in the amount of $20,000 would create hardship because the payor does not have the funds on hand and would be required to obtain a loan or sell property to discharge that child support debt. However, it must be taken into account that the payor had the benefit of the unpaid child support for the full time in which it was unpaid and such monies may have funded a preferred lifestyle or the very purchase of property which may now need to be sold. </w:t>
      </w:r>
    </w:p>
    <w:p w:rsidR="00A27006" w:rsidRPr="00F02C4A" w:rsidRDefault="00A27006" w:rsidP="00A27006">
      <w:pPr>
        <w:pStyle w:val="ParaNoNdepar-AltN"/>
        <w:numPr>
          <w:ilvl w:val="0"/>
          <w:numId w:val="7"/>
        </w:numPr>
        <w:rPr>
          <w:rFonts w:cs="Times New Roman"/>
        </w:rPr>
      </w:pPr>
      <w:r w:rsidRPr="00F02C4A">
        <w:rPr>
          <w:rFonts w:cs="Times New Roman"/>
        </w:rPr>
        <w:t>If children have gone without the appropriate level of support it often means that the recipient parents have been forced to go into debt themselves or spend all their monies, not on property, but on the child. As Ms. Michel testified: “</w:t>
      </w:r>
      <w:r w:rsidR="009352AF">
        <w:rPr>
          <w:rFonts w:cs="Times New Roman"/>
        </w:rPr>
        <w:t xml:space="preserve">. . . </w:t>
      </w:r>
      <w:r w:rsidRPr="00F02C4A">
        <w:rPr>
          <w:rFonts w:cs="Times New Roman"/>
        </w:rPr>
        <w:t>it is me who provided”. It may also mean that custodial parents have foregone opportunities, like spending time with the child or pursuing higher education and enhancing their career prospects, because they had to work an additional job or two to provide for the child. The recipient parent may therefore have incurred debt to cover the cost of the child’s essentials or have no savings because all monies were absorbed by monthly outlays. Viewing matters in this holistic way places hardship to the payor in its actual factual and legal matrix. While it may appear difficult to ask the payor to obtain a loan for $20,000 to repay the debt of unpaid child support, the recipient may be in debt in a similar amount. Thus, the hardship caused to the child and the recipient parent from non-payment is also a crucial part of the equation. With historical awards, there may be a longer period of unpaid child support, resulting in larger amounts and greater hardship on all sides. All of which increases the need to see the full picture and assess hardship based on all the circumstances.</w:t>
      </w:r>
    </w:p>
    <w:p w:rsidR="00A27006" w:rsidRPr="00F02C4A" w:rsidRDefault="00A27006" w:rsidP="00A27006">
      <w:pPr>
        <w:pStyle w:val="Title2LevelTitre2Niveau"/>
        <w:rPr>
          <w:rFonts w:cs="Times New Roman"/>
        </w:rPr>
      </w:pPr>
      <w:bookmarkStart w:id="71" w:name="_Toc38610231"/>
      <w:bookmarkStart w:id="72" w:name="_Toc46428253"/>
      <w:bookmarkStart w:id="73" w:name="_Toc48626827"/>
      <w:r w:rsidRPr="00F02C4A">
        <w:rPr>
          <w:rFonts w:cs="Times New Roman"/>
        </w:rPr>
        <w:t>Date of Retroactivity</w:t>
      </w:r>
      <w:bookmarkEnd w:id="71"/>
      <w:bookmarkEnd w:id="72"/>
      <w:bookmarkEnd w:id="73"/>
    </w:p>
    <w:p w:rsidR="00A27006" w:rsidRPr="00F02C4A" w:rsidRDefault="00A27006" w:rsidP="00A27006">
      <w:pPr>
        <w:pStyle w:val="ParaNoNdepar-AltN"/>
        <w:numPr>
          <w:ilvl w:val="0"/>
          <w:numId w:val="7"/>
        </w:numPr>
        <w:rPr>
          <w:rFonts w:cs="Times New Roman"/>
        </w:rPr>
      </w:pPr>
      <w:r w:rsidRPr="00F02C4A">
        <w:rPr>
          <w:rFonts w:cs="Times New Roman"/>
        </w:rPr>
        <w:t xml:space="preserve">In </w:t>
      </w:r>
      <w:r w:rsidRPr="00F02C4A">
        <w:rPr>
          <w:rFonts w:cs="Times New Roman"/>
          <w:i/>
        </w:rPr>
        <w:t>D.B.S.</w:t>
      </w:r>
      <w:r w:rsidRPr="00F02C4A">
        <w:rPr>
          <w:rFonts w:cs="Times New Roman"/>
        </w:rPr>
        <w:t>, the Court established that the date to which a child support award should be retroactive is, by default, the date when effective notice was given to the payor (para. 118). This is the date as of which the payor’s child support obligation ought to be enforced. It is explicit in the majority’s judgment that the date of effective notice constitutes a compromise between the date of the recipient’s application for child support and the date the amount of child support ought to have increased (paras. 118 and 121). Pre-</w:t>
      </w:r>
      <w:r w:rsidRPr="00F02C4A">
        <w:rPr>
          <w:rFonts w:cs="Times New Roman"/>
          <w:i/>
        </w:rPr>
        <w:t>D.B.S.</w:t>
      </w:r>
      <w:r w:rsidRPr="00F02C4A">
        <w:rPr>
          <w:rFonts w:cs="Times New Roman"/>
        </w:rPr>
        <w:t xml:space="preserve"> jurisprudence had similarly embraced effective notice as the date of retroactivity (see, e.g., </w:t>
      </w:r>
      <w:r w:rsidRPr="00F02C4A">
        <w:rPr>
          <w:rFonts w:cs="Times New Roman"/>
          <w:i/>
        </w:rPr>
        <w:t>Ennis v. Ennis</w:t>
      </w:r>
      <w:r w:rsidRPr="00F02C4A">
        <w:rPr>
          <w:rFonts w:cs="Times New Roman"/>
        </w:rPr>
        <w:t xml:space="preserve">, 2000 ABCA 33, 77 Alta. L.R. (3d) 289, at p. 313; </w:t>
      </w:r>
      <w:r w:rsidRPr="00F02C4A">
        <w:rPr>
          <w:rFonts w:cs="Times New Roman"/>
          <w:i/>
        </w:rPr>
        <w:t>Wishlow v. Bingham</w:t>
      </w:r>
      <w:r w:rsidRPr="00F02C4A">
        <w:rPr>
          <w:rFonts w:cs="Times New Roman"/>
        </w:rPr>
        <w:t xml:space="preserve">, 2000 ABCA 198, 82 Alta. L.R. (3d) 226, at para. 29; C. Davies, “Retroactive Child Support: the Alberta Trilogy” (2005), 24 </w:t>
      </w:r>
      <w:r w:rsidRPr="00F02C4A">
        <w:rPr>
          <w:rFonts w:cs="Times New Roman"/>
          <w:i/>
        </w:rPr>
        <w:t>C.L.F.Q.</w:t>
      </w:r>
      <w:r w:rsidRPr="00F02C4A">
        <w:rPr>
          <w:rFonts w:cs="Times New Roman"/>
        </w:rPr>
        <w:t xml:space="preserve"> 1, at pp. 16-17). The Court also established a soft limit or rough guideline of three years’ recovery.</w:t>
      </w:r>
    </w:p>
    <w:p w:rsidR="00A27006" w:rsidRPr="00F02C4A" w:rsidRDefault="00A27006" w:rsidP="00A27006">
      <w:pPr>
        <w:pStyle w:val="ParaNoNdepar-AltN"/>
        <w:numPr>
          <w:ilvl w:val="0"/>
          <w:numId w:val="7"/>
        </w:numPr>
        <w:rPr>
          <w:rFonts w:cs="Times New Roman"/>
        </w:rPr>
      </w:pPr>
      <w:r w:rsidRPr="00F02C4A">
        <w:rPr>
          <w:rFonts w:cs="Times New Roman"/>
        </w:rPr>
        <w:t xml:space="preserve">The idea behind requiring some form of notice is fairness: it is about having and sharing accurate information so everyone can meet their legal obligations and plan accordingly. Payor parents should be able to rely on the fact that the payments made in good faith and based on accurate information are meeting their legal obligations. Recipient parents should be able to rely on the fact that the amounts paid are what is owed. </w:t>
      </w:r>
    </w:p>
    <w:p w:rsidR="00A27006" w:rsidRPr="00F02C4A" w:rsidRDefault="00A27006" w:rsidP="00A27006">
      <w:pPr>
        <w:pStyle w:val="ParaNoNdepar-AltN"/>
        <w:numPr>
          <w:ilvl w:val="0"/>
          <w:numId w:val="7"/>
        </w:numPr>
        <w:rPr>
          <w:rFonts w:cs="Times New Roman"/>
        </w:rPr>
      </w:pPr>
      <w:r w:rsidRPr="00F02C4A">
        <w:rPr>
          <w:rFonts w:cs="Times New Roman"/>
        </w:rPr>
        <w:t xml:space="preserve">While each parent has their own expectations, there is typically an inequality of information that needs to be addressed. Each parent knows how much they individually make. If payors make less than the previous year, they have the knowledge needed to decide if they wish to seek a reduction in child support. If payors make more, recipients will not always know this and will first be obliged to discover the payor’s actual income before considering whether to seek an increase in child support. These practical realities have led some governments and courts to require the yearly disclosure and exchange of financial information between parents and to arrange for the automatic recalculation of child support (see, e.g., </w:t>
      </w:r>
      <w:r w:rsidRPr="00F02C4A">
        <w:rPr>
          <w:rFonts w:cs="Times New Roman"/>
          <w:i/>
        </w:rPr>
        <w:t>Alberta Rules of Court</w:t>
      </w:r>
      <w:r w:rsidRPr="00F02C4A">
        <w:rPr>
          <w:rFonts w:cs="Times New Roman"/>
        </w:rPr>
        <w:t xml:space="preserve">, Alta. Reg. 124/2010, r. 12.53 and Forms FL-26 and FL-27; </w:t>
      </w:r>
      <w:r w:rsidRPr="00F02C4A">
        <w:rPr>
          <w:rFonts w:cs="Times New Roman"/>
          <w:i/>
        </w:rPr>
        <w:t>Child Support Guidelines</w:t>
      </w:r>
      <w:r w:rsidRPr="00F02C4A">
        <w:rPr>
          <w:rFonts w:cs="Times New Roman"/>
        </w:rPr>
        <w:t>, O. Reg. 391/97, ss. 13(g) and 24.1(1);</w:t>
      </w:r>
      <w:r w:rsidRPr="00F02C4A">
        <w:rPr>
          <w:rFonts w:cs="Times New Roman"/>
          <w:i/>
        </w:rPr>
        <w:t xml:space="preserve"> Calver</w:t>
      </w:r>
      <w:r w:rsidRPr="00F02C4A">
        <w:rPr>
          <w:rFonts w:cs="Times New Roman"/>
        </w:rPr>
        <w:t xml:space="preserve">, at para. 33; </w:t>
      </w:r>
      <w:r w:rsidRPr="00F02C4A">
        <w:rPr>
          <w:rFonts w:cs="Times New Roman"/>
          <w:i/>
        </w:rPr>
        <w:t>Sawatzky v. Sawatzky</w:t>
      </w:r>
      <w:r w:rsidRPr="00F02C4A">
        <w:rPr>
          <w:rFonts w:cs="Times New Roman"/>
        </w:rPr>
        <w:t xml:space="preserve">, 2018 MBCA 102, 428 D.L.R. (4th) 247, at para. 58; </w:t>
      </w:r>
      <w:r w:rsidRPr="00F02C4A">
        <w:rPr>
          <w:rFonts w:cs="Times New Roman"/>
          <w:i/>
        </w:rPr>
        <w:t>Family Law Act</w:t>
      </w:r>
      <w:r w:rsidRPr="00F02C4A">
        <w:rPr>
          <w:rFonts w:cs="Times New Roman"/>
        </w:rPr>
        <w:t xml:space="preserve">, s. 158(1); </w:t>
      </w:r>
      <w:r w:rsidRPr="00F02C4A">
        <w:rPr>
          <w:rFonts w:cs="Times New Roman"/>
          <w:i/>
        </w:rPr>
        <w:t>Family Law Act</w:t>
      </w:r>
      <w:r w:rsidRPr="00F02C4A">
        <w:rPr>
          <w:rFonts w:cs="Times New Roman"/>
        </w:rPr>
        <w:t xml:space="preserve">, S.A. 2003, c. F-4.5, s. 55.41(1); </w:t>
      </w:r>
      <w:r w:rsidRPr="00F02C4A">
        <w:rPr>
          <w:rFonts w:cs="Times New Roman"/>
          <w:i/>
        </w:rPr>
        <w:t>Family Maintenance Regulations, 1998</w:t>
      </w:r>
      <w:r w:rsidRPr="00F02C4A">
        <w:rPr>
          <w:rFonts w:cs="Times New Roman"/>
        </w:rPr>
        <w:t xml:space="preserve">, R.R.S., c. F-6.2 Reg. 1, s. 21.23(1)(c); </w:t>
      </w:r>
      <w:r w:rsidRPr="00F02C4A">
        <w:rPr>
          <w:rFonts w:cs="Times New Roman"/>
          <w:i/>
        </w:rPr>
        <w:t>Family Maintenance Act</w:t>
      </w:r>
      <w:r w:rsidRPr="00F02C4A">
        <w:rPr>
          <w:rFonts w:cs="Times New Roman"/>
        </w:rPr>
        <w:t>, C.C.S.M.</w:t>
      </w:r>
      <w:r>
        <w:rPr>
          <w:rFonts w:cs="Times New Roman"/>
        </w:rPr>
        <w:t>,</w:t>
      </w:r>
      <w:r w:rsidRPr="00F02C4A">
        <w:rPr>
          <w:rFonts w:cs="Times New Roman"/>
        </w:rPr>
        <w:t xml:space="preserve"> c. F20, s. 39.1.1; </w:t>
      </w:r>
      <w:r w:rsidRPr="00F02C4A">
        <w:rPr>
          <w:rFonts w:cs="Times New Roman"/>
          <w:i/>
        </w:rPr>
        <w:t>Administrative Calculation and Recalculation of Child Support</w:t>
      </w:r>
      <w:r w:rsidRPr="00F02C4A">
        <w:rPr>
          <w:rFonts w:cs="Times New Roman"/>
        </w:rPr>
        <w:t>, O. Reg. 190/15, s</w:t>
      </w:r>
      <w:r>
        <w:rPr>
          <w:rFonts w:cs="Times New Roman"/>
        </w:rPr>
        <w:t>.</w:t>
      </w:r>
      <w:r w:rsidRPr="00F02C4A">
        <w:rPr>
          <w:rFonts w:cs="Times New Roman"/>
        </w:rPr>
        <w:t xml:space="preserve"> 10.1(1); </w:t>
      </w:r>
      <w:r w:rsidRPr="00F02C4A">
        <w:rPr>
          <w:rFonts w:cs="Times New Roman"/>
          <w:i/>
        </w:rPr>
        <w:t>Administrative Recalculation of Child Support Regulations</w:t>
      </w:r>
      <w:r w:rsidRPr="00F02C4A">
        <w:rPr>
          <w:rFonts w:cs="Times New Roman"/>
        </w:rPr>
        <w:t xml:space="preserve">, N.L.R. 16/18, s. 5(1); see also Gordon (2012), at pp. 91-92). </w:t>
      </w:r>
    </w:p>
    <w:p w:rsidR="00A27006" w:rsidRPr="00F02C4A" w:rsidRDefault="00A27006" w:rsidP="00A27006">
      <w:pPr>
        <w:pStyle w:val="ParaNoNdepar-AltN"/>
        <w:numPr>
          <w:ilvl w:val="0"/>
          <w:numId w:val="7"/>
        </w:numPr>
        <w:rPr>
          <w:rFonts w:cs="Times New Roman"/>
          <w:b/>
        </w:rPr>
      </w:pPr>
      <w:r w:rsidRPr="00F02C4A">
        <w:rPr>
          <w:rFonts w:cs="Times New Roman"/>
        </w:rPr>
        <w:t xml:space="preserve">Effective notice is a broad concept which goes well beyond actual knowledge of a filed variation application. In para. 121 of </w:t>
      </w:r>
      <w:r w:rsidRPr="00F02C4A">
        <w:rPr>
          <w:rFonts w:cs="Times New Roman"/>
          <w:i/>
        </w:rPr>
        <w:t>D.B.S.</w:t>
      </w:r>
      <w:r w:rsidRPr="00F02C4A">
        <w:rPr>
          <w:rFonts w:cs="Times New Roman"/>
        </w:rPr>
        <w:t xml:space="preserve">, it was defined as </w:t>
      </w:r>
      <w:r w:rsidRPr="00F02C4A">
        <w:rPr>
          <w:rFonts w:cs="Times New Roman"/>
          <w:lang w:val="en"/>
        </w:rPr>
        <w:t xml:space="preserve">“any indication by the recipient parent that child support should be paid, or if it already is, that the current amount of child support needs to be re-negotiated.” In </w:t>
      </w:r>
      <w:r w:rsidRPr="00F02C4A">
        <w:rPr>
          <w:rFonts w:cs="Times New Roman"/>
          <w:i/>
          <w:lang w:val="en"/>
        </w:rPr>
        <w:t>Kerr</w:t>
      </w:r>
      <w:r w:rsidRPr="00F02C4A">
        <w:rPr>
          <w:rFonts w:cs="Times New Roman"/>
          <w:lang w:val="en"/>
        </w:rPr>
        <w:t xml:space="preserve">, the Court further stated that </w:t>
      </w:r>
      <w:r w:rsidRPr="00F02C4A">
        <w:rPr>
          <w:rFonts w:cs="Times New Roman"/>
        </w:rPr>
        <w:t xml:space="preserve">the distinct features of child support “reduce somewhat the strength of concerns about lack of notice . . . in seeking child support” (para. 208). In some respects, </w:t>
      </w:r>
      <w:r w:rsidRPr="00F02C4A">
        <w:rPr>
          <w:rFonts w:cs="Times New Roman"/>
          <w:i/>
        </w:rPr>
        <w:t>D.B.S.</w:t>
      </w:r>
      <w:r w:rsidRPr="00F02C4A">
        <w:rPr>
          <w:rFonts w:cs="Times New Roman"/>
        </w:rPr>
        <w:t xml:space="preserve"> itself provided effective notice of a parent’s responsibilities, by establishing the bedrock principles governing child support. Based on our shifted understanding of the payor’s certainty interest above, certainty materializes in different ways today than it did 14 years ago. Today, it is provided by the Tables and the payor parents’ knowledge that they are liable according to their actual income and will be held accountable for missed payments and underpayment, even if the enforcement of their obligations may not always be automatic. </w:t>
      </w:r>
    </w:p>
    <w:p w:rsidR="00A27006" w:rsidRPr="00F02C4A" w:rsidRDefault="00A27006" w:rsidP="00A27006">
      <w:pPr>
        <w:pStyle w:val="ParaNoNdepar-AltN"/>
        <w:numPr>
          <w:ilvl w:val="0"/>
          <w:numId w:val="7"/>
        </w:numPr>
        <w:rPr>
          <w:rFonts w:cs="Times New Roman"/>
          <w:b/>
        </w:rPr>
      </w:pPr>
      <w:r w:rsidRPr="00F02C4A">
        <w:rPr>
          <w:rFonts w:cs="Times New Roman"/>
        </w:rPr>
        <w:t xml:space="preserve">It results from this that it is now time to ask why the date of retroactivity of child support awards should not also correspond to the date when the support ought to have been paid. While </w:t>
      </w:r>
      <w:r w:rsidRPr="00F02C4A">
        <w:rPr>
          <w:rFonts w:cs="Times New Roman"/>
          <w:i/>
        </w:rPr>
        <w:t>D.B.S.</w:t>
      </w:r>
      <w:r w:rsidRPr="00F02C4A">
        <w:rPr>
          <w:rFonts w:cs="Times New Roman"/>
        </w:rPr>
        <w:t xml:space="preserve"> evinced an attempt to balance certainty to the payor parent and fairness and flexibility to the recipient, and despite its emphasis on the other core principles of child support, it appears that the payor parent’s expectation “that the </w:t>
      </w:r>
      <w:r w:rsidRPr="00F02C4A">
        <w:rPr>
          <w:rFonts w:cs="Times New Roman"/>
          <w:i/>
        </w:rPr>
        <w:t>status quo</w:t>
      </w:r>
      <w:r w:rsidRPr="00F02C4A">
        <w:rPr>
          <w:rFonts w:cs="Times New Roman"/>
        </w:rPr>
        <w:t xml:space="preserve"> is fair” remained the main rationale for maintaining effective notice as the default starting point (para. 121). In today’s legal landscape however, the impact of the different potential dates of retroactivity needs to be measured against much more than the payor’s certainty interest, and indeed, in </w:t>
      </w:r>
      <w:r w:rsidRPr="00F02C4A">
        <w:rPr>
          <w:rFonts w:cs="Times New Roman"/>
          <w:i/>
        </w:rPr>
        <w:t>Contino</w:t>
      </w:r>
      <w:r w:rsidRPr="00F02C4A">
        <w:rPr>
          <w:rFonts w:cs="Times New Roman"/>
        </w:rPr>
        <w:t xml:space="preserve"> this Court recognized that the </w:t>
      </w:r>
      <w:r w:rsidRPr="00F02C4A">
        <w:rPr>
          <w:rFonts w:cs="Times New Roman"/>
          <w:i/>
        </w:rPr>
        <w:t xml:space="preserve">Guidelines </w:t>
      </w:r>
      <w:r w:rsidRPr="00F02C4A">
        <w:rPr>
          <w:rFonts w:cs="Times New Roman"/>
        </w:rPr>
        <w:t>sometimes privilege fairness to children over predictability (para. 33).</w:t>
      </w:r>
    </w:p>
    <w:p w:rsidR="00A27006" w:rsidRPr="00F02C4A" w:rsidRDefault="00A27006" w:rsidP="00A27006">
      <w:pPr>
        <w:pStyle w:val="Title2LevelTitre2Niveau"/>
        <w:rPr>
          <w:rFonts w:cs="Times New Roman"/>
        </w:rPr>
      </w:pPr>
      <w:bookmarkStart w:id="74" w:name="_Toc38610237"/>
      <w:bookmarkStart w:id="75" w:name="_Toc46428254"/>
      <w:bookmarkStart w:id="76" w:name="_Toc48626828"/>
      <w:r w:rsidRPr="00F02C4A">
        <w:rPr>
          <w:rFonts w:cs="Times New Roman"/>
        </w:rPr>
        <w:t xml:space="preserve">Who Should Benefit </w:t>
      </w:r>
      <w:r w:rsidR="009352AF">
        <w:rPr>
          <w:rFonts w:cs="Times New Roman"/>
        </w:rPr>
        <w:t>F</w:t>
      </w:r>
      <w:r w:rsidRPr="00F02C4A">
        <w:rPr>
          <w:rFonts w:cs="Times New Roman"/>
        </w:rPr>
        <w:t>rom an Award for Historical Child Support?</w:t>
      </w:r>
      <w:bookmarkEnd w:id="74"/>
      <w:bookmarkEnd w:id="75"/>
      <w:bookmarkEnd w:id="76"/>
    </w:p>
    <w:p w:rsidR="00A27006" w:rsidRPr="00F02C4A" w:rsidRDefault="00A27006" w:rsidP="00A27006">
      <w:pPr>
        <w:pStyle w:val="ParaNoNdepar-AltN"/>
        <w:numPr>
          <w:ilvl w:val="0"/>
          <w:numId w:val="7"/>
        </w:numPr>
        <w:rPr>
          <w:rFonts w:cs="Times New Roman"/>
        </w:rPr>
      </w:pPr>
      <w:r w:rsidRPr="00F02C4A">
        <w:rPr>
          <w:rFonts w:cs="Times New Roman"/>
        </w:rPr>
        <w:t xml:space="preserve">Retroactive child support is a debt; by default, I see no reason why it should not be awarded unless there are strong reasons as between these factors not to do so. Historical child support can be awarded in part or in whole to either or both the child or their parent, given findings of fact and depending on whom the hardship — if there was any — was visited upon. Sometimes the recipient parent bears the bulk of the hardship by making financial sacrifices to support the child beneficiary (see </w:t>
      </w:r>
      <w:r w:rsidRPr="00F02C4A">
        <w:rPr>
          <w:rFonts w:cs="Times New Roman"/>
          <w:i/>
        </w:rPr>
        <w:t>Cornelissen</w:t>
      </w:r>
      <w:r w:rsidRPr="00F02C4A">
        <w:rPr>
          <w:rFonts w:cs="Times New Roman"/>
        </w:rPr>
        <w:t xml:space="preserve">, at paras. 9 and 38). In other cases, both the recipient parent and the child beneficiary experience significant hardship (see </w:t>
      </w:r>
      <w:r w:rsidRPr="00F02C4A">
        <w:rPr>
          <w:rFonts w:cs="Times New Roman"/>
          <w:i/>
        </w:rPr>
        <w:t>Warwoda</w:t>
      </w:r>
      <w:r w:rsidRPr="00F02C4A">
        <w:rPr>
          <w:rFonts w:cs="Times New Roman"/>
        </w:rPr>
        <w:t>, at para. 12). It is also conceivable that in certain cases the recipient parent may experience no hardship but the child beneficiary will have undergone hardship. Courts should be flexible and respond to these realities when determining how to apportion the award between the recipient parent and the child beneficiary. However, there should be no general reluctance to put monies into the hands of the recipient parent. Where the recipient parent and child beneficiary agree on how the award should be divided, as in this case, the court should be reluctant to disturb their agreement.</w:t>
      </w:r>
    </w:p>
    <w:p w:rsidR="00A27006" w:rsidRPr="00F02C4A" w:rsidRDefault="00A27006" w:rsidP="00A27006">
      <w:pPr>
        <w:pStyle w:val="Title1LevelTitre1Niveau-AltL"/>
        <w:rPr>
          <w:rFonts w:cs="Times New Roman"/>
        </w:rPr>
      </w:pPr>
      <w:bookmarkStart w:id="77" w:name="_Toc38610238"/>
      <w:bookmarkStart w:id="78" w:name="_Toc46428255"/>
      <w:bookmarkStart w:id="79" w:name="_Toc48626829"/>
      <w:r w:rsidRPr="00F02C4A">
        <w:rPr>
          <w:rFonts w:cs="Times New Roman"/>
        </w:rPr>
        <w:t>Application</w:t>
      </w:r>
      <w:bookmarkEnd w:id="77"/>
      <w:bookmarkEnd w:id="78"/>
      <w:bookmarkEnd w:id="79"/>
    </w:p>
    <w:p w:rsidR="00A27006" w:rsidRPr="00F02C4A" w:rsidRDefault="00A27006" w:rsidP="00A27006">
      <w:pPr>
        <w:pStyle w:val="ParaNoNdepar-AltN"/>
        <w:numPr>
          <w:ilvl w:val="0"/>
          <w:numId w:val="7"/>
        </w:numPr>
        <w:rPr>
          <w:rFonts w:cs="Times New Roman"/>
        </w:rPr>
      </w:pPr>
      <w:r w:rsidRPr="00F02C4A">
        <w:rPr>
          <w:rFonts w:cs="Times New Roman"/>
        </w:rPr>
        <w:t xml:space="preserve">As stems from the above analysis of the </w:t>
      </w:r>
      <w:r w:rsidRPr="00F02C4A">
        <w:rPr>
          <w:rFonts w:cs="Times New Roman"/>
          <w:i/>
        </w:rPr>
        <w:t>Family Law Act</w:t>
      </w:r>
      <w:r w:rsidRPr="00F02C4A">
        <w:rPr>
          <w:rFonts w:cs="Times New Roman"/>
        </w:rPr>
        <w:t xml:space="preserve">, I agree that the British Columbia Provincial Court had the necessary statutory authority to grant a variation order for historical child support in the case at bar. </w:t>
      </w:r>
    </w:p>
    <w:p w:rsidR="00A27006" w:rsidRPr="00F02C4A" w:rsidRDefault="00A27006" w:rsidP="00A27006">
      <w:pPr>
        <w:pStyle w:val="ParaNoNdepar-AltN"/>
        <w:numPr>
          <w:ilvl w:val="0"/>
          <w:numId w:val="7"/>
        </w:numPr>
        <w:rPr>
          <w:rFonts w:cs="Times New Roman"/>
        </w:rPr>
      </w:pPr>
      <w:r w:rsidRPr="00F02C4A">
        <w:rPr>
          <w:rFonts w:cs="Times New Roman"/>
        </w:rPr>
        <w:t xml:space="preserve">The trial judge, Smith J., considered Ms. Michel’s variation application for historical child support from April 2001 to April 2012 (para. 4). He found that A.G. had lived with Ms. Michel for the relevant period and that Mr. Graydon’s income had surpassed that specified in the original support order every year with the exception of 2004. As a result, Mr. Graydon had underpaid child support from 2001 to 2003 and 2005 to 2012, and overpaid in 2004 (para. 47). Justice Smith’s application of the </w:t>
      </w:r>
      <w:r w:rsidRPr="00F02C4A">
        <w:rPr>
          <w:rFonts w:cs="Times New Roman"/>
          <w:i/>
        </w:rPr>
        <w:t>D.B.S.</w:t>
      </w:r>
      <w:r w:rsidRPr="00F02C4A">
        <w:rPr>
          <w:rFonts w:cs="Times New Roman"/>
        </w:rPr>
        <w:t xml:space="preserve"> factors also shows the following: </w:t>
      </w:r>
    </w:p>
    <w:p w:rsidR="00A27006" w:rsidRPr="00F02C4A" w:rsidRDefault="00A27006" w:rsidP="00082582">
      <w:pPr>
        <w:pStyle w:val="ContinueParaSuitedupar-AltP"/>
        <w:numPr>
          <w:ilvl w:val="0"/>
          <w:numId w:val="13"/>
        </w:numPr>
        <w:ind w:left="540" w:hanging="540"/>
        <w:rPr>
          <w:rFonts w:cs="Times New Roman"/>
        </w:rPr>
      </w:pPr>
      <w:r w:rsidRPr="00F02C4A">
        <w:rPr>
          <w:rFonts w:cs="Times New Roman"/>
        </w:rPr>
        <w:t>Ms. Michel had a reasonable basis for being delayed in seeking child support (paras. 19-20);</w:t>
      </w:r>
    </w:p>
    <w:p w:rsidR="00A27006" w:rsidRPr="00F02C4A" w:rsidRDefault="00A27006" w:rsidP="00082582">
      <w:pPr>
        <w:pStyle w:val="ContinueParaSuitedupar-AltP"/>
        <w:numPr>
          <w:ilvl w:val="0"/>
          <w:numId w:val="13"/>
        </w:numPr>
        <w:ind w:left="540" w:hanging="540"/>
        <w:rPr>
          <w:rFonts w:cs="Times New Roman"/>
        </w:rPr>
      </w:pPr>
      <w:r w:rsidRPr="00F02C4A">
        <w:rPr>
          <w:rFonts w:cs="Times New Roman"/>
        </w:rPr>
        <w:t>Mr. Graydon’s conduct was blameworthy “to a small degree” (para. 26);</w:t>
      </w:r>
    </w:p>
    <w:p w:rsidR="00A27006" w:rsidRPr="00F02C4A" w:rsidRDefault="00A27006" w:rsidP="00082582">
      <w:pPr>
        <w:pStyle w:val="ContinueParaSuitedupar-AltP"/>
        <w:numPr>
          <w:ilvl w:val="0"/>
          <w:numId w:val="13"/>
        </w:numPr>
        <w:ind w:left="540" w:hanging="540"/>
        <w:rPr>
          <w:rFonts w:cs="Times New Roman"/>
        </w:rPr>
      </w:pPr>
      <w:r w:rsidRPr="00F02C4A">
        <w:rPr>
          <w:rFonts w:cs="Times New Roman"/>
        </w:rPr>
        <w:t>A.G.’s circumstances were hindered by Mr. Graydon’s underpayment of child support (para. 37);</w:t>
      </w:r>
    </w:p>
    <w:p w:rsidR="00A27006" w:rsidRPr="00F02C4A" w:rsidRDefault="00A27006" w:rsidP="00082582">
      <w:pPr>
        <w:pStyle w:val="ContinueParaSuitedupar-AltP"/>
        <w:numPr>
          <w:ilvl w:val="0"/>
          <w:numId w:val="13"/>
        </w:numPr>
        <w:ind w:left="540" w:hanging="540"/>
        <w:rPr>
          <w:rFonts w:cs="Times New Roman"/>
        </w:rPr>
      </w:pPr>
      <w:r w:rsidRPr="00F02C4A">
        <w:rPr>
          <w:rFonts w:cs="Times New Roman"/>
        </w:rPr>
        <w:t>Mr. Graydon would suffer no hardship as a result of the award for historical child support (paras. 38 and 41).</w:t>
      </w:r>
    </w:p>
    <w:p w:rsidR="00A27006" w:rsidRPr="00F02C4A" w:rsidRDefault="00A27006" w:rsidP="00A27006">
      <w:pPr>
        <w:pStyle w:val="ContinueParaSuitedupar-AltP"/>
        <w:rPr>
          <w:rFonts w:cs="Times New Roman"/>
        </w:rPr>
      </w:pPr>
      <w:r w:rsidRPr="00F02C4A">
        <w:rPr>
          <w:rFonts w:cs="Times New Roman"/>
        </w:rPr>
        <w:t>Given these findings, I agree with the trial judge and my colleague that child support was owed to Ms. Michel. I also agree that it was appropriate on the facts of this case to award support dating back to March 29, 2001.</w:t>
      </w:r>
    </w:p>
    <w:p w:rsidR="00A27006" w:rsidRPr="00F02C4A" w:rsidRDefault="00A27006" w:rsidP="00A27006">
      <w:pPr>
        <w:pStyle w:val="Title1LevelTitre1Niveau-AltL"/>
        <w:rPr>
          <w:rFonts w:cs="Times New Roman"/>
        </w:rPr>
      </w:pPr>
      <w:bookmarkStart w:id="80" w:name="_Toc38610239"/>
      <w:bookmarkStart w:id="81" w:name="_Toc46428256"/>
      <w:bookmarkStart w:id="82" w:name="_Toc48626830"/>
      <w:r w:rsidRPr="00F02C4A">
        <w:rPr>
          <w:rFonts w:cs="Times New Roman"/>
        </w:rPr>
        <w:t>Conclusion</w:t>
      </w:r>
      <w:bookmarkEnd w:id="80"/>
      <w:bookmarkEnd w:id="81"/>
      <w:bookmarkEnd w:id="82"/>
    </w:p>
    <w:p w:rsidR="00A27006" w:rsidRPr="00074042" w:rsidRDefault="00A27006" w:rsidP="00A27006">
      <w:pPr>
        <w:pStyle w:val="ParaNoNdepar-AltN"/>
        <w:numPr>
          <w:ilvl w:val="0"/>
          <w:numId w:val="7"/>
        </w:numPr>
        <w:rPr>
          <w:rStyle w:val="SCCCounselPartyRoleChar"/>
          <w:rFonts w:cs="Times New Roman"/>
        </w:rPr>
      </w:pPr>
      <w:r w:rsidRPr="00F02C4A">
        <w:rPr>
          <w:rFonts w:cs="Times New Roman"/>
        </w:rPr>
        <w:t xml:space="preserve">For these reasons, I allowed Ms. Michel’s appeal with costs throughout, reinstating Smith J.’s order. </w:t>
      </w:r>
    </w:p>
    <w:p w:rsidR="00A27006" w:rsidRDefault="00A27006" w:rsidP="00074042">
      <w:pPr>
        <w:spacing w:after="480"/>
        <w:ind w:left="1166"/>
      </w:pPr>
      <w:r w:rsidRPr="00F71361">
        <w:t>The reasons of Abella and Karakatsanis JJ. were delivered by</w:t>
      </w:r>
    </w:p>
    <w:p w:rsidR="00A27006" w:rsidRPr="005F0F0C" w:rsidRDefault="00074042" w:rsidP="00A27006">
      <w:pPr>
        <w:pStyle w:val="ParaNoNdepar-AltN"/>
        <w:numPr>
          <w:ilvl w:val="0"/>
          <w:numId w:val="7"/>
        </w:numPr>
      </w:pPr>
      <w:r w:rsidRPr="00074042">
        <w:rPr>
          <w:smallCaps/>
        </w:rPr>
        <w:t>Abella J</w:t>
      </w:r>
      <w:r>
        <w:t>.</w:t>
      </w:r>
      <w:r w:rsidRPr="000B0B7C">
        <w:t xml:space="preserve"> — </w:t>
      </w:r>
      <w:r w:rsidR="00A27006">
        <w:rPr>
          <w:rStyle w:val="SCCCoramChar"/>
          <w:rFonts w:eastAsia="Times New Roman" w:cs="Times New Roman"/>
          <w:szCs w:val="24"/>
          <w:lang w:eastAsia="en-CA"/>
        </w:rPr>
        <w:t>I agree with Justice Brown’</w:t>
      </w:r>
      <w:r w:rsidR="00A27006" w:rsidRPr="00D61FA9">
        <w:rPr>
          <w:rStyle w:val="SCCCoramChar"/>
          <w:rFonts w:eastAsia="Times New Roman" w:cs="Times New Roman"/>
          <w:szCs w:val="24"/>
          <w:lang w:eastAsia="en-CA"/>
        </w:rPr>
        <w:t>s excellent reasons. I also agree with those of Justice Martin, which complement his by adding some important‎ policy considerations.</w:t>
      </w:r>
    </w:p>
    <w:p w:rsidR="009B57B3" w:rsidRPr="005F0F0C" w:rsidRDefault="009B57B3" w:rsidP="00267939">
      <w:pPr>
        <w:pStyle w:val="SCCNormalDoubleSpacing"/>
        <w:spacing w:after="480"/>
      </w:pPr>
      <w:r w:rsidRPr="005F0F0C">
        <w:tab/>
      </w:r>
      <w:r w:rsidR="00656313" w:rsidRPr="005F0F0C">
        <w:rPr>
          <w:i/>
        </w:rPr>
        <w:t>Appeal</w:t>
      </w:r>
      <w:r w:rsidR="001C090B" w:rsidRPr="005F0F0C">
        <w:rPr>
          <w:i/>
          <w:lang w:val="en-US"/>
        </w:rPr>
        <w:t xml:space="preserve"> </w:t>
      </w:r>
      <w:r w:rsidR="0088386C" w:rsidRPr="005F0F0C">
        <w:rPr>
          <w:i/>
          <w:lang w:val="en-US"/>
        </w:rPr>
        <w:t>allowed with costs</w:t>
      </w:r>
      <w:r w:rsidR="00B646F6" w:rsidRPr="005F0F0C">
        <w:rPr>
          <w:i/>
          <w:lang w:val="en-US"/>
        </w:rPr>
        <w:t xml:space="preserve"> throughout</w:t>
      </w:r>
      <w:r w:rsidR="0088386C" w:rsidRPr="005F0F0C">
        <w:rPr>
          <w:i/>
          <w:lang w:val="en-US"/>
        </w:rPr>
        <w:t>.</w:t>
      </w:r>
    </w:p>
    <w:p w:rsidR="00B3190C" w:rsidRPr="005F0F0C" w:rsidRDefault="00267939" w:rsidP="00267939">
      <w:pPr>
        <w:pStyle w:val="SCCLawFirm"/>
        <w:spacing w:after="480"/>
      </w:pPr>
      <w:r>
        <w:tab/>
        <w:t>Solicitors for the appellant: </w:t>
      </w:r>
      <w:r w:rsidR="00D0340D" w:rsidRPr="005F0F0C">
        <w:t>Westside Family Law, Vancouver</w:t>
      </w:r>
      <w:r w:rsidR="006A2E99" w:rsidRPr="005F0F0C">
        <w:t xml:space="preserve">; </w:t>
      </w:r>
      <w:r>
        <w:t>Michael </w:t>
      </w:r>
      <w:r w:rsidR="00B7544E" w:rsidRPr="005F0F0C">
        <w:t xml:space="preserve">J. </w:t>
      </w:r>
      <w:r w:rsidR="006A2E99" w:rsidRPr="005F0F0C">
        <w:t>Sobk</w:t>
      </w:r>
      <w:r w:rsidR="0088386C" w:rsidRPr="005F0F0C">
        <w:t>in</w:t>
      </w:r>
      <w:r w:rsidR="006A2E99" w:rsidRPr="005F0F0C">
        <w:t>, Ottawa</w:t>
      </w:r>
      <w:r w:rsidR="00D0340D" w:rsidRPr="005F0F0C">
        <w:t>.</w:t>
      </w:r>
    </w:p>
    <w:p w:rsidR="00B3190C" w:rsidRPr="005F0F0C" w:rsidRDefault="00D0340D" w:rsidP="00267939">
      <w:pPr>
        <w:pStyle w:val="SCCLawFirm"/>
        <w:spacing w:after="480"/>
      </w:pPr>
      <w:r w:rsidRPr="005F0F0C">
        <w:tab/>
        <w:t>So</w:t>
      </w:r>
      <w:r w:rsidR="00267939">
        <w:t>licitors for the respondent: </w:t>
      </w:r>
      <w:r w:rsidR="006A2E99" w:rsidRPr="005F0F0C">
        <w:t>Centra Lawyers</w:t>
      </w:r>
      <w:r w:rsidRPr="005F0F0C">
        <w:t>, Maple Ridge</w:t>
      </w:r>
      <w:r w:rsidR="00B94A08" w:rsidRPr="005F0F0C">
        <w:t>, B.C.</w:t>
      </w:r>
      <w:r w:rsidR="006A2E99" w:rsidRPr="005F0F0C">
        <w:t>; Gowling WLG (Canada), Ottawa</w:t>
      </w:r>
      <w:r w:rsidRPr="005F0F0C">
        <w:t>.</w:t>
      </w:r>
    </w:p>
    <w:p w:rsidR="009B57B3" w:rsidRPr="005F0F0C" w:rsidRDefault="006A2E99" w:rsidP="006A2E99">
      <w:pPr>
        <w:pStyle w:val="SCCLawFirm"/>
      </w:pPr>
      <w:r w:rsidRPr="005F0F0C">
        <w:tab/>
        <w:t>Solicitors</w:t>
      </w:r>
      <w:r w:rsidR="002D22FE" w:rsidRPr="005F0F0C">
        <w:t xml:space="preserve"> for the intervener</w:t>
      </w:r>
      <w:r w:rsidR="00267939">
        <w:t>: </w:t>
      </w:r>
      <w:r w:rsidR="00D0340D" w:rsidRPr="005F0F0C">
        <w:t>Power Law</w:t>
      </w:r>
      <w:r w:rsidR="002D22FE" w:rsidRPr="005F0F0C">
        <w:t>/Juristes Power</w:t>
      </w:r>
      <w:r w:rsidR="00D0340D" w:rsidRPr="005F0F0C">
        <w:t>, Vancouver.</w:t>
      </w:r>
    </w:p>
    <w:sectPr w:rsidR="009B57B3" w:rsidRPr="005F0F0C"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085" w:rsidRDefault="00B01085">
      <w:r>
        <w:separator/>
      </w:r>
    </w:p>
  </w:endnote>
  <w:endnote w:type="continuationSeparator" w:id="0">
    <w:p w:rsidR="00B01085" w:rsidRDefault="00B0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F0" w:rsidRDefault="003F7A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F0" w:rsidRDefault="003F7A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F0" w:rsidRDefault="003F7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085" w:rsidRDefault="00B01085">
      <w:r>
        <w:separator/>
      </w:r>
    </w:p>
  </w:footnote>
  <w:footnote w:type="continuationSeparator" w:id="0">
    <w:p w:rsidR="00B01085" w:rsidRDefault="00B01085">
      <w:r>
        <w:continuationSeparator/>
      </w:r>
    </w:p>
  </w:footnote>
  <w:footnote w:id="1">
    <w:p w:rsidR="00FF29C8" w:rsidRPr="00FF29C8" w:rsidRDefault="00FF29C8" w:rsidP="00492491">
      <w:pPr>
        <w:pStyle w:val="FootnoteText"/>
        <w:tabs>
          <w:tab w:val="clear" w:pos="180"/>
        </w:tabs>
        <w:ind w:left="90" w:hanging="90"/>
      </w:pPr>
      <w:r>
        <w:rPr>
          <w:rStyle w:val="FootnoteReference"/>
        </w:rPr>
        <w:footnoteRef/>
      </w:r>
      <w:r>
        <w:t xml:space="preserve"> </w:t>
      </w:r>
      <w:r w:rsidRPr="00083421">
        <w:t xml:space="preserve">In my view, the reference to “jurisdiction” in </w:t>
      </w:r>
      <w:r w:rsidRPr="00083421">
        <w:rPr>
          <w:i/>
        </w:rPr>
        <w:t>D.B.S.</w:t>
      </w:r>
      <w:r w:rsidRPr="00083421">
        <w:t xml:space="preserve"> has always been somewhat of a misnomer and has been afforded a much broader meaning than was intended. </w:t>
      </w:r>
      <w:r>
        <w:t>In that case, the term</w:t>
      </w:r>
      <w:r w:rsidRPr="00083421">
        <w:t xml:space="preserve"> was not used in the general legal sense of “</w:t>
      </w:r>
      <w:r>
        <w:t>[</w:t>
      </w:r>
      <w:r w:rsidRPr="00083421">
        <w:t>a</w:t>
      </w:r>
      <w:r>
        <w:t>]</w:t>
      </w:r>
      <w:r w:rsidRPr="00083421">
        <w:t xml:space="preserve"> court’s power to decide a case or is</w:t>
      </w:r>
      <w:r>
        <w:t>sue a decree” (</w:t>
      </w:r>
      <w:r>
        <w:rPr>
          <w:i/>
        </w:rPr>
        <w:t>Black</w:t>
      </w:r>
      <w:r>
        <w:rPr>
          <w:i/>
          <w:lang w:val="en-US"/>
        </w:rPr>
        <w:t>’</w:t>
      </w:r>
      <w:r>
        <w:rPr>
          <w:i/>
        </w:rPr>
        <w:t>s Law D</w:t>
      </w:r>
      <w:r w:rsidRPr="00083421">
        <w:rPr>
          <w:i/>
        </w:rPr>
        <w:t>ictionary</w:t>
      </w:r>
      <w:r>
        <w:t xml:space="preserve"> (11th ed. 2019), at p.1017)</w:t>
      </w:r>
      <w:r w:rsidRPr="00083421">
        <w:t>. That type of jurisdiction is a</w:t>
      </w:r>
      <w:r>
        <w:t xml:space="preserve">ddressed in, for example, ss. 3 to </w:t>
      </w:r>
      <w:r w:rsidRPr="00083421">
        <w:t xml:space="preserve">7 of the </w:t>
      </w:r>
      <w:r w:rsidRPr="00083421">
        <w:rPr>
          <w:i/>
        </w:rPr>
        <w:t>Divorce Act</w:t>
      </w:r>
      <w:r w:rsidRPr="00413545">
        <w:t>.</w:t>
      </w:r>
      <w:r w:rsidRPr="00083421">
        <w:rPr>
          <w:i/>
        </w:rPr>
        <w:t xml:space="preserve"> </w:t>
      </w:r>
      <w:r w:rsidRPr="00083421">
        <w:t xml:space="preserve">What the Court refers to as the courts’ jurisdiction in </w:t>
      </w:r>
      <w:r w:rsidRPr="00083421">
        <w:rPr>
          <w:i/>
        </w:rPr>
        <w:t>D.B.S.</w:t>
      </w:r>
      <w:r w:rsidRPr="00083421">
        <w:t xml:space="preserve">, </w:t>
      </w:r>
      <w:r>
        <w:t>in contrast</w:t>
      </w:r>
      <w:r w:rsidRPr="00083421">
        <w:t xml:space="preserve">, is simply the authority that </w:t>
      </w:r>
      <w:r>
        <w:t>they are</w:t>
      </w:r>
      <w:r w:rsidRPr="00083421">
        <w:t xml:space="preserve"> granted by statute to consider and adjudicate over a claim for child support: the circumstances in which they are properly seized of the matter by means of an authorized person’s application (see </w:t>
      </w:r>
      <w:r w:rsidRPr="00083421">
        <w:rPr>
          <w:i/>
        </w:rPr>
        <w:t>D.B.S.</w:t>
      </w:r>
      <w:r>
        <w:t>, at paras. 56 and</w:t>
      </w:r>
      <w:r w:rsidRPr="00083421">
        <w:t xml:space="preserve"> 60).</w:t>
      </w:r>
    </w:p>
  </w:footnote>
  <w:footnote w:id="2">
    <w:p w:rsidR="00CB22B1" w:rsidRPr="006B380E" w:rsidRDefault="00CB22B1">
      <w:pPr>
        <w:pStyle w:val="FootnoteText"/>
      </w:pPr>
      <w:r>
        <w:rPr>
          <w:rStyle w:val="FootnoteReference"/>
        </w:rPr>
        <w:footnoteRef/>
      </w:r>
      <w:r>
        <w:t xml:space="preserve"> </w:t>
      </w:r>
      <w:r w:rsidRPr="00D739F3">
        <w:t>See also M.</w:t>
      </w:r>
      <w:r>
        <w:t xml:space="preserve"> </w:t>
      </w:r>
      <w:r w:rsidRPr="00D739F3">
        <w:t>L. Gordon, “Blame Over: Retroactive Child and Spousa</w:t>
      </w:r>
      <w:r>
        <w:t xml:space="preserve">l Support in the Post-Guideline </w:t>
      </w:r>
      <w:r w:rsidRPr="00D739F3">
        <w:t xml:space="preserve">Era” (2005), 23 </w:t>
      </w:r>
      <w:r w:rsidRPr="00C277EF">
        <w:rPr>
          <w:i/>
        </w:rPr>
        <w:t>C.F.L.Q.</w:t>
      </w:r>
      <w:r w:rsidRPr="00D739F3">
        <w:t xml:space="preserve"> 243; M. L. Gordon, “An Update on Retroactive Child and Spousal </w:t>
      </w:r>
      <w:r>
        <w:t xml:space="preserve">Support: </w:t>
      </w:r>
      <w:r w:rsidRPr="00D739F3">
        <w:t xml:space="preserve">Five Years after </w:t>
      </w:r>
      <w:r>
        <w:rPr>
          <w:i/>
        </w:rPr>
        <w:t>S. (D.B.) v</w:t>
      </w:r>
      <w:r w:rsidRPr="000638B9">
        <w:rPr>
          <w:i/>
        </w:rPr>
        <w:t>. G. (S.R.)</w:t>
      </w:r>
      <w:r w:rsidRPr="00D739F3">
        <w:t xml:space="preserve">” (2012), 31 </w:t>
      </w:r>
      <w:r w:rsidRPr="00C277EF">
        <w:rPr>
          <w:i/>
        </w:rPr>
        <w:t xml:space="preserve">C.F.L.Q. </w:t>
      </w:r>
      <w:r w:rsidRPr="00D739F3">
        <w:t>71.</w:t>
      </w:r>
    </w:p>
  </w:footnote>
  <w:footnote w:id="3">
    <w:p w:rsidR="006B380E" w:rsidRPr="006B380E" w:rsidRDefault="006B380E">
      <w:pPr>
        <w:pStyle w:val="FootnoteText"/>
      </w:pPr>
      <w:r>
        <w:rPr>
          <w:rStyle w:val="FootnoteReference"/>
        </w:rPr>
        <w:footnoteRef/>
      </w:r>
      <w:r>
        <w:t xml:space="preserve"> </w:t>
      </w:r>
      <w:r w:rsidRPr="00D739F3">
        <w:t xml:space="preserve">See, e.g., </w:t>
      </w:r>
      <w:r w:rsidRPr="00C277EF">
        <w:rPr>
          <w:i/>
        </w:rPr>
        <w:t>B. (T.K.) v. S. (P.M.)</w:t>
      </w:r>
      <w:r w:rsidRPr="00D739F3">
        <w:t xml:space="preserve">, 2008 BCSC 1350; </w:t>
      </w:r>
      <w:r w:rsidRPr="00C277EF">
        <w:rPr>
          <w:i/>
        </w:rPr>
        <w:t>Swiderski v. Dussault</w:t>
      </w:r>
      <w:r w:rsidRPr="00D739F3">
        <w:t>, 2008 BCSC 1629</w:t>
      </w:r>
      <w:r>
        <w:t xml:space="preserve"> </w:t>
      </w:r>
      <w:r w:rsidRPr="00443A4D">
        <w:t>(“</w:t>
      </w:r>
      <w:r w:rsidRPr="00443A4D">
        <w:rPr>
          <w:i/>
        </w:rPr>
        <w:t xml:space="preserve">Swiderski </w:t>
      </w:r>
      <w:r w:rsidRPr="00443A4D">
        <w:t>(S.C.)”)</w:t>
      </w:r>
      <w:r w:rsidRPr="00D739F3">
        <w:t>, rev’d in part but not on this point, 2009 BCCA 461, 98 B.C.L.R. (4th) 40</w:t>
      </w:r>
      <w:r>
        <w:t xml:space="preserve"> </w:t>
      </w:r>
      <w:r w:rsidRPr="00443A4D">
        <w:t>(“</w:t>
      </w:r>
      <w:r w:rsidRPr="00443A4D">
        <w:rPr>
          <w:i/>
        </w:rPr>
        <w:t xml:space="preserve">Swiderski </w:t>
      </w:r>
      <w:r>
        <w:t>(</w:t>
      </w:r>
      <w:r w:rsidRPr="00443A4D">
        <w:t>C.</w:t>
      </w:r>
      <w:r>
        <w:t>A.</w:t>
      </w:r>
      <w:r w:rsidRPr="00443A4D">
        <w:t>)”)</w:t>
      </w:r>
      <w:r w:rsidRPr="00D739F3">
        <w:t xml:space="preserve">; </w:t>
      </w:r>
      <w:r w:rsidRPr="00C277EF">
        <w:rPr>
          <w:i/>
        </w:rPr>
        <w:t>C.B.E. v. J.A.E.</w:t>
      </w:r>
      <w:r w:rsidRPr="00D739F3">
        <w:t xml:space="preserve">, 2003 ABQB 961; </w:t>
      </w:r>
      <w:r w:rsidRPr="00C277EF">
        <w:rPr>
          <w:i/>
        </w:rPr>
        <w:t>Roseberry v. Roseberry</w:t>
      </w:r>
      <w:r w:rsidRPr="00D739F3">
        <w:t xml:space="preserve">, 2015 ABQB 75, 13 Alta. L.R. (6th) 215, rev’d on other grounds, 2015 ABCA 218, 68 R.F.L. (7th) 30; </w:t>
      </w:r>
      <w:r w:rsidRPr="00A746DC">
        <w:rPr>
          <w:i/>
        </w:rPr>
        <w:t>W. (L.J.) v. H. (R.L.)</w:t>
      </w:r>
      <w:r w:rsidRPr="00D739F3">
        <w:t xml:space="preserve">, 2005 ABCA 252, 18 R.F.L. (6th) 461; </w:t>
      </w:r>
      <w:r w:rsidRPr="00C277EF">
        <w:rPr>
          <w:i/>
        </w:rPr>
        <w:t>Burchill v. Roberts</w:t>
      </w:r>
      <w:r w:rsidRPr="00D739F3">
        <w:t>, 2013 BCCA 39, 332 B.C.A.C. 126.</w:t>
      </w:r>
    </w:p>
  </w:footnote>
  <w:footnote w:id="4">
    <w:p w:rsidR="006B380E" w:rsidRPr="006B380E" w:rsidRDefault="006B380E">
      <w:pPr>
        <w:pStyle w:val="FootnoteText"/>
      </w:pPr>
      <w:r>
        <w:rPr>
          <w:rStyle w:val="FootnoteReference"/>
        </w:rPr>
        <w:footnoteRef/>
      </w:r>
      <w:r>
        <w:t xml:space="preserve"> </w:t>
      </w:r>
      <w:r w:rsidRPr="00D739F3">
        <w:t xml:space="preserve">See, e.g., </w:t>
      </w:r>
      <w:r w:rsidRPr="00C277EF">
        <w:rPr>
          <w:i/>
        </w:rPr>
        <w:t>Webber v. Lane</w:t>
      </w:r>
      <w:r w:rsidRPr="00D739F3">
        <w:t xml:space="preserve">, 2008 ONCJ 672; </w:t>
      </w:r>
      <w:r w:rsidRPr="00C277EF">
        <w:rPr>
          <w:i/>
        </w:rPr>
        <w:t>Irving v. Clouthier</w:t>
      </w:r>
      <w:r w:rsidRPr="00D739F3">
        <w:t xml:space="preserve">, 2008 CanLII 48137 (Ont. S.C.J.); </w:t>
      </w:r>
      <w:r w:rsidRPr="00C277EF">
        <w:rPr>
          <w:i/>
        </w:rPr>
        <w:t>Hartshorne v. Hartshorne</w:t>
      </w:r>
      <w:r w:rsidRPr="00D739F3">
        <w:t>, 2009 BCSC 698, 70 R.F.L. (6th) 106, rev’d in part but not on this point,</w:t>
      </w:r>
      <w:r>
        <w:t xml:space="preserve"> </w:t>
      </w:r>
      <w:r>
        <w:rPr>
          <w:i/>
        </w:rPr>
        <w:t>Hartshorne</w:t>
      </w:r>
      <w:r w:rsidRPr="00D739F3">
        <w:t xml:space="preserve">; </w:t>
      </w:r>
      <w:r w:rsidRPr="00C277EF">
        <w:rPr>
          <w:i/>
        </w:rPr>
        <w:t>de Rooy</w:t>
      </w:r>
      <w:r w:rsidRPr="00D739F3">
        <w:t xml:space="preserve">; </w:t>
      </w:r>
      <w:r w:rsidRPr="00C277EF">
        <w:rPr>
          <w:i/>
        </w:rPr>
        <w:t>Swiderski</w:t>
      </w:r>
      <w:r w:rsidRPr="00D739F3">
        <w:t xml:space="preserve">; </w:t>
      </w:r>
      <w:r w:rsidRPr="00C277EF">
        <w:rPr>
          <w:i/>
        </w:rPr>
        <w:t>Carlaw v. Carlaw</w:t>
      </w:r>
      <w:r w:rsidRPr="00D739F3">
        <w:t>, 2009 NSSC 428, 299</w:t>
      </w:r>
      <w:r>
        <w:t xml:space="preserve"> </w:t>
      </w:r>
      <w:r w:rsidRPr="00D739F3">
        <w:t xml:space="preserve">N.S.R. (2d) 1; </w:t>
      </w:r>
      <w:r w:rsidRPr="00C277EF">
        <w:rPr>
          <w:i/>
        </w:rPr>
        <w:t>Eadie v. Eadie</w:t>
      </w:r>
      <w:r w:rsidRPr="00D739F3">
        <w:t>, 2008 BCSC 1380.</w:t>
      </w:r>
    </w:p>
  </w:footnote>
  <w:footnote w:id="5">
    <w:p w:rsidR="006B380E" w:rsidRPr="006B380E" w:rsidRDefault="006B380E">
      <w:pPr>
        <w:pStyle w:val="FootnoteText"/>
        <w:rPr>
          <w:lang w:val="en-US"/>
        </w:rPr>
      </w:pPr>
      <w:r>
        <w:rPr>
          <w:rStyle w:val="FootnoteReference"/>
        </w:rPr>
        <w:footnoteRef/>
      </w:r>
      <w:r>
        <w:t xml:space="preserve"> </w:t>
      </w:r>
      <w:r w:rsidRPr="00A800B7">
        <w:t xml:space="preserve">See, e.g., </w:t>
      </w:r>
      <w:r w:rsidRPr="00A800B7">
        <w:rPr>
          <w:i/>
        </w:rPr>
        <w:t>Reis v. Bucholtz</w:t>
      </w:r>
      <w:r w:rsidRPr="00A800B7">
        <w:t>, 2010 BCCA 115, 3 B.C.L.R</w:t>
      </w:r>
      <w:r>
        <w:t>.</w:t>
      </w:r>
      <w:r w:rsidRPr="00A800B7">
        <w:t xml:space="preserve"> (5th) 71; </w:t>
      </w:r>
      <w:r w:rsidRPr="00A800B7">
        <w:rPr>
          <w:i/>
        </w:rPr>
        <w:t>Schick v. Schick</w:t>
      </w:r>
      <w:r w:rsidRPr="00A800B7">
        <w:t xml:space="preserve">, 2008 ABCA 196, 55 R.F.L. (6th) 1; </w:t>
      </w:r>
      <w:r w:rsidRPr="00A800B7">
        <w:rPr>
          <w:i/>
        </w:rPr>
        <w:t>Swiderski</w:t>
      </w:r>
      <w:r w:rsidRPr="00A800B7">
        <w:t xml:space="preserve">; </w:t>
      </w:r>
      <w:r w:rsidRPr="00A800B7">
        <w:rPr>
          <w:i/>
        </w:rPr>
        <w:t>Trick v. Trick</w:t>
      </w:r>
      <w:r w:rsidRPr="00A800B7">
        <w:t xml:space="preserve"> (2003), 39 R.F.L. (5th) 418 (Ont. S</w:t>
      </w:r>
      <w:r>
        <w:t>.C.</w:t>
      </w:r>
      <w:r w:rsidRPr="00A800B7">
        <w:t xml:space="preserve">J.); </w:t>
      </w:r>
      <w:r w:rsidRPr="00A800B7">
        <w:rPr>
          <w:i/>
        </w:rPr>
        <w:t>Burchill</w:t>
      </w:r>
      <w:r w:rsidRPr="00A800B7">
        <w:t xml:space="preserve">; </w:t>
      </w:r>
      <w:r w:rsidRPr="00A800B7">
        <w:rPr>
          <w:i/>
        </w:rPr>
        <w:t>Goulding v. Keck</w:t>
      </w:r>
      <w:r w:rsidRPr="00A800B7">
        <w:t xml:space="preserve">, 2014 ABCA 138, </w:t>
      </w:r>
      <w:r w:rsidRPr="00D739F3">
        <w:t>572 A.R. 330</w:t>
      </w:r>
      <w:r w:rsidRPr="00A800B7">
        <w:t>.</w:t>
      </w:r>
    </w:p>
  </w:footnote>
  <w:footnote w:id="6">
    <w:p w:rsidR="006B380E" w:rsidRPr="006B380E" w:rsidRDefault="006B380E">
      <w:pPr>
        <w:pStyle w:val="FootnoteText"/>
      </w:pPr>
      <w:r>
        <w:rPr>
          <w:rStyle w:val="FootnoteReference"/>
        </w:rPr>
        <w:footnoteRef/>
      </w:r>
      <w:r>
        <w:t xml:space="preserve"> </w:t>
      </w:r>
      <w:r w:rsidRPr="00E8607F">
        <w:t xml:space="preserve">See, e.g., </w:t>
      </w:r>
      <w:r w:rsidRPr="00C277EF">
        <w:rPr>
          <w:i/>
        </w:rPr>
        <w:t>Swiderski</w:t>
      </w:r>
      <w:r w:rsidRPr="00E8607F">
        <w:t>. This includes fear of losing custody due to disc</w:t>
      </w:r>
      <w:r w:rsidR="00F72FAA">
        <w:t xml:space="preserve">rimination or stereotyping (see </w:t>
      </w:r>
      <w:r w:rsidRPr="00E8607F">
        <w:t xml:space="preserve">S. B. Boyd, </w:t>
      </w:r>
      <w:r w:rsidRPr="000638B9">
        <w:rPr>
          <w:i/>
        </w:rPr>
        <w:t>Child Custody, Law, and Women’s Work</w:t>
      </w:r>
      <w:r w:rsidRPr="00E8607F">
        <w:t xml:space="preserve"> (2003), at p. 219).</w:t>
      </w:r>
    </w:p>
  </w:footnote>
  <w:footnote w:id="7">
    <w:p w:rsidR="006B380E" w:rsidRPr="006B380E" w:rsidRDefault="006B380E">
      <w:pPr>
        <w:pStyle w:val="FootnoteText"/>
      </w:pPr>
      <w:r>
        <w:rPr>
          <w:rStyle w:val="FootnoteReference"/>
        </w:rPr>
        <w:footnoteRef/>
      </w:r>
      <w:r>
        <w:t xml:space="preserve"> S</w:t>
      </w:r>
      <w:r w:rsidRPr="00C277EF">
        <w:t xml:space="preserve">ee, e.g., </w:t>
      </w:r>
      <w:r>
        <w:rPr>
          <w:i/>
        </w:rPr>
        <w:t>Simone</w:t>
      </w:r>
      <w:r w:rsidRPr="00C277EF">
        <w:t xml:space="preserve">; </w:t>
      </w:r>
      <w:r w:rsidRPr="00C277EF">
        <w:rPr>
          <w:i/>
        </w:rPr>
        <w:t>Farrell v. Oakley</w:t>
      </w:r>
      <w:r w:rsidRPr="00C277EF">
        <w:t xml:space="preserve">, 2008 ABQB 422; </w:t>
      </w:r>
      <w:r w:rsidRPr="00C277EF">
        <w:rPr>
          <w:i/>
        </w:rPr>
        <w:t>Howard v. Cox</w:t>
      </w:r>
      <w:r w:rsidR="00F72FAA">
        <w:t xml:space="preserve">, </w:t>
      </w:r>
      <w:r w:rsidRPr="00C277EF">
        <w:t xml:space="preserve">2017 ABCA 111, 97 R.F.L. (7th) 85; </w:t>
      </w:r>
      <w:r w:rsidRPr="00C277EF">
        <w:rPr>
          <w:i/>
        </w:rPr>
        <w:t>Ambrose v. Ambrose</w:t>
      </w:r>
      <w:r>
        <w:t xml:space="preserve"> (1990), 24 R.F.L. (3</w:t>
      </w:r>
      <w:r w:rsidRPr="00C277EF">
        <w:t>d) 353 (Man. C.A.).</w:t>
      </w:r>
    </w:p>
  </w:footnote>
  <w:footnote w:id="8">
    <w:p w:rsidR="006B380E" w:rsidRPr="006B380E" w:rsidRDefault="006B380E">
      <w:pPr>
        <w:pStyle w:val="FootnoteText"/>
      </w:pPr>
      <w:r>
        <w:rPr>
          <w:rStyle w:val="FootnoteReference"/>
        </w:rPr>
        <w:footnoteRef/>
      </w:r>
      <w:r>
        <w:t xml:space="preserve"> </w:t>
      </w:r>
      <w:r w:rsidRPr="00A800B7">
        <w:t xml:space="preserve">See, e.g., </w:t>
      </w:r>
      <w:r w:rsidRPr="00A800B7">
        <w:rPr>
          <w:i/>
        </w:rPr>
        <w:t>Eadie</w:t>
      </w:r>
      <w:r w:rsidRPr="00A800B7">
        <w:t xml:space="preserve">; </w:t>
      </w:r>
      <w:r w:rsidRPr="00A800B7">
        <w:rPr>
          <w:i/>
        </w:rPr>
        <w:t>Swiderski</w:t>
      </w:r>
      <w:r w:rsidRPr="00A800B7">
        <w:t xml:space="preserve">; </w:t>
      </w:r>
      <w:r w:rsidRPr="00A800B7">
        <w:rPr>
          <w:i/>
        </w:rPr>
        <w:t>de Rooy</w:t>
      </w:r>
      <w:r w:rsidRPr="00A800B7">
        <w:t xml:space="preserve">; </w:t>
      </w:r>
      <w:r w:rsidRPr="00A800B7">
        <w:rPr>
          <w:i/>
        </w:rPr>
        <w:t>Larson v. Larson</w:t>
      </w:r>
      <w:r w:rsidRPr="00A800B7">
        <w:t xml:space="preserve">, 2014 ABQB 560; </w:t>
      </w:r>
      <w:r w:rsidRPr="00A800B7">
        <w:rPr>
          <w:i/>
        </w:rPr>
        <w:t>C.M.M. v. P.M.M.</w:t>
      </w:r>
      <w:r w:rsidR="00F72FAA">
        <w:t xml:space="preserve">, 2019 </w:t>
      </w:r>
      <w:r w:rsidRPr="00A800B7">
        <w:t xml:space="preserve">ABQB 613; </w:t>
      </w:r>
      <w:r w:rsidRPr="00A800B7">
        <w:rPr>
          <w:i/>
        </w:rPr>
        <w:t>Roseberry</w:t>
      </w:r>
      <w:r w:rsidRPr="00A800B7">
        <w:t>.</w:t>
      </w:r>
    </w:p>
  </w:footnote>
  <w:footnote w:id="9">
    <w:p w:rsidR="006B380E" w:rsidRPr="006B380E" w:rsidRDefault="006B380E">
      <w:pPr>
        <w:pStyle w:val="FootnoteText"/>
      </w:pPr>
      <w:r>
        <w:rPr>
          <w:rStyle w:val="FootnoteReference"/>
        </w:rPr>
        <w:footnoteRef/>
      </w:r>
      <w:r>
        <w:t xml:space="preserve"> </w:t>
      </w:r>
      <w:r w:rsidRPr="00C277EF">
        <w:t xml:space="preserve">See, e.g., </w:t>
      </w:r>
      <w:r w:rsidRPr="00C277EF">
        <w:rPr>
          <w:i/>
        </w:rPr>
        <w:t>Hartshorne</w:t>
      </w:r>
      <w:r w:rsidRPr="00C277EF">
        <w:t xml:space="preserve">; </w:t>
      </w:r>
      <w:r w:rsidRPr="00C277EF">
        <w:rPr>
          <w:i/>
        </w:rPr>
        <w:t>de Rooy</w:t>
      </w:r>
      <w:r w:rsidRPr="00C277EF">
        <w:t xml:space="preserve">; </w:t>
      </w:r>
      <w:r w:rsidRPr="00C277EF">
        <w:rPr>
          <w:i/>
        </w:rPr>
        <w:t>B. (T.K.) v. S. (P.M.)</w:t>
      </w:r>
      <w:r w:rsidRPr="00C277EF">
        <w:t xml:space="preserve">; </w:t>
      </w:r>
      <w:r w:rsidRPr="00C277EF">
        <w:rPr>
          <w:i/>
        </w:rPr>
        <w:t>Eadie</w:t>
      </w:r>
      <w:r w:rsidRPr="00C277EF">
        <w:t xml:space="preserve">; </w:t>
      </w:r>
      <w:r w:rsidRPr="00C277EF">
        <w:rPr>
          <w:i/>
        </w:rPr>
        <w:t>W. (L.J.) v. H. (R.L.)</w:t>
      </w:r>
      <w:r>
        <w:t>.</w:t>
      </w:r>
    </w:p>
  </w:footnote>
  <w:footnote w:id="10">
    <w:p w:rsidR="006B380E" w:rsidRPr="006B380E" w:rsidRDefault="006B380E">
      <w:pPr>
        <w:pStyle w:val="FootnoteText"/>
      </w:pPr>
      <w:r>
        <w:rPr>
          <w:rStyle w:val="FootnoteReference"/>
        </w:rPr>
        <w:footnoteRef/>
      </w:r>
      <w:r>
        <w:t xml:space="preserve"> </w:t>
      </w:r>
      <w:r w:rsidRPr="00C277EF">
        <w:t xml:space="preserve">See, e.g., </w:t>
      </w:r>
      <w:r w:rsidRPr="00C277EF">
        <w:rPr>
          <w:i/>
        </w:rPr>
        <w:t>Swiderski</w:t>
      </w:r>
      <w:r w:rsidRPr="00C277EF">
        <w:t xml:space="preserve">; </w:t>
      </w:r>
      <w:r w:rsidRPr="00C277EF">
        <w:rPr>
          <w:i/>
        </w:rPr>
        <w:t>Smith v. Lagace</w:t>
      </w:r>
      <w:r>
        <w:t xml:space="preserve">, 2017 ABQB 394; </w:t>
      </w:r>
      <w:r w:rsidRPr="00C277EF">
        <w:rPr>
          <w:i/>
        </w:rPr>
        <w:t>S.P. v. R.P.</w:t>
      </w:r>
    </w:p>
  </w:footnote>
  <w:footnote w:id="11">
    <w:p w:rsidR="006B380E" w:rsidRPr="006B380E" w:rsidRDefault="006B380E" w:rsidP="006B380E">
      <w:pPr>
        <w:pStyle w:val="FootnoteText"/>
      </w:pPr>
      <w:r>
        <w:rPr>
          <w:rStyle w:val="FootnoteReference"/>
        </w:rPr>
        <w:footnoteRef/>
      </w:r>
      <w:r>
        <w:t xml:space="preserve"> </w:t>
      </w:r>
      <w:r w:rsidRPr="00C277EF">
        <w:t xml:space="preserve">See, e.g., </w:t>
      </w:r>
      <w:r w:rsidRPr="00C277EF">
        <w:rPr>
          <w:i/>
        </w:rPr>
        <w:t>Chrintz v. Chrintz</w:t>
      </w:r>
      <w:r w:rsidRPr="00C277EF">
        <w:t xml:space="preserve">, 41 R.F.L. (4th) 219 (Ont. C.J. (Gen. Div.)); </w:t>
      </w:r>
      <w:r w:rsidRPr="00C277EF">
        <w:rPr>
          <w:i/>
        </w:rPr>
        <w:t>McInutly v. Dacyshyn</w:t>
      </w:r>
      <w:r w:rsidR="00F72FAA">
        <w:t xml:space="preserve">, 2013 </w:t>
      </w:r>
      <w:r w:rsidRPr="00C277EF">
        <w:t>ABQB 538.</w:t>
      </w:r>
    </w:p>
  </w:footnote>
  <w:footnote w:id="12">
    <w:p w:rsidR="006B380E" w:rsidRPr="006B380E" w:rsidRDefault="006B380E">
      <w:pPr>
        <w:pStyle w:val="FootnoteText"/>
      </w:pPr>
      <w:r>
        <w:rPr>
          <w:rStyle w:val="FootnoteReference"/>
        </w:rPr>
        <w:footnoteRef/>
      </w:r>
      <w:r>
        <w:t xml:space="preserve"> S</w:t>
      </w:r>
      <w:r w:rsidRPr="00C277EF">
        <w:t xml:space="preserve">ee, e.g., </w:t>
      </w:r>
      <w:r w:rsidRPr="00C277EF">
        <w:rPr>
          <w:i/>
        </w:rPr>
        <w:t>S.K. v. A.K.</w:t>
      </w:r>
      <w:r w:rsidRPr="0031214A">
        <w:t xml:space="preserve">, </w:t>
      </w:r>
      <w:r w:rsidRPr="00C277EF">
        <w:t xml:space="preserve">2004 BCSC 37; </w:t>
      </w:r>
      <w:r w:rsidRPr="00C277EF">
        <w:rPr>
          <w:i/>
        </w:rPr>
        <w:t>K.A.W. v. M.E.W.</w:t>
      </w:r>
      <w:r w:rsidRPr="00C277EF">
        <w:t>, 2019 ABQB 563</w:t>
      </w:r>
      <w:r w:rsidR="009352AF">
        <w:t>.</w:t>
      </w:r>
    </w:p>
  </w:footnote>
  <w:footnote w:id="13">
    <w:p w:rsidR="00B25CB1" w:rsidRPr="00B25CB1" w:rsidRDefault="00B25CB1">
      <w:pPr>
        <w:pStyle w:val="FootnoteText"/>
        <w:rPr>
          <w:lang w:val="en-US"/>
        </w:rPr>
      </w:pPr>
      <w:r>
        <w:rPr>
          <w:rStyle w:val="FootnoteReference"/>
        </w:rPr>
        <w:footnoteRef/>
      </w:r>
      <w:r>
        <w:t xml:space="preserve"> The record indicates clearly that </w:t>
      </w:r>
      <w:r>
        <w:rPr>
          <w:i/>
          <w:iCs/>
        </w:rPr>
        <w:t>Henry</w:t>
      </w:r>
      <w:r>
        <w:t xml:space="preserve"> and </w:t>
      </w:r>
      <w:r>
        <w:rPr>
          <w:i/>
          <w:iCs/>
        </w:rPr>
        <w:t>Hiemstra</w:t>
      </w:r>
      <w:r w:rsidRPr="00F96BB1">
        <w:rPr>
          <w:iCs/>
        </w:rPr>
        <w:t>,</w:t>
      </w:r>
      <w:r>
        <w:rPr>
          <w:i/>
          <w:iCs/>
        </w:rPr>
        <w:t xml:space="preserve"> </w:t>
      </w:r>
      <w:r>
        <w:t xml:space="preserve">the two cases under the </w:t>
      </w:r>
      <w:r>
        <w:rPr>
          <w:i/>
          <w:iCs/>
        </w:rPr>
        <w:t>Divorce Act</w:t>
      </w:r>
      <w:r w:rsidRPr="00F96BB1">
        <w:rPr>
          <w:iCs/>
        </w:rPr>
        <w:t>,</w:t>
      </w:r>
      <w:r w:rsidRPr="00F96BB1">
        <w:t xml:space="preserve"> </w:t>
      </w:r>
      <w:r>
        <w:t xml:space="preserve">did not involve an application for an original order under s. 15.1. In both cases there was an existing child support award in the divorce judgment such that both were applications to vary under s. 17 of the </w:t>
      </w:r>
      <w:r>
        <w:rPr>
          <w:i/>
          <w:iCs/>
        </w:rPr>
        <w:t>Divorce Act</w:t>
      </w:r>
      <w:r>
        <w:t>. The cases under provincial legislation, although deemed to be original applications, did not involve a claim for historical child support and involved a different provision with express wording which limited claims.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F0" w:rsidRDefault="003F7A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F0" w:rsidRDefault="003F7A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56627BF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8C314E4"/>
    <w:multiLevelType w:val="hybridMultilevel"/>
    <w:tmpl w:val="87D6BF44"/>
    <w:lvl w:ilvl="0" w:tplc="E578CCE2">
      <w:start w:val="149"/>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 w15:restartNumberingAfterBreak="0">
    <w:nsid w:val="4B5C5BE8"/>
    <w:multiLevelType w:val="hybridMultilevel"/>
    <w:tmpl w:val="A75AAAE4"/>
    <w:lvl w:ilvl="0" w:tplc="1CE4AD4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E1E83"/>
    <w:multiLevelType w:val="hybridMultilevel"/>
    <w:tmpl w:val="A6524416"/>
    <w:lvl w:ilvl="0" w:tplc="0409000B">
      <w:start w:val="2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A474A8F8"/>
    <w:lvl w:ilvl="0">
      <w:start w:val="1"/>
      <w:numFmt w:val="decimal"/>
      <w:pStyle w:val="ParaNoNdepar-AltN"/>
      <w:lvlText w:val="[%1]"/>
      <w:lvlJc w:val="left"/>
      <w:pPr>
        <w:tabs>
          <w:tab w:val="num" w:pos="1152"/>
        </w:tabs>
        <w:ind w:left="0" w:firstLine="0"/>
      </w:pPr>
      <w:rPr>
        <w:rFonts w:ascii="Times New Roman" w:hAnsi="Times New Roman" w:cs="Times New Roman" w:hint="default"/>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D17745E"/>
    <w:multiLevelType w:val="hybridMultilevel"/>
    <w:tmpl w:val="5636ABB8"/>
    <w:lvl w:ilvl="0" w:tplc="555AB38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6421E4B"/>
    <w:multiLevelType w:val="hybridMultilevel"/>
    <w:tmpl w:val="23525BEC"/>
    <w:lvl w:ilvl="0" w:tplc="C37E33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0"/>
  </w:num>
  <w:num w:numId="5">
    <w:abstractNumId w:val="6"/>
  </w:num>
  <w:num w:numId="6">
    <w:abstractNumId w:val="7"/>
  </w:num>
  <w:num w:numId="7">
    <w:abstractNumId w:val="8"/>
  </w:num>
  <w:num w:numId="8">
    <w:abstractNumId w:val="2"/>
  </w:num>
  <w:num w:numId="9">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2"/>
    <w:lvlOverride w:ilvl="0">
      <w:lvl w:ilvl="0">
        <w:start w:val="1"/>
        <w:numFmt w:val="upperRoman"/>
        <w:pStyle w:val="Title1LevelTitre1Niveau-AltL"/>
        <w:lvlText w:val="%1."/>
        <w:lvlJc w:val="left"/>
        <w:pPr>
          <w:tabs>
            <w:tab w:val="num" w:pos="3276"/>
          </w:tabs>
          <w:ind w:left="3276" w:hanging="576"/>
        </w:pPr>
        <w:rPr>
          <w:rFonts w:hint="default"/>
          <w:sz w:val="24"/>
        </w:rPr>
      </w:lvl>
    </w:lvlOverride>
    <w:lvlOverride w:ilvl="1">
      <w:lvl w:ilvl="1">
        <w:start w:val="1"/>
        <w:numFmt w:val="upperLetter"/>
        <w:pStyle w:val="Title2LevelTitre2Niveau"/>
        <w:lvlText w:val="%2."/>
        <w:lvlJc w:val="left"/>
        <w:pPr>
          <w:tabs>
            <w:tab w:val="num" w:pos="306"/>
          </w:tabs>
          <w:ind w:left="30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882"/>
          </w:tabs>
          <w:ind w:left="88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936"/>
          </w:tabs>
          <w:ind w:left="936" w:hanging="576"/>
        </w:pPr>
        <w:rPr>
          <w:rFonts w:hint="default"/>
          <w:b w:val="0"/>
          <w:i w:val="0"/>
        </w:rPr>
      </w:lvl>
    </w:lvlOverride>
    <w:lvlOverride w:ilvl="4">
      <w:lvl w:ilvl="4">
        <w:start w:val="1"/>
        <w:numFmt w:val="lowerRoman"/>
        <w:pStyle w:val="Title5LevelTitre5Niveau"/>
        <w:lvlText w:val="(%5)"/>
        <w:lvlJc w:val="left"/>
        <w:pPr>
          <w:tabs>
            <w:tab w:val="num" w:pos="1566"/>
          </w:tabs>
          <w:ind w:left="1566" w:hanging="576"/>
        </w:pPr>
        <w:rPr>
          <w:rFonts w:hint="default"/>
        </w:rPr>
      </w:lvl>
    </w:lvlOverride>
    <w:lvlOverride w:ilvl="5">
      <w:lvl w:ilvl="5">
        <w:start w:val="1"/>
        <w:numFmt w:val="decimal"/>
        <w:pStyle w:val="Title6LevelTitre6Niveau"/>
        <w:lvlText w:val="%6."/>
        <w:lvlJc w:val="left"/>
        <w:pPr>
          <w:tabs>
            <w:tab w:val="num" w:pos="1458"/>
          </w:tabs>
          <w:ind w:left="1458" w:hanging="576"/>
        </w:pPr>
        <w:rPr>
          <w:rFonts w:hint="default"/>
          <w:b w:val="0"/>
          <w:i w:val="0"/>
        </w:rPr>
      </w:lvl>
    </w:lvlOverride>
    <w:lvlOverride w:ilvl="6">
      <w:lvl w:ilvl="6">
        <w:start w:val="1"/>
        <w:numFmt w:val="decimal"/>
        <w:lvlText w:val="%7."/>
        <w:lvlJc w:val="left"/>
        <w:pPr>
          <w:ind w:left="7938" w:hanging="432"/>
        </w:pPr>
        <w:rPr>
          <w:rFonts w:hint="default"/>
        </w:rPr>
      </w:lvl>
    </w:lvlOverride>
    <w:lvlOverride w:ilvl="7">
      <w:lvl w:ilvl="7">
        <w:start w:val="1"/>
        <w:numFmt w:val="lowerLetter"/>
        <w:lvlText w:val="%8."/>
        <w:lvlJc w:val="left"/>
        <w:pPr>
          <w:ind w:left="8370" w:hanging="432"/>
        </w:pPr>
        <w:rPr>
          <w:rFonts w:hint="default"/>
        </w:rPr>
      </w:lvl>
    </w:lvlOverride>
    <w:lvlOverride w:ilvl="8">
      <w:lvl w:ilvl="8">
        <w:start w:val="1"/>
        <w:numFmt w:val="lowerRoman"/>
        <w:lvlText w:val="%9."/>
        <w:lvlJc w:val="left"/>
        <w:pPr>
          <w:ind w:left="8802" w:hanging="432"/>
        </w:pPr>
        <w:rPr>
          <w:rFonts w:hint="default"/>
        </w:rPr>
      </w:lvl>
    </w:lvlOverride>
  </w:num>
  <w:num w:numId="11">
    <w:abstractNumId w:val="3"/>
  </w:num>
  <w:num w:numId="12">
    <w:abstractNumId w:val="4"/>
  </w:num>
  <w:num w:numId="13">
    <w:abstractNumId w:val="9"/>
  </w:num>
  <w:num w:numId="14">
    <w:abstractNumId w:val="5"/>
  </w:num>
  <w:num w:numId="15">
    <w:abstractNumId w:val="1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0FA7"/>
    <w:rsid w:val="0002250F"/>
    <w:rsid w:val="00023332"/>
    <w:rsid w:val="00025198"/>
    <w:rsid w:val="000578A3"/>
    <w:rsid w:val="00062976"/>
    <w:rsid w:val="000648CC"/>
    <w:rsid w:val="00072C0A"/>
    <w:rsid w:val="00074042"/>
    <w:rsid w:val="00080D0B"/>
    <w:rsid w:val="00082582"/>
    <w:rsid w:val="00092A6D"/>
    <w:rsid w:val="00093280"/>
    <w:rsid w:val="00096FA8"/>
    <w:rsid w:val="00096FD8"/>
    <w:rsid w:val="000C00F5"/>
    <w:rsid w:val="000C59B8"/>
    <w:rsid w:val="000C6AF0"/>
    <w:rsid w:val="000D2788"/>
    <w:rsid w:val="000E0220"/>
    <w:rsid w:val="000E0BBF"/>
    <w:rsid w:val="000F24D7"/>
    <w:rsid w:val="000F2F51"/>
    <w:rsid w:val="00104F33"/>
    <w:rsid w:val="00111DE2"/>
    <w:rsid w:val="001148D2"/>
    <w:rsid w:val="00116B38"/>
    <w:rsid w:val="001328D6"/>
    <w:rsid w:val="00135406"/>
    <w:rsid w:val="00135972"/>
    <w:rsid w:val="001426A9"/>
    <w:rsid w:val="00154D7C"/>
    <w:rsid w:val="001570B0"/>
    <w:rsid w:val="0015752C"/>
    <w:rsid w:val="00157737"/>
    <w:rsid w:val="001625DD"/>
    <w:rsid w:val="00165277"/>
    <w:rsid w:val="00170592"/>
    <w:rsid w:val="00186351"/>
    <w:rsid w:val="00195D83"/>
    <w:rsid w:val="001A00C1"/>
    <w:rsid w:val="001A3FB0"/>
    <w:rsid w:val="001B1916"/>
    <w:rsid w:val="001B33E0"/>
    <w:rsid w:val="001B4573"/>
    <w:rsid w:val="001C090B"/>
    <w:rsid w:val="001C779F"/>
    <w:rsid w:val="001D2AC1"/>
    <w:rsid w:val="001D4E88"/>
    <w:rsid w:val="001E7A06"/>
    <w:rsid w:val="001F0CEF"/>
    <w:rsid w:val="001F67E7"/>
    <w:rsid w:val="0020107E"/>
    <w:rsid w:val="00212038"/>
    <w:rsid w:val="00220FC2"/>
    <w:rsid w:val="002222F4"/>
    <w:rsid w:val="00222475"/>
    <w:rsid w:val="00224702"/>
    <w:rsid w:val="00224FC0"/>
    <w:rsid w:val="00225EA4"/>
    <w:rsid w:val="00226EAF"/>
    <w:rsid w:val="00227EF8"/>
    <w:rsid w:val="00231F3A"/>
    <w:rsid w:val="00234199"/>
    <w:rsid w:val="002360B0"/>
    <w:rsid w:val="002406EE"/>
    <w:rsid w:val="002419FD"/>
    <w:rsid w:val="00243EC8"/>
    <w:rsid w:val="00245F28"/>
    <w:rsid w:val="00257BA1"/>
    <w:rsid w:val="00267939"/>
    <w:rsid w:val="00270D93"/>
    <w:rsid w:val="002745CC"/>
    <w:rsid w:val="00285F6C"/>
    <w:rsid w:val="002B303A"/>
    <w:rsid w:val="002B7924"/>
    <w:rsid w:val="002C039C"/>
    <w:rsid w:val="002D22FE"/>
    <w:rsid w:val="002D28C3"/>
    <w:rsid w:val="002D39A4"/>
    <w:rsid w:val="002D6D69"/>
    <w:rsid w:val="002E6705"/>
    <w:rsid w:val="00301D08"/>
    <w:rsid w:val="0030329A"/>
    <w:rsid w:val="0031086F"/>
    <w:rsid w:val="00310E58"/>
    <w:rsid w:val="0031414C"/>
    <w:rsid w:val="00314E01"/>
    <w:rsid w:val="0032089D"/>
    <w:rsid w:val="00322D84"/>
    <w:rsid w:val="003310DE"/>
    <w:rsid w:val="003321DF"/>
    <w:rsid w:val="003323B0"/>
    <w:rsid w:val="0035169A"/>
    <w:rsid w:val="0035259D"/>
    <w:rsid w:val="00364B18"/>
    <w:rsid w:val="00372A80"/>
    <w:rsid w:val="003827D6"/>
    <w:rsid w:val="00387BB1"/>
    <w:rsid w:val="003944B9"/>
    <w:rsid w:val="003A125D"/>
    <w:rsid w:val="003A4271"/>
    <w:rsid w:val="003A4C70"/>
    <w:rsid w:val="003B215F"/>
    <w:rsid w:val="003C799C"/>
    <w:rsid w:val="003D0399"/>
    <w:rsid w:val="003E1C71"/>
    <w:rsid w:val="003E3688"/>
    <w:rsid w:val="003E4A9B"/>
    <w:rsid w:val="003F1C02"/>
    <w:rsid w:val="003F327B"/>
    <w:rsid w:val="003F7AF0"/>
    <w:rsid w:val="00406166"/>
    <w:rsid w:val="0040704B"/>
    <w:rsid w:val="00410A55"/>
    <w:rsid w:val="00411300"/>
    <w:rsid w:val="00415417"/>
    <w:rsid w:val="00416C3D"/>
    <w:rsid w:val="00426659"/>
    <w:rsid w:val="00426B84"/>
    <w:rsid w:val="00430EB7"/>
    <w:rsid w:val="004364E8"/>
    <w:rsid w:val="00450352"/>
    <w:rsid w:val="0045291B"/>
    <w:rsid w:val="00454BDB"/>
    <w:rsid w:val="00462F23"/>
    <w:rsid w:val="00464800"/>
    <w:rsid w:val="00465132"/>
    <w:rsid w:val="004671AA"/>
    <w:rsid w:val="00480BDE"/>
    <w:rsid w:val="00480C90"/>
    <w:rsid w:val="0048396F"/>
    <w:rsid w:val="004921D0"/>
    <w:rsid w:val="00492491"/>
    <w:rsid w:val="00493C18"/>
    <w:rsid w:val="0049552C"/>
    <w:rsid w:val="004A1E58"/>
    <w:rsid w:val="004A600C"/>
    <w:rsid w:val="004A6118"/>
    <w:rsid w:val="004B2558"/>
    <w:rsid w:val="004C478D"/>
    <w:rsid w:val="004C6856"/>
    <w:rsid w:val="004D56C4"/>
    <w:rsid w:val="004E2C26"/>
    <w:rsid w:val="004E4929"/>
    <w:rsid w:val="004F236F"/>
    <w:rsid w:val="004F36FF"/>
    <w:rsid w:val="004F710F"/>
    <w:rsid w:val="00503A8C"/>
    <w:rsid w:val="005125A8"/>
    <w:rsid w:val="00516055"/>
    <w:rsid w:val="00517E7F"/>
    <w:rsid w:val="00521AE8"/>
    <w:rsid w:val="00527180"/>
    <w:rsid w:val="0054201E"/>
    <w:rsid w:val="005518E5"/>
    <w:rsid w:val="00555291"/>
    <w:rsid w:val="005563F6"/>
    <w:rsid w:val="0055762F"/>
    <w:rsid w:val="00566AD1"/>
    <w:rsid w:val="00583EDE"/>
    <w:rsid w:val="0059046E"/>
    <w:rsid w:val="00591F37"/>
    <w:rsid w:val="005A0504"/>
    <w:rsid w:val="005A08EE"/>
    <w:rsid w:val="005A6079"/>
    <w:rsid w:val="005D179A"/>
    <w:rsid w:val="005E4698"/>
    <w:rsid w:val="005F0F0C"/>
    <w:rsid w:val="005F4CAB"/>
    <w:rsid w:val="00601F1C"/>
    <w:rsid w:val="00610539"/>
    <w:rsid w:val="00613903"/>
    <w:rsid w:val="00613969"/>
    <w:rsid w:val="00622718"/>
    <w:rsid w:val="00625C35"/>
    <w:rsid w:val="00640467"/>
    <w:rsid w:val="006417BF"/>
    <w:rsid w:val="00656313"/>
    <w:rsid w:val="006565F4"/>
    <w:rsid w:val="00683097"/>
    <w:rsid w:val="00684EEA"/>
    <w:rsid w:val="00692CBA"/>
    <w:rsid w:val="0069689B"/>
    <w:rsid w:val="006A14F2"/>
    <w:rsid w:val="006A1551"/>
    <w:rsid w:val="006A2E99"/>
    <w:rsid w:val="006A55A1"/>
    <w:rsid w:val="006A60D2"/>
    <w:rsid w:val="006B380E"/>
    <w:rsid w:val="006B5FF5"/>
    <w:rsid w:val="006D1783"/>
    <w:rsid w:val="006F30AF"/>
    <w:rsid w:val="006F37F5"/>
    <w:rsid w:val="006F5397"/>
    <w:rsid w:val="00701759"/>
    <w:rsid w:val="00705C15"/>
    <w:rsid w:val="00711171"/>
    <w:rsid w:val="0071600E"/>
    <w:rsid w:val="007165D0"/>
    <w:rsid w:val="007208D1"/>
    <w:rsid w:val="00720FCD"/>
    <w:rsid w:val="00721997"/>
    <w:rsid w:val="007254BA"/>
    <w:rsid w:val="00726099"/>
    <w:rsid w:val="007353F5"/>
    <w:rsid w:val="0073714A"/>
    <w:rsid w:val="00747288"/>
    <w:rsid w:val="00747DD3"/>
    <w:rsid w:val="00754488"/>
    <w:rsid w:val="007549C8"/>
    <w:rsid w:val="00754A0B"/>
    <w:rsid w:val="0075553E"/>
    <w:rsid w:val="00762BBE"/>
    <w:rsid w:val="00766D14"/>
    <w:rsid w:val="00767A0F"/>
    <w:rsid w:val="0077634F"/>
    <w:rsid w:val="007772AE"/>
    <w:rsid w:val="0077734C"/>
    <w:rsid w:val="00785289"/>
    <w:rsid w:val="00790E85"/>
    <w:rsid w:val="007A05F6"/>
    <w:rsid w:val="007A4652"/>
    <w:rsid w:val="007A7272"/>
    <w:rsid w:val="007B6F4A"/>
    <w:rsid w:val="007D1625"/>
    <w:rsid w:val="007E1C47"/>
    <w:rsid w:val="007E337A"/>
    <w:rsid w:val="007E3E20"/>
    <w:rsid w:val="007E5C70"/>
    <w:rsid w:val="007F2FF5"/>
    <w:rsid w:val="007F3F08"/>
    <w:rsid w:val="00804CC6"/>
    <w:rsid w:val="00817190"/>
    <w:rsid w:val="00820EE5"/>
    <w:rsid w:val="008260E2"/>
    <w:rsid w:val="00827E06"/>
    <w:rsid w:val="008322BD"/>
    <w:rsid w:val="00833E0A"/>
    <w:rsid w:val="00834F73"/>
    <w:rsid w:val="00850E5C"/>
    <w:rsid w:val="0085186E"/>
    <w:rsid w:val="00864976"/>
    <w:rsid w:val="00864CF8"/>
    <w:rsid w:val="00872819"/>
    <w:rsid w:val="00874914"/>
    <w:rsid w:val="00882C41"/>
    <w:rsid w:val="0088386C"/>
    <w:rsid w:val="00891422"/>
    <w:rsid w:val="00892E1A"/>
    <w:rsid w:val="008A3F29"/>
    <w:rsid w:val="008B1752"/>
    <w:rsid w:val="008B660A"/>
    <w:rsid w:val="008C01DA"/>
    <w:rsid w:val="008D7EDB"/>
    <w:rsid w:val="008E1F8E"/>
    <w:rsid w:val="008E5C2C"/>
    <w:rsid w:val="008F6668"/>
    <w:rsid w:val="008F78E9"/>
    <w:rsid w:val="00910B9D"/>
    <w:rsid w:val="00911989"/>
    <w:rsid w:val="00911F0A"/>
    <w:rsid w:val="009179F9"/>
    <w:rsid w:val="009268D7"/>
    <w:rsid w:val="00930AD8"/>
    <w:rsid w:val="009331E8"/>
    <w:rsid w:val="00933E5E"/>
    <w:rsid w:val="00934A5F"/>
    <w:rsid w:val="00935218"/>
    <w:rsid w:val="009352AF"/>
    <w:rsid w:val="009403F3"/>
    <w:rsid w:val="009538AE"/>
    <w:rsid w:val="00953BFD"/>
    <w:rsid w:val="009555B7"/>
    <w:rsid w:val="009567AA"/>
    <w:rsid w:val="00960871"/>
    <w:rsid w:val="009612ED"/>
    <w:rsid w:val="00962FD4"/>
    <w:rsid w:val="00963F42"/>
    <w:rsid w:val="00967374"/>
    <w:rsid w:val="00972BD4"/>
    <w:rsid w:val="00991E47"/>
    <w:rsid w:val="00993DF7"/>
    <w:rsid w:val="009A343A"/>
    <w:rsid w:val="009B2F23"/>
    <w:rsid w:val="009B57B3"/>
    <w:rsid w:val="009B681B"/>
    <w:rsid w:val="009C5B92"/>
    <w:rsid w:val="009D2920"/>
    <w:rsid w:val="009D5AEB"/>
    <w:rsid w:val="009D795E"/>
    <w:rsid w:val="009E72C5"/>
    <w:rsid w:val="009E7CCD"/>
    <w:rsid w:val="009F0E33"/>
    <w:rsid w:val="00A030CE"/>
    <w:rsid w:val="00A04AD6"/>
    <w:rsid w:val="00A149DF"/>
    <w:rsid w:val="00A1755C"/>
    <w:rsid w:val="00A21B90"/>
    <w:rsid w:val="00A27006"/>
    <w:rsid w:val="00A3009F"/>
    <w:rsid w:val="00A307C6"/>
    <w:rsid w:val="00A3435F"/>
    <w:rsid w:val="00A34BA4"/>
    <w:rsid w:val="00A41805"/>
    <w:rsid w:val="00A42DCD"/>
    <w:rsid w:val="00A51351"/>
    <w:rsid w:val="00A52AFB"/>
    <w:rsid w:val="00A548CB"/>
    <w:rsid w:val="00A5521C"/>
    <w:rsid w:val="00A63763"/>
    <w:rsid w:val="00A643E7"/>
    <w:rsid w:val="00A725C1"/>
    <w:rsid w:val="00A73C38"/>
    <w:rsid w:val="00A76209"/>
    <w:rsid w:val="00A8184C"/>
    <w:rsid w:val="00A977AE"/>
    <w:rsid w:val="00AB670D"/>
    <w:rsid w:val="00AE4535"/>
    <w:rsid w:val="00AE5B38"/>
    <w:rsid w:val="00AE616A"/>
    <w:rsid w:val="00AF03C5"/>
    <w:rsid w:val="00B000D8"/>
    <w:rsid w:val="00B00F75"/>
    <w:rsid w:val="00B01085"/>
    <w:rsid w:val="00B12454"/>
    <w:rsid w:val="00B1313D"/>
    <w:rsid w:val="00B145B6"/>
    <w:rsid w:val="00B20044"/>
    <w:rsid w:val="00B23077"/>
    <w:rsid w:val="00B25CB1"/>
    <w:rsid w:val="00B25F65"/>
    <w:rsid w:val="00B279EB"/>
    <w:rsid w:val="00B27AC5"/>
    <w:rsid w:val="00B3190C"/>
    <w:rsid w:val="00B33AB3"/>
    <w:rsid w:val="00B37B55"/>
    <w:rsid w:val="00B472AB"/>
    <w:rsid w:val="00B50C81"/>
    <w:rsid w:val="00B557F8"/>
    <w:rsid w:val="00B646F6"/>
    <w:rsid w:val="00B729E5"/>
    <w:rsid w:val="00B7544E"/>
    <w:rsid w:val="00B815FC"/>
    <w:rsid w:val="00B93FBC"/>
    <w:rsid w:val="00B94A08"/>
    <w:rsid w:val="00BA7DA0"/>
    <w:rsid w:val="00BB2EE4"/>
    <w:rsid w:val="00BC2108"/>
    <w:rsid w:val="00BC3233"/>
    <w:rsid w:val="00BD0E9E"/>
    <w:rsid w:val="00BD1BEC"/>
    <w:rsid w:val="00BD32FF"/>
    <w:rsid w:val="00BD5A29"/>
    <w:rsid w:val="00BE6F12"/>
    <w:rsid w:val="00BE7F2A"/>
    <w:rsid w:val="00C02092"/>
    <w:rsid w:val="00C030AE"/>
    <w:rsid w:val="00C04EFB"/>
    <w:rsid w:val="00C17E12"/>
    <w:rsid w:val="00C24D91"/>
    <w:rsid w:val="00C32609"/>
    <w:rsid w:val="00C36CBE"/>
    <w:rsid w:val="00C53F14"/>
    <w:rsid w:val="00C54AC4"/>
    <w:rsid w:val="00C551DA"/>
    <w:rsid w:val="00C600CF"/>
    <w:rsid w:val="00C6084F"/>
    <w:rsid w:val="00C62A66"/>
    <w:rsid w:val="00C65CFF"/>
    <w:rsid w:val="00C71458"/>
    <w:rsid w:val="00C75219"/>
    <w:rsid w:val="00C7536C"/>
    <w:rsid w:val="00C77613"/>
    <w:rsid w:val="00C828E7"/>
    <w:rsid w:val="00C85D13"/>
    <w:rsid w:val="00C86719"/>
    <w:rsid w:val="00C90BFE"/>
    <w:rsid w:val="00C921DD"/>
    <w:rsid w:val="00C9307A"/>
    <w:rsid w:val="00C978C8"/>
    <w:rsid w:val="00CA6391"/>
    <w:rsid w:val="00CB22B1"/>
    <w:rsid w:val="00CC34BD"/>
    <w:rsid w:val="00CD09EA"/>
    <w:rsid w:val="00CD0FF2"/>
    <w:rsid w:val="00CE161A"/>
    <w:rsid w:val="00CE3171"/>
    <w:rsid w:val="00CE55E1"/>
    <w:rsid w:val="00CE7470"/>
    <w:rsid w:val="00CE7CCA"/>
    <w:rsid w:val="00CF1592"/>
    <w:rsid w:val="00CF1601"/>
    <w:rsid w:val="00D0172F"/>
    <w:rsid w:val="00D0340D"/>
    <w:rsid w:val="00D068A7"/>
    <w:rsid w:val="00D11CF0"/>
    <w:rsid w:val="00D17476"/>
    <w:rsid w:val="00D25751"/>
    <w:rsid w:val="00D32086"/>
    <w:rsid w:val="00D32ABA"/>
    <w:rsid w:val="00D37A3F"/>
    <w:rsid w:val="00D4431D"/>
    <w:rsid w:val="00D44FA5"/>
    <w:rsid w:val="00D4667A"/>
    <w:rsid w:val="00D61219"/>
    <w:rsid w:val="00D63A1C"/>
    <w:rsid w:val="00D7516F"/>
    <w:rsid w:val="00D815B0"/>
    <w:rsid w:val="00D82588"/>
    <w:rsid w:val="00D84A65"/>
    <w:rsid w:val="00D8579F"/>
    <w:rsid w:val="00D95F8E"/>
    <w:rsid w:val="00DA0590"/>
    <w:rsid w:val="00DA6BD0"/>
    <w:rsid w:val="00DB7BEA"/>
    <w:rsid w:val="00DC1739"/>
    <w:rsid w:val="00DC1788"/>
    <w:rsid w:val="00DD074F"/>
    <w:rsid w:val="00DE319C"/>
    <w:rsid w:val="00DF0CA8"/>
    <w:rsid w:val="00DF1E4E"/>
    <w:rsid w:val="00DF2B48"/>
    <w:rsid w:val="00DF3BD4"/>
    <w:rsid w:val="00DF49A7"/>
    <w:rsid w:val="00E05B06"/>
    <w:rsid w:val="00E07EE2"/>
    <w:rsid w:val="00E07FD1"/>
    <w:rsid w:val="00E13F4B"/>
    <w:rsid w:val="00E1685C"/>
    <w:rsid w:val="00E1732E"/>
    <w:rsid w:val="00E176D8"/>
    <w:rsid w:val="00E24573"/>
    <w:rsid w:val="00E25E1E"/>
    <w:rsid w:val="00E27EE7"/>
    <w:rsid w:val="00E310BD"/>
    <w:rsid w:val="00E35404"/>
    <w:rsid w:val="00E36543"/>
    <w:rsid w:val="00E45109"/>
    <w:rsid w:val="00E4694E"/>
    <w:rsid w:val="00E4768B"/>
    <w:rsid w:val="00E47B7A"/>
    <w:rsid w:val="00E5002F"/>
    <w:rsid w:val="00E56A44"/>
    <w:rsid w:val="00E60269"/>
    <w:rsid w:val="00E60A14"/>
    <w:rsid w:val="00E61463"/>
    <w:rsid w:val="00E65246"/>
    <w:rsid w:val="00E77932"/>
    <w:rsid w:val="00E825D5"/>
    <w:rsid w:val="00E9418D"/>
    <w:rsid w:val="00E97830"/>
    <w:rsid w:val="00EA1FEC"/>
    <w:rsid w:val="00EB2154"/>
    <w:rsid w:val="00EB5A98"/>
    <w:rsid w:val="00EC3DD6"/>
    <w:rsid w:val="00EC79C7"/>
    <w:rsid w:val="00ED100B"/>
    <w:rsid w:val="00EE13C5"/>
    <w:rsid w:val="00EE2981"/>
    <w:rsid w:val="00EE643C"/>
    <w:rsid w:val="00EF0683"/>
    <w:rsid w:val="00EF69D2"/>
    <w:rsid w:val="00EF72BD"/>
    <w:rsid w:val="00EF7608"/>
    <w:rsid w:val="00EF766E"/>
    <w:rsid w:val="00EF7D9B"/>
    <w:rsid w:val="00F0070C"/>
    <w:rsid w:val="00F00EB7"/>
    <w:rsid w:val="00F03876"/>
    <w:rsid w:val="00F148E3"/>
    <w:rsid w:val="00F17F6D"/>
    <w:rsid w:val="00F30A3E"/>
    <w:rsid w:val="00F3156C"/>
    <w:rsid w:val="00F327F8"/>
    <w:rsid w:val="00F34254"/>
    <w:rsid w:val="00F36AB6"/>
    <w:rsid w:val="00F375B4"/>
    <w:rsid w:val="00F37A09"/>
    <w:rsid w:val="00F40216"/>
    <w:rsid w:val="00F409CE"/>
    <w:rsid w:val="00F4379D"/>
    <w:rsid w:val="00F50D2D"/>
    <w:rsid w:val="00F50F96"/>
    <w:rsid w:val="00F52102"/>
    <w:rsid w:val="00F56C8B"/>
    <w:rsid w:val="00F65712"/>
    <w:rsid w:val="00F66810"/>
    <w:rsid w:val="00F70425"/>
    <w:rsid w:val="00F72FAA"/>
    <w:rsid w:val="00F74BBA"/>
    <w:rsid w:val="00F846D9"/>
    <w:rsid w:val="00F84DF4"/>
    <w:rsid w:val="00F85C97"/>
    <w:rsid w:val="00FA412F"/>
    <w:rsid w:val="00FB100D"/>
    <w:rsid w:val="00FB130B"/>
    <w:rsid w:val="00FB37D2"/>
    <w:rsid w:val="00FC4EFB"/>
    <w:rsid w:val="00FD068D"/>
    <w:rsid w:val="00FD2837"/>
    <w:rsid w:val="00FD3B7F"/>
    <w:rsid w:val="00FD4F28"/>
    <w:rsid w:val="00FE6585"/>
    <w:rsid w:val="00FE6784"/>
    <w:rsid w:val="00FF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FD8"/>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27006"/>
    <w:pPr>
      <w:keepNext/>
      <w:keepLines/>
      <w:spacing w:before="40"/>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1F0CEF"/>
    <w:rPr>
      <w:sz w:val="16"/>
      <w:szCs w:val="16"/>
    </w:rPr>
  </w:style>
  <w:style w:type="paragraph" w:styleId="CommentText">
    <w:name w:val="annotation text"/>
    <w:basedOn w:val="Normal"/>
    <w:link w:val="CommentTextChar"/>
    <w:uiPriority w:val="99"/>
    <w:unhideWhenUsed/>
    <w:rsid w:val="001F0CEF"/>
    <w:rPr>
      <w:sz w:val="20"/>
    </w:rPr>
  </w:style>
  <w:style w:type="character" w:customStyle="1" w:styleId="CommentTextChar">
    <w:name w:val="Comment Text Char"/>
    <w:basedOn w:val="DefaultParagraphFont"/>
    <w:link w:val="CommentText"/>
    <w:uiPriority w:val="99"/>
    <w:rsid w:val="001F0CEF"/>
  </w:style>
  <w:style w:type="character" w:customStyle="1" w:styleId="reflex">
    <w:name w:val="reflex"/>
    <w:basedOn w:val="DefaultParagraphFont"/>
    <w:rsid w:val="00D25751"/>
  </w:style>
  <w:style w:type="paragraph" w:styleId="CommentSubject">
    <w:name w:val="annotation subject"/>
    <w:basedOn w:val="CommentText"/>
    <w:next w:val="CommentText"/>
    <w:link w:val="CommentSubjectChar"/>
    <w:uiPriority w:val="99"/>
    <w:semiHidden/>
    <w:unhideWhenUsed/>
    <w:rsid w:val="00930AD8"/>
    <w:rPr>
      <w:b/>
      <w:bCs/>
    </w:rPr>
  </w:style>
  <w:style w:type="character" w:customStyle="1" w:styleId="CommentSubjectChar">
    <w:name w:val="Comment Subject Char"/>
    <w:basedOn w:val="CommentTextChar"/>
    <w:link w:val="CommentSubject"/>
    <w:uiPriority w:val="99"/>
    <w:semiHidden/>
    <w:rsid w:val="00930AD8"/>
    <w:rPr>
      <w:b/>
      <w:bCs/>
    </w:rPr>
  </w:style>
  <w:style w:type="paragraph" w:customStyle="1" w:styleId="ParaNoNdepar-AltN">
    <w:name w:val="Para. No. / Nº de par. - Alt N"/>
    <w:qFormat/>
    <w:rsid w:val="007772AE"/>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A27006"/>
    <w:pPr>
      <w:spacing w:after="480"/>
    </w:pPr>
    <w:rPr>
      <w:rFonts w:eastAsiaTheme="minorHAnsi" w:cstheme="minorBidi"/>
      <w:szCs w:val="22"/>
      <w:lang w:eastAsia="en-US"/>
    </w:rPr>
  </w:style>
  <w:style w:type="paragraph" w:customStyle="1" w:styleId="SCCCoram">
    <w:name w:val="SCC.Coram"/>
    <w:basedOn w:val="Normal"/>
    <w:next w:val="Normal"/>
    <w:link w:val="SCCCoramChar"/>
    <w:rsid w:val="00A2700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27006"/>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A27006"/>
    <w:rPr>
      <w:rFonts w:eastAsiaTheme="minorHAnsi" w:cstheme="minorBidi"/>
      <w:sz w:val="24"/>
      <w:szCs w:val="22"/>
      <w:lang w:eastAsia="en-US"/>
    </w:rPr>
  </w:style>
  <w:style w:type="character" w:customStyle="1" w:styleId="SCCBanSummaryChar">
    <w:name w:val="SCC.BanSummary Char"/>
    <w:basedOn w:val="DefaultParagraphFont"/>
    <w:link w:val="SCCBanSummary"/>
    <w:rsid w:val="00A27006"/>
    <w:rPr>
      <w:b/>
      <w:sz w:val="24"/>
    </w:rPr>
  </w:style>
  <w:style w:type="table" w:styleId="TableGrid">
    <w:name w:val="Table Grid"/>
    <w:basedOn w:val="TableNormal"/>
    <w:uiPriority w:val="59"/>
    <w:rsid w:val="00A27006"/>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27006"/>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A2700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27006"/>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A27006"/>
    <w:pPr>
      <w:numPr>
        <w:numId w:val="8"/>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27006"/>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27006"/>
    <w:pPr>
      <w:numPr>
        <w:ilvl w:val="2"/>
      </w:numPr>
      <w:outlineLvl w:val="2"/>
    </w:pPr>
  </w:style>
  <w:style w:type="paragraph" w:customStyle="1" w:styleId="Title4LevelTitre4Niveau">
    <w:name w:val="Title 4 Level / Titre 4 Niveau"/>
    <w:basedOn w:val="Title3LevelTitre3Niveau"/>
    <w:next w:val="ParaNoNdepar-AltN"/>
    <w:uiPriority w:val="4"/>
    <w:qFormat/>
    <w:rsid w:val="00A27006"/>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A27006"/>
    <w:pPr>
      <w:numPr>
        <w:ilvl w:val="4"/>
      </w:numPr>
      <w:outlineLvl w:val="4"/>
    </w:pPr>
  </w:style>
  <w:style w:type="paragraph" w:styleId="TOC1">
    <w:name w:val="toc 1"/>
    <w:basedOn w:val="Normal"/>
    <w:next w:val="Normal"/>
    <w:autoRedefine/>
    <w:uiPriority w:val="39"/>
    <w:unhideWhenUsed/>
    <w:rsid w:val="00A27006"/>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27006"/>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27006"/>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27006"/>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27006"/>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27006"/>
    <w:pPr>
      <w:tabs>
        <w:tab w:val="left" w:pos="2160"/>
        <w:tab w:val="right" w:leader="dot" w:pos="8270"/>
      </w:tabs>
      <w:spacing w:after="100"/>
      <w:ind w:left="1800"/>
    </w:pPr>
    <w:rPr>
      <w:noProof/>
    </w:rPr>
  </w:style>
  <w:style w:type="table" w:customStyle="1" w:styleId="TableGrid1">
    <w:name w:val="Table Grid1"/>
    <w:basedOn w:val="TableNormal"/>
    <w:uiPriority w:val="59"/>
    <w:rsid w:val="00A27006"/>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27006"/>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27006"/>
    <w:pPr>
      <w:numPr>
        <w:ilvl w:val="5"/>
      </w:numPr>
      <w:outlineLvl w:val="5"/>
    </w:pPr>
    <w:rPr>
      <w:i/>
      <w:u w:val="none"/>
    </w:rPr>
  </w:style>
  <w:style w:type="paragraph" w:styleId="FootnoteText">
    <w:name w:val="footnote text"/>
    <w:basedOn w:val="Normal"/>
    <w:link w:val="FootnoteTextChar"/>
    <w:uiPriority w:val="99"/>
    <w:unhideWhenUsed/>
    <w:rsid w:val="00A27006"/>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27006"/>
  </w:style>
  <w:style w:type="character" w:styleId="FootnoteReference">
    <w:name w:val="footnote reference"/>
    <w:basedOn w:val="DefaultParagraphFont"/>
    <w:uiPriority w:val="99"/>
    <w:semiHidden/>
    <w:unhideWhenUsed/>
    <w:rsid w:val="00A27006"/>
    <w:rPr>
      <w:vertAlign w:val="superscript"/>
    </w:rPr>
  </w:style>
  <w:style w:type="character" w:styleId="Hyperlink">
    <w:name w:val="Hyperlink"/>
    <w:basedOn w:val="DefaultParagraphFont"/>
    <w:uiPriority w:val="99"/>
    <w:unhideWhenUsed/>
    <w:rsid w:val="00A27006"/>
    <w:rPr>
      <w:color w:val="0000FF" w:themeColor="hyperlink"/>
      <w:u w:val="single"/>
    </w:rPr>
  </w:style>
  <w:style w:type="paragraph" w:styleId="ListParagraph">
    <w:name w:val="List Paragraph"/>
    <w:basedOn w:val="Normal"/>
    <w:uiPriority w:val="34"/>
    <w:qFormat/>
    <w:rsid w:val="00A27006"/>
    <w:pPr>
      <w:ind w:left="720"/>
      <w:contextualSpacing/>
    </w:pPr>
    <w:rPr>
      <w:szCs w:val="24"/>
    </w:rPr>
  </w:style>
  <w:style w:type="character" w:styleId="SubtleEmphasis">
    <w:name w:val="Subtle Emphasis"/>
    <w:basedOn w:val="DefaultParagraphFont"/>
    <w:uiPriority w:val="19"/>
    <w:rsid w:val="00A27006"/>
    <w:rPr>
      <w:i/>
      <w:iCs/>
      <w:color w:val="808080" w:themeColor="text1" w:themeTint="7F"/>
    </w:rPr>
  </w:style>
  <w:style w:type="paragraph" w:styleId="Revision">
    <w:name w:val="Revision"/>
    <w:hidden/>
    <w:uiPriority w:val="99"/>
    <w:semiHidden/>
    <w:rsid w:val="00A27006"/>
    <w:rPr>
      <w:sz w:val="24"/>
      <w:szCs w:val="24"/>
    </w:rPr>
  </w:style>
  <w:style w:type="character" w:customStyle="1" w:styleId="Heading4Char">
    <w:name w:val="Heading 4 Char"/>
    <w:basedOn w:val="DefaultParagraphFont"/>
    <w:link w:val="Heading4"/>
    <w:uiPriority w:val="9"/>
    <w:semiHidden/>
    <w:rsid w:val="00A27006"/>
    <w:rPr>
      <w:rFonts w:asciiTheme="majorHAnsi" w:eastAsiaTheme="majorEastAsia" w:hAnsiTheme="majorHAnsi" w:cstheme="majorBidi"/>
      <w:i/>
      <w:iCs/>
      <w:color w:val="365F91" w:themeColor="accent1" w:themeShade="BF"/>
      <w:sz w:val="24"/>
      <w:szCs w:val="24"/>
    </w:rPr>
  </w:style>
  <w:style w:type="character" w:styleId="Emphasis">
    <w:name w:val="Emphasis"/>
    <w:basedOn w:val="DefaultParagraphFont"/>
    <w:uiPriority w:val="20"/>
    <w:qFormat/>
    <w:rsid w:val="00A27006"/>
    <w:rPr>
      <w:i/>
      <w:iCs/>
    </w:rPr>
  </w:style>
  <w:style w:type="paragraph" w:styleId="TOCHeading">
    <w:name w:val="TOC Heading"/>
    <w:basedOn w:val="Heading1"/>
    <w:next w:val="Normal"/>
    <w:uiPriority w:val="39"/>
    <w:unhideWhenUsed/>
    <w:qFormat/>
    <w:rsid w:val="00A27006"/>
    <w:pPr>
      <w:spacing w:before="240" w:after="0" w:line="259" w:lineRule="auto"/>
      <w:ind w:left="0" w:firstLine="0"/>
      <w:outlineLvl w:val="9"/>
    </w:pPr>
    <w:rPr>
      <w:b w:val="0"/>
      <w:bCs w:val="0"/>
      <w:sz w:val="32"/>
      <w:szCs w:val="32"/>
      <w:lang w:val="en-US" w:eastAsia="en-US"/>
    </w:rPr>
  </w:style>
  <w:style w:type="paragraph" w:customStyle="1" w:styleId="subsection">
    <w:name w:val="subsection"/>
    <w:basedOn w:val="Normal"/>
    <w:rsid w:val="00A27006"/>
    <w:pPr>
      <w:spacing w:before="168" w:after="120"/>
    </w:pPr>
    <w:rPr>
      <w:szCs w:val="24"/>
      <w:lang w:val="en-US" w:eastAsia="en-US"/>
    </w:rPr>
  </w:style>
  <w:style w:type="paragraph" w:customStyle="1" w:styleId="paragraph">
    <w:name w:val="paragraph"/>
    <w:basedOn w:val="Normal"/>
    <w:rsid w:val="00A27006"/>
    <w:pPr>
      <w:spacing w:before="168" w:after="120"/>
      <w:ind w:left="360"/>
    </w:pPr>
    <w:rPr>
      <w:szCs w:val="24"/>
      <w:lang w:val="en-US" w:eastAsia="en-US"/>
    </w:rPr>
  </w:style>
  <w:style w:type="character" w:customStyle="1" w:styleId="sectionlabel">
    <w:name w:val="sectionlabel"/>
    <w:basedOn w:val="DefaultParagraphFont"/>
    <w:rsid w:val="00A27006"/>
    <w:rPr>
      <w:b/>
      <w:bCs/>
      <w:color w:val="000000"/>
    </w:rPr>
  </w:style>
  <w:style w:type="character" w:customStyle="1" w:styleId="lawlabel2">
    <w:name w:val="lawlabel2"/>
    <w:basedOn w:val="DefaultParagraphFont"/>
    <w:rsid w:val="00A27006"/>
    <w:rPr>
      <w:b/>
      <w:bCs/>
      <w:color w:val="000000"/>
    </w:rPr>
  </w:style>
  <w:style w:type="paragraph" w:styleId="EndnoteText">
    <w:name w:val="endnote text"/>
    <w:basedOn w:val="Normal"/>
    <w:link w:val="EndnoteTextChar"/>
    <w:uiPriority w:val="99"/>
    <w:semiHidden/>
    <w:unhideWhenUsed/>
    <w:rsid w:val="00A27006"/>
    <w:rPr>
      <w:sz w:val="20"/>
    </w:rPr>
  </w:style>
  <w:style w:type="character" w:customStyle="1" w:styleId="EndnoteTextChar">
    <w:name w:val="Endnote Text Char"/>
    <w:basedOn w:val="DefaultParagraphFont"/>
    <w:link w:val="EndnoteText"/>
    <w:uiPriority w:val="99"/>
    <w:semiHidden/>
    <w:rsid w:val="00A27006"/>
  </w:style>
  <w:style w:type="character" w:styleId="EndnoteReference">
    <w:name w:val="endnote reference"/>
    <w:basedOn w:val="DefaultParagraphFont"/>
    <w:uiPriority w:val="99"/>
    <w:semiHidden/>
    <w:unhideWhenUsed/>
    <w:rsid w:val="00A27006"/>
    <w:rPr>
      <w:vertAlign w:val="superscript"/>
    </w:rPr>
  </w:style>
  <w:style w:type="table" w:customStyle="1" w:styleId="TableGrid2">
    <w:name w:val="Table Grid2"/>
    <w:basedOn w:val="TableNormal"/>
    <w:next w:val="TableGrid"/>
    <w:uiPriority w:val="59"/>
    <w:rsid w:val="00A2700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25031">
      <w:bodyDiv w:val="1"/>
      <w:marLeft w:val="0"/>
      <w:marRight w:val="0"/>
      <w:marTop w:val="0"/>
      <w:marBottom w:val="0"/>
      <w:divBdr>
        <w:top w:val="none" w:sz="0" w:space="0" w:color="auto"/>
        <w:left w:val="none" w:sz="0" w:space="0" w:color="auto"/>
        <w:bottom w:val="none" w:sz="0" w:space="0" w:color="auto"/>
        <w:right w:val="none" w:sz="0" w:space="0" w:color="auto"/>
      </w:divBdr>
    </w:div>
    <w:div w:id="787817822">
      <w:bodyDiv w:val="1"/>
      <w:marLeft w:val="0"/>
      <w:marRight w:val="0"/>
      <w:marTop w:val="0"/>
      <w:marBottom w:val="0"/>
      <w:divBdr>
        <w:top w:val="none" w:sz="0" w:space="0" w:color="auto"/>
        <w:left w:val="none" w:sz="0" w:space="0" w:color="auto"/>
        <w:bottom w:val="none" w:sz="0" w:space="0" w:color="auto"/>
        <w:right w:val="none" w:sz="0" w:space="0" w:color="auto"/>
      </w:divBdr>
    </w:div>
    <w:div w:id="1492792817">
      <w:bodyDiv w:val="1"/>
      <w:marLeft w:val="0"/>
      <w:marRight w:val="0"/>
      <w:marTop w:val="0"/>
      <w:marBottom w:val="0"/>
      <w:divBdr>
        <w:top w:val="none" w:sz="0" w:space="0" w:color="auto"/>
        <w:left w:val="none" w:sz="0" w:space="0" w:color="auto"/>
        <w:bottom w:val="none" w:sz="0" w:space="0" w:color="auto"/>
        <w:right w:val="none" w:sz="0" w:space="0" w:color="auto"/>
      </w:divBdr>
    </w:div>
    <w:div w:id="186386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BEB71-69F2-4030-BCE0-21EE065E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22387</Words>
  <Characters>123129</Characters>
  <Application>Microsoft Office Word</Application>
  <DocSecurity>0</DocSecurity>
  <Lines>1026</Lines>
  <Paragraphs>290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2021-05-18T19:33:00Z</dcterms:created>
  <dcterms:modified xsi:type="dcterms:W3CDTF">2023-06-13T17:46:00Z</dcterms:modified>
</cp:coreProperties>
</file>