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55"/>
        <w:gridCol w:w="1977"/>
        <w:gridCol w:w="3428"/>
      </w:tblGrid>
      <w:tr w:rsidR="00FC1060" w:rsidTr="00FC1060">
        <w:trPr>
          <w:trHeight w:val="1784"/>
        </w:trPr>
        <w:tc>
          <w:tcPr>
            <w:tcW w:w="4999" w:type="pct"/>
            <w:gridSpan w:val="3"/>
            <w:hideMark/>
          </w:tcPr>
          <w:p w:rsidR="00FC1060" w:rsidRDefault="00FC1060">
            <w:pPr>
              <w:jc w:val="center"/>
            </w:pPr>
            <w:r>
              <w:rPr>
                <w:rFonts w:eastAsia="Calibri"/>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7" o:title=""/>
                </v:shape>
                <o:OLEObject Type="Embed" ProgID="Presentations.Drawing.15" ShapeID="_x0000_i1025" DrawAspect="Content" ObjectID="_1751867512" r:id="rId8"/>
              </w:object>
            </w:r>
          </w:p>
          <w:p w:rsidR="00FC1060" w:rsidRDefault="00FC1060">
            <w:pPr>
              <w:spacing w:before="120" w:after="100" w:afterAutospacing="1"/>
              <w:jc w:val="center"/>
              <w:rPr>
                <w:rFonts w:eastAsia="Calibri"/>
              </w:rPr>
            </w:pPr>
            <w:r>
              <w:rPr>
                <w:rFonts w:eastAsia="Calibri"/>
                <w:b/>
              </w:rPr>
              <w:t>SUPREME COURT OF CANADA</w:t>
            </w:r>
          </w:p>
        </w:tc>
      </w:tr>
      <w:tr w:rsidR="00FC1060" w:rsidTr="00FC1060">
        <w:tc>
          <w:tcPr>
            <w:tcW w:w="2113" w:type="pct"/>
            <w:tcMar>
              <w:top w:w="284" w:type="dxa"/>
              <w:left w:w="57" w:type="dxa"/>
              <w:bottom w:w="57" w:type="dxa"/>
              <w:right w:w="57" w:type="dxa"/>
            </w:tcMar>
            <w:hideMark/>
          </w:tcPr>
          <w:p w:rsidR="00FC1060" w:rsidRDefault="00FC1060" w:rsidP="00FC1060">
            <w:pPr>
              <w:spacing w:before="100" w:beforeAutospacing="1"/>
              <w:rPr>
                <w:rFonts w:eastAsia="Calibri"/>
              </w:rPr>
            </w:pPr>
            <w:r>
              <w:rPr>
                <w:b/>
                <w:smallCaps/>
              </w:rPr>
              <w:t>Citation:</w:t>
            </w:r>
            <w:r>
              <w:t xml:space="preserve"> R. </w:t>
            </w:r>
            <w:r>
              <w:rPr>
                <w:i/>
              </w:rPr>
              <w:t xml:space="preserve">v. </w:t>
            </w:r>
            <w:r>
              <w:t>Riley, 2020 SCC 31, [2020] 3 S.C.R. 424</w:t>
            </w:r>
          </w:p>
        </w:tc>
        <w:tc>
          <w:tcPr>
            <w:tcW w:w="1056" w:type="pct"/>
          </w:tcPr>
          <w:p w:rsidR="00FC1060" w:rsidRDefault="00FC1060">
            <w:pPr>
              <w:rPr>
                <w:b/>
                <w:smallCaps/>
              </w:rPr>
            </w:pPr>
          </w:p>
        </w:tc>
        <w:tc>
          <w:tcPr>
            <w:tcW w:w="1831" w:type="pct"/>
            <w:tcMar>
              <w:top w:w="284" w:type="dxa"/>
              <w:left w:w="57" w:type="dxa"/>
              <w:bottom w:w="57" w:type="dxa"/>
              <w:right w:w="57" w:type="dxa"/>
            </w:tcMar>
            <w:hideMark/>
          </w:tcPr>
          <w:p w:rsidR="00FC1060" w:rsidRDefault="00FC1060">
            <w:pPr>
              <w:rPr>
                <w:b/>
                <w:smallCaps/>
              </w:rPr>
            </w:pPr>
            <w:r>
              <w:rPr>
                <w:b/>
                <w:smallCaps/>
              </w:rPr>
              <w:t xml:space="preserve">Appeal Heard: </w:t>
            </w:r>
            <w:r>
              <w:t>November 3, 2020</w:t>
            </w:r>
          </w:p>
          <w:p w:rsidR="00FC1060" w:rsidRDefault="00FC1060">
            <w:r>
              <w:rPr>
                <w:b/>
                <w:smallCaps/>
              </w:rPr>
              <w:t>Judgment Rendered:</w:t>
            </w:r>
            <w:r>
              <w:t xml:space="preserve"> November 3, 2020</w:t>
            </w:r>
          </w:p>
          <w:p w:rsidR="00FC1060" w:rsidRDefault="00FC1060">
            <w:r>
              <w:rPr>
                <w:b/>
                <w:smallCaps/>
              </w:rPr>
              <w:t>Docket:</w:t>
            </w:r>
            <w:r>
              <w:t xml:space="preserve"> 39006</w:t>
            </w:r>
          </w:p>
        </w:tc>
      </w:tr>
      <w:tr w:rsidR="00FC1060" w:rsidTr="00FC1060">
        <w:tc>
          <w:tcPr>
            <w:tcW w:w="5000" w:type="pct"/>
            <w:gridSpan w:val="3"/>
          </w:tcPr>
          <w:p w:rsidR="00FC1060" w:rsidRDefault="00FC1060">
            <w:pPr>
              <w:rPr>
                <w:b/>
              </w:rPr>
            </w:pPr>
          </w:p>
          <w:p w:rsidR="00FC1060" w:rsidRDefault="00FC1060">
            <w:pPr>
              <w:rPr>
                <w:b/>
                <w:smallCaps/>
                <w:lang w:val="en-US"/>
              </w:rPr>
            </w:pPr>
            <w:r>
              <w:rPr>
                <w:b/>
                <w:smallCaps/>
                <w:lang w:val="en-US"/>
              </w:rPr>
              <w:t>Between:</w:t>
            </w:r>
          </w:p>
          <w:p w:rsidR="00FC1060" w:rsidRDefault="00FC1060">
            <w:pPr>
              <w:rPr>
                <w:b/>
                <w:smallCaps/>
                <w:lang w:val="en-US"/>
              </w:rPr>
            </w:pPr>
          </w:p>
          <w:p w:rsidR="00FC1060" w:rsidRDefault="00FC1060">
            <w:pPr>
              <w:pStyle w:val="SCCLsocParty"/>
            </w:pPr>
            <w:r>
              <w:t>Randy Desmond Riley</w:t>
            </w:r>
          </w:p>
          <w:p w:rsidR="00FC1060" w:rsidRDefault="00FC1060">
            <w:pPr>
              <w:pStyle w:val="SCCLsocPartyRole"/>
            </w:pPr>
            <w:r>
              <w:t>Appellant</w:t>
            </w:r>
          </w:p>
          <w:p w:rsidR="00FC1060" w:rsidRDefault="00FC1060">
            <w:pPr>
              <w:pStyle w:val="SCCLsocVersus"/>
            </w:pPr>
          </w:p>
          <w:p w:rsidR="00FC1060" w:rsidRDefault="00FC1060">
            <w:pPr>
              <w:pStyle w:val="SCCLsocVersus"/>
            </w:pPr>
            <w:r>
              <w:t>and</w:t>
            </w:r>
          </w:p>
          <w:p w:rsidR="00FC1060" w:rsidRDefault="00FC1060">
            <w:pPr>
              <w:pStyle w:val="SCCLsocParty"/>
            </w:pPr>
          </w:p>
          <w:p w:rsidR="00FC1060" w:rsidRDefault="00FC1060">
            <w:pPr>
              <w:pStyle w:val="SCCLsocParty"/>
            </w:pPr>
            <w:r>
              <w:t>Her Majesty The Queen</w:t>
            </w:r>
          </w:p>
          <w:p w:rsidR="00FC1060" w:rsidRDefault="00FC1060">
            <w:pPr>
              <w:pStyle w:val="SCCLsocPartyRole"/>
            </w:pPr>
            <w:r>
              <w:t>Respondent</w:t>
            </w:r>
          </w:p>
          <w:p w:rsidR="00FC1060" w:rsidRDefault="00FC1060">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1447"/>
        <w:gridCol w:w="7892"/>
        <w:gridCol w:w="21"/>
      </w:tblGrid>
      <w:tr w:rsidR="00FC1060" w:rsidRPr="00FC1060" w:rsidTr="00FC1060">
        <w:trPr>
          <w:cantSplit/>
          <w:trHeight w:val="508"/>
        </w:trPr>
        <w:tc>
          <w:tcPr>
            <w:tcW w:w="5000" w:type="pct"/>
            <w:gridSpan w:val="3"/>
            <w:tcMar>
              <w:top w:w="284" w:type="dxa"/>
              <w:left w:w="58" w:type="dxa"/>
              <w:bottom w:w="57" w:type="dxa"/>
              <w:right w:w="58" w:type="dxa"/>
            </w:tcMar>
            <w:vAlign w:val="center"/>
          </w:tcPr>
          <w:p w:rsidR="00FC1060" w:rsidRDefault="00FC1060">
            <w:r>
              <w:rPr>
                <w:b/>
                <w:smallCaps/>
              </w:rPr>
              <w:t>Coram:</w:t>
            </w:r>
            <w:r>
              <w:t xml:space="preserve"> Karakatsanis, Côté, Brown, Martin and Kasirer JJ.</w:t>
            </w:r>
          </w:p>
          <w:p w:rsidR="00FC1060" w:rsidRDefault="00FC1060"/>
        </w:tc>
      </w:tr>
      <w:tr w:rsidR="00FC1060" w:rsidTr="00FC1060">
        <w:trPr>
          <w:gridAfter w:val="1"/>
          <w:wAfter w:w="11" w:type="pct"/>
          <w:cantSplit/>
          <w:trHeight w:val="508"/>
        </w:trPr>
        <w:tc>
          <w:tcPr>
            <w:tcW w:w="773" w:type="pct"/>
            <w:tcMar>
              <w:top w:w="28" w:type="dxa"/>
              <w:left w:w="57" w:type="dxa"/>
              <w:bottom w:w="57" w:type="dxa"/>
              <w:right w:w="57" w:type="dxa"/>
            </w:tcMar>
            <w:vAlign w:val="center"/>
            <w:hideMark/>
          </w:tcPr>
          <w:p w:rsidR="00FC1060" w:rsidRDefault="00FC1060">
            <w:pPr>
              <w:spacing w:before="120"/>
              <w:rPr>
                <w:smallCaps/>
              </w:rPr>
            </w:pPr>
            <w:r>
              <w:rPr>
                <w:b/>
                <w:bCs/>
                <w:smallCaps/>
                <w:color w:val="000000"/>
              </w:rPr>
              <w:t>Unanimous</w:t>
            </w:r>
            <w:r>
              <w:rPr>
                <w:b/>
                <w:smallCaps/>
              </w:rPr>
              <w:t xml:space="preserve"> Judgment Read By:</w:t>
            </w:r>
          </w:p>
          <w:p w:rsidR="00FC1060" w:rsidRDefault="00FC1060">
            <w:pPr>
              <w:rPr>
                <w:b/>
                <w:smallCaps/>
              </w:rPr>
            </w:pPr>
            <w:r>
              <w:t>(para. 1)</w:t>
            </w:r>
          </w:p>
        </w:tc>
        <w:tc>
          <w:tcPr>
            <w:tcW w:w="4216" w:type="pct"/>
            <w:tcMar>
              <w:top w:w="28" w:type="dxa"/>
              <w:left w:w="57" w:type="dxa"/>
              <w:bottom w:w="57" w:type="dxa"/>
              <w:right w:w="57" w:type="dxa"/>
            </w:tcMar>
            <w:vAlign w:val="center"/>
            <w:hideMark/>
          </w:tcPr>
          <w:p w:rsidR="00FC1060" w:rsidRDefault="00FC1060">
            <w:pPr>
              <w:rPr>
                <w:b/>
                <w:smallCaps/>
              </w:rPr>
            </w:pPr>
            <w:r>
              <w:t xml:space="preserve">Karakatsanis J. </w:t>
            </w:r>
          </w:p>
        </w:tc>
      </w:tr>
    </w:tbl>
    <w:p w:rsidR="00FC1060" w:rsidRDefault="00FC1060" w:rsidP="00FC1060">
      <w:pPr>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FC1060" w:rsidRPr="00FC1060" w:rsidTr="00FC1060">
        <w:tc>
          <w:tcPr>
            <w:tcW w:w="1500" w:type="pct"/>
            <w:tcMar>
              <w:top w:w="284" w:type="dxa"/>
              <w:left w:w="108" w:type="dxa"/>
              <w:bottom w:w="0" w:type="dxa"/>
              <w:right w:w="108" w:type="dxa"/>
            </w:tcMar>
          </w:tcPr>
          <w:p w:rsidR="00FC1060" w:rsidRDefault="00FC1060">
            <w:pPr>
              <w:rPr>
                <w:rFonts w:eastAsia="Calibri"/>
                <w:lang w:val="en-US"/>
              </w:rPr>
            </w:pPr>
          </w:p>
        </w:tc>
        <w:tc>
          <w:tcPr>
            <w:tcW w:w="2000" w:type="pct"/>
            <w:tcBorders>
              <w:top w:val="nil"/>
              <w:left w:val="nil"/>
              <w:bottom w:val="single" w:sz="4" w:space="0" w:color="auto"/>
              <w:right w:val="nil"/>
            </w:tcBorders>
            <w:tcMar>
              <w:top w:w="284" w:type="dxa"/>
              <w:left w:w="108" w:type="dxa"/>
              <w:bottom w:w="0" w:type="dxa"/>
              <w:right w:w="108" w:type="dxa"/>
            </w:tcMar>
          </w:tcPr>
          <w:p w:rsidR="00FC1060" w:rsidRDefault="00FC1060">
            <w:pPr>
              <w:rPr>
                <w:rFonts w:eastAsia="Calibri"/>
                <w:lang w:val="en-US"/>
              </w:rPr>
            </w:pPr>
          </w:p>
        </w:tc>
        <w:tc>
          <w:tcPr>
            <w:tcW w:w="1500" w:type="pct"/>
            <w:tcMar>
              <w:top w:w="284" w:type="dxa"/>
              <w:left w:w="108" w:type="dxa"/>
              <w:bottom w:w="0" w:type="dxa"/>
              <w:right w:w="108" w:type="dxa"/>
            </w:tcMar>
          </w:tcPr>
          <w:p w:rsidR="00FC1060" w:rsidRDefault="00FC1060">
            <w:pPr>
              <w:rPr>
                <w:rFonts w:eastAsia="Calibri"/>
                <w:lang w:val="en-US"/>
              </w:rPr>
            </w:pPr>
          </w:p>
        </w:tc>
      </w:tr>
    </w:tbl>
    <w:p w:rsidR="000A1B21" w:rsidRDefault="000A1B21" w:rsidP="00707EE7">
      <w:pPr>
        <w:spacing w:after="720"/>
        <w:jc w:val="both"/>
        <w:rPr>
          <w:rFonts w:eastAsia="Times New Roman" w:cs="Times New Roman"/>
          <w:smallCaps/>
          <w:szCs w:val="20"/>
          <w:lang w:val="en-US" w:eastAsia="en-CA"/>
        </w:rPr>
      </w:pPr>
    </w:p>
    <w:p w:rsidR="00707EE7" w:rsidRPr="00707EE7" w:rsidRDefault="00707EE7" w:rsidP="00707EE7">
      <w:pPr>
        <w:spacing w:after="720"/>
        <w:jc w:val="both"/>
        <w:rPr>
          <w:rFonts w:eastAsia="Times New Roman" w:cs="Times New Roman"/>
          <w:smallCaps/>
          <w:szCs w:val="20"/>
          <w:lang w:val="en-US" w:eastAsia="en-CA"/>
        </w:rPr>
      </w:pPr>
      <w:bookmarkStart w:id="0" w:name="_GoBack"/>
      <w:bookmarkEnd w:id="0"/>
      <w:r w:rsidRPr="00707EE7">
        <w:rPr>
          <w:rFonts w:eastAsia="Times New Roman" w:cs="Times New Roman"/>
          <w:smallCaps/>
          <w:szCs w:val="20"/>
          <w:lang w:val="en-US" w:eastAsia="en-CA"/>
        </w:rPr>
        <w:t xml:space="preserve">r. </w:t>
      </w:r>
      <w:r w:rsidRPr="00707EE7">
        <w:rPr>
          <w:rFonts w:eastAsia="Times New Roman" w:cs="Times New Roman"/>
          <w:i/>
          <w:szCs w:val="20"/>
          <w:lang w:val="en-US" w:eastAsia="en-CA"/>
        </w:rPr>
        <w:t>v.</w:t>
      </w:r>
      <w:r w:rsidRPr="00707EE7">
        <w:rPr>
          <w:rFonts w:eastAsia="Times New Roman" w:cs="Times New Roman"/>
          <w:smallCaps/>
          <w:szCs w:val="20"/>
          <w:lang w:val="en-US" w:eastAsia="en-CA"/>
        </w:rPr>
        <w:t xml:space="preserve"> riley</w:t>
      </w:r>
    </w:p>
    <w:p w:rsidR="00707EE7" w:rsidRPr="00707EE7" w:rsidRDefault="00707EE7" w:rsidP="00707EE7">
      <w:pPr>
        <w:tabs>
          <w:tab w:val="right" w:pos="8222"/>
        </w:tabs>
        <w:spacing w:after="720"/>
        <w:rPr>
          <w:rFonts w:eastAsia="Times New Roman" w:cs="Times New Roman"/>
          <w:b/>
          <w:szCs w:val="20"/>
          <w:lang w:val="en-US" w:eastAsia="en-CA"/>
        </w:rPr>
      </w:pPr>
      <w:r w:rsidRPr="00707EE7">
        <w:rPr>
          <w:rFonts w:eastAsia="Times New Roman" w:cs="Times New Roman"/>
          <w:b/>
          <w:szCs w:val="20"/>
          <w:lang w:val="en-US" w:eastAsia="en-CA"/>
        </w:rPr>
        <w:t>Randy Desmond Riley</w:t>
      </w:r>
      <w:r w:rsidRPr="00707EE7">
        <w:rPr>
          <w:rFonts w:eastAsia="Times New Roman" w:cs="Times New Roman"/>
          <w:i/>
          <w:szCs w:val="20"/>
          <w:lang w:val="en-US" w:eastAsia="en-CA"/>
        </w:rPr>
        <w:tab/>
        <w:t>Appellant</w:t>
      </w:r>
    </w:p>
    <w:p w:rsidR="00707EE7" w:rsidRPr="00707EE7" w:rsidRDefault="00707EE7" w:rsidP="00707EE7">
      <w:pPr>
        <w:spacing w:after="720"/>
        <w:rPr>
          <w:rFonts w:eastAsia="Times New Roman" w:cs="Times New Roman"/>
          <w:i/>
          <w:szCs w:val="20"/>
          <w:lang w:eastAsia="en-CA"/>
        </w:rPr>
      </w:pPr>
      <w:r w:rsidRPr="00707EE7">
        <w:rPr>
          <w:rFonts w:eastAsia="Times New Roman" w:cs="Times New Roman"/>
          <w:i/>
          <w:szCs w:val="20"/>
          <w:lang w:eastAsia="en-CA"/>
        </w:rPr>
        <w:lastRenderedPageBreak/>
        <w:t>v.</w:t>
      </w:r>
    </w:p>
    <w:p w:rsidR="00707EE7" w:rsidRPr="00707EE7" w:rsidRDefault="00707EE7" w:rsidP="00707EE7">
      <w:pPr>
        <w:tabs>
          <w:tab w:val="right" w:pos="8222"/>
        </w:tabs>
        <w:spacing w:after="720"/>
        <w:rPr>
          <w:rFonts w:eastAsia="Times New Roman" w:cs="Times New Roman"/>
          <w:b/>
          <w:szCs w:val="20"/>
          <w:lang w:eastAsia="en-CA"/>
        </w:rPr>
      </w:pPr>
      <w:r w:rsidRPr="00707EE7">
        <w:rPr>
          <w:rFonts w:eastAsia="Times New Roman" w:cs="Times New Roman"/>
          <w:b/>
          <w:szCs w:val="20"/>
          <w:lang w:eastAsia="en-CA"/>
        </w:rPr>
        <w:t>Her Majesty The Queen</w:t>
      </w:r>
      <w:r w:rsidRPr="00707EE7">
        <w:rPr>
          <w:rFonts w:eastAsia="Times New Roman" w:cs="Times New Roman"/>
          <w:i/>
          <w:szCs w:val="20"/>
          <w:lang w:eastAsia="en-CA"/>
        </w:rPr>
        <w:tab/>
        <w:t>Respondent</w:t>
      </w:r>
    </w:p>
    <w:p w:rsidR="00707EE7" w:rsidRPr="00707EE7" w:rsidRDefault="00707EE7" w:rsidP="00707EE7">
      <w:pPr>
        <w:spacing w:after="720"/>
        <w:jc w:val="both"/>
        <w:rPr>
          <w:rFonts w:eastAsia="Times New Roman" w:cs="Times New Roman"/>
          <w:b/>
          <w:szCs w:val="20"/>
          <w:lang w:eastAsia="en-CA"/>
        </w:rPr>
      </w:pPr>
    </w:p>
    <w:p w:rsidR="00707EE7" w:rsidRPr="00707EE7" w:rsidRDefault="00707EE7" w:rsidP="00707EE7">
      <w:pPr>
        <w:spacing w:after="720"/>
        <w:jc w:val="both"/>
        <w:rPr>
          <w:rFonts w:eastAsia="Times New Roman" w:cs="Times New Roman"/>
          <w:b/>
          <w:szCs w:val="20"/>
          <w:lang w:eastAsia="en-CA"/>
        </w:rPr>
      </w:pPr>
      <w:r w:rsidRPr="00707EE7">
        <w:rPr>
          <w:rFonts w:eastAsia="Times New Roman" w:cs="Times New Roman"/>
          <w:b/>
          <w:szCs w:val="20"/>
          <w:lang w:eastAsia="en-CA"/>
        </w:rPr>
        <w:t xml:space="preserve">Indexed as: R. </w:t>
      </w:r>
      <w:r w:rsidRPr="00707EE7">
        <w:rPr>
          <w:rFonts w:eastAsia="Times New Roman" w:cs="Times New Roman"/>
          <w:b/>
          <w:i/>
          <w:szCs w:val="20"/>
          <w:lang w:eastAsia="en-CA"/>
        </w:rPr>
        <w:t xml:space="preserve">v. </w:t>
      </w:r>
      <w:r w:rsidRPr="00707EE7">
        <w:rPr>
          <w:rFonts w:eastAsia="Times New Roman" w:cs="Times New Roman"/>
          <w:b/>
          <w:szCs w:val="20"/>
          <w:lang w:eastAsia="en-CA"/>
        </w:rPr>
        <w:t>Riley</w:t>
      </w:r>
    </w:p>
    <w:p w:rsidR="00707EE7" w:rsidRPr="00707EE7" w:rsidRDefault="00707EE7" w:rsidP="00707EE7">
      <w:pPr>
        <w:spacing w:after="720"/>
        <w:jc w:val="both"/>
        <w:rPr>
          <w:rFonts w:eastAsia="Times New Roman" w:cs="Times New Roman"/>
          <w:b/>
          <w:szCs w:val="20"/>
          <w:lang w:val="en-US" w:eastAsia="en-CA"/>
        </w:rPr>
      </w:pPr>
      <w:r w:rsidRPr="00707EE7">
        <w:rPr>
          <w:rFonts w:eastAsia="Times New Roman" w:cs="Times New Roman"/>
          <w:b/>
          <w:szCs w:val="20"/>
          <w:lang w:val="en-US" w:eastAsia="en-CA"/>
        </w:rPr>
        <w:t>2020 SCC 31</w:t>
      </w:r>
    </w:p>
    <w:p w:rsidR="00707EE7" w:rsidRPr="00707EE7" w:rsidRDefault="00707EE7" w:rsidP="00707EE7">
      <w:pPr>
        <w:spacing w:after="720"/>
        <w:jc w:val="both"/>
        <w:rPr>
          <w:rFonts w:eastAsia="Times New Roman" w:cs="Times New Roman"/>
          <w:szCs w:val="20"/>
          <w:lang w:val="en-US" w:eastAsia="en-CA"/>
        </w:rPr>
      </w:pPr>
      <w:r w:rsidRPr="00707EE7">
        <w:rPr>
          <w:rFonts w:eastAsia="Times New Roman" w:cs="Times New Roman"/>
          <w:szCs w:val="20"/>
          <w:lang w:val="en-US" w:eastAsia="en-CA"/>
        </w:rPr>
        <w:t>File No.: 39006.</w:t>
      </w:r>
    </w:p>
    <w:p w:rsidR="00707EE7" w:rsidRPr="00707EE7" w:rsidRDefault="00707EE7" w:rsidP="00707EE7">
      <w:pPr>
        <w:spacing w:after="720"/>
        <w:jc w:val="both"/>
        <w:rPr>
          <w:rFonts w:eastAsia="Times New Roman" w:cs="Times New Roman"/>
          <w:szCs w:val="20"/>
          <w:lang w:eastAsia="en-CA"/>
        </w:rPr>
      </w:pPr>
      <w:r w:rsidRPr="00707EE7">
        <w:rPr>
          <w:rFonts w:eastAsia="Times New Roman" w:cs="Times New Roman"/>
          <w:szCs w:val="20"/>
          <w:lang w:eastAsia="en-CA"/>
        </w:rPr>
        <w:t>2020: November 3.</w:t>
      </w:r>
    </w:p>
    <w:p w:rsidR="00707EE7" w:rsidRPr="00707EE7" w:rsidRDefault="00707EE7" w:rsidP="00707EE7">
      <w:pPr>
        <w:spacing w:after="720"/>
        <w:jc w:val="both"/>
        <w:rPr>
          <w:rFonts w:eastAsia="Times New Roman" w:cs="Times New Roman"/>
          <w:szCs w:val="20"/>
          <w:lang w:eastAsia="en-CA"/>
        </w:rPr>
      </w:pPr>
      <w:r w:rsidRPr="00707EE7">
        <w:rPr>
          <w:rFonts w:eastAsia="Times New Roman" w:cs="Times New Roman"/>
          <w:szCs w:val="20"/>
          <w:lang w:eastAsia="en-CA"/>
        </w:rPr>
        <w:t>Present: Karakatsanis, Côté, Brown, Martin and Kasirer JJ.</w:t>
      </w:r>
    </w:p>
    <w:p w:rsidR="00707EE7" w:rsidRPr="00707EE7" w:rsidRDefault="00707EE7" w:rsidP="00707EE7">
      <w:pPr>
        <w:tabs>
          <w:tab w:val="left" w:pos="1168"/>
        </w:tabs>
        <w:spacing w:after="720"/>
        <w:jc w:val="both"/>
        <w:rPr>
          <w:rFonts w:eastAsia="Times New Roman" w:cs="Times New Roman"/>
          <w:smallCaps/>
          <w:szCs w:val="20"/>
          <w:lang w:eastAsia="en-CA"/>
        </w:rPr>
      </w:pPr>
      <w:r w:rsidRPr="00707EE7">
        <w:rPr>
          <w:rFonts w:eastAsia="Times New Roman" w:cs="Times New Roman"/>
          <w:smallCaps/>
          <w:szCs w:val="20"/>
          <w:lang w:eastAsia="en-CA"/>
        </w:rPr>
        <w:t>on appeal from the court of appeal for nova scotia</w:t>
      </w:r>
    </w:p>
    <w:p w:rsidR="00707EE7" w:rsidRPr="00707EE7" w:rsidRDefault="00707EE7" w:rsidP="00707EE7">
      <w:pPr>
        <w:tabs>
          <w:tab w:val="left" w:pos="1168"/>
        </w:tabs>
        <w:spacing w:line="480" w:lineRule="auto"/>
        <w:jc w:val="both"/>
        <w:rPr>
          <w:rFonts w:eastAsia="Times New Roman" w:cs="Times New Roman"/>
          <w:i/>
          <w:szCs w:val="20"/>
          <w:lang w:eastAsia="en-CA"/>
        </w:rPr>
      </w:pPr>
      <w:r w:rsidRPr="00707EE7">
        <w:rPr>
          <w:rFonts w:eastAsia="Times New Roman" w:cs="Times New Roman"/>
          <w:szCs w:val="20"/>
          <w:lang w:eastAsia="en-CA"/>
        </w:rPr>
        <w:tab/>
      </w:r>
      <w:r w:rsidRPr="00707EE7">
        <w:rPr>
          <w:rFonts w:eastAsia="Times New Roman" w:cs="Times New Roman"/>
          <w:i/>
          <w:szCs w:val="20"/>
          <w:lang w:eastAsia="en-CA"/>
        </w:rPr>
        <w:t xml:space="preserve">Criminal law — Charge to jury — Vetrovec warning — Curative proviso — Crown calling former co-accused as witness at trial — Witness giving testimony exculpatory of accused — Trial judge giving jury Vetrovec warning to caution them about relying on witness’s evidence — Jury convicting accused of second degree murder and unlawful possession of firearm — Majority of Court of Appeal concluding that trial judge erred in giving Vetrovec warning but that error was harmless in its effect and curative proviso applied — Dissenting judge finding it inappropriate to apply curative proviso — Convictions quashed and new trial ordered. </w:t>
      </w:r>
    </w:p>
    <w:p w:rsidR="00707EE7" w:rsidRPr="00707EE7" w:rsidRDefault="00707EE7" w:rsidP="00707EE7">
      <w:pPr>
        <w:tabs>
          <w:tab w:val="left" w:pos="1168"/>
        </w:tabs>
        <w:spacing w:line="480" w:lineRule="auto"/>
        <w:jc w:val="both"/>
        <w:rPr>
          <w:rFonts w:eastAsia="Times New Roman" w:cs="Times New Roman"/>
          <w:szCs w:val="20"/>
          <w:lang w:val="en" w:eastAsia="en-CA"/>
        </w:rPr>
      </w:pPr>
    </w:p>
    <w:p w:rsidR="00707EE7" w:rsidRPr="00707EE7" w:rsidRDefault="00707EE7" w:rsidP="00707EE7">
      <w:pPr>
        <w:tabs>
          <w:tab w:val="left" w:pos="1168"/>
        </w:tabs>
        <w:spacing w:line="480" w:lineRule="auto"/>
        <w:jc w:val="both"/>
        <w:rPr>
          <w:rFonts w:eastAsia="Times New Roman" w:cs="Times New Roman"/>
          <w:szCs w:val="20"/>
          <w:lang w:eastAsia="en-CA"/>
        </w:rPr>
      </w:pPr>
      <w:r w:rsidRPr="00707EE7">
        <w:rPr>
          <w:rFonts w:eastAsia="Times New Roman" w:cs="Times New Roman"/>
          <w:szCs w:val="20"/>
          <w:lang w:eastAsia="en-CA"/>
        </w:rPr>
        <w:tab/>
        <w:t>APPEAL from a judgment of the Nova Scotia Court of Appeal (Beveridge, Scanlan and Bourgeois JJ.A.), 2019 NSCA 94, 450 D.L.R. (4th) 251, 160 W.C.B. (2d) 267, [2019] N.S.J. No. 524 (QL), 2019 CarswellNS 875 (WL Can.), affirming the convictions of the accused for second degree murder and unlawful possession of a firearm. Appeal allowed.</w:t>
      </w:r>
    </w:p>
    <w:p w:rsidR="00707EE7" w:rsidRPr="00707EE7" w:rsidRDefault="00707EE7" w:rsidP="00707EE7">
      <w:pPr>
        <w:tabs>
          <w:tab w:val="left" w:pos="1168"/>
        </w:tabs>
        <w:spacing w:line="480" w:lineRule="auto"/>
        <w:jc w:val="both"/>
        <w:rPr>
          <w:rFonts w:eastAsia="Times New Roman" w:cs="Times New Roman"/>
          <w:szCs w:val="20"/>
          <w:lang w:eastAsia="en-CA"/>
        </w:rPr>
      </w:pPr>
    </w:p>
    <w:p w:rsidR="00707EE7" w:rsidRPr="00707EE7" w:rsidRDefault="00707EE7" w:rsidP="00707EE7">
      <w:pPr>
        <w:tabs>
          <w:tab w:val="left" w:pos="1168"/>
        </w:tabs>
        <w:spacing w:line="480" w:lineRule="auto"/>
        <w:jc w:val="both"/>
        <w:rPr>
          <w:rFonts w:eastAsia="Times New Roman" w:cs="Times New Roman"/>
          <w:szCs w:val="20"/>
          <w:lang w:val="en-US" w:eastAsia="en-CA"/>
        </w:rPr>
      </w:pPr>
      <w:r w:rsidRPr="00707EE7">
        <w:rPr>
          <w:rFonts w:eastAsia="Times New Roman" w:cs="Times New Roman"/>
          <w:szCs w:val="20"/>
          <w:lang w:eastAsia="en-CA"/>
        </w:rPr>
        <w:tab/>
      </w:r>
      <w:r w:rsidRPr="00707EE7">
        <w:rPr>
          <w:rFonts w:eastAsiaTheme="majorEastAsia" w:cs="Times New Roman"/>
          <w:i/>
          <w:iCs/>
          <w:color w:val="000000"/>
          <w:szCs w:val="20"/>
          <w:lang w:eastAsia="en-CA"/>
        </w:rPr>
        <w:t>Lee V. Seshagiri</w:t>
      </w:r>
      <w:r w:rsidRPr="00707EE7">
        <w:rPr>
          <w:rFonts w:eastAsiaTheme="majorEastAsia" w:cs="Times New Roman"/>
          <w:color w:val="000000"/>
          <w:szCs w:val="20"/>
          <w:lang w:eastAsia="en-CA"/>
        </w:rPr>
        <w:t> and </w:t>
      </w:r>
      <w:r w:rsidRPr="00707EE7">
        <w:rPr>
          <w:rFonts w:eastAsiaTheme="majorEastAsia" w:cs="Times New Roman"/>
          <w:i/>
          <w:iCs/>
          <w:color w:val="000000"/>
          <w:szCs w:val="20"/>
          <w:lang w:eastAsia="en-CA"/>
        </w:rPr>
        <w:t>Roger A. Burrill</w:t>
      </w:r>
      <w:r w:rsidRPr="00707EE7">
        <w:rPr>
          <w:rFonts w:eastAsia="Times New Roman" w:cs="Times New Roman"/>
          <w:szCs w:val="20"/>
          <w:lang w:val="en-US" w:eastAsia="en-CA"/>
        </w:rPr>
        <w:t>, for the appellant.</w:t>
      </w:r>
    </w:p>
    <w:p w:rsidR="00707EE7" w:rsidRPr="00707EE7" w:rsidRDefault="00707EE7" w:rsidP="00707EE7">
      <w:pPr>
        <w:tabs>
          <w:tab w:val="left" w:pos="1168"/>
        </w:tabs>
        <w:spacing w:line="480" w:lineRule="auto"/>
        <w:jc w:val="both"/>
        <w:rPr>
          <w:rFonts w:eastAsia="Times New Roman" w:cs="Times New Roman"/>
          <w:szCs w:val="20"/>
          <w:lang w:eastAsia="en-CA"/>
        </w:rPr>
      </w:pPr>
    </w:p>
    <w:p w:rsidR="00707EE7" w:rsidRPr="00707EE7" w:rsidRDefault="00707EE7" w:rsidP="00707EE7">
      <w:pPr>
        <w:tabs>
          <w:tab w:val="left" w:pos="1168"/>
        </w:tabs>
        <w:spacing w:line="480" w:lineRule="auto"/>
        <w:jc w:val="both"/>
        <w:rPr>
          <w:rFonts w:eastAsia="Times New Roman" w:cs="Times New Roman"/>
          <w:szCs w:val="20"/>
          <w:lang w:eastAsia="en-CA"/>
        </w:rPr>
      </w:pPr>
      <w:r w:rsidRPr="00707EE7">
        <w:rPr>
          <w:rFonts w:eastAsia="Times New Roman" w:cs="Times New Roman"/>
          <w:i/>
          <w:szCs w:val="20"/>
          <w:lang w:eastAsia="en-CA"/>
        </w:rPr>
        <w:tab/>
      </w:r>
      <w:r w:rsidRPr="00707EE7">
        <w:rPr>
          <w:rFonts w:eastAsiaTheme="majorEastAsia" w:cs="Times New Roman"/>
          <w:i/>
          <w:iCs/>
          <w:color w:val="000000"/>
          <w:szCs w:val="20"/>
          <w:lang w:eastAsia="en-CA"/>
        </w:rPr>
        <w:t>James A. Gumpert</w:t>
      </w:r>
      <w:r w:rsidRPr="00707EE7">
        <w:rPr>
          <w:rFonts w:eastAsiaTheme="majorEastAsia" w:cs="Times New Roman"/>
          <w:color w:val="000000"/>
          <w:szCs w:val="20"/>
          <w:lang w:eastAsia="en-CA"/>
        </w:rPr>
        <w:t>, </w:t>
      </w:r>
      <w:r w:rsidRPr="00707EE7">
        <w:rPr>
          <w:rFonts w:eastAsiaTheme="majorEastAsia" w:cs="Times New Roman"/>
          <w:i/>
          <w:iCs/>
          <w:color w:val="000000"/>
          <w:szCs w:val="20"/>
          <w:lang w:eastAsia="en-CA"/>
        </w:rPr>
        <w:t>Q.C.</w:t>
      </w:r>
      <w:r w:rsidRPr="00707EE7">
        <w:rPr>
          <w:rFonts w:eastAsiaTheme="majorEastAsia" w:cs="Times New Roman"/>
          <w:color w:val="000000"/>
          <w:szCs w:val="20"/>
          <w:lang w:eastAsia="en-CA"/>
        </w:rPr>
        <w:t>, and </w:t>
      </w:r>
      <w:r w:rsidRPr="00707EE7">
        <w:rPr>
          <w:rFonts w:eastAsiaTheme="majorEastAsia" w:cs="Times New Roman"/>
          <w:i/>
          <w:iCs/>
          <w:color w:val="000000"/>
          <w:szCs w:val="20"/>
          <w:lang w:eastAsia="en-CA"/>
        </w:rPr>
        <w:t>Melanie Perry</w:t>
      </w:r>
      <w:r w:rsidRPr="00707EE7">
        <w:rPr>
          <w:rFonts w:eastAsia="Times New Roman" w:cs="Times New Roman"/>
          <w:szCs w:val="20"/>
          <w:lang w:eastAsia="en-CA"/>
        </w:rPr>
        <w:t>, for the respondent.</w:t>
      </w:r>
    </w:p>
    <w:p w:rsidR="00707EE7" w:rsidRPr="00707EE7" w:rsidRDefault="00707EE7" w:rsidP="00707EE7">
      <w:pPr>
        <w:tabs>
          <w:tab w:val="left" w:pos="1168"/>
        </w:tabs>
        <w:spacing w:line="480" w:lineRule="auto"/>
        <w:jc w:val="both"/>
        <w:rPr>
          <w:rFonts w:eastAsia="Times New Roman" w:cs="Times New Roman"/>
          <w:szCs w:val="20"/>
          <w:lang w:eastAsia="en-CA"/>
        </w:rPr>
      </w:pPr>
    </w:p>
    <w:p w:rsidR="00707EE7" w:rsidRPr="00707EE7" w:rsidRDefault="00707EE7" w:rsidP="00707EE7">
      <w:pPr>
        <w:tabs>
          <w:tab w:val="left" w:pos="1168"/>
        </w:tabs>
        <w:spacing w:line="480" w:lineRule="auto"/>
        <w:jc w:val="both"/>
        <w:rPr>
          <w:rFonts w:eastAsia="Times New Roman" w:cs="Times New Roman"/>
          <w:szCs w:val="20"/>
          <w:lang w:eastAsia="en-CA"/>
        </w:rPr>
      </w:pPr>
      <w:r w:rsidRPr="00707EE7">
        <w:rPr>
          <w:rFonts w:eastAsia="Times New Roman" w:cs="Times New Roman"/>
          <w:szCs w:val="20"/>
          <w:lang w:eastAsia="en-CA"/>
        </w:rPr>
        <w:tab/>
        <w:t>The judgment of the Court was delivered orally by</w:t>
      </w:r>
    </w:p>
    <w:p w:rsidR="00707EE7" w:rsidRPr="00707EE7" w:rsidRDefault="00707EE7" w:rsidP="00707EE7">
      <w:pPr>
        <w:tabs>
          <w:tab w:val="left" w:pos="1168"/>
        </w:tabs>
        <w:spacing w:line="480" w:lineRule="auto"/>
        <w:jc w:val="both"/>
        <w:rPr>
          <w:rFonts w:eastAsia="Times New Roman" w:cs="Times New Roman"/>
          <w:szCs w:val="20"/>
          <w:lang w:eastAsia="en-CA"/>
        </w:rPr>
      </w:pPr>
    </w:p>
    <w:p w:rsidR="00707EE7" w:rsidRPr="00707EE7" w:rsidRDefault="00707EE7" w:rsidP="00707EE7">
      <w:pPr>
        <w:tabs>
          <w:tab w:val="left" w:pos="1168"/>
        </w:tabs>
        <w:spacing w:line="480" w:lineRule="auto"/>
        <w:jc w:val="both"/>
        <w:rPr>
          <w:rFonts w:eastAsia="Times New Roman" w:cs="Times New Roman"/>
          <w:lang w:eastAsia="en-CA"/>
        </w:rPr>
      </w:pPr>
      <w:r w:rsidRPr="00707EE7">
        <w:rPr>
          <w:rFonts w:eastAsia="Times New Roman" w:cs="Times New Roman"/>
          <w:smallCaps/>
          <w:color w:val="000000"/>
          <w:lang w:eastAsia="en-CA"/>
        </w:rPr>
        <w:t>[1] </w:t>
      </w:r>
      <w:r w:rsidRPr="00707EE7">
        <w:rPr>
          <w:rFonts w:eastAsia="Times New Roman" w:cs="Times New Roman"/>
          <w:smallCaps/>
          <w:color w:val="000000"/>
          <w:lang w:eastAsia="en-CA"/>
        </w:rPr>
        <w:tab/>
        <w:t>Karakatsanis J.</w:t>
      </w:r>
      <w:r w:rsidRPr="00707EE7">
        <w:rPr>
          <w:rFonts w:eastAsia="Times New Roman" w:cs="Times New Roman"/>
          <w:color w:val="000000"/>
          <w:lang w:eastAsia="en-CA"/>
        </w:rPr>
        <w:t> — We are all of the view that the appeal should be allowed, for the reasons of Scanlan J.A. in the Court of Appeal. The appeal is allowed, the convictions are quashed and a new trial is ordered on the charges of second degree murder and unlawful possession of a firearm. As a result, it is unnecessary to hear the application for leave to appeal.</w:t>
      </w:r>
    </w:p>
    <w:p w:rsidR="00707EE7" w:rsidRPr="00707EE7" w:rsidRDefault="00707EE7" w:rsidP="00707EE7">
      <w:pPr>
        <w:tabs>
          <w:tab w:val="left" w:pos="1168"/>
        </w:tabs>
        <w:spacing w:line="480" w:lineRule="auto"/>
        <w:jc w:val="both"/>
        <w:rPr>
          <w:rFonts w:eastAsia="Times New Roman" w:cs="Times New Roman"/>
          <w:smallCaps/>
          <w:szCs w:val="20"/>
          <w:lang w:eastAsia="en-CA"/>
        </w:rPr>
      </w:pPr>
    </w:p>
    <w:p w:rsidR="00707EE7" w:rsidRPr="00707EE7" w:rsidRDefault="00707EE7" w:rsidP="00707EE7">
      <w:pPr>
        <w:tabs>
          <w:tab w:val="left" w:pos="1168"/>
        </w:tabs>
        <w:spacing w:line="480" w:lineRule="auto"/>
        <w:jc w:val="both"/>
        <w:rPr>
          <w:rFonts w:eastAsia="Times New Roman" w:cs="Times New Roman"/>
          <w:szCs w:val="20"/>
          <w:lang w:eastAsia="en-CA"/>
        </w:rPr>
      </w:pPr>
      <w:r w:rsidRPr="00707EE7">
        <w:rPr>
          <w:rFonts w:eastAsia="Times New Roman" w:cs="Times New Roman"/>
          <w:szCs w:val="20"/>
          <w:lang w:eastAsia="en-CA"/>
        </w:rPr>
        <w:tab/>
      </w:r>
      <w:r w:rsidRPr="00707EE7">
        <w:rPr>
          <w:rFonts w:eastAsia="Times New Roman" w:cs="Times New Roman"/>
          <w:i/>
          <w:szCs w:val="20"/>
          <w:lang w:eastAsia="en-CA"/>
        </w:rPr>
        <w:t>Judgment accordingly.</w:t>
      </w:r>
    </w:p>
    <w:p w:rsidR="00707EE7" w:rsidRPr="00707EE7" w:rsidRDefault="00707EE7" w:rsidP="00707EE7">
      <w:pPr>
        <w:tabs>
          <w:tab w:val="left" w:pos="1168"/>
        </w:tabs>
        <w:spacing w:line="480" w:lineRule="auto"/>
        <w:jc w:val="both"/>
        <w:rPr>
          <w:rFonts w:eastAsia="Times New Roman" w:cs="Times New Roman"/>
          <w:szCs w:val="20"/>
          <w:lang w:eastAsia="en-CA"/>
        </w:rPr>
      </w:pPr>
    </w:p>
    <w:p w:rsidR="00707EE7" w:rsidRPr="00707EE7" w:rsidRDefault="00707EE7" w:rsidP="00707EE7">
      <w:pPr>
        <w:tabs>
          <w:tab w:val="left" w:pos="1168"/>
        </w:tabs>
        <w:spacing w:line="480" w:lineRule="auto"/>
        <w:jc w:val="both"/>
        <w:rPr>
          <w:rFonts w:eastAsia="Times New Roman" w:cs="Times New Roman"/>
          <w:i/>
          <w:szCs w:val="20"/>
          <w:lang w:eastAsia="en-CA"/>
        </w:rPr>
      </w:pPr>
      <w:r w:rsidRPr="00707EE7">
        <w:rPr>
          <w:rFonts w:eastAsia="Times New Roman" w:cs="Times New Roman"/>
          <w:szCs w:val="20"/>
          <w:lang w:eastAsia="en-CA"/>
        </w:rPr>
        <w:tab/>
      </w:r>
      <w:r w:rsidRPr="00707EE7">
        <w:rPr>
          <w:rFonts w:eastAsia="Times New Roman" w:cs="Times New Roman"/>
          <w:i/>
          <w:szCs w:val="20"/>
          <w:lang w:eastAsia="en-CA"/>
        </w:rPr>
        <w:t>Solicitor for the appellant: Nova Scotia Legal Aid, Halifax.</w:t>
      </w:r>
    </w:p>
    <w:p w:rsidR="00707EE7" w:rsidRPr="00707EE7" w:rsidRDefault="00707EE7" w:rsidP="00707EE7">
      <w:pPr>
        <w:tabs>
          <w:tab w:val="left" w:pos="1168"/>
        </w:tabs>
        <w:spacing w:line="480" w:lineRule="auto"/>
        <w:jc w:val="both"/>
        <w:rPr>
          <w:rFonts w:eastAsia="Times New Roman" w:cs="Times New Roman"/>
          <w:i/>
          <w:szCs w:val="20"/>
          <w:lang w:eastAsia="en-CA"/>
        </w:rPr>
      </w:pPr>
    </w:p>
    <w:p w:rsidR="00707EE7" w:rsidRPr="00707EE7" w:rsidRDefault="00707EE7" w:rsidP="00707EE7">
      <w:pPr>
        <w:tabs>
          <w:tab w:val="left" w:pos="1168"/>
        </w:tabs>
        <w:spacing w:line="480" w:lineRule="auto"/>
        <w:jc w:val="both"/>
        <w:rPr>
          <w:rFonts w:eastAsia="Times New Roman" w:cs="Times New Roman"/>
          <w:i/>
          <w:szCs w:val="20"/>
          <w:lang w:eastAsia="en-CA"/>
        </w:rPr>
      </w:pPr>
      <w:r w:rsidRPr="00707EE7">
        <w:rPr>
          <w:rFonts w:eastAsia="Times New Roman" w:cs="Times New Roman"/>
          <w:i/>
          <w:szCs w:val="20"/>
          <w:lang w:eastAsia="en-CA"/>
        </w:rPr>
        <w:tab/>
        <w:t>Solicitor for the respondent: Public Prosecution Service</w:t>
      </w:r>
      <w:r w:rsidRPr="00707EE7">
        <w:rPr>
          <w:rFonts w:eastAsia="Times New Roman" w:cs="Times New Roman"/>
          <w:i/>
          <w:szCs w:val="20"/>
          <w:lang w:val="en-US" w:eastAsia="en-CA"/>
        </w:rPr>
        <w:t xml:space="preserve"> of Nova Scotia</w:t>
      </w:r>
      <w:r w:rsidRPr="00707EE7">
        <w:rPr>
          <w:rFonts w:eastAsia="Times New Roman" w:cs="Times New Roman"/>
          <w:i/>
          <w:szCs w:val="20"/>
          <w:lang w:eastAsia="en-CA"/>
        </w:rPr>
        <w:t>, Halifax.</w:t>
      </w:r>
    </w:p>
    <w:sectPr w:rsidR="00707EE7" w:rsidRPr="00707EE7"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9C" w:rsidRDefault="002A5E9C" w:rsidP="00F72014">
      <w:r>
        <w:separator/>
      </w:r>
    </w:p>
  </w:endnote>
  <w:endnote w:type="continuationSeparator" w:id="0">
    <w:p w:rsidR="002A5E9C" w:rsidRDefault="002A5E9C"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9C" w:rsidRDefault="002A5E9C" w:rsidP="00F72014">
      <w:r>
        <w:separator/>
      </w:r>
    </w:p>
  </w:footnote>
  <w:footnote w:type="continuationSeparator" w:id="0">
    <w:p w:rsidR="002A5E9C" w:rsidRDefault="002A5E9C"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A1B21"/>
    <w:rsid w:val="000A3702"/>
    <w:rsid w:val="001311DA"/>
    <w:rsid w:val="001412E4"/>
    <w:rsid w:val="001648D4"/>
    <w:rsid w:val="001B0985"/>
    <w:rsid w:val="001D6B8C"/>
    <w:rsid w:val="001F1F83"/>
    <w:rsid w:val="00205C5C"/>
    <w:rsid w:val="00205C5D"/>
    <w:rsid w:val="00252460"/>
    <w:rsid w:val="00273D07"/>
    <w:rsid w:val="0028675F"/>
    <w:rsid w:val="00286F20"/>
    <w:rsid w:val="002A5E9C"/>
    <w:rsid w:val="002C5A33"/>
    <w:rsid w:val="002D4FC9"/>
    <w:rsid w:val="00350E9F"/>
    <w:rsid w:val="00355967"/>
    <w:rsid w:val="003629FE"/>
    <w:rsid w:val="00384384"/>
    <w:rsid w:val="003B2BE1"/>
    <w:rsid w:val="003B3C63"/>
    <w:rsid w:val="00460AFC"/>
    <w:rsid w:val="0046180C"/>
    <w:rsid w:val="004E69EC"/>
    <w:rsid w:val="004F090E"/>
    <w:rsid w:val="00540106"/>
    <w:rsid w:val="00582136"/>
    <w:rsid w:val="005D4801"/>
    <w:rsid w:val="00633852"/>
    <w:rsid w:val="006B210C"/>
    <w:rsid w:val="006E6E5F"/>
    <w:rsid w:val="00701ABD"/>
    <w:rsid w:val="00707EE7"/>
    <w:rsid w:val="007343AA"/>
    <w:rsid w:val="007740CA"/>
    <w:rsid w:val="007B1C68"/>
    <w:rsid w:val="007F3004"/>
    <w:rsid w:val="00815561"/>
    <w:rsid w:val="00842677"/>
    <w:rsid w:val="00852D4E"/>
    <w:rsid w:val="00880B14"/>
    <w:rsid w:val="00904937"/>
    <w:rsid w:val="00914AE5"/>
    <w:rsid w:val="0093524C"/>
    <w:rsid w:val="00982E1F"/>
    <w:rsid w:val="00996510"/>
    <w:rsid w:val="0099776C"/>
    <w:rsid w:val="009E1B85"/>
    <w:rsid w:val="00A005B0"/>
    <w:rsid w:val="00A15427"/>
    <w:rsid w:val="00A51D10"/>
    <w:rsid w:val="00A61C3D"/>
    <w:rsid w:val="00A802A6"/>
    <w:rsid w:val="00A81CE2"/>
    <w:rsid w:val="00AB2201"/>
    <w:rsid w:val="00AB79C8"/>
    <w:rsid w:val="00BD3B1C"/>
    <w:rsid w:val="00BD4217"/>
    <w:rsid w:val="00C003E6"/>
    <w:rsid w:val="00C42C94"/>
    <w:rsid w:val="00C832C0"/>
    <w:rsid w:val="00C92277"/>
    <w:rsid w:val="00CE17A0"/>
    <w:rsid w:val="00D030DA"/>
    <w:rsid w:val="00D65758"/>
    <w:rsid w:val="00D76BDF"/>
    <w:rsid w:val="00DF15D7"/>
    <w:rsid w:val="00E22DBA"/>
    <w:rsid w:val="00E356C7"/>
    <w:rsid w:val="00E5364D"/>
    <w:rsid w:val="00E64FA7"/>
    <w:rsid w:val="00E770CB"/>
    <w:rsid w:val="00EF0E44"/>
    <w:rsid w:val="00F36AF0"/>
    <w:rsid w:val="00F72014"/>
    <w:rsid w:val="00F9518C"/>
    <w:rsid w:val="00FA59EF"/>
    <w:rsid w:val="00FC1060"/>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semiHidden/>
    <w:unhideWhenUsed/>
    <w:rsid w:val="00F72014"/>
    <w:pPr>
      <w:tabs>
        <w:tab w:val="center" w:pos="4680"/>
        <w:tab w:val="right" w:pos="9360"/>
      </w:tabs>
    </w:pPr>
  </w:style>
  <w:style w:type="character" w:customStyle="1" w:styleId="HeaderChar">
    <w:name w:val="Header Char"/>
    <w:basedOn w:val="DefaultParagraphFont"/>
    <w:link w:val="Header"/>
    <w:uiPriority w:val="99"/>
    <w:semiHidden/>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NormalDoubleSpacing">
    <w:name w:val="SCC.Normal.DoubleSpacing"/>
    <w:basedOn w:val="Normal"/>
    <w:link w:val="SCCNormalDoubleSpacingChar"/>
    <w:rsid w:val="00286F20"/>
    <w:pPr>
      <w:tabs>
        <w:tab w:val="left" w:pos="1168"/>
      </w:tabs>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286F2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286F20"/>
    <w:rPr>
      <w:i/>
    </w:rPr>
  </w:style>
  <w:style w:type="character" w:customStyle="1" w:styleId="SCCCounselNameChar">
    <w:name w:val="SCC.CounselName Char"/>
    <w:basedOn w:val="SCCNormalDoubleSpacingChar"/>
    <w:link w:val="SCCCounselName"/>
    <w:rsid w:val="00286F20"/>
    <w:rPr>
      <w:rFonts w:eastAsia="Times New Roman" w:cs="Times New Roman"/>
      <w:i/>
      <w:szCs w:val="20"/>
      <w:lang w:val="en-CA" w:eastAsia="en-CA"/>
    </w:rPr>
  </w:style>
  <w:style w:type="paragraph" w:customStyle="1" w:styleId="SCCCounselSeparator">
    <w:name w:val="SCC.CounselSeparator"/>
    <w:basedOn w:val="SCCNormalDoubleSpacing"/>
    <w:next w:val="SCCNormalDoubleSpacing"/>
    <w:link w:val="SCCCounselSeparatorChar"/>
    <w:rsid w:val="00286F20"/>
  </w:style>
  <w:style w:type="character" w:customStyle="1" w:styleId="SCCCounselSeparatorChar">
    <w:name w:val="SCC.CounselSeparator Char"/>
    <w:basedOn w:val="SCCNormalDoubleSpacingChar"/>
    <w:link w:val="SCCCounselSeparator"/>
    <w:rsid w:val="00286F20"/>
    <w:rPr>
      <w:rFonts w:eastAsia="Times New Roman" w:cs="Times New Roman"/>
      <w:szCs w:val="20"/>
      <w:lang w:val="en-CA" w:eastAsia="en-CA"/>
    </w:rPr>
  </w:style>
  <w:style w:type="paragraph" w:customStyle="1" w:styleId="SCCCounselPartyRole">
    <w:name w:val="SCC.CounselPartyRole"/>
    <w:basedOn w:val="SCCNormalDoubleSpacing"/>
    <w:next w:val="SCCNormalDoubleSpacing"/>
    <w:link w:val="SCCCounselPartyRoleChar"/>
    <w:rsid w:val="00286F20"/>
  </w:style>
  <w:style w:type="character" w:customStyle="1" w:styleId="SCCCounselPartyRoleChar">
    <w:name w:val="SCC.CounselPartyRole Char"/>
    <w:basedOn w:val="SCCNormalDoubleSpacingChar"/>
    <w:link w:val="SCCCounselPartyRole"/>
    <w:rsid w:val="00286F20"/>
    <w:rPr>
      <w:rFonts w:eastAsia="Times New Roman" w:cs="Times New Roman"/>
      <w:szCs w:val="20"/>
      <w:lang w:val="en-CA" w:eastAsia="en-CA"/>
    </w:rPr>
  </w:style>
  <w:style w:type="table" w:customStyle="1" w:styleId="TableGrid2">
    <w:name w:val="Table Grid2"/>
    <w:basedOn w:val="TableNormal"/>
    <w:next w:val="TableGrid"/>
    <w:uiPriority w:val="59"/>
    <w:rsid w:val="00707EE7"/>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76874">
      <w:bodyDiv w:val="1"/>
      <w:marLeft w:val="0"/>
      <w:marRight w:val="0"/>
      <w:marTop w:val="0"/>
      <w:marBottom w:val="0"/>
      <w:divBdr>
        <w:top w:val="none" w:sz="0" w:space="0" w:color="auto"/>
        <w:left w:val="none" w:sz="0" w:space="0" w:color="auto"/>
        <w:bottom w:val="none" w:sz="0" w:space="0" w:color="auto"/>
        <w:right w:val="none" w:sz="0" w:space="0" w:color="auto"/>
      </w:divBdr>
    </w:div>
    <w:div w:id="18661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A69C-FAB8-48A6-97A3-17F45965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2022-06-27T19:29:00Z</dcterms:created>
  <dcterms:modified xsi:type="dcterms:W3CDTF">2023-07-26T13:05:00Z</dcterms:modified>
</cp:coreProperties>
</file>