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60"/>
        <w:gridCol w:w="1152"/>
        <w:gridCol w:w="3585"/>
      </w:tblGrid>
      <w:tr w:rsidR="00DB4E8E" w14:paraId="0470A85E" w14:textId="77777777" w:rsidTr="00DB4E8E">
        <w:trPr>
          <w:trHeight w:val="1784"/>
        </w:trPr>
        <w:tc>
          <w:tcPr>
            <w:tcW w:w="5000" w:type="pct"/>
            <w:gridSpan w:val="3"/>
            <w:hideMark/>
          </w:tcPr>
          <w:p w14:paraId="38B4CA58" w14:textId="77777777" w:rsidR="00DB4E8E" w:rsidRDefault="00DB4E8E">
            <w:pPr>
              <w:jc w:val="center"/>
            </w:pPr>
            <w:r>
              <w:rPr>
                <w:rFonts w:eastAsia="Calibri"/>
                <w:szCs w:val="24"/>
                <w:lang w:eastAsia="en-US"/>
              </w:rPr>
              <w:object w:dxaOrig="1236" w:dyaOrig="1296" w14:anchorId="65278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5" ShapeID="_x0000_i1025" DrawAspect="Content" ObjectID="_1760192383" r:id="rId8"/>
              </w:object>
            </w:r>
          </w:p>
          <w:p w14:paraId="0AC36119" w14:textId="77777777" w:rsidR="00DB4E8E" w:rsidRDefault="00DB4E8E">
            <w:pPr>
              <w:spacing w:before="120" w:after="100" w:afterAutospacing="1"/>
              <w:jc w:val="center"/>
              <w:rPr>
                <w:rFonts w:eastAsia="Calibri"/>
              </w:rPr>
            </w:pPr>
            <w:r>
              <w:rPr>
                <w:rFonts w:eastAsia="Calibri"/>
                <w:b/>
                <w:szCs w:val="24"/>
                <w:lang w:eastAsia="en-US"/>
              </w:rPr>
              <w:t>SUPREME COURT OF CANADA</w:t>
            </w:r>
          </w:p>
        </w:tc>
      </w:tr>
      <w:tr w:rsidR="00DB4E8E" w14:paraId="1C8E087A" w14:textId="77777777" w:rsidTr="00DB4E8E">
        <w:tc>
          <w:tcPr>
            <w:tcW w:w="2110" w:type="pct"/>
            <w:tcMar>
              <w:top w:w="284" w:type="dxa"/>
              <w:left w:w="57" w:type="dxa"/>
              <w:bottom w:w="57" w:type="dxa"/>
              <w:right w:w="57" w:type="dxa"/>
            </w:tcMar>
            <w:hideMark/>
          </w:tcPr>
          <w:p w14:paraId="70F7DF09" w14:textId="31BA18DA" w:rsidR="00DB4E8E" w:rsidRDefault="00DB4E8E">
            <w:pPr>
              <w:spacing w:before="100" w:beforeAutospacing="1"/>
              <w:rPr>
                <w:rFonts w:eastAsia="Calibri"/>
                <w:lang w:val="fr-CA"/>
              </w:rPr>
            </w:pPr>
            <w:r>
              <w:rPr>
                <w:b/>
                <w:smallCaps/>
                <w:lang w:val="fr-CA"/>
              </w:rPr>
              <w:t>Citation:</w:t>
            </w:r>
            <w:r>
              <w:rPr>
                <w:lang w:val="fr-CA"/>
              </w:rPr>
              <w:t xml:space="preserve"> R. </w:t>
            </w:r>
            <w:r>
              <w:rPr>
                <w:i/>
              </w:rPr>
              <w:t>v</w:t>
            </w:r>
            <w:r>
              <w:t>. Slatter, 2020 SCC 36</w:t>
            </w:r>
            <w:r>
              <w:t>, [2020] 3 S.C.R. 592</w:t>
            </w:r>
            <w:bookmarkStart w:id="0" w:name="_GoBack"/>
            <w:bookmarkEnd w:id="0"/>
          </w:p>
        </w:tc>
        <w:tc>
          <w:tcPr>
            <w:tcW w:w="703" w:type="pct"/>
          </w:tcPr>
          <w:p w14:paraId="703441A5" w14:textId="77777777" w:rsidR="00DB4E8E" w:rsidRDefault="00DB4E8E">
            <w:pPr>
              <w:rPr>
                <w:b/>
                <w:smallCaps/>
                <w:lang w:val="fr-CA"/>
              </w:rPr>
            </w:pPr>
          </w:p>
        </w:tc>
        <w:tc>
          <w:tcPr>
            <w:tcW w:w="2187" w:type="pct"/>
            <w:tcMar>
              <w:top w:w="284" w:type="dxa"/>
              <w:left w:w="57" w:type="dxa"/>
              <w:bottom w:w="57" w:type="dxa"/>
              <w:right w:w="57" w:type="dxa"/>
            </w:tcMar>
            <w:hideMark/>
          </w:tcPr>
          <w:p w14:paraId="1FC74E01" w14:textId="77777777" w:rsidR="00DB4E8E" w:rsidRDefault="00DB4E8E">
            <w:r>
              <w:rPr>
                <w:b/>
                <w:smallCaps/>
              </w:rPr>
              <w:t>Appeal Heard:</w:t>
            </w:r>
            <w:r>
              <w:t xml:space="preserve"> November 6, 2020</w:t>
            </w:r>
          </w:p>
          <w:p w14:paraId="3C0847F7" w14:textId="77777777" w:rsidR="00DB4E8E" w:rsidRDefault="00DB4E8E">
            <w:r>
              <w:rPr>
                <w:b/>
                <w:smallCaps/>
              </w:rPr>
              <w:t>Judgment Rendered:</w:t>
            </w:r>
            <w:r>
              <w:t xml:space="preserve"> November 6, 2020</w:t>
            </w:r>
          </w:p>
          <w:p w14:paraId="24BDB323" w14:textId="77777777" w:rsidR="00DB4E8E" w:rsidRDefault="00DB4E8E">
            <w:r>
              <w:rPr>
                <w:b/>
                <w:smallCaps/>
              </w:rPr>
              <w:t>Docket:</w:t>
            </w:r>
            <w:r>
              <w:t xml:space="preserve"> 38870</w:t>
            </w:r>
          </w:p>
        </w:tc>
      </w:tr>
      <w:tr w:rsidR="00DB4E8E" w14:paraId="2490675B" w14:textId="77777777" w:rsidTr="00DB4E8E">
        <w:tc>
          <w:tcPr>
            <w:tcW w:w="5000" w:type="pct"/>
            <w:gridSpan w:val="3"/>
          </w:tcPr>
          <w:p w14:paraId="0FE80418" w14:textId="77777777" w:rsidR="00DB4E8E" w:rsidRDefault="00DB4E8E">
            <w:pPr>
              <w:rPr>
                <w:rFonts w:eastAsiaTheme="minorHAnsi" w:cstheme="minorBidi"/>
                <w:b/>
                <w:szCs w:val="24"/>
                <w:lang w:eastAsia="en-US"/>
              </w:rPr>
            </w:pPr>
          </w:p>
          <w:p w14:paraId="52F1C30A" w14:textId="77777777" w:rsidR="00DB4E8E" w:rsidRDefault="00DB4E8E">
            <w:pPr>
              <w:rPr>
                <w:b/>
                <w:smallCaps/>
              </w:rPr>
            </w:pPr>
            <w:r>
              <w:rPr>
                <w:b/>
                <w:smallCaps/>
              </w:rPr>
              <w:t xml:space="preserve">Between: </w:t>
            </w:r>
          </w:p>
          <w:p w14:paraId="1FD44AEC" w14:textId="77777777" w:rsidR="00DB4E8E" w:rsidRDefault="00DB4E8E">
            <w:pPr>
              <w:rPr>
                <w:rFonts w:eastAsiaTheme="minorHAnsi" w:cstheme="minorBidi"/>
                <w:b/>
                <w:szCs w:val="24"/>
                <w:lang w:eastAsia="en-US"/>
              </w:rPr>
            </w:pPr>
          </w:p>
          <w:p w14:paraId="2E4B15FA" w14:textId="77777777" w:rsidR="00DB4E8E" w:rsidRDefault="00DB4E8E">
            <w:pPr>
              <w:jc w:val="center"/>
              <w:rPr>
                <w:rFonts w:eastAsiaTheme="minorHAnsi" w:cstheme="minorBidi"/>
                <w:b/>
                <w:szCs w:val="24"/>
                <w:lang w:eastAsia="en-US"/>
              </w:rPr>
            </w:pPr>
            <w:r>
              <w:rPr>
                <w:rFonts w:eastAsiaTheme="minorHAnsi" w:cstheme="minorBidi"/>
                <w:b/>
                <w:szCs w:val="24"/>
                <w:lang w:eastAsia="en-US"/>
              </w:rPr>
              <w:t>Her Majesty The Queen</w:t>
            </w:r>
          </w:p>
          <w:p w14:paraId="1196F449" w14:textId="77777777" w:rsidR="00DB4E8E" w:rsidRDefault="00DB4E8E">
            <w:pPr>
              <w:jc w:val="center"/>
              <w:rPr>
                <w:rFonts w:eastAsiaTheme="minorHAnsi" w:cstheme="minorBidi"/>
                <w:szCs w:val="24"/>
                <w:lang w:eastAsia="en-US"/>
              </w:rPr>
            </w:pPr>
            <w:r>
              <w:rPr>
                <w:rFonts w:eastAsiaTheme="minorHAnsi" w:cstheme="minorBidi"/>
                <w:szCs w:val="24"/>
                <w:lang w:eastAsia="en-US"/>
              </w:rPr>
              <w:t>Appellant</w:t>
            </w:r>
          </w:p>
          <w:p w14:paraId="67264D8A" w14:textId="77777777" w:rsidR="00DB4E8E" w:rsidRDefault="00DB4E8E">
            <w:pPr>
              <w:jc w:val="center"/>
              <w:rPr>
                <w:rFonts w:eastAsiaTheme="minorHAnsi" w:cstheme="minorBidi"/>
                <w:szCs w:val="24"/>
                <w:lang w:eastAsia="en-US"/>
              </w:rPr>
            </w:pPr>
          </w:p>
          <w:p w14:paraId="437989BD" w14:textId="77777777" w:rsidR="00DB4E8E" w:rsidRDefault="00DB4E8E">
            <w:pPr>
              <w:jc w:val="center"/>
              <w:rPr>
                <w:rFonts w:eastAsiaTheme="minorHAnsi" w:cstheme="minorBidi"/>
                <w:szCs w:val="24"/>
                <w:lang w:eastAsia="en-US"/>
              </w:rPr>
            </w:pPr>
            <w:r>
              <w:rPr>
                <w:rFonts w:eastAsiaTheme="minorHAnsi" w:cstheme="minorBidi"/>
                <w:szCs w:val="24"/>
                <w:lang w:eastAsia="en-US"/>
              </w:rPr>
              <w:t>and</w:t>
            </w:r>
          </w:p>
          <w:p w14:paraId="28A5F300" w14:textId="77777777" w:rsidR="00DB4E8E" w:rsidRDefault="00DB4E8E">
            <w:pPr>
              <w:jc w:val="center"/>
              <w:rPr>
                <w:rFonts w:eastAsiaTheme="minorHAnsi" w:cstheme="minorBidi"/>
                <w:szCs w:val="24"/>
                <w:lang w:eastAsia="en-US"/>
              </w:rPr>
            </w:pPr>
          </w:p>
          <w:p w14:paraId="01680A97" w14:textId="77777777" w:rsidR="00DB4E8E" w:rsidRDefault="00DB4E8E">
            <w:pPr>
              <w:jc w:val="center"/>
              <w:rPr>
                <w:rFonts w:eastAsiaTheme="minorHAnsi" w:cstheme="minorBidi"/>
                <w:b/>
                <w:szCs w:val="24"/>
                <w:lang w:eastAsia="en-US"/>
              </w:rPr>
            </w:pPr>
            <w:r>
              <w:rPr>
                <w:rFonts w:eastAsiaTheme="minorHAnsi" w:cstheme="minorBidi"/>
                <w:b/>
                <w:szCs w:val="24"/>
                <w:lang w:eastAsia="en-US"/>
              </w:rPr>
              <w:t>Thomas Slatter</w:t>
            </w:r>
          </w:p>
          <w:p w14:paraId="0F6AF031" w14:textId="77777777" w:rsidR="00DB4E8E" w:rsidRDefault="00DB4E8E">
            <w:pPr>
              <w:jc w:val="center"/>
              <w:rPr>
                <w:rFonts w:eastAsiaTheme="minorHAnsi" w:cstheme="minorBidi"/>
                <w:szCs w:val="24"/>
                <w:lang w:eastAsia="en-US"/>
              </w:rPr>
            </w:pPr>
            <w:r>
              <w:rPr>
                <w:rFonts w:eastAsiaTheme="minorHAnsi" w:cstheme="minorBidi"/>
                <w:szCs w:val="24"/>
                <w:lang w:eastAsia="en-US"/>
              </w:rPr>
              <w:t>Respondent</w:t>
            </w:r>
          </w:p>
          <w:p w14:paraId="148D3729" w14:textId="77777777" w:rsidR="00DB4E8E" w:rsidRDefault="00DB4E8E"/>
          <w:p w14:paraId="0889D715" w14:textId="77777777" w:rsidR="00DB4E8E" w:rsidRDefault="00DB4E8E">
            <w:pPr>
              <w:pStyle w:val="SCCLsocOtherPartySeparator"/>
              <w:spacing w:after="0"/>
              <w:jc w:val="center"/>
            </w:pPr>
            <w:r>
              <w:t>- and -</w:t>
            </w:r>
          </w:p>
          <w:p w14:paraId="2B0CFEC9" w14:textId="77777777" w:rsidR="00DB4E8E" w:rsidRDefault="00DB4E8E">
            <w:pPr>
              <w:pStyle w:val="SCCLsocParty"/>
              <w:jc w:val="center"/>
              <w:rPr>
                <w:b w:val="0"/>
              </w:rPr>
            </w:pPr>
          </w:p>
          <w:p w14:paraId="2C971F0E" w14:textId="77777777" w:rsidR="00DB4E8E" w:rsidRDefault="00DB4E8E">
            <w:pPr>
              <w:pStyle w:val="SCCLsocParty"/>
              <w:jc w:val="center"/>
            </w:pPr>
            <w:r>
              <w:t>Inclusion Canada (previously known as Canadian Association for Community Living),</w:t>
            </w:r>
          </w:p>
          <w:p w14:paraId="3C8F167E" w14:textId="77777777" w:rsidR="00DB4E8E" w:rsidRDefault="00DB4E8E">
            <w:pPr>
              <w:pStyle w:val="SCCLsocParty"/>
              <w:jc w:val="center"/>
            </w:pPr>
            <w:r>
              <w:t>Women’s Legal Education and Action Fund Inc.,</w:t>
            </w:r>
          </w:p>
          <w:p w14:paraId="585EBD05" w14:textId="77777777" w:rsidR="00DB4E8E" w:rsidRDefault="00DB4E8E">
            <w:pPr>
              <w:pStyle w:val="SCCLsocParty"/>
              <w:jc w:val="center"/>
            </w:pPr>
            <w:r>
              <w:t>DisAbled Women’s Network Canada, ARCH Disability Law Centre,</w:t>
            </w:r>
          </w:p>
          <w:p w14:paraId="458657DC" w14:textId="77777777" w:rsidR="00DB4E8E" w:rsidRDefault="00DB4E8E">
            <w:pPr>
              <w:pStyle w:val="SCCLsocParty"/>
              <w:jc w:val="center"/>
            </w:pPr>
            <w:r>
              <w:t>Barbra Schlifer Commemorative Clinic and Criminal Lawyers’ Association of Ontario</w:t>
            </w:r>
          </w:p>
          <w:p w14:paraId="4DE5741A" w14:textId="77777777" w:rsidR="00DB4E8E" w:rsidRDefault="00DB4E8E">
            <w:pPr>
              <w:jc w:val="center"/>
            </w:pPr>
            <w:r>
              <w:t>Interveners</w:t>
            </w:r>
          </w:p>
          <w:p w14:paraId="76A3F9D6" w14:textId="77777777" w:rsidR="00DB4E8E" w:rsidRDefault="00DB4E8E">
            <w:pPr>
              <w:rPr>
                <w:rFonts w:eastAsiaTheme="minorHAnsi" w:cstheme="minorBidi"/>
                <w:b/>
                <w:szCs w:val="24"/>
                <w:lang w:eastAsia="en-US"/>
              </w:rPr>
            </w:pPr>
          </w:p>
          <w:p w14:paraId="0BB47245" w14:textId="77777777" w:rsidR="00DB4E8E" w:rsidRDefault="00DB4E8E">
            <w:pPr>
              <w:rPr>
                <w:b/>
                <w:smallCaps/>
              </w:rPr>
            </w:pPr>
          </w:p>
        </w:tc>
      </w:tr>
    </w:tbl>
    <w:tbl>
      <w:tblPr>
        <w:tblStyle w:val="TableGrid2"/>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997"/>
        <w:gridCol w:w="5200"/>
      </w:tblGrid>
      <w:tr w:rsidR="00DB4E8E" w:rsidRPr="00DB4E8E" w14:paraId="0B96E042" w14:textId="77777777" w:rsidTr="00DB4E8E">
        <w:trPr>
          <w:cantSplit/>
          <w:trHeight w:val="508"/>
        </w:trPr>
        <w:tc>
          <w:tcPr>
            <w:tcW w:w="5000" w:type="pct"/>
            <w:gridSpan w:val="2"/>
            <w:tcMar>
              <w:top w:w="284" w:type="dxa"/>
              <w:left w:w="58" w:type="dxa"/>
              <w:bottom w:w="57" w:type="dxa"/>
              <w:right w:w="58" w:type="dxa"/>
            </w:tcMar>
            <w:vAlign w:val="center"/>
            <w:hideMark/>
          </w:tcPr>
          <w:p w14:paraId="52D9E0EE" w14:textId="77777777" w:rsidR="00DB4E8E" w:rsidRDefault="00DB4E8E">
            <w:r>
              <w:rPr>
                <w:b/>
                <w:smallCaps/>
              </w:rPr>
              <w:t>Coram:</w:t>
            </w:r>
            <w:r>
              <w:t xml:space="preserve"> Wagner C.J. and Moldaver, Karakatsanis, Brown, Rowe, Martin and Kasirer JJ.</w:t>
            </w:r>
          </w:p>
        </w:tc>
      </w:tr>
      <w:tr w:rsidR="00DB4E8E" w14:paraId="4E923EA3" w14:textId="77777777" w:rsidTr="00DB4E8E">
        <w:trPr>
          <w:cantSplit/>
          <w:trHeight w:val="508"/>
        </w:trPr>
        <w:tc>
          <w:tcPr>
            <w:tcW w:w="1828" w:type="pct"/>
            <w:tcMar>
              <w:top w:w="28" w:type="dxa"/>
              <w:left w:w="57" w:type="dxa"/>
              <w:bottom w:w="57" w:type="dxa"/>
              <w:right w:w="57" w:type="dxa"/>
            </w:tcMar>
            <w:vAlign w:val="center"/>
            <w:hideMark/>
          </w:tcPr>
          <w:p w14:paraId="3625F6A1" w14:textId="77777777" w:rsidR="00DB4E8E" w:rsidRDefault="00DB4E8E">
            <w:pPr>
              <w:spacing w:before="120"/>
              <w:rPr>
                <w:b/>
                <w:smallCaps/>
              </w:rPr>
            </w:pPr>
            <w:r>
              <w:rPr>
                <w:b/>
                <w:smallCaps/>
              </w:rPr>
              <w:t>Unanimous Judgment Read By:</w:t>
            </w:r>
          </w:p>
          <w:p w14:paraId="6973503C" w14:textId="77777777" w:rsidR="00DB4E8E" w:rsidRDefault="00DB4E8E">
            <w:pPr>
              <w:rPr>
                <w:b/>
                <w:smallCaps/>
                <w:lang w:val="en-CA"/>
              </w:rPr>
            </w:pPr>
            <w:r>
              <w:t>(paras. 1 to 3)</w:t>
            </w:r>
          </w:p>
        </w:tc>
        <w:tc>
          <w:tcPr>
            <w:tcW w:w="3172" w:type="pct"/>
            <w:tcMar>
              <w:top w:w="28" w:type="dxa"/>
              <w:left w:w="57" w:type="dxa"/>
              <w:bottom w:w="57" w:type="dxa"/>
              <w:right w:w="57" w:type="dxa"/>
            </w:tcMar>
            <w:vAlign w:val="center"/>
            <w:hideMark/>
          </w:tcPr>
          <w:p w14:paraId="07D9EE29" w14:textId="77777777" w:rsidR="00DB4E8E" w:rsidRDefault="00DB4E8E">
            <w:pPr>
              <w:spacing w:before="120"/>
            </w:pPr>
            <w:r>
              <w:t>Moldaver J.</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DB4E8E" w:rsidRPr="00DB4E8E" w14:paraId="2C1F3F17" w14:textId="77777777" w:rsidTr="00DB4E8E">
        <w:tc>
          <w:tcPr>
            <w:tcW w:w="1500" w:type="pct"/>
            <w:tcMar>
              <w:top w:w="284" w:type="dxa"/>
              <w:left w:w="108" w:type="dxa"/>
              <w:bottom w:w="0" w:type="dxa"/>
              <w:right w:w="108" w:type="dxa"/>
            </w:tcMar>
          </w:tcPr>
          <w:p w14:paraId="03F630E1" w14:textId="77777777" w:rsidR="00DB4E8E" w:rsidRDefault="00DB4E8E">
            <w:pPr>
              <w:rPr>
                <w:rFonts w:eastAsia="Calibri"/>
                <w:szCs w:val="24"/>
                <w:lang w:eastAsia="en-US"/>
              </w:rPr>
            </w:pPr>
          </w:p>
        </w:tc>
        <w:tc>
          <w:tcPr>
            <w:tcW w:w="2000" w:type="pct"/>
            <w:tcBorders>
              <w:top w:val="nil"/>
              <w:left w:val="nil"/>
              <w:bottom w:val="single" w:sz="4" w:space="0" w:color="auto"/>
              <w:right w:val="nil"/>
            </w:tcBorders>
            <w:tcMar>
              <w:top w:w="284" w:type="dxa"/>
              <w:left w:w="108" w:type="dxa"/>
              <w:bottom w:w="0" w:type="dxa"/>
              <w:right w:w="108" w:type="dxa"/>
            </w:tcMar>
          </w:tcPr>
          <w:p w14:paraId="16BDD7C5" w14:textId="77777777" w:rsidR="00DB4E8E" w:rsidRDefault="00DB4E8E">
            <w:pPr>
              <w:rPr>
                <w:rFonts w:eastAsia="Calibri"/>
                <w:szCs w:val="24"/>
                <w:lang w:eastAsia="en-US"/>
              </w:rPr>
            </w:pPr>
          </w:p>
        </w:tc>
        <w:tc>
          <w:tcPr>
            <w:tcW w:w="1500" w:type="pct"/>
            <w:tcMar>
              <w:top w:w="284" w:type="dxa"/>
              <w:left w:w="108" w:type="dxa"/>
              <w:bottom w:w="0" w:type="dxa"/>
              <w:right w:w="108" w:type="dxa"/>
            </w:tcMar>
          </w:tcPr>
          <w:p w14:paraId="0C0B649B" w14:textId="77777777" w:rsidR="00DB4E8E" w:rsidRDefault="00DB4E8E">
            <w:pPr>
              <w:rPr>
                <w:rFonts w:eastAsia="Calibri"/>
                <w:szCs w:val="24"/>
                <w:lang w:eastAsia="en-US"/>
              </w:rPr>
            </w:pPr>
          </w:p>
        </w:tc>
      </w:tr>
    </w:tbl>
    <w:p w14:paraId="361D0DF9" w14:textId="63705F48" w:rsidR="009A1817" w:rsidRPr="00391FC9" w:rsidRDefault="009A1817" w:rsidP="009A1817">
      <w:pPr>
        <w:spacing w:after="720"/>
        <w:jc w:val="both"/>
        <w:rPr>
          <w:smallCaps/>
          <w:lang w:val="en-US"/>
        </w:rPr>
      </w:pPr>
    </w:p>
    <w:p w14:paraId="13ADC87A" w14:textId="77777777" w:rsidR="00760794" w:rsidRPr="004E0C56" w:rsidRDefault="009A1817" w:rsidP="00760794">
      <w:pPr>
        <w:pStyle w:val="SCCLsocLastPartyInRole"/>
        <w:rPr>
          <w:lang w:val="en-US"/>
        </w:rPr>
      </w:pPr>
      <w:r>
        <w:rPr>
          <w:lang w:val="en-US"/>
        </w:rPr>
        <w:t>Her Majesty The Queen</w:t>
      </w:r>
      <w:r w:rsidR="00760794" w:rsidRPr="004E0C56">
        <w:rPr>
          <w:rStyle w:val="SCCLsocPartyRole"/>
          <w:lang w:val="en-US"/>
        </w:rPr>
        <w:tab/>
        <w:t>Appellant</w:t>
      </w:r>
    </w:p>
    <w:p w14:paraId="0CF09A95" w14:textId="77777777" w:rsidR="00760794" w:rsidRDefault="00760794" w:rsidP="00760794">
      <w:pPr>
        <w:pStyle w:val="SCCLsocVersus"/>
      </w:pPr>
      <w:r>
        <w:lastRenderedPageBreak/>
        <w:t>v.</w:t>
      </w:r>
    </w:p>
    <w:p w14:paraId="05670AB1" w14:textId="77777777" w:rsidR="00760794" w:rsidRPr="00760794" w:rsidRDefault="009A1817" w:rsidP="00760794">
      <w:pPr>
        <w:pStyle w:val="SCCLsocLastPartyInRole"/>
      </w:pPr>
      <w:r>
        <w:t>Thomas Slatter</w:t>
      </w:r>
      <w:r w:rsidR="00760794">
        <w:rPr>
          <w:rStyle w:val="SCCLsocPartyRole"/>
        </w:rPr>
        <w:tab/>
        <w:t>Responden</w:t>
      </w:r>
      <w:r w:rsidR="00A03569">
        <w:rPr>
          <w:rStyle w:val="SCCLsocPartyRole"/>
        </w:rPr>
        <w:t>t</w:t>
      </w:r>
    </w:p>
    <w:p w14:paraId="5D11E37E" w14:textId="77777777" w:rsidR="00760794" w:rsidRPr="005A7F6D" w:rsidRDefault="00760794" w:rsidP="005A7F6D">
      <w:pPr>
        <w:pStyle w:val="SCCLsocVersus"/>
        <w:rPr>
          <w:i w:val="0"/>
          <w:lang w:val="en-US"/>
        </w:rPr>
      </w:pPr>
      <w:r w:rsidRPr="005A7F6D">
        <w:rPr>
          <w:i w:val="0"/>
          <w:lang w:val="en-US"/>
        </w:rPr>
        <w:t>and</w:t>
      </w:r>
    </w:p>
    <w:p w14:paraId="50F91406" w14:textId="77777777" w:rsidR="0085536B" w:rsidRDefault="009A1817" w:rsidP="009A1817">
      <w:pPr>
        <w:pStyle w:val="SCCLsocParty"/>
      </w:pPr>
      <w:r>
        <w:t xml:space="preserve">Inclusion Canada (previously known as Canadian </w:t>
      </w:r>
    </w:p>
    <w:p w14:paraId="125145A6" w14:textId="7E820776" w:rsidR="009A1817" w:rsidRDefault="009A1817" w:rsidP="009A1817">
      <w:pPr>
        <w:pStyle w:val="SCCLsocParty"/>
      </w:pPr>
      <w:r>
        <w:t>Association for Community Living),</w:t>
      </w:r>
    </w:p>
    <w:p w14:paraId="52E9A1DB" w14:textId="77777777" w:rsidR="009A1817" w:rsidRDefault="009A1817" w:rsidP="009A1817">
      <w:pPr>
        <w:pStyle w:val="SCCLsocParty"/>
      </w:pPr>
      <w:r>
        <w:t>Women</w:t>
      </w:r>
      <w:r w:rsidR="006B3EB9">
        <w:t>’</w:t>
      </w:r>
      <w:r>
        <w:t>s Legal Education and Action Fund Inc.,</w:t>
      </w:r>
    </w:p>
    <w:p w14:paraId="67F3435F" w14:textId="77777777" w:rsidR="009A1817" w:rsidRDefault="009A1817" w:rsidP="009A1817">
      <w:pPr>
        <w:pStyle w:val="SCCLsocParty"/>
      </w:pPr>
      <w:r>
        <w:t>DisAbled Women</w:t>
      </w:r>
      <w:r w:rsidR="006B3EB9">
        <w:t>’</w:t>
      </w:r>
      <w:r>
        <w:t>s Network Canada,</w:t>
      </w:r>
    </w:p>
    <w:p w14:paraId="7A6C742A" w14:textId="77777777" w:rsidR="009A1817" w:rsidRDefault="009A1817" w:rsidP="009A1817">
      <w:pPr>
        <w:pStyle w:val="SCCLsocParty"/>
      </w:pPr>
      <w:r>
        <w:t>ARCH Disability Law Centre,</w:t>
      </w:r>
    </w:p>
    <w:p w14:paraId="2DB17B9A" w14:textId="77777777" w:rsidR="009A1817" w:rsidRDefault="009A1817" w:rsidP="009A1817">
      <w:pPr>
        <w:pStyle w:val="SCCLsocParty"/>
      </w:pPr>
      <w:r>
        <w:t>Barbra Schlifer Commemorative Clinic and</w:t>
      </w:r>
    </w:p>
    <w:p w14:paraId="0CDF7EAB" w14:textId="77777777" w:rsidR="009E047E" w:rsidRPr="004E0C56" w:rsidRDefault="009A1817" w:rsidP="009A1817">
      <w:pPr>
        <w:pStyle w:val="SCCLsocLastPartyInRole"/>
        <w:rPr>
          <w:lang w:val="en-US"/>
        </w:rPr>
      </w:pPr>
      <w:r>
        <w:t>Criminal Lawyers</w:t>
      </w:r>
      <w:r w:rsidR="006B3EB9">
        <w:t>’</w:t>
      </w:r>
      <w:r>
        <w:t xml:space="preserve"> Association of Ontario</w:t>
      </w:r>
      <w:r w:rsidR="004F7750" w:rsidRPr="004E0C56">
        <w:rPr>
          <w:rStyle w:val="SCCLsocPartyRole"/>
          <w:lang w:val="en-US"/>
        </w:rPr>
        <w:tab/>
      </w:r>
      <w:r w:rsidR="008C456E" w:rsidRPr="009A1817">
        <w:rPr>
          <w:rStyle w:val="SCCLsocPartyRole"/>
          <w:lang w:val="en-US"/>
        </w:rPr>
        <w:t>Intervener</w:t>
      </w:r>
      <w:r>
        <w:rPr>
          <w:rStyle w:val="SCCLsocPartyRole"/>
          <w:lang w:val="en-US"/>
        </w:rPr>
        <w:t>s</w:t>
      </w:r>
    </w:p>
    <w:p w14:paraId="750B10AD" w14:textId="77777777" w:rsidR="00426659" w:rsidRPr="009A1817" w:rsidRDefault="00426659" w:rsidP="005A7F6D">
      <w:pPr>
        <w:spacing w:after="720"/>
        <w:jc w:val="both"/>
        <w:rPr>
          <w:b/>
        </w:rPr>
      </w:pPr>
      <w:r w:rsidRPr="00426659">
        <w:rPr>
          <w:b/>
        </w:rPr>
        <w:t>Indexed as:</w:t>
      </w:r>
      <w:r w:rsidR="009A1817">
        <w:rPr>
          <w:b/>
        </w:rPr>
        <w:t xml:space="preserve"> R. </w:t>
      </w:r>
      <w:r w:rsidR="009A1817">
        <w:rPr>
          <w:b/>
          <w:i/>
        </w:rPr>
        <w:t>v.</w:t>
      </w:r>
      <w:r w:rsidR="009A1817">
        <w:rPr>
          <w:b/>
        </w:rPr>
        <w:t xml:space="preserve"> Slatter</w:t>
      </w:r>
    </w:p>
    <w:p w14:paraId="448BC3A5" w14:textId="77777777" w:rsidR="00A149DF" w:rsidRPr="00D7142F" w:rsidRDefault="00AE4535" w:rsidP="00B2580F">
      <w:pPr>
        <w:pStyle w:val="SCCSystemYear"/>
        <w:spacing w:after="720"/>
        <w:jc w:val="both"/>
        <w:rPr>
          <w:lang w:val="en-US"/>
        </w:rPr>
      </w:pPr>
      <w:r w:rsidRPr="00D7142F">
        <w:rPr>
          <w:lang w:val="en-US"/>
        </w:rPr>
        <w:t>20</w:t>
      </w:r>
      <w:r w:rsidR="008C456E" w:rsidRPr="00D7142F">
        <w:rPr>
          <w:lang w:val="en-US"/>
        </w:rPr>
        <w:t>20</w:t>
      </w:r>
      <w:r w:rsidR="003D0399" w:rsidRPr="00D7142F">
        <w:rPr>
          <w:lang w:val="en-US"/>
        </w:rPr>
        <w:t xml:space="preserve"> </w:t>
      </w:r>
      <w:r w:rsidR="009A1817">
        <w:rPr>
          <w:lang w:val="en-US"/>
        </w:rPr>
        <w:t>SCC 36</w:t>
      </w:r>
    </w:p>
    <w:p w14:paraId="40DD6217" w14:textId="77777777" w:rsidR="00A149DF" w:rsidRPr="00D7142F" w:rsidRDefault="009A1817" w:rsidP="00B2580F">
      <w:pPr>
        <w:spacing w:after="720"/>
        <w:jc w:val="both"/>
        <w:rPr>
          <w:lang w:val="en-US"/>
        </w:rPr>
      </w:pPr>
      <w:r>
        <w:rPr>
          <w:lang w:val="en-US"/>
        </w:rPr>
        <w:t>File No.: 38870.</w:t>
      </w:r>
    </w:p>
    <w:p w14:paraId="0808DB55" w14:textId="77777777" w:rsidR="00A149DF" w:rsidRDefault="008C456E" w:rsidP="00B2580F">
      <w:pPr>
        <w:spacing w:after="720"/>
        <w:jc w:val="both"/>
      </w:pPr>
      <w:r>
        <w:t>2020</w:t>
      </w:r>
      <w:r w:rsidR="009A1817">
        <w:t>: November 6.</w:t>
      </w:r>
    </w:p>
    <w:p w14:paraId="56D31096" w14:textId="77777777" w:rsidR="009E047E" w:rsidRDefault="003B1D52" w:rsidP="00B2580F">
      <w:pPr>
        <w:spacing w:after="720"/>
        <w:jc w:val="both"/>
      </w:pPr>
      <w:r>
        <w:t xml:space="preserve">Present: </w:t>
      </w:r>
      <w:r w:rsidR="009A1817" w:rsidRPr="009A1817">
        <w:t xml:space="preserve">Wagner C.J. and Moldaver, Karakatsanis, </w:t>
      </w:r>
      <w:r w:rsidR="009B57B3" w:rsidRPr="009A1817">
        <w:t>Brown, Rowe</w:t>
      </w:r>
      <w:r w:rsidR="008C456E" w:rsidRPr="009A1817">
        <w:t>, Martin</w:t>
      </w:r>
      <w:r w:rsidR="009A1817" w:rsidRPr="009A1817">
        <w:t xml:space="preserve"> and </w:t>
      </w:r>
      <w:r w:rsidR="009B57B3" w:rsidRPr="009A1817">
        <w:t>Kasirer JJ.</w:t>
      </w:r>
    </w:p>
    <w:p w14:paraId="7A3039FB" w14:textId="77777777" w:rsidR="003A4C70" w:rsidRPr="001426A9" w:rsidRDefault="00656313" w:rsidP="00B2580F">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D51F3">
        <w:t xml:space="preserve">court of appeal </w:t>
      </w:r>
      <w:r w:rsidR="00760794">
        <w:t>for</w:t>
      </w:r>
      <w:r w:rsidR="004221DB">
        <w:t xml:space="preserve"> o</w:t>
      </w:r>
      <w:r w:rsidR="007706BD">
        <w:t>ntario</w:t>
      </w:r>
    </w:p>
    <w:p w14:paraId="272D5D2D" w14:textId="268EDAB5" w:rsidR="008C456E" w:rsidRPr="00583EDE" w:rsidRDefault="009B57B3" w:rsidP="008C456E">
      <w:pPr>
        <w:pStyle w:val="SCCNormalDoubleSpacing"/>
      </w:pPr>
      <w:r w:rsidRPr="00583EDE">
        <w:tab/>
      </w:r>
      <w:r w:rsidR="00ED1E21" w:rsidRPr="00BA77BF">
        <w:rPr>
          <w:i/>
        </w:rPr>
        <w:t xml:space="preserve">Criminal law — </w:t>
      </w:r>
      <w:r w:rsidR="00B76ACC">
        <w:rPr>
          <w:i/>
        </w:rPr>
        <w:t xml:space="preserve">Trial </w:t>
      </w:r>
      <w:r w:rsidR="00FE4F12">
        <w:rPr>
          <w:i/>
        </w:rPr>
        <w:t>—</w:t>
      </w:r>
      <w:r w:rsidR="000A2EAE">
        <w:rPr>
          <w:i/>
        </w:rPr>
        <w:t xml:space="preserve"> </w:t>
      </w:r>
      <w:r w:rsidR="00B76ACC">
        <w:rPr>
          <w:i/>
        </w:rPr>
        <w:t>Judgments — Reasons for judgment —</w:t>
      </w:r>
      <w:r w:rsidR="002A18CF">
        <w:rPr>
          <w:i/>
        </w:rPr>
        <w:t xml:space="preserve"> </w:t>
      </w:r>
      <w:r w:rsidR="00FE4F12">
        <w:rPr>
          <w:i/>
        </w:rPr>
        <w:t>Sufficiency of reasons</w:t>
      </w:r>
      <w:r w:rsidR="00ED1E21" w:rsidRPr="00BA77BF">
        <w:rPr>
          <w:i/>
        </w:rPr>
        <w:t xml:space="preserve"> — Evidence — Reliability and credibility — </w:t>
      </w:r>
      <w:r w:rsidR="00A637AF">
        <w:rPr>
          <w:i/>
        </w:rPr>
        <w:t xml:space="preserve">Witness with intellectual or developmental disability </w:t>
      </w:r>
      <w:r w:rsidR="00A637AF" w:rsidRPr="00BA77BF">
        <w:rPr>
          <w:i/>
        </w:rPr>
        <w:t>—</w:t>
      </w:r>
      <w:r w:rsidR="00A637AF">
        <w:rPr>
          <w:i/>
        </w:rPr>
        <w:t xml:space="preserve"> </w:t>
      </w:r>
      <w:r w:rsidR="00ED1E21" w:rsidRPr="00BA77BF">
        <w:rPr>
          <w:i/>
        </w:rPr>
        <w:t>Accused convicted at trial of sexual</w:t>
      </w:r>
      <w:r w:rsidR="00A637AF">
        <w:rPr>
          <w:i/>
        </w:rPr>
        <w:t>ly</w:t>
      </w:r>
      <w:r w:rsidR="00ED1E21" w:rsidRPr="00BA77BF">
        <w:rPr>
          <w:i/>
        </w:rPr>
        <w:t xml:space="preserve"> assault</w:t>
      </w:r>
      <w:r w:rsidR="00A637AF">
        <w:rPr>
          <w:i/>
        </w:rPr>
        <w:t>ing</w:t>
      </w:r>
      <w:r w:rsidR="00ED1E21" w:rsidRPr="00BA77BF">
        <w:rPr>
          <w:i/>
        </w:rPr>
        <w:t xml:space="preserve"> complainant </w:t>
      </w:r>
      <w:r w:rsidR="002F206B">
        <w:rPr>
          <w:i/>
        </w:rPr>
        <w:t>with</w:t>
      </w:r>
      <w:r w:rsidR="00ED1E21" w:rsidRPr="00BA77BF">
        <w:rPr>
          <w:i/>
        </w:rPr>
        <w:t xml:space="preserve"> intellectual </w:t>
      </w:r>
      <w:r w:rsidR="007D533C">
        <w:rPr>
          <w:i/>
        </w:rPr>
        <w:t xml:space="preserve">and developmental </w:t>
      </w:r>
      <w:r w:rsidR="00ED1E21" w:rsidRPr="00BA77BF">
        <w:rPr>
          <w:i/>
        </w:rPr>
        <w:t>disability</w:t>
      </w:r>
      <w:r w:rsidR="00FE4F12">
        <w:rPr>
          <w:i/>
        </w:rPr>
        <w:t xml:space="preserve"> </w:t>
      </w:r>
      <w:r w:rsidR="00ED1E21" w:rsidRPr="00BA77BF">
        <w:rPr>
          <w:i/>
        </w:rPr>
        <w:t xml:space="preserve">— Majority of Court of </w:t>
      </w:r>
      <w:r w:rsidR="00ED1E21" w:rsidRPr="00BA77BF">
        <w:rPr>
          <w:i/>
        </w:rPr>
        <w:lastRenderedPageBreak/>
        <w:t xml:space="preserve">Appeal holding </w:t>
      </w:r>
      <w:r w:rsidR="006E79D0">
        <w:rPr>
          <w:i/>
        </w:rPr>
        <w:t xml:space="preserve">that </w:t>
      </w:r>
      <w:r w:rsidR="00ED1E21" w:rsidRPr="00BA77BF">
        <w:rPr>
          <w:i/>
        </w:rPr>
        <w:t xml:space="preserve">trial judge’s </w:t>
      </w:r>
      <w:r w:rsidR="00ED1E21" w:rsidRPr="000A2EAE">
        <w:rPr>
          <w:i/>
        </w:rPr>
        <w:t xml:space="preserve">reasons were insufficient </w:t>
      </w:r>
      <w:r w:rsidR="002F206B" w:rsidRPr="000A2EAE">
        <w:rPr>
          <w:i/>
        </w:rPr>
        <w:t>because he failed</w:t>
      </w:r>
      <w:r w:rsidR="002F206B" w:rsidRPr="002F206B">
        <w:rPr>
          <w:i/>
        </w:rPr>
        <w:t xml:space="preserve"> to addres</w:t>
      </w:r>
      <w:r w:rsidR="002F206B">
        <w:rPr>
          <w:i/>
        </w:rPr>
        <w:t xml:space="preserve">s </w:t>
      </w:r>
      <w:r w:rsidR="00243905">
        <w:rPr>
          <w:i/>
        </w:rPr>
        <w:t>reliability of complainant’s evidence</w:t>
      </w:r>
      <w:r w:rsidR="00DF134E">
        <w:rPr>
          <w:i/>
        </w:rPr>
        <w:t xml:space="preserve"> in view of expert evidence as to her suggestibility </w:t>
      </w:r>
      <w:r w:rsidR="002F206B" w:rsidRPr="002F206B">
        <w:rPr>
          <w:i/>
        </w:rPr>
        <w:t xml:space="preserve">and failed to provide reasons for rejecting defence evidence </w:t>
      </w:r>
      <w:r w:rsidR="00ED1E21" w:rsidRPr="00BA77BF">
        <w:rPr>
          <w:i/>
        </w:rPr>
        <w:t>— Majority of Court of Appeal setting aside co</w:t>
      </w:r>
      <w:r w:rsidR="002F206B">
        <w:rPr>
          <w:i/>
        </w:rPr>
        <w:t>nviction and ordering new trial</w:t>
      </w:r>
      <w:r w:rsidR="00ED1E21" w:rsidRPr="00BA77BF">
        <w:rPr>
          <w:i/>
        </w:rPr>
        <w:t xml:space="preserve"> — Dissenting judge holding that trial judge’s </w:t>
      </w:r>
      <w:r w:rsidR="006E79D0">
        <w:rPr>
          <w:i/>
        </w:rPr>
        <w:t xml:space="preserve">reasons allowed for meaningful appellate review </w:t>
      </w:r>
      <w:r w:rsidR="00856167">
        <w:rPr>
          <w:i/>
        </w:rPr>
        <w:t xml:space="preserve">on basis that </w:t>
      </w:r>
      <w:r w:rsidR="002A18CF">
        <w:rPr>
          <w:i/>
        </w:rPr>
        <w:t>they</w:t>
      </w:r>
      <w:r w:rsidR="00856167">
        <w:rPr>
          <w:i/>
        </w:rPr>
        <w:t xml:space="preserve"> adequately addressed complainant’s reliability and that his rejection of defence evidence was implicit in his reasoned acceptance of complainant’s evidence </w:t>
      </w:r>
      <w:r w:rsidR="00ED1E21" w:rsidRPr="00BA77BF">
        <w:rPr>
          <w:i/>
        </w:rPr>
        <w:t>— Conviction restored</w:t>
      </w:r>
      <w:r w:rsidR="00ED1E21">
        <w:t xml:space="preserve">. </w:t>
      </w:r>
    </w:p>
    <w:p w14:paraId="125C5F18" w14:textId="77777777" w:rsidR="008322BD" w:rsidRPr="008C456E" w:rsidRDefault="008322BD" w:rsidP="00FC4EFB">
      <w:pPr>
        <w:pStyle w:val="SCCNormalDoubleSpacing"/>
      </w:pPr>
    </w:p>
    <w:p w14:paraId="7CB8C3BA" w14:textId="77777777" w:rsidR="00DE4766" w:rsidRPr="00DE4766" w:rsidRDefault="00760794" w:rsidP="00DE4766">
      <w:pPr>
        <w:pStyle w:val="SCCNormalDoubleSpacing"/>
        <w:rPr>
          <w:lang w:val="en-US"/>
        </w:rPr>
      </w:pPr>
      <w:r>
        <w:tab/>
      </w:r>
      <w:r w:rsidR="009B57B3" w:rsidRPr="00ED6A7F">
        <w:t xml:space="preserve">APPEAL from a judgment of the </w:t>
      </w:r>
      <w:r w:rsidR="00ED6A7F">
        <w:t>Ontario</w:t>
      </w:r>
      <w:r w:rsidR="009B57B3" w:rsidRPr="00ED6A7F">
        <w:t xml:space="preserve"> </w:t>
      </w:r>
      <w:r w:rsidRPr="00ED6A7F">
        <w:t xml:space="preserve">Court of </w:t>
      </w:r>
      <w:r w:rsidR="00AC22E6" w:rsidRPr="00ED6A7F">
        <w:t>Appeal</w:t>
      </w:r>
      <w:r w:rsidR="00ED6A7F">
        <w:t xml:space="preserve"> (Doherty, Pepall and Trotter JJ.A.)</w:t>
      </w:r>
      <w:r w:rsidR="00610AB9">
        <w:t xml:space="preserve">, 2019 ONCA 807, 148 O.R. (3d) 81, </w:t>
      </w:r>
      <w:r w:rsidR="00AD15F8">
        <w:t xml:space="preserve">452 D.L.R. (4th) 4, </w:t>
      </w:r>
      <w:r w:rsidR="00610AB9">
        <w:t>58 C.R. (7th) 18, 382 C.C.C. (3d) 245, [2019]</w:t>
      </w:r>
      <w:r w:rsidR="00D17A0E">
        <w:t xml:space="preserve"> O.J. No. </w:t>
      </w:r>
      <w:r w:rsidR="00610AB9">
        <w:t xml:space="preserve">5073 (QL), </w:t>
      </w:r>
      <w:r w:rsidR="001C2458">
        <w:t>2019 CarswellOnt 16055 (WL Can</w:t>
      </w:r>
      <w:r w:rsidR="001C2458" w:rsidRPr="0015714C">
        <w:t>.), setting aside the convictio</w:t>
      </w:r>
      <w:r w:rsidR="00AC517E" w:rsidRPr="0015714C">
        <w:t>n</w:t>
      </w:r>
      <w:r w:rsidR="00D17A0E" w:rsidRPr="0015714C">
        <w:t xml:space="preserve"> of the accused</w:t>
      </w:r>
      <w:r w:rsidR="00AC517E" w:rsidRPr="0015714C">
        <w:t xml:space="preserve"> for sexual assault and ordering a new trial. Appeal allowed.</w:t>
      </w:r>
    </w:p>
    <w:p w14:paraId="5739B69F" w14:textId="77777777" w:rsidR="00656313" w:rsidRDefault="00656313" w:rsidP="00FC4EFB">
      <w:pPr>
        <w:pStyle w:val="SCCNormalDoubleSpacing"/>
      </w:pPr>
    </w:p>
    <w:p w14:paraId="5C1FDBEF" w14:textId="77777777" w:rsidR="001A1069" w:rsidRPr="001A1069" w:rsidRDefault="001A1069" w:rsidP="00FC4EFB">
      <w:pPr>
        <w:pStyle w:val="SCCNormalDoubleSpacing"/>
        <w:rPr>
          <w:lang w:val="en-US"/>
        </w:rPr>
      </w:pPr>
      <w:r>
        <w:tab/>
      </w:r>
      <w:r w:rsidR="00C83182">
        <w:rPr>
          <w:i/>
          <w:lang w:val="en-US"/>
        </w:rPr>
        <w:t xml:space="preserve">Jamie Klukach </w:t>
      </w:r>
      <w:r w:rsidR="00C83182">
        <w:rPr>
          <w:lang w:val="en-US"/>
        </w:rPr>
        <w:t xml:space="preserve">and </w:t>
      </w:r>
      <w:r w:rsidR="00C83182">
        <w:rPr>
          <w:rStyle w:val="SCCCounselNameChar"/>
        </w:rPr>
        <w:t>Caitlin Sharawy</w:t>
      </w:r>
      <w:r w:rsidRPr="001A1069">
        <w:rPr>
          <w:lang w:val="en-US"/>
        </w:rPr>
        <w:t>, for the appellant</w:t>
      </w:r>
      <w:r>
        <w:rPr>
          <w:lang w:val="en-US"/>
        </w:rPr>
        <w:t>.</w:t>
      </w:r>
    </w:p>
    <w:p w14:paraId="4D45486C" w14:textId="77777777" w:rsidR="009E047E" w:rsidRDefault="009E047E">
      <w:pPr>
        <w:pStyle w:val="SCCNormalDoubleSpacing"/>
      </w:pPr>
    </w:p>
    <w:p w14:paraId="75F846F3" w14:textId="77777777" w:rsidR="005437B2" w:rsidRDefault="004F7750" w:rsidP="00AB1AA6">
      <w:pPr>
        <w:pStyle w:val="SCCNormalDoubleSpacing"/>
        <w:rPr>
          <w:rStyle w:val="SCCCounselPartyRoleChar"/>
        </w:rPr>
      </w:pPr>
      <w:r>
        <w:rPr>
          <w:rStyle w:val="SCCCounselNameChar"/>
        </w:rPr>
        <w:tab/>
      </w:r>
      <w:r w:rsidR="00C83182">
        <w:rPr>
          <w:rStyle w:val="SCCCounselNameChar"/>
        </w:rPr>
        <w:t>Robert J. Reynolds</w:t>
      </w:r>
      <w:r w:rsidR="00C83182">
        <w:rPr>
          <w:rStyle w:val="SCCCounselSeparatorChar"/>
        </w:rPr>
        <w:t xml:space="preserve"> and </w:t>
      </w:r>
      <w:r w:rsidR="00C83182">
        <w:rPr>
          <w:rStyle w:val="SCCCounselNameChar"/>
        </w:rPr>
        <w:t>Mike Pretsell</w:t>
      </w:r>
      <w:r w:rsidR="001A1069" w:rsidRPr="00C83182">
        <w:rPr>
          <w:rStyle w:val="SCCCounselPartyRoleChar"/>
        </w:rPr>
        <w:t xml:space="preserve">, </w:t>
      </w:r>
      <w:r w:rsidRPr="00C83182">
        <w:rPr>
          <w:rStyle w:val="SCCCounselPartyRoleChar"/>
        </w:rPr>
        <w:t>for the</w:t>
      </w:r>
      <w:r>
        <w:rPr>
          <w:rStyle w:val="SCCCounselPartyRoleChar"/>
        </w:rPr>
        <w:t xml:space="preserve"> </w:t>
      </w:r>
      <w:r w:rsidRPr="00AC22E6">
        <w:rPr>
          <w:rStyle w:val="SCCCounselPartyRoleChar"/>
        </w:rPr>
        <w:t>respondent</w:t>
      </w:r>
      <w:r>
        <w:rPr>
          <w:rStyle w:val="SCCCounselPartyRoleChar"/>
        </w:rPr>
        <w:t>.</w:t>
      </w:r>
    </w:p>
    <w:p w14:paraId="50C6D1CF" w14:textId="77777777" w:rsidR="00AB1AA6" w:rsidRDefault="00AB1AA6" w:rsidP="00AB1AA6">
      <w:pPr>
        <w:pStyle w:val="SCCNormalDoubleSpacing"/>
        <w:rPr>
          <w:rStyle w:val="SCCCounselPartyRoleChar"/>
        </w:rPr>
      </w:pPr>
    </w:p>
    <w:p w14:paraId="766BE403" w14:textId="77777777" w:rsidR="00AC22E6" w:rsidRDefault="00AC22E6" w:rsidP="00AB1AA6">
      <w:pPr>
        <w:pStyle w:val="SCCNormalDoubleSpacing"/>
        <w:rPr>
          <w:rStyle w:val="SCCCounselPartyRoleChar"/>
        </w:rPr>
      </w:pPr>
      <w:r>
        <w:rPr>
          <w:rStyle w:val="SCCCounselNameChar"/>
        </w:rPr>
        <w:tab/>
      </w:r>
      <w:r w:rsidR="00C83182">
        <w:rPr>
          <w:rStyle w:val="SCCCounselNameChar"/>
        </w:rPr>
        <w:t>Janine Benedet</w:t>
      </w:r>
      <w:r w:rsidRPr="00C83182">
        <w:rPr>
          <w:rStyle w:val="SCCCounselPartyRoleChar"/>
        </w:rPr>
        <w:t>, for</w:t>
      </w:r>
      <w:r w:rsidR="00C83182">
        <w:rPr>
          <w:rStyle w:val="SCCCounselPartyRoleChar"/>
        </w:rPr>
        <w:t xml:space="preserve"> the intervener Inclusion Canada (previously known as Canadian Association for Community Living)</w:t>
      </w:r>
      <w:r>
        <w:rPr>
          <w:rStyle w:val="SCCCounselPartyRoleChar"/>
        </w:rPr>
        <w:t>.</w:t>
      </w:r>
    </w:p>
    <w:p w14:paraId="241743EC" w14:textId="77777777" w:rsidR="00C83182" w:rsidRDefault="00C83182" w:rsidP="00AB1AA6">
      <w:pPr>
        <w:pStyle w:val="SCCNormalDoubleSpacing"/>
        <w:rPr>
          <w:rStyle w:val="SCCCounselPartyRoleChar"/>
        </w:rPr>
      </w:pPr>
    </w:p>
    <w:p w14:paraId="2B957FE4" w14:textId="77777777" w:rsidR="00C83182" w:rsidRDefault="00C83182" w:rsidP="00AB1AA6">
      <w:pPr>
        <w:pStyle w:val="SCCNormalDoubleSpacing"/>
        <w:rPr>
          <w:rStyle w:val="SCCCounselPartyRoleChar"/>
        </w:rPr>
      </w:pPr>
      <w:r>
        <w:rPr>
          <w:rStyle w:val="SCCCounselPartyRoleChar"/>
        </w:rPr>
        <w:tab/>
      </w:r>
      <w:r>
        <w:rPr>
          <w:rStyle w:val="SCCCounselNameChar"/>
        </w:rPr>
        <w:t>Suzan E. Fraser</w:t>
      </w:r>
      <w:r>
        <w:rPr>
          <w:rStyle w:val="SCCCounselPartyRoleChar"/>
        </w:rPr>
        <w:t>, for the interveners Women</w:t>
      </w:r>
      <w:r w:rsidR="006B3EB9">
        <w:rPr>
          <w:rStyle w:val="SCCCounselPartyRoleChar"/>
        </w:rPr>
        <w:t>’</w:t>
      </w:r>
      <w:r>
        <w:rPr>
          <w:rStyle w:val="SCCCounselPartyRoleChar"/>
        </w:rPr>
        <w:t>s Legal Education and Action Fund Inc., DisAbled Women</w:t>
      </w:r>
      <w:r w:rsidR="006B3EB9">
        <w:rPr>
          <w:rStyle w:val="SCCCounselPartyRoleChar"/>
        </w:rPr>
        <w:t>’</w:t>
      </w:r>
      <w:r>
        <w:rPr>
          <w:rStyle w:val="SCCCounselPartyRoleChar"/>
        </w:rPr>
        <w:t>s Network Canada and ARCH Disability Law Centre.</w:t>
      </w:r>
    </w:p>
    <w:p w14:paraId="2158086D" w14:textId="77777777" w:rsidR="00C83182" w:rsidRDefault="00C83182" w:rsidP="00AB1AA6">
      <w:pPr>
        <w:pStyle w:val="SCCNormalDoubleSpacing"/>
        <w:rPr>
          <w:rStyle w:val="SCCCounselPartyRoleChar"/>
        </w:rPr>
      </w:pPr>
    </w:p>
    <w:p w14:paraId="4947F2B9" w14:textId="77777777" w:rsidR="00C83182" w:rsidRDefault="00C83182" w:rsidP="00AB1AA6">
      <w:pPr>
        <w:pStyle w:val="SCCNormalDoubleSpacing"/>
      </w:pPr>
      <w:r>
        <w:rPr>
          <w:rStyle w:val="SCCCounselPartyRoleChar"/>
        </w:rPr>
        <w:lastRenderedPageBreak/>
        <w:tab/>
      </w:r>
      <w:r w:rsidRPr="00C83182">
        <w:rPr>
          <w:i/>
        </w:rPr>
        <w:t>Deepa Mattoo</w:t>
      </w:r>
      <w:r>
        <w:t>,</w:t>
      </w:r>
      <w:r w:rsidRPr="00C83182">
        <w:t xml:space="preserve"> for the intervener Barbra Schlifer Commemorative Clinic.</w:t>
      </w:r>
    </w:p>
    <w:p w14:paraId="683774BA" w14:textId="77777777" w:rsidR="00C83182" w:rsidRDefault="00C83182" w:rsidP="00AB1AA6">
      <w:pPr>
        <w:pStyle w:val="SCCNormalDoubleSpacing"/>
      </w:pPr>
    </w:p>
    <w:p w14:paraId="3285F563" w14:textId="77777777" w:rsidR="00C83182" w:rsidRDefault="00C83182" w:rsidP="00AB1AA6">
      <w:pPr>
        <w:pStyle w:val="SCCNormalDoubleSpacing"/>
        <w:rPr>
          <w:rStyle w:val="SCCCounselPartyRoleChar"/>
        </w:rPr>
      </w:pPr>
      <w:r>
        <w:rPr>
          <w:rStyle w:val="SCCCounselPartyRoleChar"/>
        </w:rPr>
        <w:tab/>
      </w:r>
      <w:r w:rsidRPr="00C83182">
        <w:rPr>
          <w:i/>
        </w:rPr>
        <w:t>Matthew R. Gourlay</w:t>
      </w:r>
      <w:r w:rsidRPr="00C83182">
        <w:t>, for the intervener Criminal Lawyers</w:t>
      </w:r>
      <w:r w:rsidR="006B3EB9">
        <w:t>’</w:t>
      </w:r>
      <w:r w:rsidRPr="00C83182">
        <w:t xml:space="preserve"> Association of Ontario.</w:t>
      </w:r>
    </w:p>
    <w:p w14:paraId="70B3D789" w14:textId="77777777" w:rsidR="00A21679" w:rsidRPr="00FE4F12" w:rsidRDefault="00AB1AA6" w:rsidP="0009079C">
      <w:pPr>
        <w:pStyle w:val="SCCNormalDoubleSpacing"/>
        <w:spacing w:before="480" w:after="480"/>
        <w:rPr>
          <w:lang w:val="en-US"/>
        </w:rPr>
      </w:pPr>
      <w:r w:rsidRPr="00BA77BF">
        <w:rPr>
          <w:lang w:val="en-US"/>
        </w:rPr>
        <w:tab/>
      </w:r>
      <w:r w:rsidRPr="00FE4F12">
        <w:rPr>
          <w:lang w:val="en-US"/>
        </w:rPr>
        <w:t>The judgment of the Court w</w:t>
      </w:r>
      <w:r w:rsidR="00D01FE7" w:rsidRPr="00FE4F12">
        <w:rPr>
          <w:lang w:val="en-US"/>
        </w:rPr>
        <w:t>as</w:t>
      </w:r>
      <w:r w:rsidRPr="00FE4F12">
        <w:rPr>
          <w:lang w:val="en-US"/>
        </w:rPr>
        <w:t xml:space="preserve"> delivered orally by</w:t>
      </w:r>
    </w:p>
    <w:p w14:paraId="3E608680" w14:textId="5638E3FF" w:rsidR="00454E49" w:rsidRPr="0009079C" w:rsidRDefault="00454E49" w:rsidP="0009079C">
      <w:pPr>
        <w:pStyle w:val="SCCNormalDoubleSpacing"/>
        <w:spacing w:before="480" w:after="480"/>
        <w:rPr>
          <w:lang w:val="en-US"/>
        </w:rPr>
      </w:pPr>
      <w:r w:rsidRPr="0009079C">
        <w:rPr>
          <w:lang w:val="en-US"/>
        </w:rPr>
        <w:t>[</w:t>
      </w:r>
      <w:r w:rsidR="00FD05F4">
        <w:rPr>
          <w:lang w:val="en-US"/>
        </w:rPr>
        <w:t>1]</w:t>
      </w:r>
      <w:r w:rsidR="00FD05F4">
        <w:rPr>
          <w:lang w:val="en-US"/>
        </w:rPr>
        <w:tab/>
      </w:r>
      <w:r w:rsidRPr="00FD05F4">
        <w:rPr>
          <w:smallCaps/>
          <w:lang w:val="en-US"/>
        </w:rPr>
        <w:t>Moldaver J</w:t>
      </w:r>
      <w:r w:rsidRPr="0009079C">
        <w:rPr>
          <w:lang w:val="en-US"/>
        </w:rPr>
        <w:t>. — We are all of the view that the appeal must be allowed, for the reasons of Justice Pepall, with which we agree.</w:t>
      </w:r>
    </w:p>
    <w:p w14:paraId="1814AD5A" w14:textId="1F1F5293" w:rsidR="00AC22E6" w:rsidRPr="00D75B0B" w:rsidRDefault="00454E49" w:rsidP="00D75B0B">
      <w:pPr>
        <w:pStyle w:val="SCCNormalDoubleSpacing"/>
        <w:spacing w:before="480" w:after="480"/>
        <w:rPr>
          <w:lang w:val="en-US"/>
        </w:rPr>
      </w:pPr>
      <w:r w:rsidRPr="00D75B0B">
        <w:rPr>
          <w:lang w:val="en-US"/>
        </w:rPr>
        <w:t>[</w:t>
      </w:r>
      <w:r w:rsidR="00FD05F4" w:rsidRPr="00D75B0B">
        <w:rPr>
          <w:lang w:val="en-US"/>
        </w:rPr>
        <w:t>2]</w:t>
      </w:r>
      <w:r w:rsidR="00FD05F4" w:rsidRPr="00FD05F4">
        <w:rPr>
          <w:lang w:val="en-US"/>
        </w:rPr>
        <w:tab/>
      </w:r>
      <w:r w:rsidRPr="00D75B0B">
        <w:rPr>
          <w:lang w:val="en-US"/>
        </w:rPr>
        <w:t>We would simply underline that when assessing the credibility and reliability of testimony given by an individual who has an intellectual or developmental disability, courts should be wary of preferring expert evidence that attributes general characteristics to that individual, rather than focusing on the individual’s veracity and their actual capacities as demonstrated by their ability to perceive, recall and recount the events in issue, in light of the totality of the evidence. Over-reliance on generalities can perpetuate harmful myths and stereotypes about individuals with disabilities, which is inimical to the truth-seeking process, and creates additional barriers for those seeking access to justice.</w:t>
      </w:r>
    </w:p>
    <w:p w14:paraId="159D4F4E" w14:textId="581CD648" w:rsidR="00454E49" w:rsidRDefault="00454E49" w:rsidP="00380A0F">
      <w:pPr>
        <w:pStyle w:val="SCCNormalDoubleSpacing"/>
        <w:rPr>
          <w:color w:val="000000"/>
        </w:rPr>
      </w:pPr>
      <w:r>
        <w:rPr>
          <w:lang w:val="en-US"/>
        </w:rPr>
        <w:t>[3]</w:t>
      </w:r>
      <w:r w:rsidR="00FD05F4">
        <w:rPr>
          <w:lang w:val="en-US"/>
        </w:rPr>
        <w:tab/>
      </w:r>
      <w:r>
        <w:rPr>
          <w:color w:val="000000"/>
        </w:rPr>
        <w:t>Accordingly, we would allow the appeal and restore the conviction.</w:t>
      </w:r>
    </w:p>
    <w:p w14:paraId="4EF82B0B" w14:textId="77777777" w:rsidR="0009079C" w:rsidRDefault="0009079C" w:rsidP="00380A0F">
      <w:pPr>
        <w:pStyle w:val="SCCNormalDoubleSpacing"/>
        <w:rPr>
          <w:smallCaps/>
        </w:rPr>
      </w:pPr>
    </w:p>
    <w:p w14:paraId="21981852" w14:textId="77777777" w:rsidR="009B57B3" w:rsidRDefault="009B57B3" w:rsidP="00FC4EFB">
      <w:pPr>
        <w:pStyle w:val="SCCNormalDoubleSpacing"/>
      </w:pPr>
      <w:r w:rsidRPr="001426A9">
        <w:tab/>
      </w:r>
      <w:r w:rsidR="00C57765" w:rsidRPr="00F45727">
        <w:rPr>
          <w:i/>
        </w:rPr>
        <w:t>Judgment</w:t>
      </w:r>
      <w:r w:rsidR="00492A14" w:rsidRPr="00F45727">
        <w:rPr>
          <w:i/>
        </w:rPr>
        <w:t xml:space="preserve"> accordingly</w:t>
      </w:r>
      <w:r w:rsidR="008542B1">
        <w:rPr>
          <w:i/>
        </w:rPr>
        <w:t>.</w:t>
      </w:r>
    </w:p>
    <w:p w14:paraId="62E9B4AA" w14:textId="77777777" w:rsidR="00C43B1A" w:rsidRDefault="00C43B1A" w:rsidP="00FC4EFB">
      <w:pPr>
        <w:pStyle w:val="SCCNormalDoubleSpacing"/>
      </w:pPr>
    </w:p>
    <w:p w14:paraId="3AC4C469" w14:textId="77777777" w:rsidR="005C7222" w:rsidRPr="00AC22E6" w:rsidRDefault="005C7222" w:rsidP="00FC4EFB">
      <w:pPr>
        <w:pStyle w:val="SCCNormalDoubleSpacing"/>
        <w:rPr>
          <w:i/>
        </w:rPr>
      </w:pPr>
      <w:r>
        <w:tab/>
      </w:r>
      <w:r w:rsidRPr="005C7222">
        <w:rPr>
          <w:i/>
        </w:rPr>
        <w:t>Solicitor</w:t>
      </w:r>
      <w:r w:rsidR="00726C83">
        <w:rPr>
          <w:i/>
        </w:rPr>
        <w:t xml:space="preserve"> for the appellant: </w:t>
      </w:r>
      <w:r w:rsidR="00726C83" w:rsidRPr="00726C83">
        <w:rPr>
          <w:i/>
        </w:rPr>
        <w:t>Attorney General of Ontario, Toronto.</w:t>
      </w:r>
    </w:p>
    <w:p w14:paraId="29AFC424" w14:textId="77777777" w:rsidR="009E047E" w:rsidRDefault="009E047E">
      <w:pPr>
        <w:pStyle w:val="SCCLawFirm"/>
      </w:pPr>
    </w:p>
    <w:p w14:paraId="5704644E" w14:textId="0A71920E" w:rsidR="007B56C6" w:rsidRDefault="00492A14" w:rsidP="00B2580F">
      <w:pPr>
        <w:pStyle w:val="SCCLawFirm"/>
      </w:pPr>
      <w:r>
        <w:lastRenderedPageBreak/>
        <w:tab/>
      </w:r>
      <w:r w:rsidRPr="00726C83">
        <w:t>Solicitor</w:t>
      </w:r>
      <w:r w:rsidR="00726C83">
        <w:t>s</w:t>
      </w:r>
      <w:r w:rsidR="00122FE6">
        <w:t xml:space="preserve"> for </w:t>
      </w:r>
      <w:r w:rsidR="00122FE6" w:rsidRPr="00572EBD">
        <w:t xml:space="preserve">the respondent: </w:t>
      </w:r>
      <w:r w:rsidR="00BB5C10">
        <w:t>Reynolds O</w:t>
      </w:r>
      <w:r w:rsidR="006B3EB9">
        <w:t>’</w:t>
      </w:r>
      <w:r w:rsidR="00BB5C10">
        <w:t>Brien</w:t>
      </w:r>
      <w:r w:rsidR="00726C83">
        <w:t>, Belleville</w:t>
      </w:r>
      <w:r w:rsidR="008F6016">
        <w:t>; Pretsell, Davies, Thompson, Benton, Belleville</w:t>
      </w:r>
      <w:r w:rsidR="00726C83">
        <w:t>.</w:t>
      </w:r>
    </w:p>
    <w:p w14:paraId="5E88EC43" w14:textId="77777777" w:rsidR="00AC22E6" w:rsidRDefault="00AC22E6" w:rsidP="00AC22E6">
      <w:pPr>
        <w:pStyle w:val="SCCNormalDoubleSpacing"/>
      </w:pPr>
    </w:p>
    <w:p w14:paraId="45DC9DB5" w14:textId="77777777" w:rsidR="00AC22E6" w:rsidRDefault="00726C83" w:rsidP="00AC22E6">
      <w:pPr>
        <w:pStyle w:val="SCCLawFirm"/>
      </w:pPr>
      <w:r>
        <w:tab/>
        <w:t>Solicitor</w:t>
      </w:r>
      <w:r w:rsidR="00AC22E6">
        <w:t xml:space="preserve"> for </w:t>
      </w:r>
      <w:r w:rsidR="00AC22E6" w:rsidRPr="00572EBD">
        <w:t xml:space="preserve">the </w:t>
      </w:r>
      <w:r>
        <w:t xml:space="preserve">intervener </w:t>
      </w:r>
      <w:r w:rsidRPr="00726C83">
        <w:t>Inclusion Canada (previously known as Canadian Association for Community Living):  University of British Columbia, Vancouver.</w:t>
      </w:r>
    </w:p>
    <w:p w14:paraId="3B9AFAA7" w14:textId="77777777" w:rsidR="00726C83" w:rsidRDefault="00726C83" w:rsidP="00726C83">
      <w:pPr>
        <w:pStyle w:val="SCCNormalDoubleSpacing"/>
      </w:pPr>
    </w:p>
    <w:p w14:paraId="438EA099" w14:textId="77777777" w:rsidR="00726C83" w:rsidRPr="00726C83" w:rsidRDefault="00726C83" w:rsidP="00726C83">
      <w:pPr>
        <w:pStyle w:val="SCCNormalDoubleSpacing"/>
        <w:rPr>
          <w:i/>
        </w:rPr>
      </w:pPr>
      <w:r>
        <w:tab/>
      </w:r>
      <w:r w:rsidRPr="00726C83">
        <w:rPr>
          <w:i/>
        </w:rPr>
        <w:t>Solicitor</w:t>
      </w:r>
      <w:r>
        <w:rPr>
          <w:i/>
        </w:rPr>
        <w:t>s</w:t>
      </w:r>
      <w:r w:rsidRPr="00726C83">
        <w:rPr>
          <w:i/>
        </w:rPr>
        <w:t xml:space="preserve"> for the intervener</w:t>
      </w:r>
      <w:r>
        <w:rPr>
          <w:i/>
        </w:rPr>
        <w:t>s</w:t>
      </w:r>
      <w:r w:rsidRPr="00726C83">
        <w:rPr>
          <w:i/>
        </w:rPr>
        <w:t xml:space="preserve"> Women</w:t>
      </w:r>
      <w:r w:rsidR="006B3EB9">
        <w:rPr>
          <w:i/>
        </w:rPr>
        <w:t>’</w:t>
      </w:r>
      <w:r w:rsidRPr="00726C83">
        <w:rPr>
          <w:i/>
        </w:rPr>
        <w:t>s Legal Education and Action Fund Inc., DisAbled Women</w:t>
      </w:r>
      <w:r w:rsidR="006B3EB9">
        <w:rPr>
          <w:i/>
        </w:rPr>
        <w:t>’</w:t>
      </w:r>
      <w:r w:rsidRPr="00726C83">
        <w:rPr>
          <w:i/>
        </w:rPr>
        <w:t>s Network C</w:t>
      </w:r>
      <w:r>
        <w:rPr>
          <w:i/>
        </w:rPr>
        <w:t>anada and</w:t>
      </w:r>
      <w:r w:rsidRPr="00726C83">
        <w:rPr>
          <w:i/>
        </w:rPr>
        <w:t xml:space="preserve"> ARCH Disability Law Centre:  Fraser Advocacy, Toronto.</w:t>
      </w:r>
    </w:p>
    <w:p w14:paraId="51B3F5CE" w14:textId="77777777" w:rsidR="00AC22E6" w:rsidRDefault="00AC22E6" w:rsidP="00AC22E6">
      <w:pPr>
        <w:pStyle w:val="SCCNormalDoubleSpacing"/>
      </w:pPr>
    </w:p>
    <w:p w14:paraId="7FE9D312" w14:textId="77777777" w:rsidR="00726C83" w:rsidRDefault="00726C83" w:rsidP="00AC22E6">
      <w:pPr>
        <w:pStyle w:val="SCCNormalDoubleSpacing"/>
        <w:rPr>
          <w:i/>
        </w:rPr>
      </w:pPr>
      <w:r>
        <w:tab/>
      </w:r>
      <w:r>
        <w:rPr>
          <w:i/>
        </w:rPr>
        <w:t>Solicitor</w:t>
      </w:r>
      <w:r w:rsidRPr="00726C83">
        <w:rPr>
          <w:i/>
        </w:rPr>
        <w:t xml:space="preserve"> for the intervener Barbra Schlifer Commemorative Clinic:  Barbra Schlifer Commemorative Clinic, Toronto.</w:t>
      </w:r>
    </w:p>
    <w:p w14:paraId="485367AE" w14:textId="77777777" w:rsidR="00726C83" w:rsidRDefault="00726C83" w:rsidP="00AC22E6">
      <w:pPr>
        <w:pStyle w:val="SCCNormalDoubleSpacing"/>
        <w:rPr>
          <w:i/>
        </w:rPr>
      </w:pPr>
    </w:p>
    <w:p w14:paraId="42BD47B7" w14:textId="77777777" w:rsidR="00726C83" w:rsidRPr="00726C83" w:rsidRDefault="00726C83" w:rsidP="00AC22E6">
      <w:pPr>
        <w:pStyle w:val="SCCNormalDoubleSpacing"/>
        <w:rPr>
          <w:i/>
        </w:rPr>
      </w:pPr>
      <w:r>
        <w:rPr>
          <w:i/>
        </w:rPr>
        <w:tab/>
        <w:t>Solicitors</w:t>
      </w:r>
      <w:r w:rsidRPr="00726C83">
        <w:rPr>
          <w:i/>
        </w:rPr>
        <w:t xml:space="preserve"> for the intervener Criminal Lawyers</w:t>
      </w:r>
      <w:r w:rsidR="006B3EB9">
        <w:rPr>
          <w:i/>
        </w:rPr>
        <w:t>’</w:t>
      </w:r>
      <w:r w:rsidRPr="00726C83">
        <w:rPr>
          <w:i/>
        </w:rPr>
        <w:t xml:space="preserve"> Association of Ontario</w:t>
      </w:r>
      <w:r>
        <w:rPr>
          <w:i/>
        </w:rPr>
        <w:t>:  Henein Hutchison</w:t>
      </w:r>
      <w:r w:rsidRPr="00726C83">
        <w:rPr>
          <w:i/>
        </w:rPr>
        <w:t>, Toronto.</w:t>
      </w:r>
    </w:p>
    <w:sectPr w:rsidR="00726C83" w:rsidRPr="00726C8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3C033" w14:textId="77777777" w:rsidR="00CC3831" w:rsidRDefault="00CC3831">
      <w:r>
        <w:separator/>
      </w:r>
    </w:p>
  </w:endnote>
  <w:endnote w:type="continuationSeparator" w:id="0">
    <w:p w14:paraId="5549A499" w14:textId="77777777" w:rsidR="00CC3831" w:rsidRDefault="00CC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8136E" w14:textId="77777777" w:rsidR="00CC3831" w:rsidRDefault="00CC3831">
      <w:r>
        <w:separator/>
      </w:r>
    </w:p>
  </w:footnote>
  <w:footnote w:type="continuationSeparator" w:id="0">
    <w:p w14:paraId="6944A3E8" w14:textId="77777777" w:rsidR="00CC3831" w:rsidRDefault="00CC3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75172"/>
    <w:rsid w:val="00080A68"/>
    <w:rsid w:val="000870AB"/>
    <w:rsid w:val="0009079C"/>
    <w:rsid w:val="000A2EAE"/>
    <w:rsid w:val="000C59B8"/>
    <w:rsid w:val="000C6AF0"/>
    <w:rsid w:val="000E29DE"/>
    <w:rsid w:val="000E3A57"/>
    <w:rsid w:val="000F6551"/>
    <w:rsid w:val="00104F33"/>
    <w:rsid w:val="0011152E"/>
    <w:rsid w:val="00111DE2"/>
    <w:rsid w:val="00116B38"/>
    <w:rsid w:val="00122FE6"/>
    <w:rsid w:val="00133B7D"/>
    <w:rsid w:val="00135406"/>
    <w:rsid w:val="00135972"/>
    <w:rsid w:val="001426A9"/>
    <w:rsid w:val="00154D7C"/>
    <w:rsid w:val="001570B0"/>
    <w:rsid w:val="0015714C"/>
    <w:rsid w:val="0015752C"/>
    <w:rsid w:val="00157737"/>
    <w:rsid w:val="00165277"/>
    <w:rsid w:val="00170592"/>
    <w:rsid w:val="001833C1"/>
    <w:rsid w:val="00186351"/>
    <w:rsid w:val="00195D83"/>
    <w:rsid w:val="00195E61"/>
    <w:rsid w:val="001A00C1"/>
    <w:rsid w:val="001A1069"/>
    <w:rsid w:val="001B33E0"/>
    <w:rsid w:val="001B4573"/>
    <w:rsid w:val="001C2458"/>
    <w:rsid w:val="001C779F"/>
    <w:rsid w:val="001D2AC1"/>
    <w:rsid w:val="001D4E88"/>
    <w:rsid w:val="001E4E02"/>
    <w:rsid w:val="00220FC2"/>
    <w:rsid w:val="002222F4"/>
    <w:rsid w:val="00224FC0"/>
    <w:rsid w:val="00225EA4"/>
    <w:rsid w:val="00226EAF"/>
    <w:rsid w:val="00231F3A"/>
    <w:rsid w:val="00234199"/>
    <w:rsid w:val="00235700"/>
    <w:rsid w:val="00237348"/>
    <w:rsid w:val="002406EE"/>
    <w:rsid w:val="00243905"/>
    <w:rsid w:val="00243EC8"/>
    <w:rsid w:val="002642CF"/>
    <w:rsid w:val="00270D93"/>
    <w:rsid w:val="002745CC"/>
    <w:rsid w:val="00287FCE"/>
    <w:rsid w:val="00294A7C"/>
    <w:rsid w:val="002A18CF"/>
    <w:rsid w:val="002B2A63"/>
    <w:rsid w:val="002B7924"/>
    <w:rsid w:val="002D28C3"/>
    <w:rsid w:val="002D39A4"/>
    <w:rsid w:val="002E6705"/>
    <w:rsid w:val="002F206B"/>
    <w:rsid w:val="00301D08"/>
    <w:rsid w:val="0030329A"/>
    <w:rsid w:val="0031086F"/>
    <w:rsid w:val="0031414C"/>
    <w:rsid w:val="00314E01"/>
    <w:rsid w:val="0032089D"/>
    <w:rsid w:val="003226B9"/>
    <w:rsid w:val="003310DE"/>
    <w:rsid w:val="003323B0"/>
    <w:rsid w:val="0035169A"/>
    <w:rsid w:val="0035259D"/>
    <w:rsid w:val="00364B18"/>
    <w:rsid w:val="00380A0F"/>
    <w:rsid w:val="003A125D"/>
    <w:rsid w:val="003A4C70"/>
    <w:rsid w:val="003A4F02"/>
    <w:rsid w:val="003B1D52"/>
    <w:rsid w:val="003B215F"/>
    <w:rsid w:val="003C799C"/>
    <w:rsid w:val="003D0399"/>
    <w:rsid w:val="003E1C71"/>
    <w:rsid w:val="003E6071"/>
    <w:rsid w:val="003F327B"/>
    <w:rsid w:val="00406166"/>
    <w:rsid w:val="0040704B"/>
    <w:rsid w:val="00410A55"/>
    <w:rsid w:val="00411300"/>
    <w:rsid w:val="00414642"/>
    <w:rsid w:val="00415417"/>
    <w:rsid w:val="004221DB"/>
    <w:rsid w:val="00426659"/>
    <w:rsid w:val="00450352"/>
    <w:rsid w:val="00454BDB"/>
    <w:rsid w:val="00454E49"/>
    <w:rsid w:val="00464800"/>
    <w:rsid w:val="00465132"/>
    <w:rsid w:val="00480C90"/>
    <w:rsid w:val="0048396F"/>
    <w:rsid w:val="00492A14"/>
    <w:rsid w:val="00493C18"/>
    <w:rsid w:val="004A600C"/>
    <w:rsid w:val="004A6118"/>
    <w:rsid w:val="004C478D"/>
    <w:rsid w:val="004E0C56"/>
    <w:rsid w:val="004E2C26"/>
    <w:rsid w:val="004F36FF"/>
    <w:rsid w:val="004F7750"/>
    <w:rsid w:val="005015CA"/>
    <w:rsid w:val="005125A8"/>
    <w:rsid w:val="00521AE8"/>
    <w:rsid w:val="00525312"/>
    <w:rsid w:val="00527180"/>
    <w:rsid w:val="0054201E"/>
    <w:rsid w:val="005437B2"/>
    <w:rsid w:val="0055140A"/>
    <w:rsid w:val="00555291"/>
    <w:rsid w:val="00566AD1"/>
    <w:rsid w:val="00572EBD"/>
    <w:rsid w:val="00577B3D"/>
    <w:rsid w:val="00583EDE"/>
    <w:rsid w:val="005A6079"/>
    <w:rsid w:val="005A7F6D"/>
    <w:rsid w:val="005C7222"/>
    <w:rsid w:val="005E4698"/>
    <w:rsid w:val="005E6A9C"/>
    <w:rsid w:val="00605CDA"/>
    <w:rsid w:val="00610539"/>
    <w:rsid w:val="00610AB9"/>
    <w:rsid w:val="00613969"/>
    <w:rsid w:val="00625C35"/>
    <w:rsid w:val="00656313"/>
    <w:rsid w:val="006565F4"/>
    <w:rsid w:val="00684EEA"/>
    <w:rsid w:val="0069689B"/>
    <w:rsid w:val="006978A5"/>
    <w:rsid w:val="006A1551"/>
    <w:rsid w:val="006B3EB9"/>
    <w:rsid w:val="006B5FF5"/>
    <w:rsid w:val="006C32E7"/>
    <w:rsid w:val="006E79D0"/>
    <w:rsid w:val="006F135A"/>
    <w:rsid w:val="006F30AF"/>
    <w:rsid w:val="00701759"/>
    <w:rsid w:val="00705C15"/>
    <w:rsid w:val="0071600E"/>
    <w:rsid w:val="007208D1"/>
    <w:rsid w:val="00725A1C"/>
    <w:rsid w:val="00726C83"/>
    <w:rsid w:val="00747288"/>
    <w:rsid w:val="00747DD3"/>
    <w:rsid w:val="007532A8"/>
    <w:rsid w:val="007549C8"/>
    <w:rsid w:val="00754A0B"/>
    <w:rsid w:val="00760794"/>
    <w:rsid w:val="00766D14"/>
    <w:rsid w:val="00767A0F"/>
    <w:rsid w:val="007706BD"/>
    <w:rsid w:val="00770903"/>
    <w:rsid w:val="007900F9"/>
    <w:rsid w:val="007A05F6"/>
    <w:rsid w:val="007B56C6"/>
    <w:rsid w:val="007B6F4A"/>
    <w:rsid w:val="007D533C"/>
    <w:rsid w:val="007E1C47"/>
    <w:rsid w:val="007E337A"/>
    <w:rsid w:val="007E5C70"/>
    <w:rsid w:val="007F2FF5"/>
    <w:rsid w:val="007F3F08"/>
    <w:rsid w:val="00804CC6"/>
    <w:rsid w:val="00817190"/>
    <w:rsid w:val="00820EE5"/>
    <w:rsid w:val="008260E2"/>
    <w:rsid w:val="008322BD"/>
    <w:rsid w:val="00833E0A"/>
    <w:rsid w:val="00834F73"/>
    <w:rsid w:val="008542B1"/>
    <w:rsid w:val="0085536B"/>
    <w:rsid w:val="00856167"/>
    <w:rsid w:val="00864CF8"/>
    <w:rsid w:val="00872819"/>
    <w:rsid w:val="00874914"/>
    <w:rsid w:val="00891422"/>
    <w:rsid w:val="00892E1A"/>
    <w:rsid w:val="008A3F29"/>
    <w:rsid w:val="008A4281"/>
    <w:rsid w:val="008B4EA7"/>
    <w:rsid w:val="008B6279"/>
    <w:rsid w:val="008B660A"/>
    <w:rsid w:val="008C01DA"/>
    <w:rsid w:val="008C456E"/>
    <w:rsid w:val="008E154A"/>
    <w:rsid w:val="008F6016"/>
    <w:rsid w:val="008F78E9"/>
    <w:rsid w:val="00911989"/>
    <w:rsid w:val="009179F9"/>
    <w:rsid w:val="00933E5E"/>
    <w:rsid w:val="00935218"/>
    <w:rsid w:val="009403F3"/>
    <w:rsid w:val="009555B7"/>
    <w:rsid w:val="009567AA"/>
    <w:rsid w:val="009572D2"/>
    <w:rsid w:val="00967374"/>
    <w:rsid w:val="0099206F"/>
    <w:rsid w:val="009A1817"/>
    <w:rsid w:val="009A343A"/>
    <w:rsid w:val="009B0317"/>
    <w:rsid w:val="009B28B7"/>
    <w:rsid w:val="009B2F23"/>
    <w:rsid w:val="009B57B3"/>
    <w:rsid w:val="009B70AB"/>
    <w:rsid w:val="009C5B92"/>
    <w:rsid w:val="009D2920"/>
    <w:rsid w:val="009D51F3"/>
    <w:rsid w:val="009D5AEB"/>
    <w:rsid w:val="009E047E"/>
    <w:rsid w:val="009F0E33"/>
    <w:rsid w:val="00A030CE"/>
    <w:rsid w:val="00A03569"/>
    <w:rsid w:val="00A040B9"/>
    <w:rsid w:val="00A149DF"/>
    <w:rsid w:val="00A1755C"/>
    <w:rsid w:val="00A21679"/>
    <w:rsid w:val="00A21B90"/>
    <w:rsid w:val="00A41805"/>
    <w:rsid w:val="00A42DCD"/>
    <w:rsid w:val="00A52AFB"/>
    <w:rsid w:val="00A548CB"/>
    <w:rsid w:val="00A5521C"/>
    <w:rsid w:val="00A637AF"/>
    <w:rsid w:val="00A643E7"/>
    <w:rsid w:val="00A73C38"/>
    <w:rsid w:val="00AA763E"/>
    <w:rsid w:val="00AB1AA6"/>
    <w:rsid w:val="00AB670D"/>
    <w:rsid w:val="00AC22E6"/>
    <w:rsid w:val="00AC517E"/>
    <w:rsid w:val="00AD15F8"/>
    <w:rsid w:val="00AE2086"/>
    <w:rsid w:val="00AE4535"/>
    <w:rsid w:val="00AF03C5"/>
    <w:rsid w:val="00B000D8"/>
    <w:rsid w:val="00B00F75"/>
    <w:rsid w:val="00B145B6"/>
    <w:rsid w:val="00B2580F"/>
    <w:rsid w:val="00B279EB"/>
    <w:rsid w:val="00B50C81"/>
    <w:rsid w:val="00B53A67"/>
    <w:rsid w:val="00B557F8"/>
    <w:rsid w:val="00B66189"/>
    <w:rsid w:val="00B76ACC"/>
    <w:rsid w:val="00B815FC"/>
    <w:rsid w:val="00B93FBC"/>
    <w:rsid w:val="00B95A6F"/>
    <w:rsid w:val="00BA77BF"/>
    <w:rsid w:val="00BA7DA0"/>
    <w:rsid w:val="00BB1E85"/>
    <w:rsid w:val="00BB2EE4"/>
    <w:rsid w:val="00BB5C10"/>
    <w:rsid w:val="00BC2108"/>
    <w:rsid w:val="00BD0882"/>
    <w:rsid w:val="00BD0E9E"/>
    <w:rsid w:val="00BD1BEC"/>
    <w:rsid w:val="00BD32FF"/>
    <w:rsid w:val="00C02092"/>
    <w:rsid w:val="00C24D91"/>
    <w:rsid w:val="00C32704"/>
    <w:rsid w:val="00C43B1A"/>
    <w:rsid w:val="00C53F14"/>
    <w:rsid w:val="00C57765"/>
    <w:rsid w:val="00C600CF"/>
    <w:rsid w:val="00C6084F"/>
    <w:rsid w:val="00C62A66"/>
    <w:rsid w:val="00C71458"/>
    <w:rsid w:val="00C71911"/>
    <w:rsid w:val="00C77613"/>
    <w:rsid w:val="00C828E7"/>
    <w:rsid w:val="00C83182"/>
    <w:rsid w:val="00C83284"/>
    <w:rsid w:val="00C86719"/>
    <w:rsid w:val="00C921DD"/>
    <w:rsid w:val="00CA0B6F"/>
    <w:rsid w:val="00CA5D68"/>
    <w:rsid w:val="00CA6391"/>
    <w:rsid w:val="00CC34BD"/>
    <w:rsid w:val="00CC3831"/>
    <w:rsid w:val="00CE161A"/>
    <w:rsid w:val="00CE3171"/>
    <w:rsid w:val="00CF1601"/>
    <w:rsid w:val="00D003BA"/>
    <w:rsid w:val="00D0172F"/>
    <w:rsid w:val="00D01FE7"/>
    <w:rsid w:val="00D068A7"/>
    <w:rsid w:val="00D17476"/>
    <w:rsid w:val="00D17A0E"/>
    <w:rsid w:val="00D32086"/>
    <w:rsid w:val="00D37A3F"/>
    <w:rsid w:val="00D422CB"/>
    <w:rsid w:val="00D4431D"/>
    <w:rsid w:val="00D4667A"/>
    <w:rsid w:val="00D63A1C"/>
    <w:rsid w:val="00D7142F"/>
    <w:rsid w:val="00D7516F"/>
    <w:rsid w:val="00D75B0B"/>
    <w:rsid w:val="00D8579F"/>
    <w:rsid w:val="00D95F8E"/>
    <w:rsid w:val="00DA0590"/>
    <w:rsid w:val="00DA1929"/>
    <w:rsid w:val="00DB4E8E"/>
    <w:rsid w:val="00DB7BEA"/>
    <w:rsid w:val="00DC1739"/>
    <w:rsid w:val="00DC1788"/>
    <w:rsid w:val="00DE319C"/>
    <w:rsid w:val="00DE4766"/>
    <w:rsid w:val="00DE58AA"/>
    <w:rsid w:val="00DF0CA8"/>
    <w:rsid w:val="00DF134E"/>
    <w:rsid w:val="00DF2B48"/>
    <w:rsid w:val="00DF49A7"/>
    <w:rsid w:val="00E07EE2"/>
    <w:rsid w:val="00E07FD1"/>
    <w:rsid w:val="00E11D46"/>
    <w:rsid w:val="00E1422E"/>
    <w:rsid w:val="00E176D8"/>
    <w:rsid w:val="00E24573"/>
    <w:rsid w:val="00E25E1E"/>
    <w:rsid w:val="00E27EE7"/>
    <w:rsid w:val="00E35404"/>
    <w:rsid w:val="00E45109"/>
    <w:rsid w:val="00E47B7A"/>
    <w:rsid w:val="00E56A44"/>
    <w:rsid w:val="00E60269"/>
    <w:rsid w:val="00E6533B"/>
    <w:rsid w:val="00E77932"/>
    <w:rsid w:val="00E923E3"/>
    <w:rsid w:val="00E97830"/>
    <w:rsid w:val="00EB2522"/>
    <w:rsid w:val="00ED1E21"/>
    <w:rsid w:val="00ED6A7F"/>
    <w:rsid w:val="00EE643C"/>
    <w:rsid w:val="00EF0683"/>
    <w:rsid w:val="00EF5AF3"/>
    <w:rsid w:val="00EF69D2"/>
    <w:rsid w:val="00EF766E"/>
    <w:rsid w:val="00F0070C"/>
    <w:rsid w:val="00F00EB7"/>
    <w:rsid w:val="00F127B5"/>
    <w:rsid w:val="00F332D0"/>
    <w:rsid w:val="00F36AB6"/>
    <w:rsid w:val="00F37A09"/>
    <w:rsid w:val="00F409CE"/>
    <w:rsid w:val="00F4379D"/>
    <w:rsid w:val="00F45727"/>
    <w:rsid w:val="00F50D2D"/>
    <w:rsid w:val="00F56C8B"/>
    <w:rsid w:val="00F66810"/>
    <w:rsid w:val="00F73703"/>
    <w:rsid w:val="00F8304B"/>
    <w:rsid w:val="00F846D9"/>
    <w:rsid w:val="00F84DF4"/>
    <w:rsid w:val="00F85C97"/>
    <w:rsid w:val="00FA28B6"/>
    <w:rsid w:val="00FB37D2"/>
    <w:rsid w:val="00FC4EFB"/>
    <w:rsid w:val="00FD05F4"/>
    <w:rsid w:val="00FD068D"/>
    <w:rsid w:val="00FD4F28"/>
    <w:rsid w:val="00FE4F12"/>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1BD38"/>
  <w15:docId w15:val="{B5129AA4-EE6F-4FA1-B740-98DA65A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760794"/>
    <w:pPr>
      <w:ind w:left="720"/>
      <w:contextualSpacing/>
    </w:pPr>
  </w:style>
  <w:style w:type="character" w:styleId="CommentReference">
    <w:name w:val="annotation reference"/>
    <w:basedOn w:val="DefaultParagraphFont"/>
    <w:uiPriority w:val="99"/>
    <w:semiHidden/>
    <w:unhideWhenUsed/>
    <w:rsid w:val="00577B3D"/>
    <w:rPr>
      <w:sz w:val="16"/>
      <w:szCs w:val="16"/>
    </w:rPr>
  </w:style>
  <w:style w:type="paragraph" w:styleId="CommentText">
    <w:name w:val="annotation text"/>
    <w:basedOn w:val="Normal"/>
    <w:link w:val="CommentTextChar"/>
    <w:uiPriority w:val="99"/>
    <w:semiHidden/>
    <w:unhideWhenUsed/>
    <w:rsid w:val="00577B3D"/>
    <w:rPr>
      <w:sz w:val="20"/>
    </w:rPr>
  </w:style>
  <w:style w:type="character" w:customStyle="1" w:styleId="CommentTextChar">
    <w:name w:val="Comment Text Char"/>
    <w:basedOn w:val="DefaultParagraphFont"/>
    <w:link w:val="CommentText"/>
    <w:uiPriority w:val="99"/>
    <w:semiHidden/>
    <w:rsid w:val="00577B3D"/>
  </w:style>
  <w:style w:type="paragraph" w:styleId="CommentSubject">
    <w:name w:val="annotation subject"/>
    <w:basedOn w:val="CommentText"/>
    <w:next w:val="CommentText"/>
    <w:link w:val="CommentSubjectChar"/>
    <w:uiPriority w:val="99"/>
    <w:semiHidden/>
    <w:unhideWhenUsed/>
    <w:rsid w:val="00577B3D"/>
    <w:rPr>
      <w:b/>
      <w:bCs/>
    </w:rPr>
  </w:style>
  <w:style w:type="character" w:customStyle="1" w:styleId="CommentSubjectChar">
    <w:name w:val="Comment Subject Char"/>
    <w:basedOn w:val="CommentTextChar"/>
    <w:link w:val="CommentSubject"/>
    <w:uiPriority w:val="99"/>
    <w:semiHidden/>
    <w:rsid w:val="00577B3D"/>
    <w:rPr>
      <w:b/>
      <w:bCs/>
    </w:rPr>
  </w:style>
  <w:style w:type="table" w:styleId="TableGrid">
    <w:name w:val="Table Grid"/>
    <w:basedOn w:val="TableNormal"/>
    <w:uiPriority w:val="59"/>
    <w:rsid w:val="00C8328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83284"/>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4106">
      <w:bodyDiv w:val="1"/>
      <w:marLeft w:val="0"/>
      <w:marRight w:val="0"/>
      <w:marTop w:val="0"/>
      <w:marBottom w:val="0"/>
      <w:divBdr>
        <w:top w:val="none" w:sz="0" w:space="0" w:color="auto"/>
        <w:left w:val="none" w:sz="0" w:space="0" w:color="auto"/>
        <w:bottom w:val="none" w:sz="0" w:space="0" w:color="auto"/>
        <w:right w:val="none" w:sz="0" w:space="0" w:color="auto"/>
      </w:divBdr>
    </w:div>
    <w:div w:id="557668170">
      <w:bodyDiv w:val="1"/>
      <w:marLeft w:val="0"/>
      <w:marRight w:val="0"/>
      <w:marTop w:val="0"/>
      <w:marBottom w:val="0"/>
      <w:divBdr>
        <w:top w:val="none" w:sz="0" w:space="0" w:color="auto"/>
        <w:left w:val="none" w:sz="0" w:space="0" w:color="auto"/>
        <w:bottom w:val="none" w:sz="0" w:space="0" w:color="auto"/>
        <w:right w:val="none" w:sz="0" w:space="0" w:color="auto"/>
      </w:divBdr>
    </w:div>
    <w:div w:id="976639650">
      <w:bodyDiv w:val="1"/>
      <w:marLeft w:val="0"/>
      <w:marRight w:val="0"/>
      <w:marTop w:val="0"/>
      <w:marBottom w:val="0"/>
      <w:divBdr>
        <w:top w:val="none" w:sz="0" w:space="0" w:color="auto"/>
        <w:left w:val="none" w:sz="0" w:space="0" w:color="auto"/>
        <w:bottom w:val="none" w:sz="0" w:space="0" w:color="auto"/>
        <w:right w:val="none" w:sz="0" w:space="0" w:color="auto"/>
      </w:divBdr>
      <w:divsChild>
        <w:div w:id="1787887657">
          <w:marLeft w:val="0"/>
          <w:marRight w:val="0"/>
          <w:marTop w:val="0"/>
          <w:marBottom w:val="0"/>
          <w:divBdr>
            <w:top w:val="none" w:sz="0" w:space="0" w:color="auto"/>
            <w:left w:val="none" w:sz="0" w:space="0" w:color="auto"/>
            <w:bottom w:val="none" w:sz="0" w:space="0" w:color="auto"/>
            <w:right w:val="none" w:sz="0" w:space="0" w:color="auto"/>
          </w:divBdr>
        </w:div>
      </w:divsChild>
    </w:div>
    <w:div w:id="1693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740</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O'Doherty Peter</dc:creator>
  <cp:lastModifiedBy>O'Doherty Peter</cp:lastModifiedBy>
  <cp:revision>4</cp:revision>
  <dcterms:created xsi:type="dcterms:W3CDTF">2022-06-27T19:43:00Z</dcterms:created>
  <dcterms:modified xsi:type="dcterms:W3CDTF">2023-10-30T21:32:00Z</dcterms:modified>
</cp:coreProperties>
</file>