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46"/>
        <w:gridCol w:w="1842"/>
        <w:gridCol w:w="3553"/>
        <w:gridCol w:w="19"/>
      </w:tblGrid>
      <w:tr w:rsidR="007572E6" w:rsidTr="007572E6">
        <w:trPr>
          <w:trHeight w:val="1784"/>
        </w:trPr>
        <w:tc>
          <w:tcPr>
            <w:tcW w:w="5000" w:type="pct"/>
            <w:gridSpan w:val="4"/>
            <w:hideMark/>
          </w:tcPr>
          <w:p w:rsidR="007572E6" w:rsidRDefault="007572E6">
            <w:pPr>
              <w:jc w:val="center"/>
            </w:pPr>
            <w:r>
              <w:rPr>
                <w:rFonts w:eastAsia="Calibri"/>
                <w:szCs w:val="24"/>
                <w:lang w:eastAsia="en-US"/>
              </w:rPr>
              <w:object w:dxaOrig="1236"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5.4pt" o:ole="">
                  <v:imagedata r:id="rId8" o:title=""/>
                </v:shape>
                <o:OLEObject Type="Embed" ProgID="Presentations.Drawing.15" ShapeID="_x0000_i1025" DrawAspect="Content" ObjectID="_1760194704" r:id="rId9"/>
              </w:object>
            </w:r>
          </w:p>
          <w:p w:rsidR="007572E6" w:rsidRDefault="007572E6">
            <w:pPr>
              <w:spacing w:before="120" w:after="100" w:afterAutospacing="1"/>
              <w:jc w:val="center"/>
              <w:rPr>
                <w:rFonts w:eastAsia="Calibri"/>
              </w:rPr>
            </w:pPr>
            <w:r>
              <w:rPr>
                <w:rFonts w:eastAsia="Calibri"/>
                <w:b/>
                <w:szCs w:val="24"/>
                <w:lang w:eastAsia="en-US"/>
              </w:rPr>
              <w:t>SUPREME COURT OF CANADA</w:t>
            </w:r>
          </w:p>
        </w:tc>
      </w:tr>
      <w:tr w:rsidR="007572E6" w:rsidTr="007572E6">
        <w:trPr>
          <w:gridAfter w:val="1"/>
          <w:wAfter w:w="10" w:type="pct"/>
        </w:trPr>
        <w:tc>
          <w:tcPr>
            <w:tcW w:w="2108" w:type="pct"/>
            <w:tcMar>
              <w:top w:w="284" w:type="dxa"/>
              <w:left w:w="57" w:type="dxa"/>
              <w:bottom w:w="57" w:type="dxa"/>
              <w:right w:w="57" w:type="dxa"/>
            </w:tcMar>
            <w:hideMark/>
          </w:tcPr>
          <w:p w:rsidR="007572E6" w:rsidRDefault="007572E6">
            <w:pPr>
              <w:spacing w:before="100" w:beforeAutospacing="1"/>
              <w:rPr>
                <w:rFonts w:eastAsia="Calibri"/>
                <w:lang w:val="fr-CA"/>
              </w:rPr>
            </w:pPr>
            <w:r>
              <w:rPr>
                <w:b/>
                <w:smallCaps/>
                <w:lang w:val="fr-CA"/>
              </w:rPr>
              <w:t>Citation:</w:t>
            </w:r>
            <w:r>
              <w:rPr>
                <w:lang w:val="fr-CA"/>
              </w:rPr>
              <w:t xml:space="preserve"> R. </w:t>
            </w:r>
            <w:r>
              <w:rPr>
                <w:i/>
                <w:lang w:val="fr-CA"/>
              </w:rPr>
              <w:t>v.</w:t>
            </w:r>
            <w:r>
              <w:rPr>
                <w:lang w:val="fr-CA"/>
              </w:rPr>
              <w:t xml:space="preserve"> </w:t>
            </w:r>
            <w:proofErr w:type="spellStart"/>
            <w:r>
              <w:rPr>
                <w:lang w:val="fr-CA"/>
              </w:rPr>
              <w:t>Mehari</w:t>
            </w:r>
            <w:proofErr w:type="spellEnd"/>
            <w:r>
              <w:rPr>
                <w:lang w:val="fr-CA"/>
              </w:rPr>
              <w:t xml:space="preserve">, 2020 </w:t>
            </w:r>
            <w:proofErr w:type="spellStart"/>
            <w:r>
              <w:rPr>
                <w:lang w:val="fr-CA"/>
              </w:rPr>
              <w:t>SCC</w:t>
            </w:r>
            <w:proofErr w:type="spellEnd"/>
            <w:r>
              <w:rPr>
                <w:lang w:val="fr-CA"/>
              </w:rPr>
              <w:t xml:space="preserve"> 40</w:t>
            </w:r>
            <w:r>
              <w:rPr>
                <w:lang w:val="fr-CA"/>
              </w:rPr>
              <w:t xml:space="preserve">, [2020] 3 </w:t>
            </w:r>
            <w:proofErr w:type="spellStart"/>
            <w:r>
              <w:rPr>
                <w:lang w:val="fr-CA"/>
              </w:rPr>
              <w:t>S.C.R</w:t>
            </w:r>
            <w:proofErr w:type="spellEnd"/>
            <w:r>
              <w:rPr>
                <w:lang w:val="fr-CA"/>
              </w:rPr>
              <w:t>. 782</w:t>
            </w:r>
            <w:bookmarkStart w:id="0" w:name="_GoBack"/>
            <w:bookmarkEnd w:id="0"/>
          </w:p>
        </w:tc>
        <w:tc>
          <w:tcPr>
            <w:tcW w:w="984" w:type="pct"/>
          </w:tcPr>
          <w:p w:rsidR="007572E6" w:rsidRDefault="007572E6">
            <w:pPr>
              <w:rPr>
                <w:b/>
                <w:smallCaps/>
                <w:lang w:val="fr-CA"/>
              </w:rPr>
            </w:pPr>
          </w:p>
        </w:tc>
        <w:tc>
          <w:tcPr>
            <w:tcW w:w="1898" w:type="pct"/>
            <w:tcMar>
              <w:top w:w="284" w:type="dxa"/>
              <w:left w:w="57" w:type="dxa"/>
              <w:bottom w:w="57" w:type="dxa"/>
              <w:right w:w="57" w:type="dxa"/>
            </w:tcMar>
            <w:hideMark/>
          </w:tcPr>
          <w:p w:rsidR="007572E6" w:rsidRDefault="007572E6">
            <w:r>
              <w:rPr>
                <w:b/>
                <w:smallCaps/>
              </w:rPr>
              <w:t>Appeal Heard:</w:t>
            </w:r>
            <w:r>
              <w:t xml:space="preserve"> December 4, 2020</w:t>
            </w:r>
          </w:p>
          <w:p w:rsidR="007572E6" w:rsidRDefault="007572E6">
            <w:r>
              <w:rPr>
                <w:b/>
                <w:smallCaps/>
              </w:rPr>
              <w:t>Judgment Rendered:</w:t>
            </w:r>
            <w:r>
              <w:t xml:space="preserve"> December 4, 2020</w:t>
            </w:r>
          </w:p>
          <w:p w:rsidR="007572E6" w:rsidRDefault="007572E6">
            <w:r>
              <w:rPr>
                <w:b/>
                <w:smallCaps/>
              </w:rPr>
              <w:t>Docket:</w:t>
            </w:r>
            <w:r>
              <w:t xml:space="preserve"> 39109</w:t>
            </w:r>
          </w:p>
        </w:tc>
      </w:tr>
      <w:tr w:rsidR="007572E6" w:rsidTr="007572E6">
        <w:tc>
          <w:tcPr>
            <w:tcW w:w="5000" w:type="pct"/>
            <w:gridSpan w:val="4"/>
          </w:tcPr>
          <w:p w:rsidR="007572E6" w:rsidRDefault="007572E6">
            <w:pPr>
              <w:rPr>
                <w:rFonts w:eastAsiaTheme="minorHAnsi" w:cstheme="minorBidi"/>
                <w:b/>
                <w:szCs w:val="24"/>
                <w:lang w:eastAsia="en-US"/>
              </w:rPr>
            </w:pPr>
          </w:p>
          <w:p w:rsidR="007572E6" w:rsidRDefault="007572E6">
            <w:pPr>
              <w:rPr>
                <w:b/>
                <w:smallCaps/>
              </w:rPr>
            </w:pPr>
            <w:r>
              <w:rPr>
                <w:b/>
                <w:smallCaps/>
              </w:rPr>
              <w:t xml:space="preserve">Between: </w:t>
            </w:r>
          </w:p>
          <w:p w:rsidR="007572E6" w:rsidRDefault="007572E6">
            <w:pPr>
              <w:rPr>
                <w:rFonts w:eastAsiaTheme="minorHAnsi" w:cstheme="minorBidi"/>
                <w:b/>
                <w:szCs w:val="24"/>
                <w:lang w:eastAsia="en-US"/>
              </w:rPr>
            </w:pPr>
          </w:p>
          <w:p w:rsidR="007572E6" w:rsidRDefault="007572E6">
            <w:pPr>
              <w:jc w:val="center"/>
              <w:rPr>
                <w:rFonts w:eastAsiaTheme="minorHAnsi" w:cstheme="minorBidi"/>
                <w:b/>
                <w:szCs w:val="24"/>
                <w:lang w:eastAsia="en-US"/>
              </w:rPr>
            </w:pPr>
            <w:r>
              <w:rPr>
                <w:rFonts w:eastAsiaTheme="minorHAnsi" w:cstheme="minorBidi"/>
                <w:b/>
                <w:szCs w:val="24"/>
                <w:lang w:eastAsia="en-US"/>
              </w:rPr>
              <w:t>Her Majesty The Queen</w:t>
            </w:r>
          </w:p>
          <w:p w:rsidR="007572E6" w:rsidRDefault="007572E6">
            <w:pPr>
              <w:jc w:val="center"/>
              <w:rPr>
                <w:rFonts w:eastAsiaTheme="minorHAnsi" w:cstheme="minorBidi"/>
                <w:szCs w:val="24"/>
                <w:lang w:eastAsia="en-US"/>
              </w:rPr>
            </w:pPr>
            <w:r>
              <w:rPr>
                <w:rFonts w:eastAsiaTheme="minorHAnsi" w:cstheme="minorBidi"/>
                <w:szCs w:val="24"/>
                <w:lang w:eastAsia="en-US"/>
              </w:rPr>
              <w:t>Appellant</w:t>
            </w:r>
          </w:p>
          <w:p w:rsidR="007572E6" w:rsidRDefault="007572E6">
            <w:pPr>
              <w:jc w:val="center"/>
              <w:rPr>
                <w:rFonts w:eastAsiaTheme="minorHAnsi" w:cstheme="minorBidi"/>
                <w:szCs w:val="24"/>
                <w:lang w:eastAsia="en-US"/>
              </w:rPr>
            </w:pPr>
          </w:p>
          <w:p w:rsidR="007572E6" w:rsidRDefault="007572E6">
            <w:pPr>
              <w:jc w:val="center"/>
              <w:rPr>
                <w:rFonts w:eastAsiaTheme="minorHAnsi" w:cstheme="minorBidi"/>
                <w:szCs w:val="24"/>
                <w:lang w:eastAsia="en-US"/>
              </w:rPr>
            </w:pPr>
            <w:r>
              <w:rPr>
                <w:rFonts w:eastAsiaTheme="minorHAnsi" w:cstheme="minorBidi"/>
                <w:szCs w:val="24"/>
                <w:lang w:eastAsia="en-US"/>
              </w:rPr>
              <w:t>and</w:t>
            </w:r>
          </w:p>
          <w:p w:rsidR="007572E6" w:rsidRDefault="007572E6">
            <w:pPr>
              <w:jc w:val="center"/>
              <w:rPr>
                <w:rFonts w:eastAsiaTheme="minorHAnsi" w:cstheme="minorBidi"/>
                <w:szCs w:val="24"/>
                <w:lang w:eastAsia="en-US"/>
              </w:rPr>
            </w:pPr>
          </w:p>
          <w:p w:rsidR="007572E6" w:rsidRDefault="007572E6">
            <w:pPr>
              <w:jc w:val="center"/>
              <w:rPr>
                <w:rFonts w:eastAsiaTheme="minorHAnsi" w:cstheme="minorBidi"/>
                <w:b/>
                <w:szCs w:val="24"/>
                <w:lang w:eastAsia="en-US"/>
              </w:rPr>
            </w:pPr>
            <w:proofErr w:type="spellStart"/>
            <w:r>
              <w:rPr>
                <w:rFonts w:eastAsiaTheme="minorHAnsi" w:cstheme="minorBidi"/>
                <w:b/>
                <w:szCs w:val="24"/>
                <w:lang w:eastAsia="en-US"/>
              </w:rPr>
              <w:t>Awet</w:t>
            </w:r>
            <w:proofErr w:type="spellEnd"/>
            <w:r>
              <w:rPr>
                <w:rFonts w:eastAsiaTheme="minorHAnsi" w:cstheme="minorBidi"/>
                <w:b/>
                <w:szCs w:val="24"/>
                <w:lang w:eastAsia="en-US"/>
              </w:rPr>
              <w:t xml:space="preserve"> </w:t>
            </w:r>
            <w:proofErr w:type="spellStart"/>
            <w:r>
              <w:rPr>
                <w:rFonts w:eastAsiaTheme="minorHAnsi" w:cstheme="minorBidi"/>
                <w:b/>
                <w:szCs w:val="24"/>
                <w:lang w:eastAsia="en-US"/>
              </w:rPr>
              <w:t>Mehari</w:t>
            </w:r>
            <w:proofErr w:type="spellEnd"/>
          </w:p>
          <w:p w:rsidR="007572E6" w:rsidRDefault="007572E6">
            <w:pPr>
              <w:jc w:val="center"/>
              <w:rPr>
                <w:rFonts w:eastAsiaTheme="minorHAnsi" w:cstheme="minorBidi"/>
                <w:szCs w:val="24"/>
                <w:lang w:eastAsia="en-US"/>
              </w:rPr>
            </w:pPr>
            <w:r>
              <w:rPr>
                <w:rFonts w:eastAsiaTheme="minorHAnsi" w:cstheme="minorBidi"/>
                <w:szCs w:val="24"/>
                <w:lang w:eastAsia="en-US"/>
              </w:rPr>
              <w:t>Respondent</w:t>
            </w:r>
          </w:p>
          <w:p w:rsidR="007572E6" w:rsidRDefault="007572E6">
            <w:pPr>
              <w:rPr>
                <w:rFonts w:eastAsiaTheme="minorHAnsi" w:cstheme="minorBidi"/>
                <w:b/>
                <w:szCs w:val="24"/>
                <w:lang w:eastAsia="en-US"/>
              </w:rPr>
            </w:pPr>
          </w:p>
          <w:p w:rsidR="007572E6" w:rsidRDefault="007572E6">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104"/>
        <w:gridCol w:w="7235"/>
        <w:gridCol w:w="21"/>
      </w:tblGrid>
      <w:tr w:rsidR="007572E6" w:rsidRPr="007572E6" w:rsidTr="007572E6">
        <w:trPr>
          <w:cantSplit/>
          <w:trHeight w:val="508"/>
        </w:trPr>
        <w:tc>
          <w:tcPr>
            <w:tcW w:w="5000" w:type="pct"/>
            <w:gridSpan w:val="3"/>
            <w:tcMar>
              <w:top w:w="284" w:type="dxa"/>
              <w:left w:w="58" w:type="dxa"/>
              <w:bottom w:w="57" w:type="dxa"/>
              <w:right w:w="58" w:type="dxa"/>
            </w:tcMar>
            <w:vAlign w:val="center"/>
            <w:hideMark/>
          </w:tcPr>
          <w:p w:rsidR="007572E6" w:rsidRDefault="007572E6">
            <w:r>
              <w:rPr>
                <w:b/>
                <w:smallCaps/>
              </w:rPr>
              <w:t>Coram:</w:t>
            </w:r>
            <w:r>
              <w:t xml:space="preserve"> </w:t>
            </w:r>
            <w:proofErr w:type="spellStart"/>
            <w:r>
              <w:t>Abella</w:t>
            </w:r>
            <w:proofErr w:type="spellEnd"/>
            <w:r>
              <w:t xml:space="preserve">, Brown, Rowe, Martin and </w:t>
            </w:r>
            <w:proofErr w:type="spellStart"/>
            <w:r>
              <w:t>Kasirer</w:t>
            </w:r>
            <w:proofErr w:type="spellEnd"/>
            <w:r>
              <w:t> </w:t>
            </w:r>
            <w:proofErr w:type="spellStart"/>
            <w:r>
              <w:t>JJ</w:t>
            </w:r>
            <w:proofErr w:type="spellEnd"/>
            <w:r>
              <w:t>.</w:t>
            </w:r>
          </w:p>
        </w:tc>
      </w:tr>
      <w:tr w:rsidR="007572E6" w:rsidTr="007572E6">
        <w:trPr>
          <w:gridAfter w:val="1"/>
          <w:wAfter w:w="11" w:type="pct"/>
          <w:cantSplit/>
          <w:trHeight w:val="1000"/>
        </w:trPr>
        <w:tc>
          <w:tcPr>
            <w:tcW w:w="1124" w:type="pct"/>
            <w:tcMar>
              <w:top w:w="28" w:type="dxa"/>
              <w:left w:w="57" w:type="dxa"/>
              <w:bottom w:w="57" w:type="dxa"/>
              <w:right w:w="57" w:type="dxa"/>
            </w:tcMar>
            <w:vAlign w:val="center"/>
            <w:hideMark/>
          </w:tcPr>
          <w:p w:rsidR="007572E6" w:rsidRDefault="007572E6">
            <w:pPr>
              <w:rPr>
                <w:smallCaps/>
              </w:rPr>
            </w:pPr>
            <w:r>
              <w:rPr>
                <w:b/>
                <w:smallCaps/>
              </w:rPr>
              <w:t>Unanimous Judgment Read By:</w:t>
            </w:r>
          </w:p>
          <w:p w:rsidR="007572E6" w:rsidRDefault="007572E6">
            <w:pPr>
              <w:rPr>
                <w:b/>
                <w:smallCaps/>
                <w:lang w:val="en-CA"/>
              </w:rPr>
            </w:pPr>
            <w:r>
              <w:t>(paras. 1 to 2)</w:t>
            </w:r>
          </w:p>
        </w:tc>
        <w:tc>
          <w:tcPr>
            <w:tcW w:w="3865" w:type="pct"/>
            <w:tcMar>
              <w:top w:w="28" w:type="dxa"/>
              <w:left w:w="57" w:type="dxa"/>
              <w:bottom w:w="57" w:type="dxa"/>
              <w:right w:w="57" w:type="dxa"/>
            </w:tcMar>
            <w:vAlign w:val="center"/>
          </w:tcPr>
          <w:p w:rsidR="007572E6" w:rsidRDefault="007572E6">
            <w:pPr>
              <w:spacing w:before="120"/>
            </w:pPr>
            <w:r>
              <w:t>Martin J.</w:t>
            </w:r>
          </w:p>
          <w:p w:rsidR="007572E6" w:rsidRDefault="007572E6">
            <w:pPr>
              <w:spacing w:before="120"/>
            </w:pPr>
          </w:p>
        </w:tc>
      </w:tr>
    </w:tbl>
    <w:p w:rsidR="007572E6" w:rsidRDefault="007572E6" w:rsidP="007572E6">
      <w:pPr>
        <w:rPr>
          <w:rFonts w:eastAsia="Calibri"/>
          <w:smallCaps/>
          <w:szCs w:val="24"/>
          <w:lang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572E6" w:rsidRPr="007572E6" w:rsidTr="007572E6">
        <w:tc>
          <w:tcPr>
            <w:tcW w:w="1500" w:type="pct"/>
            <w:tcMar>
              <w:top w:w="284" w:type="dxa"/>
              <w:left w:w="108" w:type="dxa"/>
              <w:bottom w:w="0" w:type="dxa"/>
              <w:right w:w="108" w:type="dxa"/>
            </w:tcMar>
          </w:tcPr>
          <w:p w:rsidR="007572E6" w:rsidRDefault="007572E6">
            <w:pPr>
              <w:rPr>
                <w:rFonts w:eastAsia="Calibri"/>
                <w:szCs w:val="24"/>
                <w:lang w:eastAsia="en-US"/>
              </w:rPr>
            </w:pPr>
          </w:p>
        </w:tc>
        <w:tc>
          <w:tcPr>
            <w:tcW w:w="2000" w:type="pct"/>
            <w:tcBorders>
              <w:top w:val="nil"/>
              <w:left w:val="nil"/>
              <w:bottom w:val="single" w:sz="4" w:space="0" w:color="auto"/>
              <w:right w:val="nil"/>
            </w:tcBorders>
            <w:tcMar>
              <w:top w:w="284" w:type="dxa"/>
              <w:left w:w="108" w:type="dxa"/>
              <w:bottom w:w="0" w:type="dxa"/>
              <w:right w:w="108" w:type="dxa"/>
            </w:tcMar>
          </w:tcPr>
          <w:p w:rsidR="007572E6" w:rsidRDefault="007572E6">
            <w:pPr>
              <w:rPr>
                <w:rFonts w:eastAsia="Calibri"/>
                <w:szCs w:val="24"/>
                <w:lang w:eastAsia="en-US"/>
              </w:rPr>
            </w:pPr>
          </w:p>
        </w:tc>
        <w:tc>
          <w:tcPr>
            <w:tcW w:w="1500" w:type="pct"/>
            <w:tcMar>
              <w:top w:w="284" w:type="dxa"/>
              <w:left w:w="108" w:type="dxa"/>
              <w:bottom w:w="0" w:type="dxa"/>
              <w:right w:w="108" w:type="dxa"/>
            </w:tcMar>
          </w:tcPr>
          <w:p w:rsidR="007572E6" w:rsidRDefault="007572E6">
            <w:pPr>
              <w:rPr>
                <w:rFonts w:eastAsia="Calibri"/>
                <w:szCs w:val="24"/>
                <w:lang w:eastAsia="en-US"/>
              </w:rPr>
            </w:pPr>
          </w:p>
        </w:tc>
      </w:tr>
    </w:tbl>
    <w:p w:rsidR="007572E6" w:rsidRDefault="007572E6" w:rsidP="007572E6">
      <w:pPr>
        <w:rPr>
          <w:rFonts w:eastAsia="Calibri"/>
          <w:szCs w:val="24"/>
          <w:lang w:eastAsia="en-US"/>
        </w:rPr>
        <w:sectPr w:rsidR="007572E6">
          <w:pgSz w:w="12240" w:h="15840"/>
          <w:pgMar w:top="1440" w:right="1440" w:bottom="1440" w:left="1440" w:header="1803" w:footer="720" w:gutter="0"/>
          <w:cols w:space="720"/>
        </w:sectPr>
      </w:pPr>
    </w:p>
    <w:p w:rsidR="00B23C79" w:rsidRPr="00B23C79" w:rsidRDefault="00B23C79" w:rsidP="00B23C79">
      <w:pPr>
        <w:tabs>
          <w:tab w:val="right" w:pos="8222"/>
        </w:tabs>
        <w:spacing w:after="720"/>
        <w:rPr>
          <w:b/>
          <w:lang w:val="en-US"/>
        </w:rPr>
      </w:pPr>
      <w:r w:rsidRPr="00B23C79">
        <w:rPr>
          <w:b/>
          <w:bCs/>
          <w:color w:val="000000"/>
        </w:rPr>
        <w:lastRenderedPageBreak/>
        <w:t xml:space="preserve">Her Majesty </w:t>
      </w:r>
      <w:proofErr w:type="gramStart"/>
      <w:r w:rsidRPr="00B23C79">
        <w:rPr>
          <w:b/>
          <w:bCs/>
          <w:color w:val="000000"/>
        </w:rPr>
        <w:t>The</w:t>
      </w:r>
      <w:proofErr w:type="gramEnd"/>
      <w:r w:rsidRPr="00B23C79">
        <w:rPr>
          <w:b/>
          <w:bCs/>
          <w:color w:val="000000"/>
        </w:rPr>
        <w:t xml:space="preserve"> Queen</w:t>
      </w:r>
      <w:r w:rsidRPr="00B23C79">
        <w:rPr>
          <w:i/>
          <w:lang w:val="en-US"/>
        </w:rPr>
        <w:tab/>
        <w:t>Appellant</w:t>
      </w:r>
    </w:p>
    <w:p w:rsidR="00B23C79" w:rsidRPr="00B23C79" w:rsidRDefault="00B23C79" w:rsidP="00B23C79">
      <w:pPr>
        <w:spacing w:after="720"/>
        <w:rPr>
          <w:i/>
        </w:rPr>
      </w:pPr>
      <w:proofErr w:type="gramStart"/>
      <w:r w:rsidRPr="00B23C79">
        <w:rPr>
          <w:i/>
        </w:rPr>
        <w:t>v</w:t>
      </w:r>
      <w:proofErr w:type="gramEnd"/>
      <w:r w:rsidRPr="00B23C79">
        <w:rPr>
          <w:i/>
        </w:rPr>
        <w:t>.</w:t>
      </w:r>
    </w:p>
    <w:p w:rsidR="00B23C79" w:rsidRPr="00B23C79" w:rsidRDefault="00B23C79" w:rsidP="00B23C79">
      <w:pPr>
        <w:tabs>
          <w:tab w:val="right" w:pos="8222"/>
        </w:tabs>
        <w:spacing w:after="720"/>
        <w:rPr>
          <w:b/>
        </w:rPr>
      </w:pPr>
      <w:proofErr w:type="spellStart"/>
      <w:r w:rsidRPr="00B23C79">
        <w:rPr>
          <w:b/>
          <w:bCs/>
          <w:color w:val="000000"/>
        </w:rPr>
        <w:t>Awet</w:t>
      </w:r>
      <w:proofErr w:type="spellEnd"/>
      <w:r w:rsidRPr="00B23C79">
        <w:rPr>
          <w:b/>
          <w:bCs/>
          <w:color w:val="000000"/>
        </w:rPr>
        <w:t xml:space="preserve"> </w:t>
      </w:r>
      <w:proofErr w:type="spellStart"/>
      <w:r w:rsidRPr="00B23C79">
        <w:rPr>
          <w:b/>
          <w:bCs/>
          <w:color w:val="000000"/>
        </w:rPr>
        <w:t>Mehari</w:t>
      </w:r>
      <w:proofErr w:type="spellEnd"/>
      <w:r w:rsidRPr="00B23C79">
        <w:rPr>
          <w:i/>
        </w:rPr>
        <w:tab/>
        <w:t>Respondent</w:t>
      </w:r>
    </w:p>
    <w:p w:rsidR="00B23C79" w:rsidRPr="00B23C79" w:rsidRDefault="00B23C79" w:rsidP="00B23C79">
      <w:pPr>
        <w:spacing w:after="720"/>
        <w:jc w:val="both"/>
      </w:pPr>
    </w:p>
    <w:p w:rsidR="00B23C79" w:rsidRPr="00B23C79" w:rsidRDefault="00B23C79" w:rsidP="00B23C79">
      <w:pPr>
        <w:spacing w:after="720"/>
        <w:jc w:val="both"/>
        <w:rPr>
          <w:b/>
        </w:rPr>
      </w:pPr>
      <w:r w:rsidRPr="00B23C79">
        <w:rPr>
          <w:b/>
        </w:rPr>
        <w:t xml:space="preserve">Indexed as: R. </w:t>
      </w:r>
      <w:r w:rsidRPr="00B23C79">
        <w:rPr>
          <w:b/>
          <w:i/>
        </w:rPr>
        <w:t>v.</w:t>
      </w:r>
      <w:r w:rsidRPr="00B23C79">
        <w:rPr>
          <w:b/>
        </w:rPr>
        <w:t xml:space="preserve"> </w:t>
      </w:r>
      <w:proofErr w:type="spellStart"/>
      <w:r w:rsidRPr="00B23C79">
        <w:rPr>
          <w:b/>
        </w:rPr>
        <w:t>Mehari</w:t>
      </w:r>
      <w:proofErr w:type="spellEnd"/>
    </w:p>
    <w:p w:rsidR="00B23C79" w:rsidRPr="00B23C79" w:rsidRDefault="00B23C79" w:rsidP="00B23C79">
      <w:pPr>
        <w:spacing w:after="720"/>
        <w:jc w:val="both"/>
        <w:rPr>
          <w:b/>
          <w:lang w:val="en-US"/>
        </w:rPr>
      </w:pPr>
      <w:r w:rsidRPr="00B23C79">
        <w:rPr>
          <w:b/>
          <w:lang w:val="en-US"/>
        </w:rPr>
        <w:t>2020 SCC 40</w:t>
      </w:r>
    </w:p>
    <w:p w:rsidR="00B23C79" w:rsidRPr="00B23C79" w:rsidRDefault="00B23C79" w:rsidP="00B23C79">
      <w:pPr>
        <w:spacing w:after="720"/>
        <w:jc w:val="both"/>
        <w:rPr>
          <w:lang w:val="en-US"/>
        </w:rPr>
      </w:pPr>
      <w:r w:rsidRPr="00B23C79">
        <w:rPr>
          <w:lang w:val="en-US"/>
        </w:rPr>
        <w:t xml:space="preserve">File No.: </w:t>
      </w:r>
      <w:r w:rsidRPr="00B23C79">
        <w:rPr>
          <w:color w:val="000000"/>
        </w:rPr>
        <w:t>39109</w:t>
      </w:r>
      <w:r w:rsidRPr="00B23C79">
        <w:rPr>
          <w:lang w:val="en-US"/>
        </w:rPr>
        <w:t>.</w:t>
      </w:r>
    </w:p>
    <w:p w:rsidR="00B23C79" w:rsidRPr="00B23C79" w:rsidRDefault="00B23C79" w:rsidP="00B23C79">
      <w:pPr>
        <w:spacing w:after="720"/>
        <w:jc w:val="both"/>
      </w:pPr>
      <w:r w:rsidRPr="00B23C79">
        <w:t>2020: December 4.</w:t>
      </w:r>
    </w:p>
    <w:p w:rsidR="00B23C79" w:rsidRPr="00B23C79" w:rsidRDefault="00B23C79" w:rsidP="00B23C79">
      <w:pPr>
        <w:spacing w:after="720"/>
        <w:jc w:val="both"/>
      </w:pPr>
      <w:r w:rsidRPr="00B23C79">
        <w:t xml:space="preserve">Present: </w:t>
      </w:r>
      <w:proofErr w:type="spellStart"/>
      <w:r w:rsidRPr="00B23C79">
        <w:t>Abella</w:t>
      </w:r>
      <w:proofErr w:type="spellEnd"/>
      <w:r w:rsidRPr="00B23C79">
        <w:t xml:space="preserve">, Brown, Rowe, Martin and </w:t>
      </w:r>
      <w:proofErr w:type="spellStart"/>
      <w:r w:rsidRPr="00B23C79">
        <w:t>Kasirer</w:t>
      </w:r>
      <w:proofErr w:type="spellEnd"/>
      <w:r w:rsidRPr="00B23C79">
        <w:t> </w:t>
      </w:r>
      <w:proofErr w:type="spellStart"/>
      <w:r w:rsidRPr="00B23C79">
        <w:t>JJ</w:t>
      </w:r>
      <w:proofErr w:type="spellEnd"/>
      <w:r w:rsidRPr="00B23C79">
        <w:t>.</w:t>
      </w:r>
    </w:p>
    <w:p w:rsidR="00B23C79" w:rsidRPr="00B23C79" w:rsidRDefault="00B23C79" w:rsidP="00B23C79">
      <w:pPr>
        <w:tabs>
          <w:tab w:val="left" w:pos="1168"/>
        </w:tabs>
        <w:spacing w:after="720"/>
        <w:jc w:val="both"/>
        <w:rPr>
          <w:smallCaps/>
          <w:lang w:val="en-US"/>
        </w:rPr>
      </w:pPr>
      <w:r w:rsidRPr="00B23C79">
        <w:rPr>
          <w:smallCaps/>
        </w:rPr>
        <w:t xml:space="preserve">on appeal from the court of appeal for </w:t>
      </w:r>
      <w:proofErr w:type="spellStart"/>
      <w:r w:rsidRPr="00B23C79">
        <w:rPr>
          <w:smallCaps/>
          <w:lang w:val="en-US"/>
        </w:rPr>
        <w:t>saskatchewan</w:t>
      </w:r>
      <w:proofErr w:type="spellEnd"/>
    </w:p>
    <w:p w:rsidR="00B23C79" w:rsidRPr="00B23C79" w:rsidRDefault="00B23C79" w:rsidP="00B23C79">
      <w:pPr>
        <w:tabs>
          <w:tab w:val="left" w:pos="1168"/>
        </w:tabs>
        <w:spacing w:line="480" w:lineRule="auto"/>
        <w:jc w:val="both"/>
        <w:rPr>
          <w:i/>
        </w:rPr>
      </w:pPr>
      <w:r w:rsidRPr="00B23C79">
        <w:tab/>
      </w:r>
      <w:r w:rsidRPr="00B23C79">
        <w:rPr>
          <w:i/>
        </w:rPr>
        <w:t>Criminal law —</w:t>
      </w:r>
      <w:r w:rsidRPr="00B23C79">
        <w:t xml:space="preserve"> </w:t>
      </w:r>
      <w:r w:rsidRPr="00B23C79">
        <w:rPr>
          <w:i/>
        </w:rPr>
        <w:t xml:space="preserve">Evidence — Assessment — Credibility — Uneven scrutiny — Trial judge convicting accused of sexual assault — Majority of Court of Appeal finding trial judge erred in credibility assessment by applying different level of scrutiny to evidence of accused compared to that of complainant and ordering new trial — Trial judge made no error warranting intervention on appeal — Matter remitted to Court of Appeal to decide other grounds of appeal. </w:t>
      </w:r>
    </w:p>
    <w:p w:rsidR="00B23C79" w:rsidRPr="00B23C79" w:rsidRDefault="00B23C79" w:rsidP="00B23C79">
      <w:pPr>
        <w:tabs>
          <w:tab w:val="left" w:pos="1168"/>
        </w:tabs>
        <w:spacing w:line="480" w:lineRule="auto"/>
        <w:jc w:val="both"/>
        <w:rPr>
          <w:lang w:val="en"/>
        </w:rPr>
      </w:pPr>
    </w:p>
    <w:p w:rsidR="00B23C79" w:rsidRPr="00B23C79" w:rsidRDefault="00B23C79" w:rsidP="00B23C79">
      <w:pPr>
        <w:tabs>
          <w:tab w:val="left" w:pos="1168"/>
        </w:tabs>
        <w:spacing w:line="480" w:lineRule="auto"/>
        <w:jc w:val="both"/>
        <w:rPr>
          <w:lang w:val="en-US"/>
        </w:rPr>
      </w:pPr>
      <w:r w:rsidRPr="00B23C79">
        <w:tab/>
        <w:t xml:space="preserve">APPEAL from a judgment of the Saskatchewan Court of Appeal (Whitmore, </w:t>
      </w:r>
      <w:proofErr w:type="spellStart"/>
      <w:r w:rsidRPr="00B23C79">
        <w:t>Leurer</w:t>
      </w:r>
      <w:proofErr w:type="spellEnd"/>
      <w:r w:rsidRPr="00B23C79">
        <w:t xml:space="preserve"> and </w:t>
      </w:r>
      <w:proofErr w:type="spellStart"/>
      <w:r w:rsidRPr="00B23C79">
        <w:t>Kalmakoff</w:t>
      </w:r>
      <w:proofErr w:type="spellEnd"/>
      <w:r w:rsidRPr="00B23C79">
        <w:t xml:space="preserve"> </w:t>
      </w:r>
      <w:proofErr w:type="spellStart"/>
      <w:r w:rsidRPr="00B23C79">
        <w:t>JJ.A</w:t>
      </w:r>
      <w:proofErr w:type="spellEnd"/>
      <w:r w:rsidRPr="00B23C79">
        <w:t>.), 2020 SKCA 37, 387 C.C.C. (3d) 147, [2020] S.J. No. 100 (</w:t>
      </w:r>
      <w:proofErr w:type="spellStart"/>
      <w:r w:rsidRPr="00B23C79">
        <w:t>QL</w:t>
      </w:r>
      <w:proofErr w:type="spellEnd"/>
      <w:r w:rsidRPr="00B23C79">
        <w:t xml:space="preserve">), 2020 </w:t>
      </w:r>
      <w:proofErr w:type="spellStart"/>
      <w:r w:rsidRPr="00B23C79">
        <w:t>CarswellSask</w:t>
      </w:r>
      <w:proofErr w:type="spellEnd"/>
      <w:r w:rsidRPr="00B23C79">
        <w:t xml:space="preserve"> 136 (WL Can.), setting aside the conviction of the accused for sexual assault and ordering a new trial. Appeal allowed. </w:t>
      </w:r>
    </w:p>
    <w:p w:rsidR="00B23C79" w:rsidRPr="00B23C79" w:rsidRDefault="00B23C79" w:rsidP="00B23C79">
      <w:pPr>
        <w:tabs>
          <w:tab w:val="left" w:pos="1168"/>
        </w:tabs>
        <w:spacing w:line="480" w:lineRule="auto"/>
        <w:jc w:val="both"/>
      </w:pPr>
    </w:p>
    <w:p w:rsidR="00B23C79" w:rsidRPr="00B23C79" w:rsidRDefault="00B23C79" w:rsidP="00B23C79">
      <w:pPr>
        <w:tabs>
          <w:tab w:val="left" w:pos="1168"/>
        </w:tabs>
        <w:spacing w:line="480" w:lineRule="auto"/>
        <w:jc w:val="both"/>
        <w:rPr>
          <w:lang w:val="en-US"/>
        </w:rPr>
      </w:pPr>
      <w:r w:rsidRPr="00B23C79">
        <w:tab/>
      </w:r>
      <w:r w:rsidRPr="00B23C79">
        <w:rPr>
          <w:i/>
          <w:iCs/>
          <w:color w:val="000000"/>
        </w:rPr>
        <w:t>W. Dean Sinclair</w:t>
      </w:r>
      <w:r w:rsidRPr="00B23C79">
        <w:rPr>
          <w:color w:val="000000"/>
        </w:rPr>
        <w:t>,</w:t>
      </w:r>
      <w:r w:rsidRPr="00B23C79">
        <w:rPr>
          <w:i/>
          <w:iCs/>
          <w:color w:val="000000"/>
        </w:rPr>
        <w:t> Q.C.</w:t>
      </w:r>
      <w:r w:rsidRPr="00B23C79">
        <w:rPr>
          <w:lang w:val="en-US"/>
        </w:rPr>
        <w:t>, for the appellant.</w:t>
      </w:r>
    </w:p>
    <w:p w:rsidR="00B23C79" w:rsidRPr="00B23C79" w:rsidRDefault="00B23C79" w:rsidP="00B23C79">
      <w:pPr>
        <w:tabs>
          <w:tab w:val="left" w:pos="1168"/>
        </w:tabs>
        <w:spacing w:line="480" w:lineRule="auto"/>
        <w:jc w:val="both"/>
      </w:pPr>
    </w:p>
    <w:p w:rsidR="00B23C79" w:rsidRPr="00B23C79" w:rsidRDefault="00B23C79" w:rsidP="00B23C79">
      <w:pPr>
        <w:tabs>
          <w:tab w:val="left" w:pos="1168"/>
        </w:tabs>
        <w:spacing w:line="480" w:lineRule="auto"/>
        <w:jc w:val="both"/>
      </w:pPr>
      <w:r w:rsidRPr="00B23C79">
        <w:rPr>
          <w:i/>
        </w:rPr>
        <w:tab/>
      </w:r>
      <w:r w:rsidRPr="00B23C79">
        <w:rPr>
          <w:i/>
          <w:iCs/>
          <w:color w:val="000000"/>
        </w:rPr>
        <w:t>Aaron A. Fox</w:t>
      </w:r>
      <w:r w:rsidRPr="00B23C79">
        <w:rPr>
          <w:color w:val="000000"/>
        </w:rPr>
        <w:t>,</w:t>
      </w:r>
      <w:r w:rsidRPr="00B23C79">
        <w:rPr>
          <w:i/>
          <w:iCs/>
          <w:color w:val="000000"/>
        </w:rPr>
        <w:t> </w:t>
      </w:r>
      <w:proofErr w:type="spellStart"/>
      <w:r w:rsidRPr="00B23C79">
        <w:rPr>
          <w:i/>
          <w:iCs/>
          <w:color w:val="000000"/>
        </w:rPr>
        <w:t>Q.C</w:t>
      </w:r>
      <w:proofErr w:type="spellEnd"/>
      <w:r w:rsidRPr="00B23C79">
        <w:rPr>
          <w:i/>
          <w:iCs/>
          <w:color w:val="000000"/>
        </w:rPr>
        <w:t>.</w:t>
      </w:r>
      <w:r w:rsidRPr="00B23C79">
        <w:rPr>
          <w:color w:val="000000"/>
        </w:rPr>
        <w:t>, and </w:t>
      </w:r>
      <w:r w:rsidRPr="00B23C79">
        <w:rPr>
          <w:i/>
          <w:iCs/>
          <w:color w:val="000000"/>
        </w:rPr>
        <w:t xml:space="preserve">Darren </w:t>
      </w:r>
      <w:proofErr w:type="spellStart"/>
      <w:r w:rsidRPr="00B23C79">
        <w:rPr>
          <w:i/>
          <w:iCs/>
          <w:color w:val="000000"/>
        </w:rPr>
        <w:t>Kraushaar</w:t>
      </w:r>
      <w:proofErr w:type="spellEnd"/>
      <w:r w:rsidRPr="00B23C79">
        <w:t>, for the respondent.</w:t>
      </w:r>
    </w:p>
    <w:p w:rsidR="00B23C79" w:rsidRPr="00B23C79" w:rsidRDefault="00B23C79" w:rsidP="00B23C79">
      <w:pPr>
        <w:tabs>
          <w:tab w:val="left" w:pos="1168"/>
        </w:tabs>
        <w:spacing w:line="480" w:lineRule="auto"/>
        <w:jc w:val="both"/>
      </w:pPr>
    </w:p>
    <w:p w:rsidR="00B23C79" w:rsidRPr="00B23C79" w:rsidRDefault="00B23C79" w:rsidP="00B23C79">
      <w:pPr>
        <w:tabs>
          <w:tab w:val="left" w:pos="1168"/>
        </w:tabs>
        <w:spacing w:line="480" w:lineRule="auto"/>
        <w:jc w:val="both"/>
      </w:pPr>
      <w:r w:rsidRPr="00B23C79">
        <w:tab/>
      </w:r>
      <w:r w:rsidR="00366DA3" w:rsidRPr="00366DA3">
        <w:t>The following is the judgment delivered orally by</w:t>
      </w:r>
    </w:p>
    <w:p w:rsidR="00B23C79" w:rsidRPr="00B23C79" w:rsidRDefault="00B23C79" w:rsidP="00B23C79">
      <w:pPr>
        <w:tabs>
          <w:tab w:val="num" w:pos="1152"/>
        </w:tabs>
        <w:spacing w:before="480" w:after="480" w:line="480" w:lineRule="auto"/>
        <w:jc w:val="both"/>
        <w:rPr>
          <w:rFonts w:eastAsiaTheme="minorEastAsia" w:cstheme="minorBidi"/>
          <w:color w:val="000000"/>
          <w:szCs w:val="27"/>
          <w:lang w:val="en-US" w:eastAsia="en-US"/>
        </w:rPr>
      </w:pPr>
      <w:r w:rsidRPr="00B23C79">
        <w:rPr>
          <w:rFonts w:eastAsiaTheme="minorEastAsia" w:cstheme="minorBidi"/>
          <w:color w:val="000000"/>
          <w:szCs w:val="27"/>
          <w:lang w:val="en-US" w:eastAsia="en-US"/>
        </w:rPr>
        <w:t>[1]</w:t>
      </w:r>
      <w:r w:rsidRPr="00B23C79">
        <w:rPr>
          <w:rFonts w:eastAsiaTheme="minorEastAsia" w:cstheme="minorBidi"/>
          <w:color w:val="000000"/>
          <w:szCs w:val="27"/>
          <w:lang w:val="en-US" w:eastAsia="en-US"/>
        </w:rPr>
        <w:tab/>
        <w:t>T</w:t>
      </w:r>
      <w:r w:rsidRPr="00B23C79">
        <w:rPr>
          <w:rFonts w:eastAsiaTheme="minorEastAsia" w:cstheme="minorBidi"/>
          <w:smallCaps/>
          <w:color w:val="000000"/>
          <w:szCs w:val="27"/>
          <w:lang w:val="en-US" w:eastAsia="en-US"/>
        </w:rPr>
        <w:t>he Court</w:t>
      </w:r>
      <w:r w:rsidRPr="00B23C79">
        <w:rPr>
          <w:rFonts w:eastAsiaTheme="minorEastAsia" w:cstheme="minorBidi"/>
          <w:color w:val="000000"/>
          <w:szCs w:val="27"/>
          <w:lang w:val="en-US" w:eastAsia="en-US"/>
        </w:rPr>
        <w:t> — This Court has not decided whether uneven scrutiny, if it exists, can amount to an independent ground of appeal or a separate and distinct error of law. In any event, we see no error in respect of this argument that would have warranted intervention on appeal.</w:t>
      </w:r>
    </w:p>
    <w:p w:rsidR="00B23C79" w:rsidRPr="00B23C79" w:rsidRDefault="00B23C79" w:rsidP="00B23C79">
      <w:pPr>
        <w:tabs>
          <w:tab w:val="num" w:pos="1152"/>
        </w:tabs>
        <w:spacing w:before="480" w:after="480" w:line="480" w:lineRule="auto"/>
        <w:jc w:val="both"/>
        <w:rPr>
          <w:rFonts w:eastAsiaTheme="minorEastAsia" w:cstheme="minorBidi"/>
          <w:color w:val="000000"/>
          <w:szCs w:val="27"/>
          <w:lang w:val="en-US" w:eastAsia="en-US"/>
        </w:rPr>
      </w:pPr>
      <w:r w:rsidRPr="00B23C79">
        <w:rPr>
          <w:rFonts w:eastAsiaTheme="minorEastAsia" w:cstheme="minorBidi"/>
          <w:color w:val="000000"/>
          <w:szCs w:val="27"/>
          <w:lang w:val="en-US" w:eastAsia="en-US"/>
        </w:rPr>
        <w:t>[2]</w:t>
      </w:r>
      <w:r w:rsidRPr="00B23C79">
        <w:rPr>
          <w:rFonts w:eastAsiaTheme="minorEastAsia" w:cstheme="minorBidi"/>
          <w:color w:val="000000"/>
          <w:szCs w:val="27"/>
          <w:lang w:val="en-US" w:eastAsia="en-US"/>
        </w:rPr>
        <w:tab/>
        <w:t>Accordingly, the appeal is allowed and the matter remitted to the Court of Appeal to decide the grounds of appeal the majority did not address.</w:t>
      </w:r>
    </w:p>
    <w:p w:rsidR="00B23C79" w:rsidRPr="00B23C79" w:rsidRDefault="00B23C79" w:rsidP="00B23C79">
      <w:pPr>
        <w:tabs>
          <w:tab w:val="left" w:pos="1168"/>
        </w:tabs>
        <w:spacing w:line="480" w:lineRule="auto"/>
        <w:jc w:val="both"/>
      </w:pPr>
      <w:r w:rsidRPr="00B23C79">
        <w:tab/>
      </w:r>
      <w:r w:rsidRPr="00B23C79">
        <w:rPr>
          <w:i/>
        </w:rPr>
        <w:t>Judgment accordingly.</w:t>
      </w:r>
    </w:p>
    <w:p w:rsidR="00B23C79" w:rsidRPr="00B23C79" w:rsidRDefault="00B23C79" w:rsidP="00B23C79">
      <w:pPr>
        <w:tabs>
          <w:tab w:val="left" w:pos="1168"/>
        </w:tabs>
        <w:spacing w:line="480" w:lineRule="auto"/>
        <w:jc w:val="both"/>
      </w:pPr>
    </w:p>
    <w:p w:rsidR="00B23C79" w:rsidRPr="00B23C79" w:rsidRDefault="00B23C79" w:rsidP="00B23C79">
      <w:pPr>
        <w:tabs>
          <w:tab w:val="left" w:pos="1168"/>
        </w:tabs>
        <w:spacing w:line="480" w:lineRule="auto"/>
        <w:jc w:val="both"/>
        <w:rPr>
          <w:i/>
        </w:rPr>
      </w:pPr>
      <w:r w:rsidRPr="00B23C79">
        <w:tab/>
      </w:r>
      <w:r w:rsidRPr="00B23C79">
        <w:rPr>
          <w:i/>
        </w:rPr>
        <w:t>Solicitor for the appellant: Attorney General of Saskatchewan, Regina.</w:t>
      </w:r>
    </w:p>
    <w:p w:rsidR="00B23C79" w:rsidRPr="00B23C79" w:rsidRDefault="00B23C79" w:rsidP="00B23C79">
      <w:pPr>
        <w:tabs>
          <w:tab w:val="left" w:pos="1168"/>
        </w:tabs>
        <w:spacing w:line="480" w:lineRule="auto"/>
        <w:jc w:val="both"/>
        <w:rPr>
          <w:i/>
        </w:rPr>
      </w:pPr>
    </w:p>
    <w:p w:rsidR="00B23C79" w:rsidRPr="00B23C79" w:rsidRDefault="00B23C79" w:rsidP="00B23C79">
      <w:pPr>
        <w:tabs>
          <w:tab w:val="left" w:pos="1168"/>
        </w:tabs>
        <w:spacing w:line="480" w:lineRule="auto"/>
        <w:jc w:val="both"/>
        <w:rPr>
          <w:i/>
        </w:rPr>
      </w:pPr>
      <w:r w:rsidRPr="00B23C79">
        <w:rPr>
          <w:i/>
        </w:rPr>
        <w:tab/>
        <w:t>Solicitors for the respondent: McDougall Gauley, Regina.</w:t>
      </w:r>
    </w:p>
    <w:sectPr w:rsidR="00B23C79" w:rsidRPr="00B23C79" w:rsidSect="00233364">
      <w:headerReference w:type="default" r:id="rId10"/>
      <w:headerReference w:type="first" r:id="rId11"/>
      <w:pgSz w:w="12240" w:h="15840"/>
      <w:pgMar w:top="1440" w:right="1440" w:bottom="144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37" w:rsidRDefault="00351A37">
      <w:r>
        <w:separator/>
      </w:r>
    </w:p>
  </w:endnote>
  <w:endnote w:type="continuationSeparator" w:id="0">
    <w:p w:rsidR="00351A37" w:rsidRDefault="0035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37" w:rsidRDefault="00351A37">
      <w:r>
        <w:separator/>
      </w:r>
    </w:p>
  </w:footnote>
  <w:footnote w:type="continuationSeparator" w:id="0">
    <w:p w:rsidR="00351A37" w:rsidRDefault="0035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DA" w:rsidRDefault="00233364" w:rsidP="00F07DDA">
    <w:pPr>
      <w:tabs>
        <w:tab w:val="center" w:pos="4680"/>
      </w:tabs>
      <w:jc w:val="center"/>
      <w:rPr>
        <w:szCs w:val="24"/>
      </w:rPr>
    </w:pPr>
    <w:r>
      <w:rPr>
        <w:szCs w:val="24"/>
      </w:rPr>
      <w:t xml:space="preserve">- </w:t>
    </w:r>
    <w:r w:rsidRPr="00417FB7">
      <w:rPr>
        <w:szCs w:val="24"/>
      </w:rPr>
      <w:fldChar w:fldCharType="begin"/>
    </w:r>
    <w:r w:rsidRPr="00417FB7">
      <w:rPr>
        <w:szCs w:val="24"/>
      </w:rPr>
      <w:instrText xml:space="preserve"> PAGE   \* MERGEFORMAT </w:instrText>
    </w:r>
    <w:r w:rsidRPr="00417FB7">
      <w:rPr>
        <w:szCs w:val="24"/>
      </w:rPr>
      <w:fldChar w:fldCharType="separate"/>
    </w:r>
    <w:r w:rsidR="007572E6">
      <w:rPr>
        <w:noProof/>
        <w:szCs w:val="24"/>
      </w:rPr>
      <w:t>4</w:t>
    </w:r>
    <w:r w:rsidRPr="00417FB7">
      <w:rPr>
        <w:szCs w:val="24"/>
      </w:rPr>
      <w:fldChar w:fldCharType="end"/>
    </w:r>
    <w:r>
      <w:rPr>
        <w:szCs w:val="24"/>
      </w:rPr>
      <w:t xml:space="preserve"> -</w:t>
    </w:r>
  </w:p>
  <w:p w:rsidR="00F07DDA" w:rsidRDefault="00351A37" w:rsidP="00F07DDA">
    <w:pPr>
      <w:rPr>
        <w:szCs w:val="24"/>
      </w:rPr>
    </w:pPr>
  </w:p>
  <w:p w:rsidR="00F07DDA" w:rsidRDefault="00351A37" w:rsidP="00F07DDA">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55" w:rsidRPr="000367A3" w:rsidRDefault="00351A37" w:rsidP="00036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2007"/>
    <w:rsid w:val="00025198"/>
    <w:rsid w:val="00025763"/>
    <w:rsid w:val="00026467"/>
    <w:rsid w:val="0002758D"/>
    <w:rsid w:val="00040D1B"/>
    <w:rsid w:val="00040F00"/>
    <w:rsid w:val="00041BDD"/>
    <w:rsid w:val="000578A3"/>
    <w:rsid w:val="00063B0B"/>
    <w:rsid w:val="000648CC"/>
    <w:rsid w:val="00076E46"/>
    <w:rsid w:val="0008023F"/>
    <w:rsid w:val="00094FED"/>
    <w:rsid w:val="000B5CFA"/>
    <w:rsid w:val="000B69B5"/>
    <w:rsid w:val="000C3FCE"/>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066E"/>
    <w:rsid w:val="00186351"/>
    <w:rsid w:val="00195D83"/>
    <w:rsid w:val="001977DB"/>
    <w:rsid w:val="001A00C1"/>
    <w:rsid w:val="001A42A4"/>
    <w:rsid w:val="001B33E0"/>
    <w:rsid w:val="001B4573"/>
    <w:rsid w:val="001C779F"/>
    <w:rsid w:val="001D2AC1"/>
    <w:rsid w:val="001D4DDF"/>
    <w:rsid w:val="001D4E88"/>
    <w:rsid w:val="001D65FF"/>
    <w:rsid w:val="001D6E70"/>
    <w:rsid w:val="001D7957"/>
    <w:rsid w:val="001E477D"/>
    <w:rsid w:val="0020019A"/>
    <w:rsid w:val="00220FC2"/>
    <w:rsid w:val="002222F4"/>
    <w:rsid w:val="00224FC0"/>
    <w:rsid w:val="00225EA4"/>
    <w:rsid w:val="00226EAF"/>
    <w:rsid w:val="002310A2"/>
    <w:rsid w:val="00231F3A"/>
    <w:rsid w:val="00233364"/>
    <w:rsid w:val="00234199"/>
    <w:rsid w:val="00236389"/>
    <w:rsid w:val="00237AFE"/>
    <w:rsid w:val="002406EE"/>
    <w:rsid w:val="00243EC8"/>
    <w:rsid w:val="00264B77"/>
    <w:rsid w:val="00270D93"/>
    <w:rsid w:val="002745CC"/>
    <w:rsid w:val="0029178F"/>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1A37"/>
    <w:rsid w:val="0035259D"/>
    <w:rsid w:val="00353B79"/>
    <w:rsid w:val="00355C66"/>
    <w:rsid w:val="00362ADA"/>
    <w:rsid w:val="00364B18"/>
    <w:rsid w:val="00366DA3"/>
    <w:rsid w:val="003712C9"/>
    <w:rsid w:val="00396BF3"/>
    <w:rsid w:val="003A125D"/>
    <w:rsid w:val="003A4C70"/>
    <w:rsid w:val="003B215F"/>
    <w:rsid w:val="003B51EF"/>
    <w:rsid w:val="003C2CFF"/>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A55"/>
    <w:rsid w:val="00411300"/>
    <w:rsid w:val="00415417"/>
    <w:rsid w:val="0041747D"/>
    <w:rsid w:val="00424FE1"/>
    <w:rsid w:val="00426659"/>
    <w:rsid w:val="00426D16"/>
    <w:rsid w:val="00450352"/>
    <w:rsid w:val="004549EB"/>
    <w:rsid w:val="00454BD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D4FEC"/>
    <w:rsid w:val="004E0D6A"/>
    <w:rsid w:val="004E172C"/>
    <w:rsid w:val="004E2C26"/>
    <w:rsid w:val="004E61A7"/>
    <w:rsid w:val="004E6AEF"/>
    <w:rsid w:val="004F36FF"/>
    <w:rsid w:val="004F7454"/>
    <w:rsid w:val="005125A8"/>
    <w:rsid w:val="00516DED"/>
    <w:rsid w:val="00521AE8"/>
    <w:rsid w:val="00524449"/>
    <w:rsid w:val="00527180"/>
    <w:rsid w:val="00533A2E"/>
    <w:rsid w:val="005341CE"/>
    <w:rsid w:val="00534AB2"/>
    <w:rsid w:val="0054201E"/>
    <w:rsid w:val="00553B18"/>
    <w:rsid w:val="005541DB"/>
    <w:rsid w:val="00555291"/>
    <w:rsid w:val="0056265A"/>
    <w:rsid w:val="00566AD1"/>
    <w:rsid w:val="0057257D"/>
    <w:rsid w:val="00583EDE"/>
    <w:rsid w:val="00586928"/>
    <w:rsid w:val="005929E4"/>
    <w:rsid w:val="005A4F85"/>
    <w:rsid w:val="005A6079"/>
    <w:rsid w:val="005B7E9A"/>
    <w:rsid w:val="005C7840"/>
    <w:rsid w:val="005E4698"/>
    <w:rsid w:val="006003EE"/>
    <w:rsid w:val="00610539"/>
    <w:rsid w:val="00613969"/>
    <w:rsid w:val="0061523C"/>
    <w:rsid w:val="00617208"/>
    <w:rsid w:val="00622F98"/>
    <w:rsid w:val="006230B6"/>
    <w:rsid w:val="00625C35"/>
    <w:rsid w:val="00626A7D"/>
    <w:rsid w:val="0062787A"/>
    <w:rsid w:val="00635521"/>
    <w:rsid w:val="006468AB"/>
    <w:rsid w:val="00655F44"/>
    <w:rsid w:val="00656313"/>
    <w:rsid w:val="006565F4"/>
    <w:rsid w:val="0066108F"/>
    <w:rsid w:val="006763FD"/>
    <w:rsid w:val="00684EEA"/>
    <w:rsid w:val="006908E8"/>
    <w:rsid w:val="0069689B"/>
    <w:rsid w:val="006A1551"/>
    <w:rsid w:val="006A48DB"/>
    <w:rsid w:val="006B5FF5"/>
    <w:rsid w:val="006B7683"/>
    <w:rsid w:val="006D4200"/>
    <w:rsid w:val="006F0435"/>
    <w:rsid w:val="006F30AF"/>
    <w:rsid w:val="007009A0"/>
    <w:rsid w:val="00701759"/>
    <w:rsid w:val="00701CF2"/>
    <w:rsid w:val="00705C15"/>
    <w:rsid w:val="00712E55"/>
    <w:rsid w:val="00713025"/>
    <w:rsid w:val="007154A1"/>
    <w:rsid w:val="00715A65"/>
    <w:rsid w:val="0071600E"/>
    <w:rsid w:val="007179F7"/>
    <w:rsid w:val="00717FDC"/>
    <w:rsid w:val="007208D1"/>
    <w:rsid w:val="0072428C"/>
    <w:rsid w:val="00730177"/>
    <w:rsid w:val="007420DB"/>
    <w:rsid w:val="00742119"/>
    <w:rsid w:val="00747288"/>
    <w:rsid w:val="00747DD3"/>
    <w:rsid w:val="0075389D"/>
    <w:rsid w:val="007549C8"/>
    <w:rsid w:val="00754A0B"/>
    <w:rsid w:val="007572E6"/>
    <w:rsid w:val="007612C3"/>
    <w:rsid w:val="00766D14"/>
    <w:rsid w:val="00767636"/>
    <w:rsid w:val="00767A0F"/>
    <w:rsid w:val="007A05F6"/>
    <w:rsid w:val="007B6F4A"/>
    <w:rsid w:val="007D097E"/>
    <w:rsid w:val="007E1C47"/>
    <w:rsid w:val="007E337A"/>
    <w:rsid w:val="007E5C70"/>
    <w:rsid w:val="007F2FF5"/>
    <w:rsid w:val="007F3F08"/>
    <w:rsid w:val="00804CC6"/>
    <w:rsid w:val="0080542C"/>
    <w:rsid w:val="00813B48"/>
    <w:rsid w:val="0081470C"/>
    <w:rsid w:val="00817190"/>
    <w:rsid w:val="008201FB"/>
    <w:rsid w:val="00820EE5"/>
    <w:rsid w:val="008244E9"/>
    <w:rsid w:val="008260E2"/>
    <w:rsid w:val="008322BD"/>
    <w:rsid w:val="008323C4"/>
    <w:rsid w:val="00833E0A"/>
    <w:rsid w:val="00834F73"/>
    <w:rsid w:val="00847F55"/>
    <w:rsid w:val="00850AE5"/>
    <w:rsid w:val="00851F3D"/>
    <w:rsid w:val="008544FA"/>
    <w:rsid w:val="00864CF8"/>
    <w:rsid w:val="00865332"/>
    <w:rsid w:val="00872819"/>
    <w:rsid w:val="00874914"/>
    <w:rsid w:val="00891422"/>
    <w:rsid w:val="00892E1A"/>
    <w:rsid w:val="008A3F29"/>
    <w:rsid w:val="008B660A"/>
    <w:rsid w:val="008B70F9"/>
    <w:rsid w:val="008B73DB"/>
    <w:rsid w:val="008C01DA"/>
    <w:rsid w:val="008C02C9"/>
    <w:rsid w:val="008C7263"/>
    <w:rsid w:val="008D2104"/>
    <w:rsid w:val="008F07F6"/>
    <w:rsid w:val="008F78E9"/>
    <w:rsid w:val="00903C32"/>
    <w:rsid w:val="00911989"/>
    <w:rsid w:val="00914208"/>
    <w:rsid w:val="009179F9"/>
    <w:rsid w:val="0093031F"/>
    <w:rsid w:val="00931C1C"/>
    <w:rsid w:val="00933E5E"/>
    <w:rsid w:val="00935218"/>
    <w:rsid w:val="009403F3"/>
    <w:rsid w:val="009555B7"/>
    <w:rsid w:val="009567AA"/>
    <w:rsid w:val="0096473A"/>
    <w:rsid w:val="00967374"/>
    <w:rsid w:val="00970D57"/>
    <w:rsid w:val="00976EB5"/>
    <w:rsid w:val="00981B4D"/>
    <w:rsid w:val="009A2799"/>
    <w:rsid w:val="009A343A"/>
    <w:rsid w:val="009A4E51"/>
    <w:rsid w:val="009A520F"/>
    <w:rsid w:val="009B2F23"/>
    <w:rsid w:val="009B57B3"/>
    <w:rsid w:val="009B5D24"/>
    <w:rsid w:val="009B6FFE"/>
    <w:rsid w:val="009C5B92"/>
    <w:rsid w:val="009D2920"/>
    <w:rsid w:val="009D5AEB"/>
    <w:rsid w:val="009F0E33"/>
    <w:rsid w:val="009F1E77"/>
    <w:rsid w:val="00A003F4"/>
    <w:rsid w:val="00A030CE"/>
    <w:rsid w:val="00A12217"/>
    <w:rsid w:val="00A149DF"/>
    <w:rsid w:val="00A1755C"/>
    <w:rsid w:val="00A21B90"/>
    <w:rsid w:val="00A244B9"/>
    <w:rsid w:val="00A32183"/>
    <w:rsid w:val="00A41805"/>
    <w:rsid w:val="00A42DCD"/>
    <w:rsid w:val="00A436D5"/>
    <w:rsid w:val="00A44699"/>
    <w:rsid w:val="00A52AFB"/>
    <w:rsid w:val="00A548CB"/>
    <w:rsid w:val="00A5521C"/>
    <w:rsid w:val="00A557A1"/>
    <w:rsid w:val="00A55CEF"/>
    <w:rsid w:val="00A643E7"/>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0F0F"/>
    <w:rsid w:val="00B2215E"/>
    <w:rsid w:val="00B23C79"/>
    <w:rsid w:val="00B279EB"/>
    <w:rsid w:val="00B30E18"/>
    <w:rsid w:val="00B32357"/>
    <w:rsid w:val="00B43559"/>
    <w:rsid w:val="00B50C81"/>
    <w:rsid w:val="00B557F8"/>
    <w:rsid w:val="00B56AAF"/>
    <w:rsid w:val="00B67199"/>
    <w:rsid w:val="00B70FBB"/>
    <w:rsid w:val="00B815FC"/>
    <w:rsid w:val="00B83D35"/>
    <w:rsid w:val="00B93FBC"/>
    <w:rsid w:val="00BA066D"/>
    <w:rsid w:val="00BA7DA0"/>
    <w:rsid w:val="00BB2366"/>
    <w:rsid w:val="00BB2640"/>
    <w:rsid w:val="00BB2EE4"/>
    <w:rsid w:val="00BB5AE6"/>
    <w:rsid w:val="00BC2108"/>
    <w:rsid w:val="00BC5642"/>
    <w:rsid w:val="00BD0E9E"/>
    <w:rsid w:val="00BD1BEC"/>
    <w:rsid w:val="00BD32FF"/>
    <w:rsid w:val="00BD67ED"/>
    <w:rsid w:val="00BE3650"/>
    <w:rsid w:val="00BE5C36"/>
    <w:rsid w:val="00C02092"/>
    <w:rsid w:val="00C0384D"/>
    <w:rsid w:val="00C14AA0"/>
    <w:rsid w:val="00C22905"/>
    <w:rsid w:val="00C229CD"/>
    <w:rsid w:val="00C24D91"/>
    <w:rsid w:val="00C53F14"/>
    <w:rsid w:val="00C600CF"/>
    <w:rsid w:val="00C6084F"/>
    <w:rsid w:val="00C62A66"/>
    <w:rsid w:val="00C62FD6"/>
    <w:rsid w:val="00C71458"/>
    <w:rsid w:val="00C754FF"/>
    <w:rsid w:val="00C77613"/>
    <w:rsid w:val="00C80DC5"/>
    <w:rsid w:val="00C828E7"/>
    <w:rsid w:val="00C86719"/>
    <w:rsid w:val="00C921DD"/>
    <w:rsid w:val="00CA6391"/>
    <w:rsid w:val="00CA7B39"/>
    <w:rsid w:val="00CC34BD"/>
    <w:rsid w:val="00CE08B9"/>
    <w:rsid w:val="00CE161A"/>
    <w:rsid w:val="00CE3171"/>
    <w:rsid w:val="00CE7262"/>
    <w:rsid w:val="00CF1601"/>
    <w:rsid w:val="00D0172F"/>
    <w:rsid w:val="00D068A7"/>
    <w:rsid w:val="00D173CE"/>
    <w:rsid w:val="00D17476"/>
    <w:rsid w:val="00D26B67"/>
    <w:rsid w:val="00D32086"/>
    <w:rsid w:val="00D360E6"/>
    <w:rsid w:val="00D37A3F"/>
    <w:rsid w:val="00D4431D"/>
    <w:rsid w:val="00D4667A"/>
    <w:rsid w:val="00D469D5"/>
    <w:rsid w:val="00D47BFC"/>
    <w:rsid w:val="00D614A5"/>
    <w:rsid w:val="00D614E0"/>
    <w:rsid w:val="00D63A1C"/>
    <w:rsid w:val="00D66DC4"/>
    <w:rsid w:val="00D67CB1"/>
    <w:rsid w:val="00D72592"/>
    <w:rsid w:val="00D7516F"/>
    <w:rsid w:val="00D76415"/>
    <w:rsid w:val="00D83628"/>
    <w:rsid w:val="00D8579F"/>
    <w:rsid w:val="00D9074A"/>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5109"/>
    <w:rsid w:val="00E47B7A"/>
    <w:rsid w:val="00E50A79"/>
    <w:rsid w:val="00E56A44"/>
    <w:rsid w:val="00E60269"/>
    <w:rsid w:val="00E653D0"/>
    <w:rsid w:val="00E65A2E"/>
    <w:rsid w:val="00E71951"/>
    <w:rsid w:val="00E77932"/>
    <w:rsid w:val="00E83FDA"/>
    <w:rsid w:val="00E92347"/>
    <w:rsid w:val="00E97830"/>
    <w:rsid w:val="00EA1D3B"/>
    <w:rsid w:val="00EB0B7C"/>
    <w:rsid w:val="00ED60AA"/>
    <w:rsid w:val="00ED681A"/>
    <w:rsid w:val="00EE5737"/>
    <w:rsid w:val="00EE643C"/>
    <w:rsid w:val="00EF0683"/>
    <w:rsid w:val="00EF69D2"/>
    <w:rsid w:val="00EF766E"/>
    <w:rsid w:val="00F0070C"/>
    <w:rsid w:val="00F00EB7"/>
    <w:rsid w:val="00F36AB6"/>
    <w:rsid w:val="00F37A09"/>
    <w:rsid w:val="00F409CE"/>
    <w:rsid w:val="00F4379D"/>
    <w:rsid w:val="00F50635"/>
    <w:rsid w:val="00F50D2D"/>
    <w:rsid w:val="00F56C8B"/>
    <w:rsid w:val="00F66810"/>
    <w:rsid w:val="00F75F4E"/>
    <w:rsid w:val="00F846D9"/>
    <w:rsid w:val="00F84DF4"/>
    <w:rsid w:val="00F85C97"/>
    <w:rsid w:val="00F94A57"/>
    <w:rsid w:val="00FA51A0"/>
    <w:rsid w:val="00FB37D2"/>
    <w:rsid w:val="00FB7D08"/>
    <w:rsid w:val="00FC3788"/>
    <w:rsid w:val="00FC4EFB"/>
    <w:rsid w:val="00FC7D45"/>
    <w:rsid w:val="00FD068D"/>
    <w:rsid w:val="00FD4F28"/>
    <w:rsid w:val="00FE0416"/>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233364"/>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233364"/>
    <w:rPr>
      <w:rFonts w:eastAsiaTheme="minorHAnsi" w:cstheme="minorBidi"/>
      <w:b/>
      <w:szCs w:val="22"/>
      <w:lang w:eastAsia="en-US"/>
    </w:rPr>
  </w:style>
  <w:style w:type="character" w:customStyle="1" w:styleId="SCCLsocPrefixChar">
    <w:name w:val="SCC.Lsoc.Prefix Char"/>
    <w:basedOn w:val="DefaultParagraphFont"/>
    <w:link w:val="SCCLsocPrefix"/>
    <w:rsid w:val="00233364"/>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984">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20808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AE6B-94FE-4B8D-A6EC-FA13FC40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1799</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2022-06-27T19:54:00Z</dcterms:created>
  <dcterms:modified xsi:type="dcterms:W3CDTF">2023-10-30T22:11:00Z</dcterms:modified>
</cp:coreProperties>
</file>