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296"/>
        <w:gridCol w:w="1134"/>
        <w:gridCol w:w="1870"/>
        <w:gridCol w:w="739"/>
        <w:gridCol w:w="2787"/>
        <w:gridCol w:w="21"/>
      </w:tblGrid>
      <w:tr w:rsidR="008970A7" w:rsidTr="008970A7">
        <w:trPr>
          <w:trHeight w:val="2103"/>
        </w:trPr>
        <w:tc>
          <w:tcPr>
            <w:tcW w:w="5000" w:type="pct"/>
            <w:gridSpan w:val="7"/>
            <w:hideMark/>
          </w:tcPr>
          <w:p w:rsidR="008970A7" w:rsidRDefault="008970A7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188720" cy="1638300"/>
                  <wp:effectExtent l="0" t="0" r="0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0A7" w:rsidRDefault="008970A7">
            <w:pPr>
              <w:spacing w:before="120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SUPREME COURT OF CANADA</w:t>
            </w:r>
          </w:p>
        </w:tc>
      </w:tr>
      <w:tr w:rsidR="008970A7" w:rsidTr="008970A7">
        <w:trPr>
          <w:gridAfter w:val="1"/>
          <w:wAfter w:w="11" w:type="pct"/>
        </w:trPr>
        <w:tc>
          <w:tcPr>
            <w:tcW w:w="2106" w:type="pct"/>
            <w:gridSpan w:val="3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8970A7" w:rsidRDefault="008970A7">
            <w:pPr>
              <w:spacing w:before="100" w:beforeAutospacing="1"/>
              <w:ind w:firstLine="33"/>
              <w:rPr>
                <w:rFonts w:eastAsia="Calibri"/>
                <w:lang w:val="fr-CA"/>
              </w:rPr>
            </w:pPr>
            <w:r>
              <w:rPr>
                <w:b/>
                <w:smallCaps/>
                <w:lang w:val="fr-CA"/>
              </w:rPr>
              <w:t>Citation:</w:t>
            </w:r>
            <w:r>
              <w:rPr>
                <w:lang w:val="fr-CA"/>
              </w:rPr>
              <w:t xml:space="preserve"> R. </w:t>
            </w:r>
            <w:r>
              <w:rPr>
                <w:i/>
                <w:lang w:val="fr-CA"/>
              </w:rPr>
              <w:t>v.</w:t>
            </w:r>
            <w:r>
              <w:rPr>
                <w:lang w:val="fr-CA"/>
              </w:rPr>
              <w:t xml:space="preserve"> Ramos, 2021 SCC 15</w:t>
            </w:r>
            <w:r>
              <w:rPr>
                <w:lang w:val="fr-CA"/>
              </w:rPr>
              <w:t>, [2021] 1 S.C.R. 528</w:t>
            </w:r>
          </w:p>
        </w:tc>
        <w:tc>
          <w:tcPr>
            <w:tcW w:w="999" w:type="pct"/>
          </w:tcPr>
          <w:p w:rsidR="008970A7" w:rsidRDefault="008970A7">
            <w:pPr>
              <w:rPr>
                <w:b/>
                <w:smallCaps/>
                <w:lang w:val="fr-CA"/>
              </w:rPr>
            </w:pPr>
          </w:p>
        </w:tc>
        <w:tc>
          <w:tcPr>
            <w:tcW w:w="1884" w:type="pct"/>
            <w:gridSpan w:val="2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8970A7" w:rsidRDefault="008970A7">
            <w:r>
              <w:rPr>
                <w:b/>
                <w:smallCaps/>
              </w:rPr>
              <w:t>Appeal Heard:</w:t>
            </w:r>
            <w:r>
              <w:t xml:space="preserve"> April 21, 2021</w:t>
            </w:r>
          </w:p>
          <w:p w:rsidR="008970A7" w:rsidRDefault="008970A7">
            <w:r>
              <w:rPr>
                <w:b/>
                <w:smallCaps/>
              </w:rPr>
              <w:t>Judgment Rendered:</w:t>
            </w:r>
            <w:r>
              <w:t xml:space="preserve"> April 21, 2021</w:t>
            </w:r>
          </w:p>
          <w:p w:rsidR="008970A7" w:rsidRDefault="008970A7">
            <w:r>
              <w:rPr>
                <w:b/>
                <w:smallCaps/>
              </w:rPr>
              <w:t xml:space="preserve">Docket: </w:t>
            </w:r>
            <w:r>
              <w:rPr>
                <w:smallCaps/>
              </w:rPr>
              <w:t>39466</w:t>
            </w:r>
            <w:r>
              <w:t xml:space="preserve"> </w:t>
            </w:r>
          </w:p>
        </w:tc>
      </w:tr>
      <w:tr w:rsidR="008970A7" w:rsidTr="008970A7">
        <w:trPr>
          <w:gridAfter w:val="1"/>
          <w:wAfter w:w="11" w:type="pct"/>
          <w:trHeight w:val="2701"/>
        </w:trPr>
        <w:tc>
          <w:tcPr>
            <w:tcW w:w="4989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A7" w:rsidRDefault="008970A7">
            <w:pPr>
              <w:pStyle w:val="SCCLsocPrefix"/>
            </w:pPr>
            <w:r>
              <w:t>Between:</w:t>
            </w:r>
          </w:p>
          <w:p w:rsidR="008970A7" w:rsidRDefault="008970A7">
            <w:pPr>
              <w:pStyle w:val="SCCLsocParty"/>
            </w:pPr>
            <w:r>
              <w:t>Erik Oswaldo Ramos</w:t>
            </w:r>
          </w:p>
          <w:p w:rsidR="008970A7" w:rsidRDefault="008970A7">
            <w:pPr>
              <w:pStyle w:val="SCCLsocPartyRole"/>
            </w:pPr>
            <w:r>
              <w:t>Appellant</w:t>
            </w:r>
          </w:p>
          <w:p w:rsidR="008970A7" w:rsidRDefault="008970A7"/>
          <w:p w:rsidR="008970A7" w:rsidRDefault="008970A7">
            <w:pPr>
              <w:pStyle w:val="SCCLsocVersus"/>
            </w:pPr>
            <w:r>
              <w:t>and</w:t>
            </w:r>
          </w:p>
          <w:p w:rsidR="008970A7" w:rsidRDefault="008970A7">
            <w:pPr>
              <w:pStyle w:val="SCCLsocParty"/>
            </w:pPr>
          </w:p>
          <w:p w:rsidR="008970A7" w:rsidRDefault="008970A7">
            <w:pPr>
              <w:pStyle w:val="SCCLsocParty"/>
            </w:pPr>
            <w:r>
              <w:t>Her Majesty The Queen</w:t>
            </w:r>
          </w:p>
          <w:p w:rsidR="008970A7" w:rsidRDefault="008970A7">
            <w:pPr>
              <w:pStyle w:val="SCCLsocPartyRole"/>
            </w:pPr>
            <w:r>
              <w:t>Respondent</w:t>
            </w:r>
          </w:p>
          <w:p w:rsidR="008970A7" w:rsidRDefault="008970A7"/>
          <w:p w:rsidR="008970A7" w:rsidRDefault="008970A7"/>
        </w:tc>
      </w:tr>
      <w:tr w:rsidR="008970A7" w:rsidRPr="008970A7" w:rsidTr="008970A7">
        <w:trPr>
          <w:gridAfter w:val="1"/>
          <w:wAfter w:w="11" w:type="pct"/>
          <w:trHeight w:val="806"/>
        </w:trPr>
        <w:tc>
          <w:tcPr>
            <w:tcW w:w="4989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A7" w:rsidRDefault="008970A7"/>
          <w:p w:rsidR="008970A7" w:rsidRDefault="008970A7"/>
          <w:p w:rsidR="008970A7" w:rsidRDefault="008970A7"/>
          <w:p w:rsidR="008970A7" w:rsidRDefault="008970A7">
            <w:r>
              <w:rPr>
                <w:b/>
                <w:smallCaps/>
              </w:rPr>
              <w:t>Coram:</w:t>
            </w:r>
            <w:r>
              <w:t xml:space="preserve"> Wagner C.J. and Moldaver, Karakatsanis, Brown and Kasirer JJ.</w:t>
            </w:r>
          </w:p>
          <w:p w:rsidR="008970A7" w:rsidRDefault="008970A7"/>
        </w:tc>
      </w:tr>
      <w:tr w:rsidR="008970A7" w:rsidTr="008970A7">
        <w:trPr>
          <w:cantSplit/>
        </w:trPr>
        <w:tc>
          <w:tcPr>
            <w:tcW w:w="1342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70A7" w:rsidRDefault="008970A7">
            <w:pPr>
              <w:spacing w:before="120"/>
              <w:rPr>
                <w:smallCaps/>
              </w:rPr>
            </w:pPr>
            <w:r>
              <w:rPr>
                <w:b/>
                <w:smallCaps/>
              </w:rPr>
              <w:t>Unanimous Judgment Read By:</w:t>
            </w:r>
          </w:p>
          <w:p w:rsidR="008970A7" w:rsidRDefault="008970A7">
            <w:pPr>
              <w:rPr>
                <w:b/>
                <w:smallCaps/>
              </w:rPr>
            </w:pPr>
            <w:r>
              <w:t>(para. 1)</w:t>
            </w:r>
          </w:p>
        </w:tc>
        <w:tc>
          <w:tcPr>
            <w:tcW w:w="3658" w:type="pct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970A7" w:rsidRDefault="008970A7">
            <w:pPr>
              <w:spacing w:before="120"/>
            </w:pPr>
            <w:r>
              <w:t>Wagner C.J.</w:t>
            </w:r>
          </w:p>
          <w:p w:rsidR="008970A7" w:rsidRDefault="008970A7">
            <w:pPr>
              <w:spacing w:before="120"/>
            </w:pPr>
          </w:p>
        </w:tc>
      </w:tr>
      <w:tr w:rsidR="008970A7" w:rsidTr="008970A7">
        <w:trPr>
          <w:trHeight w:val="32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A7" w:rsidRDefault="008970A7"/>
        </w:tc>
      </w:tr>
      <w:tr w:rsidR="008970A7" w:rsidRPr="008970A7" w:rsidTr="008970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pct"/>
            <w:gridSpan w:val="2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8970A7" w:rsidRDefault="008970A7">
            <w:pPr>
              <w:rPr>
                <w:rFonts w:eastAsia="Calibri"/>
                <w:lang w:val="en-US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8970A7" w:rsidRDefault="008970A7">
            <w:pPr>
              <w:rPr>
                <w:rFonts w:eastAsia="Calibri"/>
                <w:lang w:val="en-US"/>
              </w:rPr>
            </w:pPr>
          </w:p>
        </w:tc>
        <w:tc>
          <w:tcPr>
            <w:tcW w:w="1500" w:type="pct"/>
            <w:gridSpan w:val="2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8970A7" w:rsidRDefault="008970A7">
            <w:pPr>
              <w:rPr>
                <w:rFonts w:eastAsia="Calibri"/>
                <w:lang w:val="en-US"/>
              </w:rPr>
            </w:pPr>
          </w:p>
        </w:tc>
      </w:tr>
    </w:tbl>
    <w:p w:rsidR="008970A7" w:rsidRDefault="008970A7" w:rsidP="008970A7"/>
    <w:p w:rsidR="008970A7" w:rsidRDefault="008970A7" w:rsidP="00380A71">
      <w:pPr>
        <w:pStyle w:val="SCCLsocLastPartyInRole"/>
        <w:rPr>
          <w:bCs/>
        </w:rPr>
      </w:pPr>
    </w:p>
    <w:p w:rsidR="00380A71" w:rsidRPr="003B2AC5" w:rsidRDefault="00380A71" w:rsidP="00380A71">
      <w:pPr>
        <w:pStyle w:val="SCCLsocLastPartyInRole"/>
        <w:rPr>
          <w:lang w:val="en-US"/>
        </w:rPr>
      </w:pPr>
      <w:bookmarkStart w:id="0" w:name="_GoBack"/>
      <w:bookmarkEnd w:id="0"/>
      <w:r w:rsidRPr="009D6F6A">
        <w:rPr>
          <w:bCs/>
        </w:rPr>
        <w:t>Erik Oswaldo Ramos</w:t>
      </w:r>
      <w:r w:rsidRPr="003B2AC5">
        <w:rPr>
          <w:lang w:val="en-US"/>
        </w:rPr>
        <w:tab/>
      </w:r>
      <w:r w:rsidRPr="008970A7">
        <w:rPr>
          <w:b w:val="0"/>
          <w:i/>
          <w:lang w:val="en-US"/>
        </w:rPr>
        <w:t>Appellant</w:t>
      </w:r>
    </w:p>
    <w:p w:rsidR="00380A71" w:rsidRPr="00380A71" w:rsidRDefault="00380A71" w:rsidP="00380A71">
      <w:pPr>
        <w:pStyle w:val="SCCLsocVersus"/>
        <w:spacing w:after="720"/>
        <w:jc w:val="left"/>
        <w:rPr>
          <w:i/>
        </w:rPr>
      </w:pPr>
      <w:r w:rsidRPr="00380A71">
        <w:rPr>
          <w:i/>
        </w:rPr>
        <w:t>v.</w:t>
      </w:r>
    </w:p>
    <w:p w:rsidR="00380A71" w:rsidRPr="00380A71" w:rsidRDefault="00380A71" w:rsidP="00380A71"/>
    <w:p w:rsidR="00380A71" w:rsidRPr="00775F17" w:rsidRDefault="00380A71" w:rsidP="00380A71">
      <w:pPr>
        <w:pStyle w:val="SCCLsocLastPartyInRole"/>
      </w:pPr>
      <w:r w:rsidRPr="00D1209F">
        <w:rPr>
          <w:bCs/>
        </w:rPr>
        <w:t>Her Majesty The Queen</w:t>
      </w:r>
      <w:r>
        <w:tab/>
      </w:r>
      <w:r w:rsidRPr="008970A7">
        <w:rPr>
          <w:b w:val="0"/>
          <w:i/>
        </w:rPr>
        <w:t>Respondent</w:t>
      </w:r>
    </w:p>
    <w:p w:rsidR="00380A71" w:rsidRPr="00426659" w:rsidRDefault="00380A71" w:rsidP="00380A71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0973B5">
        <w:rPr>
          <w:b/>
          <w:lang w:val="en-US"/>
        </w:rPr>
        <w:t xml:space="preserve">R. </w:t>
      </w:r>
      <w:r w:rsidRPr="000973B5">
        <w:rPr>
          <w:b/>
          <w:i/>
          <w:lang w:val="en-US"/>
        </w:rPr>
        <w:t>v.</w:t>
      </w:r>
      <w:r w:rsidRPr="000973B5">
        <w:rPr>
          <w:b/>
          <w:lang w:val="en-US"/>
        </w:rPr>
        <w:t xml:space="preserve"> </w:t>
      </w:r>
      <w:r w:rsidRPr="009D6F6A">
        <w:rPr>
          <w:b/>
        </w:rPr>
        <w:t>Ramos</w:t>
      </w:r>
    </w:p>
    <w:p w:rsidR="00380A71" w:rsidRPr="00C02092" w:rsidRDefault="00380A71" w:rsidP="00380A71">
      <w:pPr>
        <w:pStyle w:val="SCCSystemYear"/>
        <w:spacing w:after="720"/>
        <w:jc w:val="both"/>
      </w:pPr>
      <w:r>
        <w:t>2021 SCC 15</w:t>
      </w:r>
    </w:p>
    <w:p w:rsidR="00380A71" w:rsidRDefault="00380A71" w:rsidP="00380A71">
      <w:pPr>
        <w:spacing w:after="720"/>
        <w:jc w:val="both"/>
      </w:pPr>
      <w:r>
        <w:t xml:space="preserve">File No.: </w:t>
      </w:r>
      <w:r>
        <w:rPr>
          <w:color w:val="000000"/>
        </w:rPr>
        <w:t>39466</w:t>
      </w:r>
      <w:r w:rsidRPr="001426A9">
        <w:t>.</w:t>
      </w:r>
    </w:p>
    <w:p w:rsidR="00380A71" w:rsidRDefault="00380A71" w:rsidP="00380A71">
      <w:pPr>
        <w:spacing w:after="720"/>
        <w:jc w:val="both"/>
      </w:pPr>
      <w:r>
        <w:rPr>
          <w:color w:val="000000"/>
        </w:rPr>
        <w:t>2021</w:t>
      </w:r>
      <w:r>
        <w:t xml:space="preserve">: </w:t>
      </w:r>
      <w:r>
        <w:rPr>
          <w:color w:val="000000"/>
        </w:rPr>
        <w:t>April 21</w:t>
      </w:r>
      <w:r w:rsidRPr="001426A9">
        <w:t>.</w:t>
      </w:r>
    </w:p>
    <w:p w:rsidR="00380A71" w:rsidRDefault="00380A71" w:rsidP="00380A71">
      <w:pPr>
        <w:spacing w:after="720"/>
        <w:jc w:val="both"/>
      </w:pPr>
      <w:r w:rsidRPr="001426A9">
        <w:t xml:space="preserve">Present: </w:t>
      </w:r>
      <w:r>
        <w:rPr>
          <w:color w:val="000000"/>
        </w:rPr>
        <w:t>Wagner C.J. and Moldaver, Karakatsanis, Brown and Kasirer</w:t>
      </w:r>
      <w:r w:rsidRPr="00BE77F5">
        <w:rPr>
          <w:color w:val="000000"/>
        </w:rPr>
        <w:t> JJ</w:t>
      </w:r>
      <w:r>
        <w:rPr>
          <w:color w:val="000000"/>
        </w:rPr>
        <w:t>.</w:t>
      </w:r>
    </w:p>
    <w:p w:rsidR="00380A71" w:rsidRPr="001C779F" w:rsidRDefault="00380A71" w:rsidP="00380A71">
      <w:pPr>
        <w:pStyle w:val="SCCLowerCourtNameLowercase"/>
        <w:spacing w:after="720" w:line="240" w:lineRule="auto"/>
      </w:pPr>
      <w:r>
        <w:t xml:space="preserve">on appeal from the court of appeal for </w:t>
      </w:r>
      <w:r>
        <w:rPr>
          <w:color w:val="000000"/>
        </w:rPr>
        <w:t>manitoba</w:t>
      </w:r>
    </w:p>
    <w:p w:rsidR="00380A71" w:rsidRPr="006949B2" w:rsidRDefault="00380A71" w:rsidP="00380A71">
      <w:pPr>
        <w:pStyle w:val="SCCNormalDoubleSpacing"/>
        <w:spacing w:after="480"/>
        <w:rPr>
          <w:i/>
        </w:rPr>
      </w:pPr>
      <w:r w:rsidRPr="00583EDE">
        <w:tab/>
      </w:r>
      <w:r>
        <w:rPr>
          <w:i/>
        </w:rPr>
        <w:t xml:space="preserve">Criminal law — Evidence — Assessment — Credibility — Sufficiency of reasons — Accused convicted at trial of sexual assault and sexual interference — Accused appealing convictions on basis that trial judge failed to give adequate reasons with respect to assessment of credibility of witnesses — Majority of Court of Appeal holding that trial judge’s reasons were sufficiently articulate in explaining how credibility issues were resolved, that trial judge applied </w:t>
      </w:r>
      <w:r>
        <w:rPr>
          <w:i/>
        </w:rPr>
        <w:lastRenderedPageBreak/>
        <w:t>proper framework to assess credibility, and that trial judge did not misapprehend evidence — Convictions upheld.</w:t>
      </w:r>
    </w:p>
    <w:p w:rsidR="00380A71" w:rsidRPr="004735FC" w:rsidRDefault="00380A71" w:rsidP="00380A71">
      <w:pPr>
        <w:pStyle w:val="SCCNormalDoubleSpacing"/>
        <w:spacing w:after="480"/>
      </w:pPr>
      <w:r w:rsidRPr="0077377D">
        <w:tab/>
      </w:r>
      <w:r w:rsidRPr="001426A9">
        <w:t xml:space="preserve">APPEAL from a judgment of the </w:t>
      </w:r>
      <w:r>
        <w:rPr>
          <w:color w:val="000000"/>
        </w:rPr>
        <w:t xml:space="preserve">Manitoba </w:t>
      </w:r>
      <w:r>
        <w:t>Court of Appeal (</w:t>
      </w:r>
      <w:r w:rsidRPr="004A5560">
        <w:t>Steel</w:t>
      </w:r>
      <w:r>
        <w:t xml:space="preserve">, </w:t>
      </w:r>
      <w:r w:rsidRPr="004A5560">
        <w:t xml:space="preserve">Burnett </w:t>
      </w:r>
      <w:r>
        <w:t>and</w:t>
      </w:r>
      <w:r w:rsidRPr="004A4E8F">
        <w:t xml:space="preserve"> </w:t>
      </w:r>
      <w:r w:rsidRPr="004A5560">
        <w:t>Mainella</w:t>
      </w:r>
      <w:r>
        <w:t> </w:t>
      </w:r>
      <w:r w:rsidRPr="004735FC">
        <w:t>JJ.A.</w:t>
      </w:r>
      <w:r>
        <w:t xml:space="preserve">), </w:t>
      </w:r>
      <w:r>
        <w:rPr>
          <w:color w:val="000000"/>
        </w:rPr>
        <w:t xml:space="preserve">2020 MBCA 111, </w:t>
      </w:r>
      <w:r w:rsidRPr="004A5560">
        <w:rPr>
          <w:color w:val="000000"/>
        </w:rPr>
        <w:t>457 D.L.R. (4th) 372</w:t>
      </w:r>
      <w:r>
        <w:rPr>
          <w:color w:val="000000"/>
        </w:rPr>
        <w:t>, [2020] M.J. No. </w:t>
      </w:r>
      <w:r w:rsidRPr="004A5560">
        <w:rPr>
          <w:color w:val="000000"/>
        </w:rPr>
        <w:t>266</w:t>
      </w:r>
      <w:r>
        <w:rPr>
          <w:color w:val="000000"/>
        </w:rPr>
        <w:t xml:space="preserve"> (QL), </w:t>
      </w:r>
      <w:r w:rsidRPr="004A5560">
        <w:rPr>
          <w:color w:val="000000"/>
        </w:rPr>
        <w:t>2020 CarswellMan 448</w:t>
      </w:r>
      <w:r>
        <w:rPr>
          <w:color w:val="000000"/>
        </w:rPr>
        <w:t xml:space="preserve"> (WL Can.), </w:t>
      </w:r>
      <w:r w:rsidRPr="00950718">
        <w:t>affirming the conviction</w:t>
      </w:r>
      <w:r>
        <w:t>s</w:t>
      </w:r>
      <w:r w:rsidRPr="00950718">
        <w:t xml:space="preserve"> for </w:t>
      </w:r>
      <w:r w:rsidRPr="00D666E9">
        <w:t>sexual assault and sexual interference</w:t>
      </w:r>
      <w:r>
        <w:t xml:space="preserve"> entered by Toews J., 2018 MBQB 89</w:t>
      </w:r>
      <w:r>
        <w:rPr>
          <w:bCs/>
        </w:rPr>
        <w:t>. Appeal dismissed.</w:t>
      </w:r>
    </w:p>
    <w:p w:rsidR="00380A71" w:rsidRDefault="00380A71" w:rsidP="00380A71">
      <w:pPr>
        <w:pStyle w:val="SCCLawFirm"/>
        <w:spacing w:after="480"/>
        <w:rPr>
          <w:lang w:val="en-US"/>
        </w:rPr>
      </w:pPr>
      <w:r>
        <w:rPr>
          <w:iCs/>
          <w:lang w:val="en-US"/>
        </w:rPr>
        <w:tab/>
      </w:r>
      <w:r w:rsidRPr="00686966">
        <w:rPr>
          <w:iCs/>
        </w:rPr>
        <w:t xml:space="preserve">Evan Roitenberg </w:t>
      </w:r>
      <w:r w:rsidRPr="00686966">
        <w:rPr>
          <w:i w:val="0"/>
          <w:iCs/>
        </w:rPr>
        <w:t>and</w:t>
      </w:r>
      <w:r w:rsidRPr="00686966">
        <w:rPr>
          <w:iCs/>
        </w:rPr>
        <w:t xml:space="preserve"> Laura Robinson</w:t>
      </w:r>
      <w:r w:rsidRPr="00906F2E">
        <w:rPr>
          <w:i w:val="0"/>
          <w:lang w:val="en-US"/>
        </w:rPr>
        <w:t>, for the appellant.</w:t>
      </w:r>
    </w:p>
    <w:p w:rsidR="00380A71" w:rsidRDefault="00380A71" w:rsidP="00380A71">
      <w:pPr>
        <w:pStyle w:val="SCCLawFirm"/>
        <w:spacing w:after="480"/>
        <w:rPr>
          <w:lang w:val="en-US"/>
        </w:rPr>
      </w:pPr>
      <w:r>
        <w:rPr>
          <w:iCs/>
          <w:lang w:val="en-US"/>
        </w:rPr>
        <w:tab/>
      </w:r>
      <w:r>
        <w:rPr>
          <w:iCs/>
        </w:rPr>
        <w:t xml:space="preserve">Jonathan Avey </w:t>
      </w:r>
      <w:r w:rsidRPr="00686966">
        <w:rPr>
          <w:i w:val="0"/>
          <w:iCs/>
        </w:rPr>
        <w:t>and</w:t>
      </w:r>
      <w:r>
        <w:rPr>
          <w:iCs/>
        </w:rPr>
        <w:t xml:space="preserve"> </w:t>
      </w:r>
      <w:r w:rsidRPr="00686966">
        <w:rPr>
          <w:iCs/>
        </w:rPr>
        <w:t>Craig Savage</w:t>
      </w:r>
      <w:r w:rsidRPr="00906F2E">
        <w:rPr>
          <w:i w:val="0"/>
          <w:lang w:val="en-US"/>
        </w:rPr>
        <w:t>, for the respondent.</w:t>
      </w:r>
    </w:p>
    <w:p w:rsidR="00380A71" w:rsidRPr="00906F2E" w:rsidRDefault="00380A71" w:rsidP="00380A71">
      <w:pPr>
        <w:pStyle w:val="SCCNormalDoubleSpacing"/>
        <w:spacing w:after="480"/>
        <w:rPr>
          <w:lang w:val="en-US"/>
        </w:rPr>
      </w:pPr>
      <w:r>
        <w:rPr>
          <w:lang w:val="en-US"/>
        </w:rPr>
        <w:tab/>
      </w:r>
      <w:r>
        <w:rPr>
          <w:color w:val="000000"/>
        </w:rPr>
        <w:t>The judgment of the Court was delivered orally by</w:t>
      </w:r>
    </w:p>
    <w:p w:rsidR="00380A71" w:rsidRDefault="00380A71" w:rsidP="00380A71">
      <w:pPr>
        <w:pStyle w:val="ParaNoNdepar-AltN"/>
        <w:numPr>
          <w:ilvl w:val="0"/>
          <w:numId w:val="0"/>
        </w:numPr>
      </w:pPr>
      <w:r>
        <w:rPr>
          <w:smallCaps/>
        </w:rPr>
        <w:t>[1]</w:t>
      </w:r>
      <w:r>
        <w:rPr>
          <w:smallCaps/>
        </w:rPr>
        <w:tab/>
      </w:r>
      <w:r w:rsidRPr="00F73CBB">
        <w:rPr>
          <w:smallCaps/>
        </w:rPr>
        <w:t>The Chief Justice</w:t>
      </w:r>
      <w:r w:rsidRPr="00F73CBB">
        <w:t xml:space="preserve"> — </w:t>
      </w:r>
      <w:r>
        <w:rPr>
          <w:color w:val="000000"/>
        </w:rPr>
        <w:t>We are all of the view, for the reasons of Justice Mainella of the Court of Appeal of Manitoba, to dismiss the appeal.</w:t>
      </w:r>
    </w:p>
    <w:p w:rsidR="00380A71" w:rsidRDefault="00380A71" w:rsidP="00380A71">
      <w:pPr>
        <w:pStyle w:val="SCCNormalDoubleSpacing"/>
        <w:spacing w:after="480"/>
        <w:rPr>
          <w:i/>
          <w:iCs/>
          <w:color w:val="000000"/>
        </w:rPr>
      </w:pPr>
      <w:r>
        <w:rPr>
          <w:i/>
          <w:iCs/>
          <w:color w:val="000000"/>
        </w:rPr>
        <w:tab/>
        <w:t>Judgment accordingly.</w:t>
      </w:r>
    </w:p>
    <w:p w:rsidR="00380A71" w:rsidRDefault="00380A71" w:rsidP="00380A71">
      <w:pPr>
        <w:pStyle w:val="SCCNormalDoubleSpacing"/>
        <w:spacing w:after="480"/>
        <w:rPr>
          <w:i/>
          <w:lang w:val="en-US"/>
        </w:rPr>
      </w:pPr>
      <w:r>
        <w:rPr>
          <w:lang w:val="en-US"/>
        </w:rPr>
        <w:tab/>
      </w:r>
      <w:r w:rsidRPr="000B2D7D">
        <w:rPr>
          <w:i/>
          <w:lang w:val="en-US"/>
        </w:rPr>
        <w:t>Solicitors for the appellant:</w:t>
      </w:r>
      <w:r w:rsidRPr="000B2D7D">
        <w:rPr>
          <w:bCs/>
          <w:i/>
          <w:szCs w:val="24"/>
          <w:lang w:val="en-US" w:eastAsia="en-US"/>
        </w:rPr>
        <w:t xml:space="preserve"> </w:t>
      </w:r>
      <w:r w:rsidRPr="000B2D7D">
        <w:rPr>
          <w:bCs/>
          <w:i/>
          <w:lang w:val="en-US"/>
        </w:rPr>
        <w:t>Gindin Wolson Simmonds Roitenberg</w:t>
      </w:r>
      <w:r w:rsidRPr="000B2D7D">
        <w:rPr>
          <w:i/>
          <w:iCs/>
          <w:lang w:val="en-US"/>
        </w:rPr>
        <w:t>, Winnipeg</w:t>
      </w:r>
      <w:r w:rsidRPr="000B2D7D">
        <w:rPr>
          <w:i/>
          <w:lang w:val="en-US"/>
        </w:rPr>
        <w:t>.</w:t>
      </w:r>
    </w:p>
    <w:p w:rsidR="00380A71" w:rsidRPr="000B2D7D" w:rsidRDefault="00380A71" w:rsidP="00380A71">
      <w:pPr>
        <w:pStyle w:val="SCCNormalDoubleSpacing"/>
        <w:spacing w:after="480"/>
        <w:rPr>
          <w:i/>
          <w:iCs/>
          <w:color w:val="000000"/>
        </w:rPr>
      </w:pPr>
      <w:r>
        <w:rPr>
          <w:lang w:val="en-US"/>
        </w:rPr>
        <w:tab/>
      </w:r>
      <w:r w:rsidRPr="000B2D7D">
        <w:rPr>
          <w:i/>
          <w:lang w:val="en-US"/>
        </w:rPr>
        <w:t xml:space="preserve">Solicitor for the respondent: </w:t>
      </w:r>
      <w:r w:rsidRPr="000B2D7D">
        <w:rPr>
          <w:bCs/>
          <w:i/>
          <w:lang w:val="en-US"/>
        </w:rPr>
        <w:t>Manitoba Justice</w:t>
      </w:r>
      <w:r w:rsidRPr="000B2D7D">
        <w:rPr>
          <w:i/>
          <w:lang w:val="en-US"/>
        </w:rPr>
        <w:t xml:space="preserve">, </w:t>
      </w:r>
      <w:r w:rsidRPr="000B2D7D">
        <w:rPr>
          <w:i/>
          <w:iCs/>
          <w:lang w:val="en-US"/>
        </w:rPr>
        <w:t>Winnipeg</w:t>
      </w:r>
      <w:r w:rsidRPr="000B2D7D">
        <w:rPr>
          <w:i/>
          <w:lang w:val="en-US"/>
        </w:rPr>
        <w:t>.</w:t>
      </w:r>
    </w:p>
    <w:p w:rsidR="00904937" w:rsidRPr="006B210C" w:rsidRDefault="00904937" w:rsidP="007E5890"/>
    <w:sectPr w:rsidR="00904937" w:rsidRPr="006B210C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8B" w:rsidRDefault="00B12D8B" w:rsidP="00F72014">
      <w:r>
        <w:separator/>
      </w:r>
    </w:p>
  </w:endnote>
  <w:endnote w:type="continuationSeparator" w:id="0">
    <w:p w:rsidR="00B12D8B" w:rsidRDefault="00B12D8B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8B" w:rsidRDefault="00B12D8B" w:rsidP="00F72014">
      <w:r>
        <w:separator/>
      </w:r>
    </w:p>
  </w:footnote>
  <w:footnote w:type="continuationSeparator" w:id="0">
    <w:p w:rsidR="00B12D8B" w:rsidRDefault="00B12D8B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80C"/>
    <w:multiLevelType w:val="multilevel"/>
    <w:tmpl w:val="ADBC8ADC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F171C"/>
    <w:rsid w:val="00114249"/>
    <w:rsid w:val="001311DA"/>
    <w:rsid w:val="001412E4"/>
    <w:rsid w:val="001648D4"/>
    <w:rsid w:val="001B0985"/>
    <w:rsid w:val="001D6B8C"/>
    <w:rsid w:val="001F1F83"/>
    <w:rsid w:val="00205C5C"/>
    <w:rsid w:val="00205C5D"/>
    <w:rsid w:val="00252460"/>
    <w:rsid w:val="00273D07"/>
    <w:rsid w:val="0028675F"/>
    <w:rsid w:val="002B196E"/>
    <w:rsid w:val="002C5A33"/>
    <w:rsid w:val="002D4FC9"/>
    <w:rsid w:val="00307011"/>
    <w:rsid w:val="00355967"/>
    <w:rsid w:val="00380A71"/>
    <w:rsid w:val="00384384"/>
    <w:rsid w:val="003B2BE1"/>
    <w:rsid w:val="003B3C63"/>
    <w:rsid w:val="003C2FF4"/>
    <w:rsid w:val="00440E94"/>
    <w:rsid w:val="00460AFC"/>
    <w:rsid w:val="004E69EC"/>
    <w:rsid w:val="004F090E"/>
    <w:rsid w:val="00540106"/>
    <w:rsid w:val="00582136"/>
    <w:rsid w:val="005A030E"/>
    <w:rsid w:val="005D4801"/>
    <w:rsid w:val="005F7BDA"/>
    <w:rsid w:val="006B210C"/>
    <w:rsid w:val="00701ABD"/>
    <w:rsid w:val="00755721"/>
    <w:rsid w:val="007740CA"/>
    <w:rsid w:val="007E2A6C"/>
    <w:rsid w:val="007E5890"/>
    <w:rsid w:val="00815561"/>
    <w:rsid w:val="00842677"/>
    <w:rsid w:val="00852D4E"/>
    <w:rsid w:val="00857EAC"/>
    <w:rsid w:val="00880B14"/>
    <w:rsid w:val="008970A7"/>
    <w:rsid w:val="00904937"/>
    <w:rsid w:val="0093524C"/>
    <w:rsid w:val="00996510"/>
    <w:rsid w:val="0099776C"/>
    <w:rsid w:val="009A648E"/>
    <w:rsid w:val="009E1B85"/>
    <w:rsid w:val="00A15427"/>
    <w:rsid w:val="00A51D10"/>
    <w:rsid w:val="00AA3EF8"/>
    <w:rsid w:val="00AB2201"/>
    <w:rsid w:val="00B12D8B"/>
    <w:rsid w:val="00B24C1A"/>
    <w:rsid w:val="00BD4217"/>
    <w:rsid w:val="00C003E6"/>
    <w:rsid w:val="00C60C2B"/>
    <w:rsid w:val="00CC3B1F"/>
    <w:rsid w:val="00CE17A0"/>
    <w:rsid w:val="00D030DA"/>
    <w:rsid w:val="00D76BDF"/>
    <w:rsid w:val="00DD3A90"/>
    <w:rsid w:val="00DF15D7"/>
    <w:rsid w:val="00E22DBA"/>
    <w:rsid w:val="00E356C7"/>
    <w:rsid w:val="00E5364D"/>
    <w:rsid w:val="00E64FA7"/>
    <w:rsid w:val="00E770CB"/>
    <w:rsid w:val="00EF0E44"/>
    <w:rsid w:val="00F36AF0"/>
    <w:rsid w:val="00F72014"/>
    <w:rsid w:val="00F9518C"/>
    <w:rsid w:val="00FA59EF"/>
    <w:rsid w:val="00FC2782"/>
    <w:rsid w:val="00FC70CB"/>
    <w:rsid w:val="00FE57D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252460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252460"/>
    <w:rPr>
      <w:b/>
      <w:smallCaps/>
      <w:lang w:val="en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252460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252460"/>
    <w:rPr>
      <w:lang w:val="en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99776C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99776C"/>
    <w:rPr>
      <w:lang w:val="en-CA"/>
    </w:rPr>
  </w:style>
  <w:style w:type="paragraph" w:customStyle="1" w:styleId="SCCLsocParty">
    <w:name w:val="SCC.Lsoc.Party"/>
    <w:basedOn w:val="Normal"/>
    <w:next w:val="Normal"/>
    <w:link w:val="SCCLsocPartyChar"/>
    <w:rsid w:val="0099776C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9776C"/>
    <w:rPr>
      <w:b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5ED5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FE5ED5"/>
    <w:rPr>
      <w:b/>
      <w:smallCaps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99776C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99776C"/>
    <w:rPr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99776C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99776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E5ED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FE5ED5"/>
    <w:rPr>
      <w:b/>
      <w:smallCaps/>
      <w:lang w:val="en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003E6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003E6"/>
    <w:rPr>
      <w:lang w:val="en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003E6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003E6"/>
    <w:rPr>
      <w:b/>
      <w:smallCaps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2C5A33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2C5A33"/>
    <w:rPr>
      <w:lang w:val="en-CA"/>
    </w:rPr>
  </w:style>
  <w:style w:type="paragraph" w:customStyle="1" w:styleId="SCCNormalDoubleSpacing">
    <w:name w:val="SCC.Normal.DoubleSpacing"/>
    <w:basedOn w:val="Normal"/>
    <w:link w:val="SCCNormalDoubleSpacingChar"/>
    <w:rsid w:val="00380A71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380A71"/>
    <w:rPr>
      <w:rFonts w:eastAsia="Times New Roman" w:cs="Times New Roman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380A71"/>
    <w:rPr>
      <w:rFonts w:eastAsia="Times New Roman" w:cs="Times New Roman"/>
      <w:b/>
      <w:szCs w:val="20"/>
      <w:lang w:eastAsia="en-CA"/>
    </w:rPr>
  </w:style>
  <w:style w:type="character" w:customStyle="1" w:styleId="SCCSystemYearChar">
    <w:name w:val="SCC.SystemYear Char"/>
    <w:basedOn w:val="DefaultParagraphFont"/>
    <w:link w:val="SCCSystemYear"/>
    <w:rsid w:val="00380A71"/>
    <w:rPr>
      <w:rFonts w:eastAsia="Times New Roman" w:cs="Times New Roman"/>
      <w:b/>
      <w:szCs w:val="20"/>
      <w:lang w:val="en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380A71"/>
    <w:rPr>
      <w:smallCaps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80A71"/>
    <w:rPr>
      <w:i/>
    </w:rPr>
  </w:style>
  <w:style w:type="character" w:customStyle="1" w:styleId="SCCLawFirmChar">
    <w:name w:val="SCC.LawFirm Char"/>
    <w:basedOn w:val="SCCNormalDoubleSpacingChar"/>
    <w:link w:val="SCCLawFirm"/>
    <w:rsid w:val="00380A71"/>
    <w:rPr>
      <w:rFonts w:eastAsia="Times New Roman" w:cs="Times New Roman"/>
      <w:i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80A71"/>
    <w:pPr>
      <w:tabs>
        <w:tab w:val="right" w:pos="8222"/>
      </w:tabs>
      <w:spacing w:after="720"/>
    </w:pPr>
    <w:rPr>
      <w:rFonts w:eastAsia="Times New Roman" w:cs="Times New Roman"/>
      <w:b/>
      <w:szCs w:val="20"/>
      <w:lang w:eastAsia="en-CA"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380A71"/>
    <w:rPr>
      <w:rFonts w:eastAsia="Times New Roman" w:cs="Times New Roman"/>
      <w:b/>
      <w:szCs w:val="20"/>
      <w:lang w:val="en-CA" w:eastAsia="en-CA"/>
    </w:rPr>
  </w:style>
  <w:style w:type="paragraph" w:customStyle="1" w:styleId="ParaNoNdepar-AltN">
    <w:name w:val="Para. No. / Nº de par. - Alt N"/>
    <w:link w:val="ParaNoNdepar-AltNChar"/>
    <w:qFormat/>
    <w:rsid w:val="00380A71"/>
    <w:pPr>
      <w:numPr>
        <w:numId w:val="1"/>
      </w:numPr>
      <w:tabs>
        <w:tab w:val="num" w:pos="1152"/>
      </w:tabs>
      <w:spacing w:before="480" w:after="480" w:line="480" w:lineRule="auto"/>
      <w:jc w:val="both"/>
    </w:pPr>
    <w:rPr>
      <w:rFonts w:eastAsiaTheme="minorEastAsia"/>
      <w:szCs w:val="22"/>
      <w:lang w:val="en-CA"/>
    </w:rPr>
  </w:style>
  <w:style w:type="character" w:customStyle="1" w:styleId="ParaNoNdepar-AltNChar">
    <w:name w:val="Para. No. / Nº de par. - Alt N Char"/>
    <w:basedOn w:val="DefaultParagraphFont"/>
    <w:link w:val="ParaNoNdepar-AltN"/>
    <w:rsid w:val="00380A71"/>
    <w:rPr>
      <w:rFonts w:eastAsiaTheme="minorEastAsia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D69F-F1E9-4764-B90C-3779496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2021-04-21T17:28:00Z</dcterms:created>
  <dcterms:modified xsi:type="dcterms:W3CDTF">2024-02-18T15:37:00Z</dcterms:modified>
</cp:coreProperties>
</file>