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85"/>
        <w:gridCol w:w="1752"/>
        <w:gridCol w:w="3325"/>
        <w:gridCol w:w="18"/>
      </w:tblGrid>
      <w:tr w:rsidR="007728C5" w:rsidRPr="007728C5" w14:paraId="24DB0C2F" w14:textId="77777777" w:rsidTr="00C0187C">
        <w:trPr>
          <w:trHeight w:val="2103"/>
        </w:trPr>
        <w:tc>
          <w:tcPr>
            <w:tcW w:w="5000" w:type="pct"/>
            <w:gridSpan w:val="4"/>
          </w:tcPr>
          <w:p w14:paraId="26921DF6" w14:textId="77777777" w:rsidR="007728C5" w:rsidRPr="007728C5" w:rsidRDefault="007728C5" w:rsidP="007728C5">
            <w:pPr>
              <w:jc w:val="center"/>
              <w:rPr>
                <w:szCs w:val="24"/>
                <w:lang w:val="en-CA" w:bidi="ar-SA"/>
              </w:rPr>
            </w:pPr>
            <w:r w:rsidRPr="007728C5">
              <w:rPr>
                <w:noProof/>
                <w:szCs w:val="24"/>
                <w:lang w:val="fr-CA" w:eastAsia="fr-CA" w:bidi="ar-SA"/>
              </w:rPr>
              <w:drawing>
                <wp:inline distT="0" distB="0" distL="0" distR="0" wp14:anchorId="1B78FEEC" wp14:editId="0BD857F7">
                  <wp:extent cx="1191895" cy="1638300"/>
                  <wp:effectExtent l="0" t="0" r="8255" b="0"/>
                  <wp:docPr id="4" name="Picture 4"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E94284E" w14:textId="77777777" w:rsidR="007728C5" w:rsidRPr="007728C5" w:rsidRDefault="007728C5" w:rsidP="007728C5">
            <w:pPr>
              <w:spacing w:before="120" w:after="100" w:afterAutospacing="1"/>
              <w:jc w:val="center"/>
              <w:rPr>
                <w:rFonts w:eastAsia="Calibri"/>
                <w:szCs w:val="24"/>
                <w:lang w:val="en-CA" w:bidi="ar-SA"/>
              </w:rPr>
            </w:pPr>
            <w:r w:rsidRPr="007728C5">
              <w:rPr>
                <w:rFonts w:eastAsia="Calibri"/>
                <w:b/>
                <w:szCs w:val="24"/>
                <w:lang w:val="en-CA" w:bidi="ar-SA"/>
              </w:rPr>
              <w:t>SUPREME COURT OF CANADA</w:t>
            </w:r>
          </w:p>
        </w:tc>
      </w:tr>
      <w:tr w:rsidR="007728C5" w:rsidRPr="007728C5" w14:paraId="4798B89C" w14:textId="77777777" w:rsidTr="00C0187C">
        <w:trPr>
          <w:gridAfter w:val="1"/>
          <w:wAfter w:w="11" w:type="pct"/>
        </w:trPr>
        <w:tc>
          <w:tcPr>
            <w:tcW w:w="1923" w:type="pct"/>
            <w:tcMar>
              <w:top w:w="284" w:type="dxa"/>
            </w:tcMar>
          </w:tcPr>
          <w:p w14:paraId="026F245F" w14:textId="0F86F88E" w:rsidR="007728C5" w:rsidRPr="007728C5" w:rsidRDefault="007728C5" w:rsidP="007728C5">
            <w:pPr>
              <w:spacing w:before="100" w:beforeAutospacing="1"/>
              <w:rPr>
                <w:rFonts w:eastAsia="Calibri"/>
                <w:szCs w:val="24"/>
                <w:lang w:val="en-CA" w:bidi="ar-SA"/>
              </w:rPr>
            </w:pPr>
            <w:r w:rsidRPr="007728C5">
              <w:rPr>
                <w:b/>
                <w:smallCaps/>
                <w:szCs w:val="24"/>
                <w:lang w:val="en-CA" w:bidi="ar-SA"/>
              </w:rPr>
              <w:t>Citation:</w:t>
            </w:r>
            <w:r w:rsidRPr="007728C5">
              <w:rPr>
                <w:szCs w:val="24"/>
                <w:lang w:val="en-CA" w:bidi="ar-SA"/>
              </w:rPr>
              <w:t xml:space="preserve"> Colucci </w:t>
            </w:r>
            <w:r w:rsidRPr="007728C5">
              <w:rPr>
                <w:i/>
                <w:szCs w:val="24"/>
                <w:lang w:val="en-CA" w:bidi="ar-SA"/>
              </w:rPr>
              <w:t>v.</w:t>
            </w:r>
            <w:r w:rsidRPr="007728C5">
              <w:rPr>
                <w:szCs w:val="24"/>
                <w:lang w:val="en-CA" w:bidi="ar-SA"/>
              </w:rPr>
              <w:t xml:space="preserve"> Colucci, 2021 SCC 24</w:t>
            </w:r>
            <w:r>
              <w:rPr>
                <w:szCs w:val="24"/>
                <w:lang w:val="en-CA" w:bidi="ar-SA"/>
              </w:rPr>
              <w:t>, [2021] 2 S.C.R. 3</w:t>
            </w:r>
            <w:bookmarkStart w:id="0" w:name="_GoBack"/>
            <w:bookmarkEnd w:id="0"/>
          </w:p>
        </w:tc>
        <w:tc>
          <w:tcPr>
            <w:tcW w:w="1058" w:type="pct"/>
          </w:tcPr>
          <w:p w14:paraId="7CD2F3F3" w14:textId="77777777" w:rsidR="007728C5" w:rsidRPr="007728C5" w:rsidRDefault="007728C5" w:rsidP="007728C5">
            <w:pPr>
              <w:rPr>
                <w:b/>
                <w:smallCaps/>
                <w:szCs w:val="24"/>
                <w:lang w:val="en-CA" w:bidi="ar-SA"/>
              </w:rPr>
            </w:pPr>
          </w:p>
        </w:tc>
        <w:tc>
          <w:tcPr>
            <w:tcW w:w="2008" w:type="pct"/>
            <w:tcMar>
              <w:top w:w="284" w:type="dxa"/>
            </w:tcMar>
          </w:tcPr>
          <w:p w14:paraId="43E5AE43" w14:textId="77777777" w:rsidR="007728C5" w:rsidRPr="007728C5" w:rsidRDefault="007728C5" w:rsidP="007728C5">
            <w:pPr>
              <w:rPr>
                <w:szCs w:val="24"/>
                <w:lang w:val="en-CA" w:bidi="ar-SA"/>
              </w:rPr>
            </w:pPr>
            <w:r w:rsidRPr="007728C5">
              <w:rPr>
                <w:b/>
                <w:smallCaps/>
                <w:szCs w:val="24"/>
                <w:lang w:val="en-CA" w:bidi="ar-SA"/>
              </w:rPr>
              <w:t>Appeal Heard:</w:t>
            </w:r>
            <w:r w:rsidRPr="007728C5">
              <w:rPr>
                <w:szCs w:val="24"/>
                <w:lang w:val="en-CA" w:bidi="ar-SA"/>
              </w:rPr>
              <w:t xml:space="preserve"> November 4, 2020</w:t>
            </w:r>
          </w:p>
          <w:p w14:paraId="5D5B09FE" w14:textId="77777777" w:rsidR="007728C5" w:rsidRPr="007728C5" w:rsidRDefault="007728C5" w:rsidP="007728C5">
            <w:pPr>
              <w:rPr>
                <w:szCs w:val="24"/>
                <w:lang w:val="en-CA" w:bidi="ar-SA"/>
              </w:rPr>
            </w:pPr>
            <w:r w:rsidRPr="007728C5">
              <w:rPr>
                <w:b/>
                <w:smallCaps/>
                <w:szCs w:val="24"/>
                <w:lang w:val="en-CA" w:bidi="ar-SA"/>
              </w:rPr>
              <w:t>Judgment Rendered:</w:t>
            </w:r>
            <w:r w:rsidRPr="007728C5">
              <w:rPr>
                <w:szCs w:val="24"/>
                <w:lang w:val="en-CA" w:bidi="ar-SA"/>
              </w:rPr>
              <w:t xml:space="preserve"> June 4, 2021</w:t>
            </w:r>
          </w:p>
          <w:p w14:paraId="089B4452" w14:textId="77777777" w:rsidR="007728C5" w:rsidRPr="007728C5" w:rsidRDefault="007728C5" w:rsidP="007728C5">
            <w:pPr>
              <w:rPr>
                <w:szCs w:val="24"/>
                <w:lang w:val="en-CA" w:bidi="ar-SA"/>
              </w:rPr>
            </w:pPr>
            <w:r w:rsidRPr="007728C5">
              <w:rPr>
                <w:b/>
                <w:smallCaps/>
                <w:szCs w:val="24"/>
                <w:lang w:val="en-CA" w:bidi="ar-SA"/>
              </w:rPr>
              <w:t>Docket:</w:t>
            </w:r>
            <w:r w:rsidRPr="007728C5">
              <w:rPr>
                <w:szCs w:val="24"/>
                <w:lang w:val="en-CA" w:bidi="ar-SA"/>
              </w:rPr>
              <w:t xml:space="preserve"> 38808</w:t>
            </w:r>
          </w:p>
        </w:tc>
      </w:tr>
      <w:tr w:rsidR="007728C5" w:rsidRPr="007728C5" w14:paraId="1AEF08E7" w14:textId="77777777" w:rsidTr="00C0187C">
        <w:tc>
          <w:tcPr>
            <w:tcW w:w="5000" w:type="pct"/>
            <w:gridSpan w:val="4"/>
          </w:tcPr>
          <w:p w14:paraId="48EF02B3" w14:textId="77777777" w:rsidR="007728C5" w:rsidRPr="007728C5" w:rsidRDefault="007728C5" w:rsidP="007728C5">
            <w:pPr>
              <w:rPr>
                <w:b/>
                <w:szCs w:val="24"/>
                <w:lang w:val="en-CA" w:bidi="ar-SA"/>
              </w:rPr>
            </w:pPr>
          </w:p>
          <w:p w14:paraId="1447788D" w14:textId="77777777" w:rsidR="007728C5" w:rsidRPr="007728C5" w:rsidRDefault="007728C5" w:rsidP="007728C5">
            <w:pPr>
              <w:rPr>
                <w:b/>
                <w:smallCaps/>
                <w:szCs w:val="24"/>
                <w:lang w:val="en-CA" w:bidi="ar-SA"/>
              </w:rPr>
            </w:pPr>
            <w:r w:rsidRPr="007728C5">
              <w:rPr>
                <w:b/>
                <w:smallCaps/>
                <w:szCs w:val="24"/>
                <w:lang w:val="en-CA" w:bidi="ar-SA"/>
              </w:rPr>
              <w:t>Between:</w:t>
            </w:r>
          </w:p>
          <w:p w14:paraId="14E885CD" w14:textId="77777777" w:rsidR="007728C5" w:rsidRPr="007728C5" w:rsidRDefault="007728C5" w:rsidP="007728C5">
            <w:pPr>
              <w:jc w:val="center"/>
              <w:rPr>
                <w:b/>
                <w:szCs w:val="24"/>
                <w:lang w:val="en-CA" w:bidi="ar-SA"/>
              </w:rPr>
            </w:pPr>
            <w:r w:rsidRPr="007728C5">
              <w:rPr>
                <w:b/>
                <w:szCs w:val="24"/>
                <w:lang w:val="en-CA" w:bidi="ar-SA"/>
              </w:rPr>
              <w:t>Felice Colucci</w:t>
            </w:r>
          </w:p>
          <w:p w14:paraId="3761D560" w14:textId="77777777" w:rsidR="007728C5" w:rsidRPr="007728C5" w:rsidRDefault="007728C5" w:rsidP="007728C5">
            <w:pPr>
              <w:jc w:val="center"/>
              <w:rPr>
                <w:szCs w:val="24"/>
                <w:lang w:val="en-CA" w:bidi="ar-SA"/>
              </w:rPr>
            </w:pPr>
            <w:r w:rsidRPr="007728C5">
              <w:rPr>
                <w:szCs w:val="24"/>
                <w:lang w:val="en-CA" w:bidi="ar-SA"/>
              </w:rPr>
              <w:t>Appellant</w:t>
            </w:r>
          </w:p>
          <w:p w14:paraId="3F439DCA" w14:textId="77777777" w:rsidR="007728C5" w:rsidRPr="007728C5" w:rsidRDefault="007728C5" w:rsidP="007728C5">
            <w:pPr>
              <w:rPr>
                <w:szCs w:val="24"/>
                <w:lang w:val="en-CA" w:bidi="ar-SA"/>
              </w:rPr>
            </w:pPr>
          </w:p>
          <w:p w14:paraId="20092706" w14:textId="77777777" w:rsidR="007728C5" w:rsidRPr="007728C5" w:rsidRDefault="007728C5" w:rsidP="007728C5">
            <w:pPr>
              <w:jc w:val="center"/>
              <w:rPr>
                <w:szCs w:val="24"/>
                <w:lang w:val="en-CA" w:bidi="ar-SA"/>
              </w:rPr>
            </w:pPr>
            <w:r w:rsidRPr="007728C5">
              <w:rPr>
                <w:szCs w:val="24"/>
                <w:lang w:val="en-CA" w:bidi="ar-SA"/>
              </w:rPr>
              <w:t>and</w:t>
            </w:r>
          </w:p>
          <w:p w14:paraId="1A2AE673" w14:textId="77777777" w:rsidR="007728C5" w:rsidRPr="007728C5" w:rsidRDefault="007728C5" w:rsidP="007728C5">
            <w:pPr>
              <w:rPr>
                <w:szCs w:val="24"/>
                <w:lang w:val="en-CA" w:bidi="ar-SA"/>
              </w:rPr>
            </w:pPr>
          </w:p>
          <w:p w14:paraId="7AD79860" w14:textId="77777777" w:rsidR="007728C5" w:rsidRPr="007728C5" w:rsidRDefault="007728C5" w:rsidP="007728C5">
            <w:pPr>
              <w:jc w:val="center"/>
              <w:rPr>
                <w:b/>
                <w:szCs w:val="24"/>
                <w:lang w:val="en-CA" w:bidi="ar-SA"/>
              </w:rPr>
            </w:pPr>
            <w:r w:rsidRPr="007728C5">
              <w:rPr>
                <w:b/>
                <w:szCs w:val="24"/>
                <w:lang w:val="en-CA" w:bidi="ar-SA"/>
              </w:rPr>
              <w:t>Lina Colucci</w:t>
            </w:r>
          </w:p>
          <w:p w14:paraId="3BFD8978" w14:textId="77777777" w:rsidR="007728C5" w:rsidRPr="007728C5" w:rsidRDefault="007728C5" w:rsidP="007728C5">
            <w:pPr>
              <w:jc w:val="center"/>
              <w:rPr>
                <w:szCs w:val="24"/>
                <w:lang w:val="en-CA" w:bidi="ar-SA"/>
              </w:rPr>
            </w:pPr>
            <w:r w:rsidRPr="007728C5">
              <w:rPr>
                <w:szCs w:val="24"/>
                <w:lang w:val="en-CA" w:bidi="ar-SA"/>
              </w:rPr>
              <w:t>Respondent</w:t>
            </w:r>
          </w:p>
          <w:p w14:paraId="088F9E55" w14:textId="77777777" w:rsidR="007728C5" w:rsidRPr="007728C5" w:rsidRDefault="007728C5" w:rsidP="007728C5">
            <w:pPr>
              <w:rPr>
                <w:szCs w:val="24"/>
                <w:lang w:val="en-CA" w:bidi="ar-SA"/>
              </w:rPr>
            </w:pPr>
          </w:p>
          <w:p w14:paraId="08B9DF46" w14:textId="77777777" w:rsidR="007728C5" w:rsidRPr="007728C5" w:rsidRDefault="007728C5" w:rsidP="007728C5">
            <w:pPr>
              <w:jc w:val="center"/>
              <w:rPr>
                <w:szCs w:val="24"/>
                <w:lang w:val="en-CA" w:bidi="ar-SA"/>
              </w:rPr>
            </w:pPr>
            <w:r w:rsidRPr="007728C5">
              <w:rPr>
                <w:szCs w:val="24"/>
                <w:lang w:val="en-CA" w:bidi="ar-SA"/>
              </w:rPr>
              <w:t>- and -</w:t>
            </w:r>
          </w:p>
          <w:p w14:paraId="5DB74357" w14:textId="77777777" w:rsidR="007728C5" w:rsidRPr="007728C5" w:rsidRDefault="007728C5" w:rsidP="007728C5">
            <w:pPr>
              <w:jc w:val="center"/>
              <w:rPr>
                <w:b/>
                <w:szCs w:val="24"/>
                <w:lang w:val="en-CA" w:bidi="ar-SA"/>
              </w:rPr>
            </w:pPr>
          </w:p>
          <w:p w14:paraId="5A9F4250" w14:textId="77777777" w:rsidR="007728C5" w:rsidRPr="007728C5" w:rsidRDefault="007728C5" w:rsidP="007728C5">
            <w:pPr>
              <w:jc w:val="center"/>
              <w:rPr>
                <w:b/>
                <w:szCs w:val="24"/>
                <w:lang w:val="en-CA" w:bidi="ar-SA"/>
              </w:rPr>
            </w:pPr>
            <w:r w:rsidRPr="007728C5">
              <w:rPr>
                <w:b/>
                <w:szCs w:val="24"/>
                <w:lang w:val="en-CA" w:bidi="ar-SA"/>
              </w:rPr>
              <w:t>West Coast Legal Education and Action Fund Association, Women’s Legal Education and Action Fund Inc. and Canada Without Poverty</w:t>
            </w:r>
          </w:p>
          <w:p w14:paraId="2ABFCB82" w14:textId="77777777" w:rsidR="007728C5" w:rsidRPr="007728C5" w:rsidRDefault="007728C5" w:rsidP="007728C5">
            <w:pPr>
              <w:jc w:val="center"/>
              <w:rPr>
                <w:szCs w:val="24"/>
                <w:lang w:val="en-CA" w:bidi="ar-SA"/>
              </w:rPr>
            </w:pPr>
            <w:r w:rsidRPr="007728C5">
              <w:rPr>
                <w:szCs w:val="24"/>
                <w:lang w:val="en-CA" w:bidi="ar-SA"/>
              </w:rPr>
              <w:t>Interveners</w:t>
            </w:r>
          </w:p>
        </w:tc>
      </w:tr>
    </w:tbl>
    <w:p w14:paraId="5F35551E" w14:textId="77777777" w:rsidR="007728C5" w:rsidRPr="007728C5" w:rsidRDefault="007728C5" w:rsidP="007728C5">
      <w:pPr>
        <w:rPr>
          <w:szCs w:val="24"/>
          <w:lang w:val="en-CA" w:bidi="ar-SA"/>
        </w:rPr>
      </w:pPr>
    </w:p>
    <w:p w14:paraId="1C0F3984" w14:textId="77777777" w:rsidR="007728C5" w:rsidRPr="007728C5" w:rsidRDefault="007728C5" w:rsidP="007728C5">
      <w:pPr>
        <w:rPr>
          <w:szCs w:val="24"/>
          <w:lang w:val="en-CA" w:bidi="ar-SA"/>
        </w:rPr>
      </w:pPr>
    </w:p>
    <w:p w14:paraId="0F1E39B9" w14:textId="77777777" w:rsidR="007728C5" w:rsidRPr="007728C5" w:rsidRDefault="007728C5" w:rsidP="007728C5">
      <w:pPr>
        <w:rPr>
          <w:szCs w:val="24"/>
          <w:lang w:val="en-CA" w:bidi="ar-SA"/>
        </w:rPr>
      </w:pPr>
    </w:p>
    <w:p w14:paraId="15992D99" w14:textId="77777777" w:rsidR="007728C5" w:rsidRPr="007728C5" w:rsidRDefault="007728C5" w:rsidP="007728C5">
      <w:pPr>
        <w:rPr>
          <w:szCs w:val="24"/>
          <w:lang w:val="en-CA" w:bidi="ar-SA"/>
        </w:rPr>
      </w:pPr>
      <w:r w:rsidRPr="007728C5">
        <w:rPr>
          <w:b/>
          <w:smallCaps/>
          <w:szCs w:val="24"/>
          <w:lang w:val="en-CA" w:bidi="ar-SA"/>
        </w:rPr>
        <w:t>Coram:</w:t>
      </w:r>
      <w:r w:rsidRPr="007728C5">
        <w:rPr>
          <w:szCs w:val="24"/>
          <w:lang w:val="en-CA" w:bidi="ar-SA"/>
        </w:rPr>
        <w:t xml:space="preserve"> Wagner C.J. and Abella, Moldaver, Karakatsanis, Côté, Brown, Rowe, Martin and Kasirer JJ.</w:t>
      </w:r>
    </w:p>
    <w:p w14:paraId="307713AF" w14:textId="77777777" w:rsidR="007728C5" w:rsidRPr="007728C5" w:rsidRDefault="007728C5" w:rsidP="007728C5">
      <w:pPr>
        <w:rPr>
          <w:szCs w:val="24"/>
          <w:lang w:val="en-CA" w:bidi="ar-SA"/>
        </w:rPr>
      </w:pPr>
    </w:p>
    <w:tbl>
      <w:tblPr>
        <w:tblStyle w:val="TableGrid2"/>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4604"/>
      </w:tblGrid>
      <w:tr w:rsidR="007728C5" w:rsidRPr="007728C5" w14:paraId="1C523625" w14:textId="77777777" w:rsidTr="00C0187C">
        <w:trPr>
          <w:cantSplit/>
        </w:trPr>
        <w:tc>
          <w:tcPr>
            <w:tcW w:w="3618" w:type="dxa"/>
          </w:tcPr>
          <w:p w14:paraId="633AF6E4" w14:textId="77777777" w:rsidR="007728C5" w:rsidRPr="007728C5" w:rsidRDefault="007728C5" w:rsidP="007728C5">
            <w:pPr>
              <w:rPr>
                <w:b/>
                <w:smallCaps/>
                <w:szCs w:val="24"/>
                <w:lang w:val="en-CA" w:bidi="ar-SA"/>
              </w:rPr>
            </w:pPr>
            <w:r w:rsidRPr="007728C5">
              <w:rPr>
                <w:b/>
                <w:smallCaps/>
                <w:szCs w:val="24"/>
                <w:lang w:val="en-CA" w:bidi="ar-SA"/>
              </w:rPr>
              <w:t>Reasons for Judgment:</w:t>
            </w:r>
          </w:p>
          <w:p w14:paraId="681E6C41" w14:textId="77777777" w:rsidR="007728C5" w:rsidRPr="007728C5" w:rsidRDefault="007728C5" w:rsidP="007728C5">
            <w:pPr>
              <w:rPr>
                <w:szCs w:val="24"/>
                <w:lang w:val="en-CA" w:bidi="ar-SA"/>
              </w:rPr>
            </w:pPr>
            <w:r w:rsidRPr="007728C5">
              <w:rPr>
                <w:szCs w:val="24"/>
                <w:lang w:val="en-CA" w:bidi="ar-SA"/>
              </w:rPr>
              <w:t>(paras. 1 to 143)</w:t>
            </w:r>
          </w:p>
        </w:tc>
        <w:tc>
          <w:tcPr>
            <w:tcW w:w="4604" w:type="dxa"/>
          </w:tcPr>
          <w:p w14:paraId="722BFB3D" w14:textId="77777777" w:rsidR="007728C5" w:rsidRPr="007728C5" w:rsidRDefault="007728C5" w:rsidP="007728C5">
            <w:pPr>
              <w:rPr>
                <w:szCs w:val="24"/>
                <w:lang w:val="en-CA" w:bidi="ar-SA"/>
              </w:rPr>
            </w:pPr>
            <w:r w:rsidRPr="007728C5">
              <w:rPr>
                <w:szCs w:val="24"/>
                <w:lang w:val="en-CA" w:bidi="ar-SA"/>
              </w:rPr>
              <w:t>Martin J. (Wagner C.J. and Abella, Moldaver, Karakatsanis, Côté, Brown, Rowe and Kasirer JJ. concurring)</w:t>
            </w:r>
          </w:p>
        </w:tc>
      </w:tr>
    </w:tbl>
    <w:p w14:paraId="18F3DAF9" w14:textId="77777777" w:rsidR="007728C5" w:rsidRPr="007728C5" w:rsidRDefault="007728C5" w:rsidP="007728C5">
      <w:pPr>
        <w:rPr>
          <w:szCs w:val="24"/>
          <w:lang w:val="en-CA" w:bidi="ar-SA"/>
        </w:rPr>
      </w:pPr>
    </w:p>
    <w:p w14:paraId="2E94BF3B" w14:textId="77777777" w:rsidR="007728C5" w:rsidRPr="007728C5" w:rsidRDefault="007728C5" w:rsidP="007728C5">
      <w:pPr>
        <w:rPr>
          <w:szCs w:val="24"/>
          <w:lang w:val="en-CA" w:bidi="ar-SA"/>
        </w:rPr>
      </w:pPr>
      <w:r w:rsidRPr="007728C5">
        <w:rPr>
          <w:noProof/>
          <w:szCs w:val="24"/>
          <w:lang w:val="fr-CA" w:eastAsia="fr-CA" w:bidi="ar-SA"/>
        </w:rPr>
        <mc:AlternateContent>
          <mc:Choice Requires="wps">
            <w:drawing>
              <wp:anchor distT="0" distB="0" distL="114300" distR="114300" simplePos="0" relativeHeight="251659264" behindDoc="0" locked="0" layoutInCell="1" allowOverlap="1" wp14:anchorId="05B34300" wp14:editId="491E072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CF96B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r w:rsidRPr="007728C5">
        <w:rPr>
          <w:rFonts w:cs="Times New Roman"/>
          <w:smallCaps/>
        </w:rPr>
        <w:br w:type="page"/>
      </w:r>
    </w:p>
    <w:p w14:paraId="02EF5965" w14:textId="77777777" w:rsidR="004C245D" w:rsidRPr="00BC7B06" w:rsidRDefault="004A15E5" w:rsidP="00BC7B06">
      <w:pPr>
        <w:pStyle w:val="SCCLsocLastPartyInRole"/>
        <w:rPr>
          <w:rFonts w:cs="Times New Roman"/>
          <w:b w:val="0"/>
          <w:lang w:val="fr-CA"/>
        </w:rPr>
      </w:pPr>
      <w:r w:rsidRPr="00D057A2">
        <w:rPr>
          <w:rFonts w:cs="Times New Roman"/>
          <w:lang w:val="fr-CA"/>
        </w:rPr>
        <w:t>Felice Colucci</w:t>
      </w:r>
      <w:r w:rsidRPr="00D057A2">
        <w:rPr>
          <w:rStyle w:val="SCCLsocPartyRole"/>
          <w:rFonts w:cs="Times New Roman"/>
          <w:lang w:val="fr-CA"/>
        </w:rPr>
        <w:tab/>
      </w:r>
      <w:r w:rsidRPr="00BC7B06">
        <w:rPr>
          <w:rStyle w:val="SCCLsocPartyRole"/>
          <w:rFonts w:cs="Times New Roman"/>
          <w:b w:val="0"/>
          <w:lang w:val="fr-CA"/>
        </w:rPr>
        <w:t>Appellant</w:t>
      </w:r>
    </w:p>
    <w:p w14:paraId="3345185C" w14:textId="77777777" w:rsidR="004C245D" w:rsidRPr="00D057A2" w:rsidRDefault="004A15E5" w:rsidP="00BC7B06">
      <w:pPr>
        <w:pStyle w:val="SCCLsocVersus"/>
        <w:spacing w:after="720"/>
        <w:rPr>
          <w:rFonts w:cs="Times New Roman"/>
        </w:rPr>
      </w:pPr>
      <w:proofErr w:type="gramStart"/>
      <w:r w:rsidRPr="00BC7B06">
        <w:rPr>
          <w:rFonts w:cs="Times New Roman"/>
          <w:i/>
        </w:rPr>
        <w:t>v</w:t>
      </w:r>
      <w:proofErr w:type="gramEnd"/>
      <w:r w:rsidRPr="00D057A2">
        <w:rPr>
          <w:rFonts w:cs="Times New Roman"/>
        </w:rPr>
        <w:t>.</w:t>
      </w:r>
    </w:p>
    <w:p w14:paraId="7CC462C1" w14:textId="77777777" w:rsidR="004C245D" w:rsidRPr="00D057A2" w:rsidRDefault="004A15E5" w:rsidP="00BC7B06">
      <w:pPr>
        <w:pStyle w:val="SCCLsocLastPartyInRole"/>
        <w:rPr>
          <w:rFonts w:cs="Times New Roman"/>
        </w:rPr>
      </w:pPr>
      <w:r w:rsidRPr="00D057A2">
        <w:rPr>
          <w:rFonts w:cs="Times New Roman"/>
        </w:rPr>
        <w:t>Lina Colucci</w:t>
      </w:r>
      <w:r w:rsidRPr="00D057A2">
        <w:rPr>
          <w:rStyle w:val="SCCLsocPartyRole"/>
          <w:rFonts w:cs="Times New Roman"/>
        </w:rPr>
        <w:tab/>
      </w:r>
      <w:r w:rsidRPr="00BC7B06">
        <w:rPr>
          <w:rStyle w:val="SCCLsocPartyRole"/>
          <w:rFonts w:cs="Times New Roman"/>
          <w:b w:val="0"/>
        </w:rPr>
        <w:t>Respondent</w:t>
      </w:r>
    </w:p>
    <w:p w14:paraId="150D7516" w14:textId="77777777" w:rsidR="004C245D" w:rsidRPr="00D057A2" w:rsidRDefault="004A15E5" w:rsidP="00BC7B06">
      <w:pPr>
        <w:pStyle w:val="SCCLsocOtherPartySeparator"/>
        <w:spacing w:after="720"/>
        <w:rPr>
          <w:rFonts w:cs="Times New Roman"/>
        </w:rPr>
      </w:pPr>
      <w:proofErr w:type="gramStart"/>
      <w:r w:rsidRPr="00D057A2">
        <w:rPr>
          <w:rFonts w:cs="Times New Roman"/>
        </w:rPr>
        <w:t>and</w:t>
      </w:r>
      <w:proofErr w:type="gramEnd"/>
    </w:p>
    <w:p w14:paraId="405180EB" w14:textId="77777777" w:rsidR="0094699A" w:rsidRPr="00B312E0" w:rsidRDefault="004A15E5" w:rsidP="00B312E0">
      <w:pPr>
        <w:pStyle w:val="SCCLsocParty"/>
        <w:spacing w:after="0"/>
        <w:rPr>
          <w:rFonts w:cs="Times New Roman"/>
          <w:b/>
        </w:rPr>
      </w:pPr>
      <w:r w:rsidRPr="00B312E0">
        <w:rPr>
          <w:rFonts w:cs="Times New Roman"/>
          <w:b/>
        </w:rPr>
        <w:t>West Coast Legal Education and Action Fund Association</w:t>
      </w:r>
      <w:r w:rsidR="0094699A" w:rsidRPr="00B312E0">
        <w:rPr>
          <w:rFonts w:cs="Times New Roman"/>
          <w:b/>
        </w:rPr>
        <w:t>,</w:t>
      </w:r>
    </w:p>
    <w:p w14:paraId="11CB8C7E" w14:textId="77777777" w:rsidR="004C245D" w:rsidRPr="00B312E0" w:rsidRDefault="004A15E5" w:rsidP="00B312E0">
      <w:pPr>
        <w:pStyle w:val="SCCLsocParty"/>
        <w:spacing w:after="0"/>
        <w:rPr>
          <w:rFonts w:cs="Times New Roman"/>
          <w:b/>
        </w:rPr>
      </w:pPr>
      <w:r w:rsidRPr="00B312E0">
        <w:rPr>
          <w:rFonts w:cs="Times New Roman"/>
          <w:b/>
        </w:rPr>
        <w:t>Women</w:t>
      </w:r>
      <w:r w:rsidR="0094699A" w:rsidRPr="00B312E0">
        <w:rPr>
          <w:rFonts w:cs="Times New Roman"/>
          <w:b/>
        </w:rPr>
        <w:t>’</w:t>
      </w:r>
      <w:r w:rsidRPr="00B312E0">
        <w:rPr>
          <w:rFonts w:cs="Times New Roman"/>
          <w:b/>
        </w:rPr>
        <w:t>s Legal</w:t>
      </w:r>
      <w:r w:rsidR="00341A77" w:rsidRPr="00B312E0">
        <w:rPr>
          <w:rFonts w:cs="Times New Roman"/>
          <w:b/>
        </w:rPr>
        <w:t xml:space="preserve"> Education and Action Fund Inc. and</w:t>
      </w:r>
    </w:p>
    <w:p w14:paraId="48D97E70" w14:textId="77777777" w:rsidR="004C245D" w:rsidRPr="00D057A2" w:rsidRDefault="004A15E5" w:rsidP="008117DF">
      <w:pPr>
        <w:pStyle w:val="SCCLsocLastPartyInRole"/>
        <w:rPr>
          <w:rFonts w:cs="Times New Roman"/>
        </w:rPr>
      </w:pPr>
      <w:r w:rsidRPr="00D057A2">
        <w:rPr>
          <w:rFonts w:cs="Times New Roman"/>
        </w:rPr>
        <w:t xml:space="preserve">Canada </w:t>
      </w:r>
      <w:proofErr w:type="gramStart"/>
      <w:r w:rsidRPr="00D057A2">
        <w:rPr>
          <w:rFonts w:cs="Times New Roman"/>
        </w:rPr>
        <w:t>Without</w:t>
      </w:r>
      <w:proofErr w:type="gramEnd"/>
      <w:r w:rsidRPr="00D057A2">
        <w:rPr>
          <w:rFonts w:cs="Times New Roman"/>
        </w:rPr>
        <w:t xml:space="preserve"> Poverty</w:t>
      </w:r>
      <w:r w:rsidRPr="00D057A2">
        <w:rPr>
          <w:rStyle w:val="SCCLsocPartyRole"/>
          <w:rFonts w:cs="Times New Roman"/>
        </w:rPr>
        <w:tab/>
      </w:r>
      <w:r w:rsidRPr="00BC7B06">
        <w:rPr>
          <w:rStyle w:val="SCCLsocPartyRole"/>
          <w:rFonts w:cs="Times New Roman"/>
          <w:b w:val="0"/>
        </w:rPr>
        <w:t>Interveners</w:t>
      </w:r>
    </w:p>
    <w:p w14:paraId="6CFE94E3" w14:textId="77777777" w:rsidR="00426659" w:rsidRPr="00D057A2" w:rsidRDefault="00426659" w:rsidP="008117DF">
      <w:pPr>
        <w:spacing w:after="720"/>
        <w:jc w:val="both"/>
        <w:rPr>
          <w:rFonts w:cs="Times New Roman"/>
          <w:b/>
        </w:rPr>
      </w:pPr>
      <w:r w:rsidRPr="00D057A2">
        <w:rPr>
          <w:rFonts w:cs="Times New Roman"/>
          <w:b/>
        </w:rPr>
        <w:t xml:space="preserve">Indexed as: </w:t>
      </w:r>
      <w:r w:rsidRPr="00D057A2">
        <w:rPr>
          <w:rStyle w:val="SCCAppellantForIndexChar"/>
          <w:rFonts w:cs="Times New Roman"/>
        </w:rPr>
        <w:t>Colucci</w:t>
      </w:r>
      <w:r w:rsidRPr="00D057A2">
        <w:rPr>
          <w:rFonts w:cs="Times New Roman"/>
          <w:b/>
        </w:rPr>
        <w:t xml:space="preserve"> </w:t>
      </w:r>
      <w:r w:rsidRPr="00D057A2">
        <w:rPr>
          <w:rFonts w:cs="Times New Roman"/>
          <w:b/>
          <w:i/>
        </w:rPr>
        <w:t>v.</w:t>
      </w:r>
      <w:r w:rsidRPr="00D057A2">
        <w:rPr>
          <w:rFonts w:cs="Times New Roman"/>
          <w:b/>
        </w:rPr>
        <w:t xml:space="preserve"> </w:t>
      </w:r>
      <w:r w:rsidRPr="00D057A2">
        <w:rPr>
          <w:rStyle w:val="SCCRespondentForIndexChar"/>
          <w:rFonts w:cs="Times New Roman"/>
        </w:rPr>
        <w:t>Colucci</w:t>
      </w:r>
    </w:p>
    <w:p w14:paraId="7206ADBE" w14:textId="352E6CAB" w:rsidR="00426659" w:rsidRPr="00D057A2" w:rsidRDefault="00AE4535" w:rsidP="008117DF">
      <w:pPr>
        <w:pStyle w:val="SCCSystemYear"/>
        <w:spacing w:after="720"/>
        <w:jc w:val="both"/>
        <w:rPr>
          <w:rFonts w:cs="Times New Roman"/>
        </w:rPr>
      </w:pPr>
      <w:r w:rsidRPr="00D057A2">
        <w:rPr>
          <w:rFonts w:cs="Times New Roman"/>
        </w:rPr>
        <w:t>2021</w:t>
      </w:r>
      <w:r w:rsidR="003D0399" w:rsidRPr="00D057A2">
        <w:rPr>
          <w:rFonts w:cs="Times New Roman"/>
        </w:rPr>
        <w:t xml:space="preserve"> </w:t>
      </w:r>
      <w:r w:rsidR="000F572F" w:rsidRPr="00D057A2">
        <w:rPr>
          <w:rFonts w:cs="Times New Roman"/>
        </w:rPr>
        <w:t>SCC 24</w:t>
      </w:r>
    </w:p>
    <w:p w14:paraId="69EBBC4F" w14:textId="77777777" w:rsidR="008322BD" w:rsidRPr="00D057A2" w:rsidRDefault="00341A77" w:rsidP="008117DF">
      <w:pPr>
        <w:spacing w:after="720"/>
        <w:jc w:val="both"/>
        <w:rPr>
          <w:rFonts w:cs="Times New Roman"/>
        </w:rPr>
      </w:pPr>
      <w:r w:rsidRPr="00D057A2">
        <w:rPr>
          <w:rFonts w:cs="Times New Roman"/>
        </w:rPr>
        <w:t xml:space="preserve">File No.: </w:t>
      </w:r>
      <w:r w:rsidR="009B57B3" w:rsidRPr="00D057A2">
        <w:rPr>
          <w:rFonts w:cs="Times New Roman"/>
        </w:rPr>
        <w:t>38808.</w:t>
      </w:r>
    </w:p>
    <w:p w14:paraId="1A334C29" w14:textId="6584519E" w:rsidR="008322BD" w:rsidRPr="00D057A2" w:rsidRDefault="00341A77" w:rsidP="008117DF">
      <w:pPr>
        <w:spacing w:after="720"/>
        <w:jc w:val="both"/>
        <w:rPr>
          <w:rFonts w:cs="Times New Roman"/>
        </w:rPr>
      </w:pPr>
      <w:r w:rsidRPr="00D057A2">
        <w:rPr>
          <w:rFonts w:cs="Times New Roman"/>
        </w:rPr>
        <w:t>2020:</w:t>
      </w:r>
      <w:r w:rsidR="008117DF" w:rsidRPr="00D057A2">
        <w:rPr>
          <w:rFonts w:cs="Times New Roman"/>
        </w:rPr>
        <w:t> November </w:t>
      </w:r>
      <w:r w:rsidR="00AE4535" w:rsidRPr="00D057A2">
        <w:rPr>
          <w:rFonts w:cs="Times New Roman"/>
        </w:rPr>
        <w:t>4</w:t>
      </w:r>
      <w:r w:rsidR="008117DF" w:rsidRPr="00D057A2">
        <w:rPr>
          <w:rFonts w:cs="Times New Roman"/>
        </w:rPr>
        <w:t>; 2021: June </w:t>
      </w:r>
      <w:r w:rsidR="00676D47" w:rsidRPr="00D057A2">
        <w:rPr>
          <w:rFonts w:cs="Times New Roman"/>
        </w:rPr>
        <w:t>4.</w:t>
      </w:r>
    </w:p>
    <w:p w14:paraId="678C48E2" w14:textId="77777777" w:rsidR="008322BD" w:rsidRPr="00D057A2" w:rsidRDefault="00341A77" w:rsidP="008117DF">
      <w:pPr>
        <w:spacing w:after="720"/>
        <w:jc w:val="both"/>
        <w:rPr>
          <w:rFonts w:cs="Times New Roman"/>
        </w:rPr>
      </w:pPr>
      <w:r w:rsidRPr="00D057A2">
        <w:rPr>
          <w:rFonts w:cs="Times New Roman"/>
        </w:rPr>
        <w:t xml:space="preserve">Present: </w:t>
      </w:r>
      <w:r w:rsidR="009B57B3" w:rsidRPr="00D057A2">
        <w:rPr>
          <w:rFonts w:cs="Times New Roman"/>
        </w:rPr>
        <w:t>Wagner C.J. and Abella, Moldaver, Karakatsanis, Côté, Brown, Rowe, Martin and Kasirer JJ.</w:t>
      </w:r>
    </w:p>
    <w:p w14:paraId="78F8591F" w14:textId="2A3A34AE" w:rsidR="00325941" w:rsidRPr="00D057A2" w:rsidRDefault="00656313" w:rsidP="00325941">
      <w:pPr>
        <w:pStyle w:val="SCCLowerCourtNameLowercase"/>
        <w:spacing w:after="480"/>
        <w:rPr>
          <w:rFonts w:cs="Times New Roman"/>
        </w:rPr>
      </w:pPr>
      <w:r w:rsidRPr="00D057A2">
        <w:rPr>
          <w:rFonts w:cs="Times New Roman"/>
        </w:rPr>
        <w:t>o</w:t>
      </w:r>
      <w:r w:rsidR="00170592" w:rsidRPr="00D057A2">
        <w:rPr>
          <w:rFonts w:cs="Times New Roman"/>
        </w:rPr>
        <w:t>n</w:t>
      </w:r>
      <w:r w:rsidR="00224FC0" w:rsidRPr="00D057A2">
        <w:rPr>
          <w:rFonts w:cs="Times New Roman"/>
        </w:rPr>
        <w:t xml:space="preserve"> </w:t>
      </w:r>
      <w:r w:rsidRPr="00D057A2">
        <w:rPr>
          <w:rFonts w:cs="Times New Roman"/>
        </w:rPr>
        <w:t>a</w:t>
      </w:r>
      <w:r w:rsidR="00170592" w:rsidRPr="00D057A2">
        <w:rPr>
          <w:rFonts w:cs="Times New Roman"/>
        </w:rPr>
        <w:t>ppeal</w:t>
      </w:r>
      <w:r w:rsidR="00224FC0" w:rsidRPr="00D057A2">
        <w:rPr>
          <w:rFonts w:cs="Times New Roman"/>
        </w:rPr>
        <w:t xml:space="preserve"> </w:t>
      </w:r>
      <w:r w:rsidR="00170592" w:rsidRPr="00D057A2">
        <w:rPr>
          <w:rFonts w:cs="Times New Roman"/>
        </w:rPr>
        <w:t>from</w:t>
      </w:r>
      <w:r w:rsidR="009567AA" w:rsidRPr="00D057A2">
        <w:rPr>
          <w:rFonts w:cs="Times New Roman"/>
        </w:rPr>
        <w:t xml:space="preserve"> the</w:t>
      </w:r>
      <w:r w:rsidR="00224FC0" w:rsidRPr="00D057A2">
        <w:rPr>
          <w:rFonts w:cs="Times New Roman"/>
        </w:rPr>
        <w:t xml:space="preserve"> </w:t>
      </w:r>
      <w:r w:rsidR="009B57B3" w:rsidRPr="00D057A2">
        <w:rPr>
          <w:rFonts w:cs="Times New Roman"/>
        </w:rPr>
        <w:t>court of appeal for ontario</w:t>
      </w:r>
    </w:p>
    <w:p w14:paraId="6A7FFE35" w14:textId="64C1A3F3" w:rsidR="00325941" w:rsidRPr="00D057A2" w:rsidRDefault="003F30CC" w:rsidP="003F30CC">
      <w:pPr>
        <w:pStyle w:val="SCCNormalDoubleSpacing"/>
        <w:spacing w:after="480"/>
        <w:rPr>
          <w:rFonts w:cs="Times New Roman"/>
          <w:i/>
          <w:szCs w:val="24"/>
        </w:rPr>
      </w:pPr>
      <w:r>
        <w:rPr>
          <w:rFonts w:cs="Times New Roman"/>
          <w:i/>
          <w:szCs w:val="24"/>
        </w:rPr>
        <w:lastRenderedPageBreak/>
        <w:tab/>
      </w:r>
      <w:r w:rsidR="00325941" w:rsidRPr="00D057A2">
        <w:rPr>
          <w:rFonts w:cs="Times New Roman"/>
          <w:i/>
          <w:szCs w:val="24"/>
        </w:rPr>
        <w:t>Family law — Support — Child support — Retroactive decrease — Rescission of arrears — Father owing</w:t>
      </w:r>
      <w:r w:rsidR="00D057A2">
        <w:rPr>
          <w:i/>
          <w:szCs w:val="24"/>
        </w:rPr>
        <w:t> $</w:t>
      </w:r>
      <w:r w:rsidR="00325941" w:rsidRPr="00D057A2">
        <w:rPr>
          <w:rFonts w:cs="Times New Roman"/>
          <w:i/>
          <w:szCs w:val="24"/>
        </w:rPr>
        <w:t xml:space="preserve">170,000 in child support arrears and seeking retroactive decrease in child support and rescission of arrears — Framework governing </w:t>
      </w:r>
      <w:r w:rsidR="00325941" w:rsidRPr="003F30CC">
        <w:rPr>
          <w:rFonts w:eastAsia="Times New Roman" w:cs="Times New Roman"/>
          <w:i/>
          <w:szCs w:val="20"/>
          <w:lang w:val="en-CA" w:eastAsia="en-CA" w:bidi="ar-SA"/>
        </w:rPr>
        <w:t>applications</w:t>
      </w:r>
      <w:r w:rsidR="00325941" w:rsidRPr="00D057A2">
        <w:rPr>
          <w:rFonts w:cs="Times New Roman"/>
          <w:i/>
          <w:szCs w:val="24"/>
        </w:rPr>
        <w:t xml:space="preserve"> by payor parent to retroactively decrease child support based on material change in circumstances — Framework governing applications by payor parent for rescission of child support arrears based on current and ongoing inability to pay — </w:t>
      </w:r>
      <w:r w:rsidR="00B312E0">
        <w:rPr>
          <w:rFonts w:cs="Times New Roman"/>
          <w:i/>
          <w:szCs w:val="24"/>
        </w:rPr>
        <w:t>Divorce Act, R.S.C. 1985, c. 3 (2nd Supp.), s. </w:t>
      </w:r>
      <w:r w:rsidR="00325941" w:rsidRPr="00D057A2">
        <w:rPr>
          <w:rFonts w:cs="Times New Roman"/>
          <w:i/>
          <w:szCs w:val="24"/>
        </w:rPr>
        <w:t>17.</w:t>
      </w:r>
    </w:p>
    <w:p w14:paraId="2BC69DB6" w14:textId="7E0984F1"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The parties were married in 1983 and divorced in 1996. The mother was granted sole custody of the parties’ two daughters and the father was required to pay child support of</w:t>
      </w:r>
      <w:r>
        <w:rPr>
          <w:rFonts w:cs="Times New Roman"/>
          <w:szCs w:val="24"/>
        </w:rPr>
        <w:t xml:space="preserve"> </w:t>
      </w:r>
      <w:r w:rsidR="00D057A2">
        <w:rPr>
          <w:szCs w:val="24"/>
        </w:rPr>
        <w:t>$</w:t>
      </w:r>
      <w:r w:rsidR="00325941" w:rsidRPr="00D057A2">
        <w:rPr>
          <w:rFonts w:cs="Times New Roman"/>
          <w:szCs w:val="24"/>
        </w:rPr>
        <w:t>115 per week per child until they were no longer children of the marriage. In 1998, the father requested a reduction in his child support obligations, but provided no financial disclosure to support his request and the parties reached no agreement at that time. The father’s child support obligations ended in 2012. From 1998 to 2016, the father made no voluntary child support payments and only limited sums were collected through enforcement mechanisms. During the period in which the arrears accrued, the father was absent from the children’s lives and his whereabouts were unknown. In 2016, the father applied to retroactively reduce child support and rescind the arrears of approximately</w:t>
      </w:r>
      <w:r>
        <w:rPr>
          <w:szCs w:val="24"/>
        </w:rPr>
        <w:t xml:space="preserve"> </w:t>
      </w:r>
      <w:r w:rsidR="00D057A2">
        <w:rPr>
          <w:szCs w:val="24"/>
        </w:rPr>
        <w:t>$</w:t>
      </w:r>
      <w:r w:rsidR="00325941" w:rsidRPr="00D057A2">
        <w:rPr>
          <w:rFonts w:cs="Times New Roman"/>
          <w:szCs w:val="24"/>
        </w:rPr>
        <w:t xml:space="preserve">170,000. He provided little documentation or financial disclosure to support his claims. The </w:t>
      </w:r>
      <w:r w:rsidR="007A4297">
        <w:rPr>
          <w:rFonts w:cs="Times New Roman"/>
          <w:szCs w:val="24"/>
        </w:rPr>
        <w:t xml:space="preserve">motion </w:t>
      </w:r>
      <w:r w:rsidR="00325941" w:rsidRPr="00D057A2">
        <w:rPr>
          <w:rFonts w:cs="Times New Roman"/>
          <w:szCs w:val="24"/>
        </w:rPr>
        <w:t>judge retroactively decreased support, effectively reducing the arrears owing to</w:t>
      </w:r>
      <w:r>
        <w:rPr>
          <w:szCs w:val="24"/>
        </w:rPr>
        <w:t xml:space="preserve"> </w:t>
      </w:r>
      <w:r w:rsidR="00D057A2">
        <w:rPr>
          <w:szCs w:val="24"/>
        </w:rPr>
        <w:t>$</w:t>
      </w:r>
      <w:r w:rsidR="00325941" w:rsidRPr="00D057A2">
        <w:rPr>
          <w:rFonts w:cs="Times New Roman"/>
          <w:szCs w:val="24"/>
        </w:rPr>
        <w:t xml:space="preserve">41,642. He found that this variation was warranted in order to bring the child support in line with the </w:t>
      </w:r>
      <w:r w:rsidR="00325941" w:rsidRPr="00D057A2">
        <w:rPr>
          <w:rFonts w:cs="Times New Roman"/>
          <w:i/>
          <w:szCs w:val="24"/>
        </w:rPr>
        <w:t>Federal Child Support Guidelines</w:t>
      </w:r>
      <w:r w:rsidR="00325941" w:rsidRPr="00D057A2">
        <w:rPr>
          <w:rFonts w:cs="Times New Roman"/>
          <w:szCs w:val="24"/>
        </w:rPr>
        <w:t xml:space="preserve"> and to reflect the father’s drop in income over the period when the arrears were accruing. The Court of Appeal overturned that decision and ordered that the father pay the full amount of the arrears.</w:t>
      </w:r>
    </w:p>
    <w:p w14:paraId="11AC0B82" w14:textId="6F454E98" w:rsidR="00325941" w:rsidRPr="00D057A2" w:rsidRDefault="00B312E0" w:rsidP="003F30CC">
      <w:pPr>
        <w:pStyle w:val="SCCNormalDoubleSpacing"/>
        <w:spacing w:after="480"/>
        <w:rPr>
          <w:rFonts w:cs="Times New Roman"/>
          <w:szCs w:val="24"/>
        </w:rPr>
      </w:pPr>
      <w:r>
        <w:rPr>
          <w:rFonts w:cs="Times New Roman"/>
          <w:i/>
          <w:szCs w:val="24"/>
        </w:rPr>
        <w:tab/>
      </w:r>
      <w:r w:rsidR="00325941" w:rsidRPr="00D057A2">
        <w:rPr>
          <w:rFonts w:cs="Times New Roman"/>
          <w:i/>
          <w:szCs w:val="24"/>
        </w:rPr>
        <w:t>Held</w:t>
      </w:r>
      <w:r w:rsidR="00325941" w:rsidRPr="00D057A2">
        <w:rPr>
          <w:rFonts w:cs="Times New Roman"/>
          <w:szCs w:val="24"/>
        </w:rPr>
        <w:t xml:space="preserve">: The appeal </w:t>
      </w:r>
      <w:r w:rsidR="00325941" w:rsidRPr="003F30CC">
        <w:rPr>
          <w:rFonts w:eastAsia="Times New Roman" w:cs="Times New Roman"/>
          <w:szCs w:val="20"/>
          <w:lang w:val="en-CA" w:eastAsia="en-CA" w:bidi="ar-SA"/>
        </w:rPr>
        <w:t>should</w:t>
      </w:r>
      <w:r w:rsidR="00325941" w:rsidRPr="00D057A2">
        <w:rPr>
          <w:rFonts w:cs="Times New Roman"/>
          <w:szCs w:val="24"/>
        </w:rPr>
        <w:t xml:space="preserve"> be dismissed.</w:t>
      </w:r>
    </w:p>
    <w:p w14:paraId="541FB83D" w14:textId="50E50D50"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Courts have and need wide discretion to vary child support orders to ensure the correct amount of </w:t>
      </w:r>
      <w:r w:rsidR="00325941" w:rsidRPr="003F30CC">
        <w:rPr>
          <w:rFonts w:eastAsia="Times New Roman" w:cs="Times New Roman"/>
          <w:szCs w:val="20"/>
          <w:lang w:val="en-CA" w:eastAsia="en-CA" w:bidi="ar-SA"/>
        </w:rPr>
        <w:t>child</w:t>
      </w:r>
      <w:r w:rsidR="00325941" w:rsidRPr="00D057A2">
        <w:rPr>
          <w:rFonts w:cs="Times New Roman"/>
          <w:szCs w:val="24"/>
        </w:rPr>
        <w:t xml:space="preserve"> support is being paid and to adapt to the enormous diversity of individual circumstances that families face. In building a framework for cases involving the variation of child support and the rescission of arrears, three interests must be balanced to achieve a fair result: the child’s interest in receiving the appropriate amount of support to which they are entitled; the interest of the parties and the child in certainty and predictability; and the need for flexibility to ensure a just result in light of fluct</w:t>
      </w:r>
      <w:r w:rsidR="00307152" w:rsidRPr="00D057A2">
        <w:rPr>
          <w:rFonts w:cs="Times New Roman"/>
          <w:szCs w:val="24"/>
        </w:rPr>
        <w:t xml:space="preserve">uations in the payor’s income. </w:t>
      </w:r>
      <w:r w:rsidR="00325941" w:rsidRPr="00D057A2">
        <w:rPr>
          <w:rFonts w:cs="Times New Roman"/>
          <w:szCs w:val="24"/>
        </w:rPr>
        <w:t>The child’s interest in a fair standard of support commensurate with income is the core interest to which all rules and principles must yield. A fair result that adequately protects this interest will sometimes lean toward preserving certainty, and sometimes toward flexibility.</w:t>
      </w:r>
    </w:p>
    <w:p w14:paraId="6D3BCD16" w14:textId="72E2742D" w:rsidR="00325941" w:rsidRPr="00D057A2" w:rsidRDefault="00B312E0" w:rsidP="00B312E0">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Any framework for decreased child support must also account for the informational asymmetry between the parties and the resulting need for full and frank disclosure of the payor’s income. The child support system depends upon adequate, accurate and </w:t>
      </w:r>
      <w:r w:rsidR="00325941" w:rsidRPr="003F30CC">
        <w:rPr>
          <w:rFonts w:eastAsia="Times New Roman" w:cs="Times New Roman"/>
          <w:szCs w:val="20"/>
          <w:lang w:val="en-CA" w:eastAsia="en-CA" w:bidi="ar-SA"/>
        </w:rPr>
        <w:t>timely</w:t>
      </w:r>
      <w:r w:rsidR="00325941" w:rsidRPr="00D057A2">
        <w:rPr>
          <w:rFonts w:cs="Times New Roman"/>
          <w:szCs w:val="24"/>
        </w:rPr>
        <w:t xml:space="preserve"> financial disclosure. Disclosure is the linchpin on which fair support depends and the relevant legal tests must encourage the timely provi</w:t>
      </w:r>
      <w:r w:rsidR="00307152" w:rsidRPr="00D057A2">
        <w:rPr>
          <w:rFonts w:cs="Times New Roman"/>
          <w:szCs w:val="24"/>
        </w:rPr>
        <w:t xml:space="preserve">sion of necessary information. </w:t>
      </w:r>
      <w:r w:rsidR="00325941" w:rsidRPr="00D057A2">
        <w:rPr>
          <w:rFonts w:cs="Times New Roman"/>
          <w:szCs w:val="24"/>
        </w:rPr>
        <w:t>In a system that ties support to payor income, it is the payor who knows and controls the information needed to calculate the appropriate amount of support. The recipient does not have access to this information, except to the extent that the payor chooses or is made to share it. Thus, full and frank disclosure of income information by the payor lies at the foundation of the child support regime and is also a precondit</w:t>
      </w:r>
      <w:r w:rsidR="00307152" w:rsidRPr="00D057A2">
        <w:rPr>
          <w:rFonts w:cs="Times New Roman"/>
          <w:szCs w:val="24"/>
        </w:rPr>
        <w:t xml:space="preserve">ion to good faith negotiation. </w:t>
      </w:r>
      <w:r w:rsidR="00325941" w:rsidRPr="00D057A2">
        <w:rPr>
          <w:rFonts w:cs="Times New Roman"/>
          <w:szCs w:val="24"/>
        </w:rPr>
        <w:t>Without it, the parties cannot stand on the equal footing required to make informed decisions and resolve child support disputes outside of court. The payor’s duty to disclose income information is a corollary of the legal obligation to pay support commensurate with income. Proactive disclosure of changes in income is the first step to ensuring that child support obligations are tied to payor income as it fluctuates.</w:t>
      </w:r>
    </w:p>
    <w:p w14:paraId="2A37AF51" w14:textId="29AB30C1"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The framework applicable to a payor’s application for a retroactive decrease in support based on a material change in circumstances covers situations in which the payor has </w:t>
      </w:r>
      <w:r w:rsidR="00325941" w:rsidRPr="003F30CC">
        <w:rPr>
          <w:rFonts w:eastAsia="Times New Roman" w:cs="Times New Roman"/>
          <w:szCs w:val="20"/>
          <w:lang w:val="en-CA" w:eastAsia="en-CA" w:bidi="ar-SA"/>
        </w:rPr>
        <w:t>experienced</w:t>
      </w:r>
      <w:r w:rsidR="00325941" w:rsidRPr="00D057A2">
        <w:rPr>
          <w:rFonts w:cs="Times New Roman"/>
          <w:szCs w:val="24"/>
        </w:rPr>
        <w:t xml:space="preserve"> a material drop in income that affected their ability to make payments as they came due. A payor seeking a downward retroactive change must first show a past change in circumstances. Most commonly, the retroactive variation claim will be based on a material change in income. The payor must have disclosed sufficient reliable evidence to determine when and how far their income fell, and to ascertain whether the change was significant, long lasting, and not one of choice. A payor’s whose income was originally imputed because of an initial lack of disclosure cannot rely on their own late disclosure as a change in circumstances to ground a variation order. </w:t>
      </w:r>
    </w:p>
    <w:p w14:paraId="7A3462ED" w14:textId="277A19C8"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Once a material change in circumstances is established, a presumption arises in favour of </w:t>
      </w:r>
      <w:r w:rsidR="00325941" w:rsidRPr="003F30CC">
        <w:rPr>
          <w:rFonts w:eastAsia="Times New Roman" w:cs="Times New Roman"/>
          <w:szCs w:val="20"/>
          <w:lang w:val="en-CA" w:eastAsia="en-CA" w:bidi="ar-SA"/>
        </w:rPr>
        <w:t>retroactively</w:t>
      </w:r>
      <w:r w:rsidR="00325941" w:rsidRPr="00D057A2">
        <w:rPr>
          <w:rFonts w:cs="Times New Roman"/>
          <w:szCs w:val="24"/>
        </w:rPr>
        <w:t xml:space="preserve"> decreasing child support to the date the payor gave the recipient effective notice, up to three years before formal notice of the application to vary. Effective notice requires clear communication of the change in circumstances accompanied by the disclosure of any available documentation necessary to substantiate the change and allow the recipient parent to meaningfully assess the situation — it is not enough for the payor to merely broach the subject of a reduction of support with the recipient. The presumption that support will be reduced back to the date of effective notice strikes a fair balance between the certainty interests of the child and recipient and the payor’s interest in flexibility. While recipients should be aware that support varies with payor income, they are at an informational disadvantage. The recipient is entitled to rely on the court order or agreement in the absence of proper communication and disclosure by the payor showing a decrease in income that is lasting and genuine. While a drop in support can be presumed to have detrimental impacts on the child, ongoing communication and disclosure cushions those impacts and preserves the child’s best interests t</w:t>
      </w:r>
      <w:r w:rsidR="00307152" w:rsidRPr="00D057A2">
        <w:rPr>
          <w:rFonts w:cs="Times New Roman"/>
          <w:szCs w:val="24"/>
        </w:rPr>
        <w:t xml:space="preserve">o the fullest extent possible. </w:t>
      </w:r>
      <w:r w:rsidR="00325941" w:rsidRPr="00D057A2">
        <w:rPr>
          <w:rFonts w:cs="Times New Roman"/>
          <w:szCs w:val="24"/>
        </w:rPr>
        <w:t>In the absence of effective notice of a drop in payor income, certainty and predictability for the child are to be prioritized over the payor’s interest in flexibility. The payor’s interest in flex</w:t>
      </w:r>
      <w:r w:rsidR="00307152" w:rsidRPr="00D057A2">
        <w:rPr>
          <w:rFonts w:cs="Times New Roman"/>
          <w:szCs w:val="24"/>
        </w:rPr>
        <w:t>ibility comes to the forefront only</w:t>
      </w:r>
      <w:r w:rsidR="00325941" w:rsidRPr="00D057A2">
        <w:rPr>
          <w:rFonts w:cs="Times New Roman"/>
          <w:szCs w:val="24"/>
        </w:rPr>
        <w:t xml:space="preserve"> once effective notice is given. The presumption provides payors with the certainty of knowing that any material change in income should be disclosed. The payor therefore has control over the date of notice and the date of retroactivity.</w:t>
      </w:r>
    </w:p>
    <w:p w14:paraId="6B4A130C" w14:textId="123BD3F1"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Even where the payor has given proper effective notice, the period of retroactivity is </w:t>
      </w:r>
      <w:r w:rsidR="00325941" w:rsidRPr="003F30CC">
        <w:rPr>
          <w:rFonts w:eastAsia="Times New Roman" w:cs="Times New Roman"/>
          <w:szCs w:val="20"/>
          <w:lang w:val="en-CA" w:eastAsia="en-CA" w:bidi="ar-SA"/>
        </w:rPr>
        <w:t>presumed</w:t>
      </w:r>
      <w:r w:rsidR="00325941" w:rsidRPr="00D057A2">
        <w:rPr>
          <w:rFonts w:cs="Times New Roman"/>
          <w:szCs w:val="24"/>
        </w:rPr>
        <w:t xml:space="preserve"> to extend no further than three years before the date of formal notice. The presumptive three</w:t>
      </w:r>
      <w:r w:rsidR="00D057A2">
        <w:rPr>
          <w:szCs w:val="24"/>
        </w:rPr>
        <w:noBreakHyphen/>
      </w:r>
      <w:r w:rsidR="00325941" w:rsidRPr="00D057A2">
        <w:rPr>
          <w:rFonts w:cs="Times New Roman"/>
          <w:szCs w:val="24"/>
        </w:rPr>
        <w:t>year limit allows the parties time to negotiate but recognizes that the payor must commence proceedings in a timely manner if negotiations fail in order to protect the certainty interests of the child and recipient. The presumptive three</w:t>
      </w:r>
      <w:r w:rsidR="00D057A2">
        <w:rPr>
          <w:szCs w:val="24"/>
        </w:rPr>
        <w:noBreakHyphen/>
      </w:r>
      <w:r w:rsidR="00325941" w:rsidRPr="00D057A2">
        <w:rPr>
          <w:rFonts w:cs="Times New Roman"/>
          <w:szCs w:val="24"/>
        </w:rPr>
        <w:t>year limit is also justified by evidentiary concerns as the best evidence of income or ability to earn income is generally more readily available closer to the time that the income is earned. Where no effective notice is given by the payor parent, child support should generally be varied back to the date of formal notice, or a later date where the payor has delayed making complete disclosure in the course of the proceedings.</w:t>
      </w:r>
    </w:p>
    <w:p w14:paraId="397969D3" w14:textId="1C3E8691"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The court retains discretion to depart from the presumptive date of retroactivity where the result would otherwise be unfair in the circumstances of a particular case. The four factors set out in </w:t>
      </w:r>
      <w:r w:rsidR="00325941" w:rsidRPr="00D057A2">
        <w:rPr>
          <w:rFonts w:cs="Times New Roman"/>
          <w:i/>
          <w:szCs w:val="24"/>
        </w:rPr>
        <w:t>D.B.S. v. S.R.G.</w:t>
      </w:r>
      <w:r w:rsidR="00325941" w:rsidRPr="00D057A2">
        <w:rPr>
          <w:rFonts w:cs="Times New Roman"/>
          <w:szCs w:val="24"/>
        </w:rPr>
        <w:t>, 2006 SCC 37, [2006] 2 S.C.R. 231 — adapted to suit the retroactive decrease context — help the court reach a fair balancing of the three interests at play, namely the child’s interest in a fair standard of support, the payor’s interest in flexibility, and the interest of the child and recipient in certainty. The first factor is whether the payor has an understandable reason for the delay in giving effective notice or seeking relief in the courts. Judges are well placed to assess whether the reasons proffered for the delay explain the extent of the payor’s inactivity. Where the payor has such a reason, fairness may militate in favour of extending the date of retroactivity to a time before the date of effective notice or not applying the three</w:t>
      </w:r>
      <w:r w:rsidR="00D057A2">
        <w:rPr>
          <w:szCs w:val="24"/>
        </w:rPr>
        <w:noBreakHyphen/>
      </w:r>
      <w:r w:rsidR="00325941" w:rsidRPr="00D057A2">
        <w:rPr>
          <w:rFonts w:cs="Times New Roman"/>
          <w:szCs w:val="24"/>
        </w:rPr>
        <w:t>year limit. The recipient’s delay in enforcing arrears is irrelevant to the analysis. The second factor is the payor’s conduct. The payor’s efforts to disclose and communicate will often be prominent considerations. Genuine efforts to continue paying as much as the payor can will show good faith and a willingness to support the child. The circumstances of the child are the third factor. If the child has experienced hardship or is currently in need, this factor militates in favour of a shorter period of retroactivity. Another relevant consideration is whether the retroactive decrease would result in an order requiring the recipient to repay support to remedy an overpayment</w:t>
      </w:r>
      <w:r w:rsidR="00307152" w:rsidRPr="00D057A2">
        <w:rPr>
          <w:rFonts w:cs="Times New Roman"/>
          <w:szCs w:val="24"/>
        </w:rPr>
        <w:t>.</w:t>
      </w:r>
      <w:r w:rsidR="00325941" w:rsidRPr="00D057A2">
        <w:rPr>
          <w:rFonts w:cs="Times New Roman"/>
          <w:szCs w:val="24"/>
        </w:rPr>
        <w:t xml:space="preserve"> In cases involving claims of overpayment, it will rarely be appropriate, given the recipient’s absence of knowledge, to retroactively decrease support to a date before the recipient could have expected that child support payments received from the payor might need to be repaid at some future date. This approach protects the child’s best interests and the recipient’s certainty interest, while allowing payors who have overpaid to seek a retroactive decrease as long as the recipient has been given proper notice and disclosure. The final factor is hardship to the payor if the period of retroactivity is not lengthened beyond the presumptive date. The payor must adduce evidence to establish real facts supporting a finding of hardshi</w:t>
      </w:r>
      <w:r w:rsidR="00D057A2">
        <w:rPr>
          <w:szCs w:val="24"/>
        </w:rPr>
        <w:t>p. </w:t>
      </w:r>
      <w:r w:rsidR="00325941" w:rsidRPr="00D057A2">
        <w:rPr>
          <w:rFonts w:cs="Times New Roman"/>
          <w:szCs w:val="24"/>
        </w:rPr>
        <w:t>A showing of hardship will not automatically justify a departure from the presumed date of retroactivity. Hardship carries much less weight where brought on by the payor’s own unreasonable failure to make proper disclosure and give notice to the recipient. Hardship to the payor must also be viewed in the context of hardship to the recipient and child if the court were to extend the period of the retroactive decrease.</w:t>
      </w:r>
    </w:p>
    <w:p w14:paraId="2D9C6032" w14:textId="25BD1D21"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Once a court has determined that support should be retroactively decreased to a particular date, the decrease must be quantified. The proper amount of support for each year since the date of retroactivity must be calculated in accordance with the statutory scheme that applies to the award. Full and complete disclosure is required to quantify the </w:t>
      </w:r>
      <w:r w:rsidR="00325941" w:rsidRPr="003F30CC">
        <w:rPr>
          <w:rFonts w:eastAsia="Times New Roman" w:cs="Times New Roman"/>
          <w:szCs w:val="20"/>
          <w:lang w:val="en-CA" w:eastAsia="en-CA" w:bidi="ar-SA"/>
        </w:rPr>
        <w:t>appropriate</w:t>
      </w:r>
      <w:r w:rsidR="00325941" w:rsidRPr="00D057A2">
        <w:rPr>
          <w:rFonts w:cs="Times New Roman"/>
          <w:szCs w:val="24"/>
        </w:rPr>
        <w:t xml:space="preserve"> amount of support for the period of retroactivity, just as it would be when quantifying prospective support. The onus is on the payor to show the extent to which their income decreased during the period of retroactivity. If the payor fails to provide all relevant evidence required for the court to fully appreciate their true income during any part of the period of retroactivity, the court may draw an adverse inference against the payor. The payor must also make complete disclosure of their current financial circumstances if seeking a periodic payment plan or temporary suspension on hardship grounds. </w:t>
      </w:r>
    </w:p>
    <w:p w14:paraId="59C0C02F" w14:textId="63133428" w:rsidR="00325941" w:rsidRPr="00D057A2" w:rsidRDefault="00B312E0" w:rsidP="003F30CC">
      <w:pPr>
        <w:pStyle w:val="SCCNormalDoubleSpacing"/>
        <w:spacing w:after="480"/>
        <w:rPr>
          <w:rFonts w:cs="Times New Roman"/>
          <w:szCs w:val="24"/>
        </w:rPr>
      </w:pPr>
      <w:r>
        <w:rPr>
          <w:rFonts w:cs="Times New Roman"/>
          <w:szCs w:val="24"/>
        </w:rPr>
        <w:tab/>
      </w:r>
      <w:r w:rsidR="00325941" w:rsidRPr="00D057A2">
        <w:rPr>
          <w:rFonts w:cs="Times New Roman"/>
          <w:szCs w:val="24"/>
        </w:rPr>
        <w:t>In applications where the payor seeks recission of arrears based on current inability to pay, the prior child support order or agreement corresponds with the payor’s income and the arrears accurately reflect the amount of support th</w:t>
      </w:r>
      <w:r w:rsidR="00307152" w:rsidRPr="00D057A2">
        <w:rPr>
          <w:rFonts w:cs="Times New Roman"/>
          <w:szCs w:val="24"/>
        </w:rPr>
        <w:t xml:space="preserve">at the payor should have paid. </w:t>
      </w:r>
      <w:r w:rsidR="00325941" w:rsidRPr="00D057A2">
        <w:rPr>
          <w:rFonts w:cs="Times New Roman"/>
          <w:szCs w:val="24"/>
        </w:rPr>
        <w:t>The only relevant factor is the payor’s ongoing financial capacity and therefore the payor must provide sufficient reliable evidence to enable the court to assess their current and prospective financial circumstances. The payor must overcome a presumption against rescinding any part of the arrears. The presumption will only be rebutted where the payor parent establishes on a balance of probabilities that even with a flexible payment plan, they cannot and will not ever be able to pay the arrears. While the presumption in favour of enforcing arrears may be rebutted in unusual circumstances, the standard should remain a stringent one. Rescission of arrears is a last resort in exceptional cases. The rule should not allow or encourage debtors to wait out their obligations or subvert statutory enforcement regimes that recognize child support arrears as debts to be taken seriously. If the court concludes that the payor’s financial circumstances will give rise to difficulties paying down arrears, it ought first to consider whether hardship can be mitigated by ordering a temporary suspension, periodic payments, or other creative payment options.</w:t>
      </w:r>
    </w:p>
    <w:p w14:paraId="1603BAB9" w14:textId="72C4D312" w:rsidR="00325941" w:rsidRPr="00D057A2" w:rsidRDefault="00B312E0" w:rsidP="00B312E0">
      <w:pPr>
        <w:pStyle w:val="SCCNormalDoubleSpacing"/>
        <w:spacing w:after="480"/>
        <w:rPr>
          <w:rFonts w:cs="Times New Roman"/>
          <w:szCs w:val="24"/>
        </w:rPr>
      </w:pPr>
      <w:r>
        <w:rPr>
          <w:rFonts w:cs="Times New Roman"/>
          <w:szCs w:val="24"/>
        </w:rPr>
        <w:tab/>
      </w:r>
      <w:r w:rsidR="00325941" w:rsidRPr="00D057A2">
        <w:rPr>
          <w:rFonts w:cs="Times New Roman"/>
          <w:szCs w:val="24"/>
        </w:rPr>
        <w:t xml:space="preserve">In the instant case, the coming into force of the </w:t>
      </w:r>
      <w:r w:rsidR="00325941" w:rsidRPr="00D057A2">
        <w:rPr>
          <w:rFonts w:cs="Times New Roman"/>
          <w:i/>
          <w:szCs w:val="24"/>
        </w:rPr>
        <w:t>Guidelines</w:t>
      </w:r>
      <w:r w:rsidR="00325941" w:rsidRPr="00D057A2">
        <w:rPr>
          <w:rFonts w:cs="Times New Roman"/>
          <w:szCs w:val="24"/>
        </w:rPr>
        <w:t xml:space="preserve"> did constitute a change in circumstances. While this legal change opens the door at the threshold step, it does not obviate the need for evidence of the father’s earnings in the years since the </w:t>
      </w:r>
      <w:r w:rsidR="00325941" w:rsidRPr="00D057A2">
        <w:rPr>
          <w:rFonts w:cs="Times New Roman"/>
          <w:i/>
          <w:szCs w:val="24"/>
        </w:rPr>
        <w:t>Guidelines</w:t>
      </w:r>
      <w:r w:rsidR="00325941" w:rsidRPr="00D057A2">
        <w:rPr>
          <w:rFonts w:cs="Times New Roman"/>
          <w:szCs w:val="24"/>
        </w:rPr>
        <w:t xml:space="preserve"> came into </w:t>
      </w:r>
      <w:r w:rsidR="00325941" w:rsidRPr="003F30CC">
        <w:rPr>
          <w:rFonts w:eastAsia="Times New Roman" w:cs="Times New Roman"/>
          <w:szCs w:val="20"/>
          <w:lang w:val="en-CA" w:eastAsia="en-CA" w:bidi="ar-SA"/>
        </w:rPr>
        <w:t>force</w:t>
      </w:r>
      <w:r w:rsidR="00325941" w:rsidRPr="00D057A2">
        <w:rPr>
          <w:rFonts w:cs="Times New Roman"/>
          <w:szCs w:val="24"/>
        </w:rPr>
        <w:t>. To the extent that he relies on drops in income, the father’s deficient communication, inadequate evidence and insufficient disclosure are fatal to his application. It was not enough for the father to advise the mother that his income had fallen without taking any further steps, and since the father did not provide reasonable proof to allow the mother to meaningfully assess the situation, his request fell short of effective notice. As the father gave no effective notice before arrears stopped accumulating in 2012, he is not entitled to any retroactive decrease in his child support obligations. The application of the three</w:t>
      </w:r>
      <w:r w:rsidR="00D057A2">
        <w:rPr>
          <w:szCs w:val="24"/>
        </w:rPr>
        <w:noBreakHyphen/>
      </w:r>
      <w:r w:rsidR="00325941" w:rsidRPr="00D057A2">
        <w:rPr>
          <w:rFonts w:cs="Times New Roman"/>
          <w:szCs w:val="24"/>
        </w:rPr>
        <w:t xml:space="preserve">year rule would preclude any retroactive decrease, given that the children were no longer eligible for child support beginning in 2012 and he gave formal notice in 2016. Nor would the application of the </w:t>
      </w:r>
      <w:r w:rsidR="00325941" w:rsidRPr="00D057A2">
        <w:rPr>
          <w:rFonts w:cs="Times New Roman"/>
          <w:i/>
          <w:szCs w:val="24"/>
        </w:rPr>
        <w:t>D.B.S.</w:t>
      </w:r>
      <w:r w:rsidR="00325941" w:rsidRPr="00D057A2">
        <w:rPr>
          <w:rFonts w:cs="Times New Roman"/>
          <w:szCs w:val="24"/>
        </w:rPr>
        <w:t xml:space="preserve"> factors support a longer period of retroactivity. The father made few, if any, voluntary payments and showed no willingness to support the children, who suffered hardship as a result of his failure to fulfill his obligations. His conduct shows bad faith efforts to evade the enforcement of a court order. This case provides an example of the kind of inadequate disclosure that would justify a refusal to vary back to the date of formal notice. The father is not entitled to relief on the basis of a decrease in income. Further, the father’s failure to adduce adequate evidence of his financial circumstances would be fatal to any application to rescind arrears. As such, he has not discharged his onus of showing that he will be unable to pay now or in the future even with a flexible payment plan.</w:t>
      </w:r>
    </w:p>
    <w:p w14:paraId="18EFE270" w14:textId="6D4E895B" w:rsidR="007E1C47" w:rsidRPr="00D057A2" w:rsidRDefault="002E6705" w:rsidP="00325941">
      <w:pPr>
        <w:pStyle w:val="SCCNormalDoubleSpacing"/>
        <w:spacing w:after="480"/>
        <w:rPr>
          <w:rFonts w:cs="Times New Roman"/>
          <w:b/>
        </w:rPr>
      </w:pPr>
      <w:r w:rsidRPr="00D057A2">
        <w:rPr>
          <w:rFonts w:cs="Times New Roman"/>
          <w:b/>
        </w:rPr>
        <w:t>Cases Cited</w:t>
      </w:r>
    </w:p>
    <w:p w14:paraId="243DBA15" w14:textId="1DA7B45D" w:rsidR="004E2C26" w:rsidRPr="00D057A2" w:rsidRDefault="002E6705" w:rsidP="008117DF">
      <w:pPr>
        <w:pStyle w:val="SCCNormalDoubleSpacing"/>
        <w:spacing w:after="480"/>
        <w:rPr>
          <w:rFonts w:cs="Times New Roman"/>
        </w:rPr>
      </w:pPr>
      <w:r w:rsidRPr="00D057A2">
        <w:rPr>
          <w:rFonts w:cs="Times New Roman"/>
        </w:rPr>
        <w:tab/>
      </w:r>
      <w:r w:rsidR="00BC7B06" w:rsidRPr="00BC7B06">
        <w:rPr>
          <w:rFonts w:cs="Times New Roman"/>
          <w:b/>
        </w:rPr>
        <w:t>Applied:</w:t>
      </w:r>
      <w:r w:rsidR="00BC7B06">
        <w:rPr>
          <w:rFonts w:cs="Times New Roman"/>
        </w:rPr>
        <w:t xml:space="preserve"> </w:t>
      </w:r>
      <w:r w:rsidR="00BC7B06" w:rsidRPr="00D057A2">
        <w:rPr>
          <w:rFonts w:cs="Times New Roman"/>
          <w:i/>
          <w:iCs/>
        </w:rPr>
        <w:t>D.B.S. v. S.R.G.</w:t>
      </w:r>
      <w:r w:rsidR="00BC7B06" w:rsidRPr="00D057A2">
        <w:rPr>
          <w:rFonts w:cs="Times New Roman"/>
        </w:rPr>
        <w:t>, 2006 SCC 37, [2006] 2 S.C.R. 231;</w:t>
      </w:r>
      <w:r w:rsidR="00BC7B06">
        <w:rPr>
          <w:rFonts w:cs="Times New Roman"/>
        </w:rPr>
        <w:t xml:space="preserve"> </w:t>
      </w:r>
      <w:r w:rsidR="00BC7B06" w:rsidRPr="00BC7B06">
        <w:rPr>
          <w:rFonts w:cs="Times New Roman"/>
          <w:b/>
        </w:rPr>
        <w:t>considered:</w:t>
      </w:r>
      <w:r w:rsidR="00BC7B06">
        <w:rPr>
          <w:rFonts w:cs="Times New Roman"/>
        </w:rPr>
        <w:t xml:space="preserve"> </w:t>
      </w:r>
      <w:r w:rsidR="00BC7B06" w:rsidRPr="00D057A2">
        <w:rPr>
          <w:rFonts w:cs="Times New Roman"/>
        </w:rPr>
        <w:t xml:space="preserve"> </w:t>
      </w:r>
      <w:r w:rsidR="00BC7B06" w:rsidRPr="00D057A2">
        <w:rPr>
          <w:rFonts w:cs="Times New Roman"/>
          <w:i/>
        </w:rPr>
        <w:t>Corcios v. Burgos</w:t>
      </w:r>
      <w:r w:rsidR="00BC7B06" w:rsidRPr="00D057A2">
        <w:rPr>
          <w:rFonts w:cs="Times New Roman"/>
        </w:rPr>
        <w:t xml:space="preserve">, 2011 ONSC 3326; </w:t>
      </w:r>
      <w:r w:rsidR="00BC7B06" w:rsidRPr="00D057A2">
        <w:rPr>
          <w:rFonts w:cs="Times New Roman"/>
          <w:i/>
        </w:rPr>
        <w:t>Gray v. Rizzi</w:t>
      </w:r>
      <w:r w:rsidR="00BC7B06" w:rsidRPr="00D057A2">
        <w:rPr>
          <w:rFonts w:cs="Times New Roman"/>
        </w:rPr>
        <w:t xml:space="preserve">, 2016 ONCA 152, 129 O.R. (3d) 201; </w:t>
      </w:r>
      <w:r w:rsidR="00BC7B06" w:rsidRPr="00D057A2">
        <w:rPr>
          <w:rFonts w:cs="Times New Roman"/>
          <w:i/>
        </w:rPr>
        <w:t>Brown v. Brown</w:t>
      </w:r>
      <w:r w:rsidR="00BC7B06" w:rsidRPr="00D057A2">
        <w:rPr>
          <w:rFonts w:cs="Times New Roman"/>
        </w:rPr>
        <w:t xml:space="preserve">, 2010 NBCA 5, 353 N.B.R. (2d) 323; </w:t>
      </w:r>
      <w:r w:rsidR="00BC7B06">
        <w:rPr>
          <w:rFonts w:cs="Times New Roman"/>
          <w:b/>
        </w:rPr>
        <w:t>r</w:t>
      </w:r>
      <w:r w:rsidRPr="00D057A2">
        <w:rPr>
          <w:rFonts w:cs="Times New Roman"/>
          <w:b/>
        </w:rPr>
        <w:t>eferred to:</w:t>
      </w:r>
      <w:r w:rsidR="00BD0E9E" w:rsidRPr="00D057A2">
        <w:rPr>
          <w:rFonts w:cs="Times New Roman"/>
        </w:rPr>
        <w:t xml:space="preserve"> </w:t>
      </w:r>
      <w:r w:rsidR="00047990" w:rsidRPr="00D057A2">
        <w:rPr>
          <w:rFonts w:cs="Times New Roman"/>
          <w:i/>
        </w:rPr>
        <w:t>D.B.S. v. S.R.G.</w:t>
      </w:r>
      <w:r w:rsidR="00047990" w:rsidRPr="00D057A2">
        <w:rPr>
          <w:rFonts w:cs="Times New Roman"/>
        </w:rPr>
        <w:t xml:space="preserve">, 2005 ABCA 2, 361 A.R. 60; </w:t>
      </w:r>
      <w:r w:rsidR="00047990" w:rsidRPr="00D057A2">
        <w:rPr>
          <w:rFonts w:cs="Times New Roman"/>
          <w:i/>
        </w:rPr>
        <w:t>Brear v. Brear</w:t>
      </w:r>
      <w:r w:rsidR="00047990" w:rsidRPr="00D057A2">
        <w:rPr>
          <w:rFonts w:cs="Times New Roman"/>
        </w:rPr>
        <w:t>, 2019 ABCA 419, 97 Alta. L.R. (6th) 1</w:t>
      </w:r>
      <w:r w:rsidR="00214994" w:rsidRPr="00D057A2">
        <w:rPr>
          <w:rFonts w:cs="Times New Roman"/>
        </w:rPr>
        <w:t xml:space="preserve">; </w:t>
      </w:r>
      <w:r w:rsidR="009762B1" w:rsidRPr="00D057A2">
        <w:rPr>
          <w:rFonts w:cs="Times New Roman"/>
          <w:i/>
        </w:rPr>
        <w:t xml:space="preserve">MacMinn v. MacMinn </w:t>
      </w:r>
      <w:r w:rsidR="009762B1" w:rsidRPr="00D057A2">
        <w:rPr>
          <w:rFonts w:cs="Times New Roman"/>
        </w:rPr>
        <w:t xml:space="preserve">(1995), 174 A.R. 261; </w:t>
      </w:r>
      <w:r w:rsidR="009762B1" w:rsidRPr="00D057A2">
        <w:rPr>
          <w:rFonts w:cs="Times New Roman"/>
          <w:i/>
        </w:rPr>
        <w:t>Hunt v. Smolis</w:t>
      </w:r>
      <w:r w:rsidR="00D057A2">
        <w:rPr>
          <w:i/>
        </w:rPr>
        <w:noBreakHyphen/>
      </w:r>
      <w:r w:rsidR="009762B1" w:rsidRPr="00D057A2">
        <w:rPr>
          <w:rFonts w:cs="Times New Roman"/>
          <w:i/>
        </w:rPr>
        <w:t>Hunt</w:t>
      </w:r>
      <w:r w:rsidR="009762B1" w:rsidRPr="00D057A2">
        <w:rPr>
          <w:rFonts w:cs="Times New Roman"/>
        </w:rPr>
        <w:t xml:space="preserve">, 2001 ABCA 229, 97 Alta. L.R. (3d) 238; </w:t>
      </w:r>
      <w:r w:rsidR="009762B1" w:rsidRPr="00D057A2">
        <w:rPr>
          <w:rFonts w:cs="Times New Roman"/>
          <w:i/>
        </w:rPr>
        <w:t>Paras</w:t>
      </w:r>
      <w:r w:rsidR="009762B1" w:rsidRPr="00D057A2">
        <w:rPr>
          <w:rFonts w:cs="Times New Roman"/>
        </w:rPr>
        <w:t xml:space="preserve"> </w:t>
      </w:r>
      <w:r w:rsidR="009762B1" w:rsidRPr="00D057A2">
        <w:rPr>
          <w:rFonts w:cs="Times New Roman"/>
          <w:i/>
        </w:rPr>
        <w:t>v. Paras</w:t>
      </w:r>
      <w:r w:rsidR="009762B1" w:rsidRPr="00D057A2">
        <w:rPr>
          <w:rFonts w:cs="Times New Roman"/>
        </w:rPr>
        <w:t>, [1971] 1 O.R. 130;</w:t>
      </w:r>
      <w:r w:rsidR="00683B72" w:rsidRPr="00D057A2">
        <w:rPr>
          <w:rFonts w:cs="Times New Roman"/>
        </w:rPr>
        <w:t xml:space="preserve"> </w:t>
      </w:r>
      <w:r w:rsidR="00683B72" w:rsidRPr="00D057A2">
        <w:rPr>
          <w:rFonts w:cs="Times New Roman"/>
          <w:i/>
        </w:rPr>
        <w:t>Whitton v. Shippelt</w:t>
      </w:r>
      <w:r w:rsidR="00683B72" w:rsidRPr="00D057A2">
        <w:rPr>
          <w:rFonts w:cs="Times New Roman"/>
        </w:rPr>
        <w:t xml:space="preserve">, 2001 ABCA 307, 23 R.F.L. (5th) 437; </w:t>
      </w:r>
      <w:r w:rsidR="000D7735" w:rsidRPr="00D057A2">
        <w:rPr>
          <w:rFonts w:cs="Times New Roman"/>
          <w:i/>
        </w:rPr>
        <w:t>Michel v. Graydon</w:t>
      </w:r>
      <w:r w:rsidR="000D7735" w:rsidRPr="00D057A2">
        <w:rPr>
          <w:rFonts w:cs="Times New Roman"/>
        </w:rPr>
        <w:t xml:space="preserve">, 2020 SCC </w:t>
      </w:r>
      <w:r w:rsidR="00123192" w:rsidRPr="00123192">
        <w:t xml:space="preserve">24, [2020] 2 </w:t>
      </w:r>
      <w:r w:rsidR="00123192">
        <w:t>S.C.R.</w:t>
      </w:r>
      <w:r w:rsidR="00123192" w:rsidRPr="00123192">
        <w:t xml:space="preserve"> </w:t>
      </w:r>
      <w:r w:rsidR="00090A47" w:rsidRPr="00090A47">
        <w:rPr>
          <w:szCs w:val="24"/>
        </w:rPr>
        <w:t>763</w:t>
      </w:r>
      <w:r w:rsidR="000D7735" w:rsidRPr="00D057A2">
        <w:rPr>
          <w:rFonts w:cs="Times New Roman"/>
        </w:rPr>
        <w:t>;</w:t>
      </w:r>
      <w:r w:rsidR="00B9582D" w:rsidRPr="00D057A2">
        <w:rPr>
          <w:rFonts w:cs="Times New Roman"/>
        </w:rPr>
        <w:t xml:space="preserve"> </w:t>
      </w:r>
      <w:r w:rsidR="00B9582D" w:rsidRPr="00D057A2">
        <w:rPr>
          <w:rFonts w:cs="Times New Roman"/>
          <w:i/>
        </w:rPr>
        <w:t>C. (M.) v. O. (J.)</w:t>
      </w:r>
      <w:r w:rsidR="00B9582D" w:rsidRPr="00D057A2">
        <w:rPr>
          <w:rFonts w:cs="Times New Roman"/>
        </w:rPr>
        <w:t xml:space="preserve">, 2017 NBCA 15, 93 R.F.L. (7th) 59; </w:t>
      </w:r>
      <w:r w:rsidR="00B9582D" w:rsidRPr="00D057A2">
        <w:rPr>
          <w:rFonts w:cs="Times New Roman"/>
          <w:i/>
        </w:rPr>
        <w:t>Goulding v. Keck</w:t>
      </w:r>
      <w:r w:rsidR="00B9582D" w:rsidRPr="00D057A2">
        <w:rPr>
          <w:rFonts w:cs="Times New Roman"/>
        </w:rPr>
        <w:t xml:space="preserve">, 2014 ABCA 138, 42 R.F.L. (7th) 259; </w:t>
      </w:r>
      <w:r w:rsidR="00B9582D" w:rsidRPr="00D057A2">
        <w:rPr>
          <w:rFonts w:cs="Times New Roman"/>
          <w:i/>
        </w:rPr>
        <w:t>Burchill v. Roberts</w:t>
      </w:r>
      <w:r w:rsidR="00B9582D" w:rsidRPr="00D057A2">
        <w:rPr>
          <w:rFonts w:cs="Times New Roman"/>
        </w:rPr>
        <w:t>, 2013 BCCA 39</w:t>
      </w:r>
      <w:r w:rsidR="007562D5" w:rsidRPr="00D057A2">
        <w:rPr>
          <w:rFonts w:cs="Times New Roman"/>
        </w:rPr>
        <w:t xml:space="preserve">, 41 B.C.L.R. (5th) 217; </w:t>
      </w:r>
      <w:r w:rsidR="007562D5" w:rsidRPr="00D057A2">
        <w:rPr>
          <w:rFonts w:cs="Times New Roman"/>
          <w:i/>
        </w:rPr>
        <w:t>Greene v. Greene</w:t>
      </w:r>
      <w:r w:rsidR="007562D5" w:rsidRPr="00D057A2">
        <w:rPr>
          <w:rFonts w:cs="Times New Roman"/>
        </w:rPr>
        <w:t xml:space="preserve">, 2010 BCCA 595, 12 B.C.L.R. (5th) 330; </w:t>
      </w:r>
      <w:r w:rsidR="007562D5" w:rsidRPr="00D057A2">
        <w:rPr>
          <w:rFonts w:cs="Times New Roman"/>
          <w:i/>
        </w:rPr>
        <w:t>Carlaw v. Carlaw</w:t>
      </w:r>
      <w:r w:rsidR="007562D5" w:rsidRPr="00D057A2">
        <w:rPr>
          <w:rFonts w:cs="Times New Roman"/>
        </w:rPr>
        <w:t xml:space="preserve">, 2009 NSSC 428, 299 N.S.R. (2d) 1; </w:t>
      </w:r>
      <w:r w:rsidR="007562D5" w:rsidRPr="00D057A2">
        <w:rPr>
          <w:rFonts w:cs="Times New Roman"/>
          <w:i/>
        </w:rPr>
        <w:t>Damphouse v. Damphouse</w:t>
      </w:r>
      <w:r w:rsidR="007562D5" w:rsidRPr="00D057A2">
        <w:rPr>
          <w:rFonts w:cs="Times New Roman"/>
        </w:rPr>
        <w:t xml:space="preserve">, 2020 ABQB 101; </w:t>
      </w:r>
      <w:r w:rsidR="00EF2600" w:rsidRPr="00D057A2">
        <w:rPr>
          <w:rFonts w:cs="Times New Roman"/>
          <w:i/>
        </w:rPr>
        <w:t>Templeton v. Nuttall</w:t>
      </w:r>
      <w:r w:rsidR="00EF2600" w:rsidRPr="00D057A2">
        <w:rPr>
          <w:rFonts w:cs="Times New Roman"/>
        </w:rPr>
        <w:t xml:space="preserve">, 2018 ONSC 815; </w:t>
      </w:r>
      <w:r w:rsidR="00EF2600" w:rsidRPr="00D057A2">
        <w:rPr>
          <w:rFonts w:cs="Times New Roman"/>
          <w:i/>
          <w:iCs/>
        </w:rPr>
        <w:t>Contino v. Leonelli</w:t>
      </w:r>
      <w:r w:rsidR="00D057A2">
        <w:rPr>
          <w:i/>
          <w:iCs/>
        </w:rPr>
        <w:noBreakHyphen/>
      </w:r>
      <w:r w:rsidR="00EF2600" w:rsidRPr="00D057A2">
        <w:rPr>
          <w:rFonts w:cs="Times New Roman"/>
          <w:i/>
          <w:iCs/>
        </w:rPr>
        <w:t>Contino</w:t>
      </w:r>
      <w:r w:rsidR="00EF2600" w:rsidRPr="00D057A2">
        <w:rPr>
          <w:rFonts w:cs="Times New Roman"/>
        </w:rPr>
        <w:t xml:space="preserve">, 2005 SCC 63, [2005] 3 S.C.R. 217; </w:t>
      </w:r>
      <w:r w:rsidR="00EF2600" w:rsidRPr="00D057A2">
        <w:rPr>
          <w:rFonts w:cs="Times New Roman"/>
          <w:i/>
        </w:rPr>
        <w:t>Shamli v. Shamli</w:t>
      </w:r>
      <w:r w:rsidR="00EF2600" w:rsidRPr="00D057A2">
        <w:rPr>
          <w:rFonts w:cs="Times New Roman"/>
        </w:rPr>
        <w:t xml:space="preserve">, 2004 CanLII 45956; </w:t>
      </w:r>
      <w:r w:rsidR="00EF2600" w:rsidRPr="00D057A2">
        <w:rPr>
          <w:rFonts w:cs="Times New Roman"/>
          <w:i/>
        </w:rPr>
        <w:t>Hietanen v. Hietanen</w:t>
      </w:r>
      <w:r w:rsidR="00EF2600" w:rsidRPr="00D057A2">
        <w:rPr>
          <w:rFonts w:cs="Times New Roman"/>
        </w:rPr>
        <w:t xml:space="preserve">, 2004 BCSC 306, 7 R.F.L. (6th) 67; </w:t>
      </w:r>
      <w:r w:rsidR="00EF2600" w:rsidRPr="00D057A2">
        <w:rPr>
          <w:rFonts w:cs="Times New Roman"/>
          <w:i/>
        </w:rPr>
        <w:t>M.K.R. v. J.A.R.</w:t>
      </w:r>
      <w:r w:rsidR="00EF2600" w:rsidRPr="00D057A2">
        <w:rPr>
          <w:rFonts w:cs="Times New Roman"/>
        </w:rPr>
        <w:t xml:space="preserve">, 2015 NBCA 73, 443 N.B.R. (2d) 313; </w:t>
      </w:r>
      <w:r w:rsidR="00EF2600" w:rsidRPr="00D057A2">
        <w:rPr>
          <w:rFonts w:cs="Times New Roman"/>
          <w:i/>
        </w:rPr>
        <w:t>Francis v. Terry</w:t>
      </w:r>
      <w:r w:rsidR="00EF2600" w:rsidRPr="00D057A2">
        <w:rPr>
          <w:rFonts w:cs="Times New Roman"/>
        </w:rPr>
        <w:t>, 2004 NSCA 118, 227 N.S.R. (2d) 99</w:t>
      </w:r>
      <w:r w:rsidR="00DB2D12" w:rsidRPr="00D057A2">
        <w:rPr>
          <w:rFonts w:cs="Times New Roman"/>
        </w:rPr>
        <w:t xml:space="preserve">; </w:t>
      </w:r>
      <w:r w:rsidR="00DB2D12" w:rsidRPr="00D057A2">
        <w:rPr>
          <w:rFonts w:cs="Times New Roman"/>
          <w:i/>
        </w:rPr>
        <w:t>Roberts</w:t>
      </w:r>
      <w:r w:rsidR="00DB2D12" w:rsidRPr="00D057A2">
        <w:rPr>
          <w:rFonts w:cs="Times New Roman"/>
        </w:rPr>
        <w:t xml:space="preserve"> </w:t>
      </w:r>
      <w:r w:rsidR="00DB2D12" w:rsidRPr="00D057A2">
        <w:rPr>
          <w:rFonts w:cs="Times New Roman"/>
          <w:i/>
        </w:rPr>
        <w:t>v. Roberts</w:t>
      </w:r>
      <w:r w:rsidR="00DB2D12" w:rsidRPr="00D057A2">
        <w:rPr>
          <w:rFonts w:cs="Times New Roman"/>
        </w:rPr>
        <w:t xml:space="preserve">, 2015 ONCA 450, 65 R.F.L. (7th) 6; </w:t>
      </w:r>
      <w:r w:rsidR="00DB2D12" w:rsidRPr="00D057A2">
        <w:rPr>
          <w:rFonts w:cs="Times New Roman"/>
          <w:i/>
        </w:rPr>
        <w:t>Leitch v. Novac</w:t>
      </w:r>
      <w:r w:rsidR="00DB2D12" w:rsidRPr="00D057A2">
        <w:rPr>
          <w:rFonts w:cs="Times New Roman"/>
        </w:rPr>
        <w:t xml:space="preserve">, 2020 ONCA 257, 150 O.R. (3d) 587; </w:t>
      </w:r>
      <w:r w:rsidR="00DB2D12" w:rsidRPr="00D057A2">
        <w:rPr>
          <w:rFonts w:cs="Times New Roman"/>
          <w:i/>
        </w:rPr>
        <w:t>Roseberry v. Roseberry</w:t>
      </w:r>
      <w:r w:rsidR="00DB2D12" w:rsidRPr="00D057A2">
        <w:rPr>
          <w:rFonts w:cs="Times New Roman"/>
        </w:rPr>
        <w:t xml:space="preserve">, 2015 ABQB 75, 13 Alta. L.R. (6th) 215; </w:t>
      </w:r>
      <w:r w:rsidR="00DB2D12" w:rsidRPr="00D057A2">
        <w:rPr>
          <w:rFonts w:cs="Times New Roman"/>
          <w:i/>
        </w:rPr>
        <w:t>Cunningham v. Seveny</w:t>
      </w:r>
      <w:r w:rsidR="00DB2D12" w:rsidRPr="00D057A2">
        <w:rPr>
          <w:rFonts w:cs="Times New Roman"/>
        </w:rPr>
        <w:t>, 2017 ABCA 4, 88 R.F.L. (7th) 1</w:t>
      </w:r>
      <w:r w:rsidR="008B5501" w:rsidRPr="00D057A2">
        <w:rPr>
          <w:rFonts w:cs="Times New Roman"/>
        </w:rPr>
        <w:t xml:space="preserve">; </w:t>
      </w:r>
      <w:r w:rsidR="008B5501" w:rsidRPr="00D057A2">
        <w:rPr>
          <w:rFonts w:cs="Times New Roman"/>
          <w:i/>
        </w:rPr>
        <w:t>Rick v. Brandsema</w:t>
      </w:r>
      <w:r w:rsidR="008B5501" w:rsidRPr="00D057A2">
        <w:rPr>
          <w:rFonts w:cs="Times New Roman"/>
        </w:rPr>
        <w:t xml:space="preserve">, 2009 SCC 10, [2009] 1 S.C.R. 295; </w:t>
      </w:r>
      <w:r w:rsidR="00530FEF" w:rsidRPr="00D057A2">
        <w:rPr>
          <w:rFonts w:cs="Times New Roman"/>
          <w:i/>
        </w:rPr>
        <w:t>Sawatzky v. Sawatzky</w:t>
      </w:r>
      <w:r w:rsidR="00530FEF" w:rsidRPr="00D057A2">
        <w:rPr>
          <w:rFonts w:cs="Times New Roman"/>
        </w:rPr>
        <w:t xml:space="preserve">, 2018 MBCA 102, 428 D.L.R. (4th) 247; </w:t>
      </w:r>
      <w:r w:rsidR="000C02EA" w:rsidRPr="00D057A2">
        <w:rPr>
          <w:rFonts w:cs="Times New Roman"/>
          <w:i/>
          <w:iCs/>
        </w:rPr>
        <w:t>Willick v. Willick</w:t>
      </w:r>
      <w:r w:rsidR="000C02EA" w:rsidRPr="00D057A2">
        <w:rPr>
          <w:rFonts w:cs="Times New Roman"/>
        </w:rPr>
        <w:t xml:space="preserve">, [1994] 3 S.C.R. 670; </w:t>
      </w:r>
      <w:r w:rsidR="000C02EA" w:rsidRPr="00D057A2">
        <w:rPr>
          <w:rFonts w:cs="Times New Roman"/>
          <w:i/>
        </w:rPr>
        <w:t>Punzo v. Punzo</w:t>
      </w:r>
      <w:r w:rsidR="000C02EA" w:rsidRPr="00D057A2">
        <w:rPr>
          <w:rFonts w:cs="Times New Roman"/>
        </w:rPr>
        <w:t>, 2016 ONCA 957,</w:t>
      </w:r>
      <w:r w:rsidR="000C02EA" w:rsidRPr="00D057A2">
        <w:rPr>
          <w:rFonts w:cs="Times New Roman"/>
          <w:i/>
        </w:rPr>
        <w:t xml:space="preserve"> </w:t>
      </w:r>
      <w:r w:rsidR="000C02EA" w:rsidRPr="00D057A2">
        <w:rPr>
          <w:rFonts w:cs="Times New Roman"/>
        </w:rPr>
        <w:t xml:space="preserve">90 R.F.L. (7th) 304; </w:t>
      </w:r>
      <w:r w:rsidR="00C267D0" w:rsidRPr="00D057A2">
        <w:rPr>
          <w:rFonts w:cs="Times New Roman"/>
          <w:i/>
        </w:rPr>
        <w:t>Earle v. Earle</w:t>
      </w:r>
      <w:r w:rsidR="00C267D0" w:rsidRPr="00D057A2">
        <w:rPr>
          <w:rFonts w:cs="Times New Roman"/>
        </w:rPr>
        <w:t xml:space="preserve">, 1999 CanLII 6914; </w:t>
      </w:r>
      <w:r w:rsidR="00C267D0" w:rsidRPr="00D057A2">
        <w:rPr>
          <w:rFonts w:cs="Times New Roman"/>
          <w:i/>
        </w:rPr>
        <w:t>MacCarthy v. MacCarthy</w:t>
      </w:r>
      <w:r w:rsidR="00C267D0" w:rsidRPr="00D057A2">
        <w:rPr>
          <w:rFonts w:cs="Times New Roman"/>
        </w:rPr>
        <w:t xml:space="preserve">, 2015 BCCA 496, 380 B.C.A.C. 102; </w:t>
      </w:r>
      <w:r w:rsidR="00C267D0" w:rsidRPr="00D057A2">
        <w:rPr>
          <w:rFonts w:cs="Times New Roman"/>
          <w:i/>
        </w:rPr>
        <w:t>L.M.</w:t>
      </w:r>
      <w:r w:rsidR="00D057A2">
        <w:rPr>
          <w:i/>
        </w:rPr>
        <w:t>P. </w:t>
      </w:r>
      <w:r w:rsidR="00C267D0" w:rsidRPr="00D057A2">
        <w:rPr>
          <w:rFonts w:cs="Times New Roman"/>
          <w:i/>
        </w:rPr>
        <w:t>v. L.S.</w:t>
      </w:r>
      <w:r w:rsidR="00C267D0" w:rsidRPr="00D057A2">
        <w:rPr>
          <w:rFonts w:cs="Times New Roman"/>
        </w:rPr>
        <w:t>, 2011 SCC 64, [2011] 3 S.C.R. 775</w:t>
      </w:r>
      <w:r w:rsidR="00EF7762" w:rsidRPr="00D057A2">
        <w:rPr>
          <w:rFonts w:cs="Times New Roman"/>
        </w:rPr>
        <w:t xml:space="preserve">; </w:t>
      </w:r>
      <w:r w:rsidR="004D7A08" w:rsidRPr="00D057A2">
        <w:rPr>
          <w:rFonts w:cs="Times New Roman"/>
          <w:i/>
        </w:rPr>
        <w:t>Tougher v. Tougher</w:t>
      </w:r>
      <w:r w:rsidR="004D7A08" w:rsidRPr="00D057A2">
        <w:rPr>
          <w:rFonts w:cs="Times New Roman"/>
        </w:rPr>
        <w:t xml:space="preserve">, 1999 ABQB 552; </w:t>
      </w:r>
      <w:r w:rsidR="004D7A08" w:rsidRPr="00D057A2">
        <w:rPr>
          <w:rFonts w:cs="Times New Roman"/>
          <w:i/>
          <w:iCs/>
        </w:rPr>
        <w:t>Trang v. Trang</w:t>
      </w:r>
      <w:r w:rsidR="004D7A08" w:rsidRPr="00D057A2">
        <w:rPr>
          <w:rFonts w:cs="Times New Roman"/>
        </w:rPr>
        <w:t>, 2013 ONSC 1980, 29 R.F.L. (7th) 364</w:t>
      </w:r>
      <w:r w:rsidR="00894B2A" w:rsidRPr="00D057A2">
        <w:rPr>
          <w:rFonts w:cs="Times New Roman"/>
        </w:rPr>
        <w:t xml:space="preserve">; </w:t>
      </w:r>
      <w:r w:rsidR="00894B2A" w:rsidRPr="00D057A2">
        <w:rPr>
          <w:rFonts w:cs="Times New Roman"/>
          <w:i/>
        </w:rPr>
        <w:t>M.W. v. K.T.</w:t>
      </w:r>
      <w:r w:rsidR="00894B2A" w:rsidRPr="00D057A2">
        <w:rPr>
          <w:rFonts w:cs="Times New Roman"/>
        </w:rPr>
        <w:t>, 2019 NLSC 14, 19 R.F.L. (8th) 51</w:t>
      </w:r>
      <w:r w:rsidR="005428F1" w:rsidRPr="00D057A2">
        <w:rPr>
          <w:rFonts w:cs="Times New Roman"/>
        </w:rPr>
        <w:t xml:space="preserve">; </w:t>
      </w:r>
      <w:r w:rsidR="005428F1" w:rsidRPr="00D057A2">
        <w:rPr>
          <w:rFonts w:cs="Times New Roman"/>
          <w:i/>
        </w:rPr>
        <w:t>Morwald</w:t>
      </w:r>
      <w:r w:rsidR="00D057A2">
        <w:rPr>
          <w:i/>
        </w:rPr>
        <w:noBreakHyphen/>
      </w:r>
      <w:r w:rsidR="005428F1" w:rsidRPr="00D057A2">
        <w:rPr>
          <w:rFonts w:cs="Times New Roman"/>
          <w:i/>
        </w:rPr>
        <w:t>Benevides v. Benevides</w:t>
      </w:r>
      <w:r w:rsidR="005428F1" w:rsidRPr="00D057A2">
        <w:rPr>
          <w:rFonts w:cs="Times New Roman"/>
        </w:rPr>
        <w:t xml:space="preserve">, 2019 ONCA 1023, 148 O.R. (3d) 305; </w:t>
      </w:r>
      <w:r w:rsidR="00C96C78" w:rsidRPr="00D057A2">
        <w:rPr>
          <w:rFonts w:cs="Times New Roman"/>
          <w:i/>
        </w:rPr>
        <w:t>MacEachern v. Bell</w:t>
      </w:r>
      <w:r w:rsidR="00C96C78" w:rsidRPr="00D057A2">
        <w:rPr>
          <w:rFonts w:cs="Times New Roman"/>
        </w:rPr>
        <w:t xml:space="preserve">, 2019 ONSC 4720, 33 R.F.L. (8th) 68; </w:t>
      </w:r>
      <w:r w:rsidR="00F006C8" w:rsidRPr="00D057A2">
        <w:rPr>
          <w:rFonts w:cs="Times New Roman"/>
          <w:i/>
        </w:rPr>
        <w:t>H.G.S. v. J.R.M.</w:t>
      </w:r>
      <w:r w:rsidR="00F006C8" w:rsidRPr="00D057A2">
        <w:rPr>
          <w:rFonts w:cs="Times New Roman"/>
        </w:rPr>
        <w:t xml:space="preserve">, 2018 ABQB 892, 16 R.F.L. (8th) 404; </w:t>
      </w:r>
      <w:r w:rsidR="00D3280C" w:rsidRPr="00D057A2">
        <w:rPr>
          <w:rFonts w:cs="Times New Roman"/>
          <w:i/>
        </w:rPr>
        <w:t>Hrynkow v. Gosse</w:t>
      </w:r>
      <w:r w:rsidR="00D3280C" w:rsidRPr="00D057A2">
        <w:rPr>
          <w:rFonts w:cs="Times New Roman"/>
        </w:rPr>
        <w:t xml:space="preserve">, 2017 ABQB 675; </w:t>
      </w:r>
      <w:r w:rsidR="00D3280C" w:rsidRPr="00D057A2">
        <w:rPr>
          <w:rFonts w:cs="Times New Roman"/>
          <w:i/>
        </w:rPr>
        <w:t>Hodges v. Hodges</w:t>
      </w:r>
      <w:r w:rsidR="00D3280C" w:rsidRPr="00D057A2">
        <w:rPr>
          <w:rFonts w:cs="Times New Roman"/>
        </w:rPr>
        <w:t xml:space="preserve">, 2018 ABCA 197; </w:t>
      </w:r>
      <w:r w:rsidR="00005F23" w:rsidRPr="00D057A2">
        <w:rPr>
          <w:rFonts w:cs="Times New Roman"/>
          <w:i/>
        </w:rPr>
        <w:t>Brown v. Barber</w:t>
      </w:r>
      <w:r w:rsidR="00005F23" w:rsidRPr="00D057A2">
        <w:rPr>
          <w:rFonts w:cs="Times New Roman"/>
        </w:rPr>
        <w:t xml:space="preserve">, 2016 ABQB 687, 85 R.F.L. (7th) 401; </w:t>
      </w:r>
      <w:r w:rsidR="00005F23" w:rsidRPr="00D057A2">
        <w:rPr>
          <w:rFonts w:cs="Times New Roman"/>
          <w:i/>
        </w:rPr>
        <w:t>Janik v. Drotlef</w:t>
      </w:r>
      <w:r w:rsidR="00005F23" w:rsidRPr="00D057A2">
        <w:rPr>
          <w:rFonts w:cs="Times New Roman"/>
        </w:rPr>
        <w:t xml:space="preserve">, 2018 ONCJ 287; </w:t>
      </w:r>
      <w:r w:rsidR="00C96805" w:rsidRPr="00D057A2">
        <w:rPr>
          <w:rFonts w:cs="Times New Roman"/>
          <w:i/>
        </w:rPr>
        <w:t>Haisman v. Haisman</w:t>
      </w:r>
      <w:r w:rsidR="00C96805" w:rsidRPr="00D057A2">
        <w:rPr>
          <w:rFonts w:cs="Times New Roman"/>
        </w:rPr>
        <w:t xml:space="preserve"> (1994), 157 A.R. 47</w:t>
      </w:r>
      <w:r w:rsidR="004D2E94" w:rsidRPr="00D057A2">
        <w:rPr>
          <w:rFonts w:cs="Times New Roman"/>
        </w:rPr>
        <w:t>, rev’g (1993)</w:t>
      </w:r>
      <w:r w:rsidR="004D2E94" w:rsidRPr="00D057A2">
        <w:rPr>
          <w:rFonts w:cs="Times New Roman"/>
          <w:lang w:val="x-none"/>
        </w:rPr>
        <w:t>,</w:t>
      </w:r>
      <w:r w:rsidR="004D2E94" w:rsidRPr="00D057A2">
        <w:rPr>
          <w:rFonts w:cs="Times New Roman"/>
          <w:i/>
          <w:lang w:val="x-none"/>
        </w:rPr>
        <w:t xml:space="preserve"> </w:t>
      </w:r>
      <w:r w:rsidR="004D2E94" w:rsidRPr="00D057A2">
        <w:rPr>
          <w:rFonts w:cs="Times New Roman"/>
        </w:rPr>
        <w:t>7 Alta. L.R. (3d) 157</w:t>
      </w:r>
      <w:r w:rsidR="00C96805" w:rsidRPr="00D057A2">
        <w:rPr>
          <w:rFonts w:cs="Times New Roman"/>
        </w:rPr>
        <w:t xml:space="preserve">; </w:t>
      </w:r>
      <w:r w:rsidR="00C96805" w:rsidRPr="00D057A2">
        <w:rPr>
          <w:rFonts w:cs="Times New Roman"/>
          <w:i/>
        </w:rPr>
        <w:t xml:space="preserve">DiFrancesco v. Couto </w:t>
      </w:r>
      <w:r w:rsidR="00C96805" w:rsidRPr="00D057A2">
        <w:rPr>
          <w:rFonts w:cs="Times New Roman"/>
        </w:rPr>
        <w:t>(2001),</w:t>
      </w:r>
      <w:r w:rsidR="00C96805" w:rsidRPr="00D057A2">
        <w:rPr>
          <w:rFonts w:cs="Times New Roman"/>
          <w:i/>
        </w:rPr>
        <w:t xml:space="preserve"> </w:t>
      </w:r>
      <w:r w:rsidR="00C96805" w:rsidRPr="00D057A2">
        <w:rPr>
          <w:rFonts w:cs="Times New Roman"/>
        </w:rPr>
        <w:t xml:space="preserve">56 O.R. (3d) 363; </w:t>
      </w:r>
      <w:r w:rsidR="0008004E" w:rsidRPr="00D057A2">
        <w:rPr>
          <w:rFonts w:cs="Times New Roman"/>
          <w:i/>
        </w:rPr>
        <w:t>Fleury v. Fleury</w:t>
      </w:r>
      <w:r w:rsidR="0008004E" w:rsidRPr="00D057A2">
        <w:rPr>
          <w:rFonts w:cs="Times New Roman"/>
        </w:rPr>
        <w:t>, 2009 ABCA 43, 448 A.</w:t>
      </w:r>
      <w:r w:rsidR="008B5501" w:rsidRPr="00D057A2">
        <w:rPr>
          <w:rFonts w:cs="Times New Roman"/>
        </w:rPr>
        <w:t>R. 92;</w:t>
      </w:r>
      <w:r w:rsidR="006D2DC4" w:rsidRPr="00D057A2">
        <w:rPr>
          <w:rFonts w:cs="Times New Roman"/>
        </w:rPr>
        <w:t xml:space="preserve"> </w:t>
      </w:r>
      <w:r w:rsidR="006D2DC4" w:rsidRPr="00D057A2">
        <w:rPr>
          <w:rFonts w:cs="Times New Roman"/>
          <w:i/>
        </w:rPr>
        <w:t>Kinsella v. Mills</w:t>
      </w:r>
      <w:r w:rsidR="006D2DC4" w:rsidRPr="00D057A2">
        <w:rPr>
          <w:rFonts w:cs="Times New Roman"/>
        </w:rPr>
        <w:t>, 2020 ONSC 4785, 44 R.F.L. (8th) 1;</w:t>
      </w:r>
      <w:r w:rsidR="008B5501" w:rsidRPr="00D057A2">
        <w:rPr>
          <w:rFonts w:cs="Times New Roman"/>
        </w:rPr>
        <w:t xml:space="preserve"> </w:t>
      </w:r>
      <w:r w:rsidR="008B5501" w:rsidRPr="00D057A2">
        <w:rPr>
          <w:rFonts w:cs="Times New Roman"/>
          <w:i/>
          <w:iCs/>
        </w:rPr>
        <w:t>C.L.W. v. S.V.W.</w:t>
      </w:r>
      <w:r w:rsidR="008B5501" w:rsidRPr="00D057A2">
        <w:rPr>
          <w:rFonts w:cs="Times New Roman"/>
        </w:rPr>
        <w:t xml:space="preserve">, 2017 ABCA 121; </w:t>
      </w:r>
      <w:r w:rsidR="008B5501" w:rsidRPr="00D057A2">
        <w:rPr>
          <w:rFonts w:cs="Times New Roman"/>
          <w:i/>
        </w:rPr>
        <w:t>Blanchard v. Blanchard</w:t>
      </w:r>
      <w:r w:rsidR="008B5501" w:rsidRPr="00D057A2">
        <w:rPr>
          <w:rFonts w:cs="Times New Roman"/>
        </w:rPr>
        <w:t xml:space="preserve">, 2019 ABCA 53; </w:t>
      </w:r>
      <w:r w:rsidR="008B5501" w:rsidRPr="00D057A2">
        <w:rPr>
          <w:rFonts w:cs="Times New Roman"/>
          <w:i/>
        </w:rPr>
        <w:t>S.A.L. v. B.J.L.</w:t>
      </w:r>
      <w:r w:rsidR="008B5501" w:rsidRPr="00D057A2">
        <w:rPr>
          <w:rFonts w:cs="Times New Roman"/>
        </w:rPr>
        <w:t xml:space="preserve">, 2019 ABCA 350, 31 R.F.L. (8th) 299; </w:t>
      </w:r>
      <w:r w:rsidR="008B5501" w:rsidRPr="00D057A2">
        <w:rPr>
          <w:rFonts w:cs="Times New Roman"/>
          <w:i/>
        </w:rPr>
        <w:t>Semancik v. Saunders</w:t>
      </w:r>
      <w:r w:rsidR="008B5501" w:rsidRPr="00D057A2">
        <w:rPr>
          <w:rFonts w:cs="Times New Roman"/>
        </w:rPr>
        <w:t xml:space="preserve">, 2011 BCCA 264, 19 B.C.L.R. (5th) 219; </w:t>
      </w:r>
      <w:r w:rsidR="008B5501" w:rsidRPr="00D057A2">
        <w:rPr>
          <w:rFonts w:cs="Times New Roman"/>
          <w:i/>
        </w:rPr>
        <w:t>Mayotte v. Salthouse</w:t>
      </w:r>
      <w:r w:rsidR="008B5501" w:rsidRPr="00D057A2">
        <w:rPr>
          <w:rFonts w:cs="Times New Roman"/>
        </w:rPr>
        <w:t xml:space="preserve"> (1997), 29 R.F.L. (4th) 38; </w:t>
      </w:r>
      <w:r w:rsidR="008B5501" w:rsidRPr="00D057A2">
        <w:rPr>
          <w:rFonts w:cs="Times New Roman"/>
          <w:i/>
        </w:rPr>
        <w:t>Heiden v. British Columbia (Director of Maintenance Enforcement)</w:t>
      </w:r>
      <w:r w:rsidR="008B5501" w:rsidRPr="00D057A2">
        <w:rPr>
          <w:rFonts w:cs="Times New Roman"/>
        </w:rPr>
        <w:t xml:space="preserve"> (1995), 16 B.C.L.R. (3d) 48;</w:t>
      </w:r>
      <w:r w:rsidR="006D2DC4" w:rsidRPr="00D057A2">
        <w:rPr>
          <w:rFonts w:cs="Times New Roman"/>
        </w:rPr>
        <w:t xml:space="preserve"> </w:t>
      </w:r>
      <w:r w:rsidR="006D2DC4" w:rsidRPr="00D057A2">
        <w:rPr>
          <w:rFonts w:cs="Times New Roman"/>
          <w:i/>
        </w:rPr>
        <w:t xml:space="preserve">Walsh v. Walsh </w:t>
      </w:r>
      <w:r w:rsidR="006D2DC4" w:rsidRPr="00D057A2">
        <w:rPr>
          <w:rFonts w:cs="Times New Roman"/>
        </w:rPr>
        <w:t>(2004), 69 O.R. (3d) 577, with additional reasons (2004), 6 R.F.L. (6th) 432</w:t>
      </w:r>
      <w:r w:rsidR="0029601A" w:rsidRPr="00D057A2">
        <w:rPr>
          <w:rFonts w:cs="Times New Roman"/>
        </w:rPr>
        <w:t xml:space="preserve">; </w:t>
      </w:r>
      <w:r w:rsidR="0029601A" w:rsidRPr="00D057A2">
        <w:rPr>
          <w:rFonts w:cs="Times New Roman"/>
          <w:i/>
        </w:rPr>
        <w:t>St</w:t>
      </w:r>
      <w:r w:rsidR="00D057A2">
        <w:rPr>
          <w:i/>
        </w:rPr>
        <w:noBreakHyphen/>
      </w:r>
      <w:r w:rsidR="0029601A" w:rsidRPr="00D057A2">
        <w:rPr>
          <w:rFonts w:cs="Times New Roman"/>
          <w:i/>
        </w:rPr>
        <w:t>Jules v. St</w:t>
      </w:r>
      <w:r w:rsidR="00D057A2">
        <w:rPr>
          <w:i/>
        </w:rPr>
        <w:noBreakHyphen/>
      </w:r>
      <w:r w:rsidR="0029601A" w:rsidRPr="00D057A2">
        <w:rPr>
          <w:rFonts w:cs="Times New Roman"/>
          <w:i/>
        </w:rPr>
        <w:t>Jules</w:t>
      </w:r>
      <w:r w:rsidR="0029601A" w:rsidRPr="00D057A2">
        <w:rPr>
          <w:rFonts w:cs="Times New Roman"/>
        </w:rPr>
        <w:t>, 201</w:t>
      </w:r>
      <w:r w:rsidR="004D2E94" w:rsidRPr="00D057A2">
        <w:rPr>
          <w:rFonts w:cs="Times New Roman"/>
        </w:rPr>
        <w:t xml:space="preserve">2 NSCA 97, 321 N.S.R. (2d) 133; </w:t>
      </w:r>
      <w:r w:rsidR="002608C7" w:rsidRPr="00D057A2">
        <w:rPr>
          <w:rFonts w:cs="Times New Roman"/>
          <w:i/>
        </w:rPr>
        <w:t xml:space="preserve">Tremblay </w:t>
      </w:r>
      <w:r w:rsidR="002608C7" w:rsidRPr="00D057A2">
        <w:rPr>
          <w:rFonts w:cs="Times New Roman"/>
          <w:i/>
          <w:iCs/>
        </w:rPr>
        <w:t>v. Daley</w:t>
      </w:r>
      <w:r w:rsidR="002608C7" w:rsidRPr="00D057A2">
        <w:rPr>
          <w:rFonts w:cs="Times New Roman"/>
          <w:iCs/>
        </w:rPr>
        <w:t>,</w:t>
      </w:r>
      <w:r w:rsidR="002608C7" w:rsidRPr="00D057A2">
        <w:rPr>
          <w:rFonts w:cs="Times New Roman"/>
          <w:i/>
          <w:iCs/>
        </w:rPr>
        <w:t xml:space="preserve"> </w:t>
      </w:r>
      <w:r w:rsidR="002608C7" w:rsidRPr="00D057A2">
        <w:rPr>
          <w:rFonts w:cs="Times New Roman"/>
        </w:rPr>
        <w:t xml:space="preserve">2012 ONCA 780, 23 R.F.L. (7th) 91; </w:t>
      </w:r>
      <w:r w:rsidR="002608C7" w:rsidRPr="00D057A2">
        <w:rPr>
          <w:rFonts w:cs="Times New Roman"/>
          <w:i/>
        </w:rPr>
        <w:t>Schmidt v. Schmidt</w:t>
      </w:r>
      <w:r w:rsidR="002608C7" w:rsidRPr="00D057A2">
        <w:rPr>
          <w:rFonts w:cs="Times New Roman"/>
        </w:rPr>
        <w:t xml:space="preserve"> (1985), 46 R.F.L. (2d) 71.</w:t>
      </w:r>
    </w:p>
    <w:p w14:paraId="1ADC8DED" w14:textId="77777777" w:rsidR="003B215F" w:rsidRPr="00D057A2" w:rsidRDefault="002E6705" w:rsidP="00B312E0">
      <w:pPr>
        <w:pStyle w:val="SCCNormalDoubleSpacing"/>
        <w:spacing w:after="720" w:line="240" w:lineRule="auto"/>
        <w:rPr>
          <w:rFonts w:cs="Times New Roman"/>
          <w:b/>
        </w:rPr>
      </w:pPr>
      <w:r w:rsidRPr="00D057A2">
        <w:rPr>
          <w:rFonts w:cs="Times New Roman"/>
          <w:b/>
        </w:rPr>
        <w:t>Statutes and Regulations Cite</w:t>
      </w:r>
      <w:r w:rsidR="00A41805" w:rsidRPr="00D057A2">
        <w:rPr>
          <w:rFonts w:cs="Times New Roman"/>
          <w:b/>
        </w:rPr>
        <w:t>d</w:t>
      </w:r>
    </w:p>
    <w:p w14:paraId="75C54325" w14:textId="41A57779" w:rsidR="00955694" w:rsidRPr="00D057A2" w:rsidRDefault="00955694" w:rsidP="008117DF">
      <w:pPr>
        <w:pStyle w:val="SCCNormalDoubleSpacing"/>
        <w:spacing w:after="240" w:line="240" w:lineRule="auto"/>
        <w:ind w:left="540" w:hanging="540"/>
        <w:rPr>
          <w:rFonts w:cs="Times New Roman"/>
        </w:rPr>
      </w:pPr>
      <w:r w:rsidRPr="00D057A2">
        <w:rPr>
          <w:rFonts w:cs="Times New Roman"/>
          <w:i/>
        </w:rPr>
        <w:t>Bankruptcy and Insolvency Act</w:t>
      </w:r>
      <w:r w:rsidRPr="00D057A2">
        <w:rPr>
          <w:rFonts w:cs="Times New Roman"/>
        </w:rPr>
        <w:t>, R.S.C. 1985, c. B</w:t>
      </w:r>
      <w:r w:rsidR="00D057A2">
        <w:noBreakHyphen/>
      </w:r>
      <w:r w:rsidRPr="00D057A2">
        <w:rPr>
          <w:rFonts w:cs="Times New Roman"/>
        </w:rPr>
        <w:t>3, s. 178(1</w:t>
      </w:r>
      <w:proofErr w:type="gramStart"/>
      <w:r w:rsidRPr="00D057A2">
        <w:rPr>
          <w:rFonts w:cs="Times New Roman"/>
        </w:rPr>
        <w:t>)(</w:t>
      </w:r>
      <w:proofErr w:type="gramEnd"/>
      <w:r w:rsidRPr="00D057A2">
        <w:rPr>
          <w:rFonts w:cs="Times New Roman"/>
        </w:rPr>
        <w:t>c).</w:t>
      </w:r>
    </w:p>
    <w:p w14:paraId="48B777AF" w14:textId="0AE04DEE" w:rsidR="00530FEF" w:rsidRPr="00D057A2" w:rsidRDefault="00530FEF" w:rsidP="008117DF">
      <w:pPr>
        <w:pStyle w:val="SCCNormalDoubleSpacing"/>
        <w:spacing w:after="240" w:line="240" w:lineRule="auto"/>
        <w:ind w:left="540" w:hanging="540"/>
        <w:rPr>
          <w:rFonts w:cs="Times New Roman"/>
        </w:rPr>
      </w:pPr>
      <w:r w:rsidRPr="00D057A2">
        <w:rPr>
          <w:rFonts w:cs="Times New Roman"/>
          <w:i/>
        </w:rPr>
        <w:t>Child Support Guidelines</w:t>
      </w:r>
      <w:r w:rsidRPr="00D057A2">
        <w:rPr>
          <w:rFonts w:cs="Times New Roman"/>
        </w:rPr>
        <w:t>, O. Reg. 391/97, s. 24.1(1).</w:t>
      </w:r>
    </w:p>
    <w:p w14:paraId="7C6EF335" w14:textId="5BF52999" w:rsidR="00005F23" w:rsidRPr="00D057A2" w:rsidRDefault="00005F23" w:rsidP="008117DF">
      <w:pPr>
        <w:pStyle w:val="SCCNormalDoubleSpacing"/>
        <w:spacing w:after="240" w:line="240" w:lineRule="auto"/>
        <w:ind w:left="540" w:hanging="540"/>
        <w:rPr>
          <w:rFonts w:cs="Times New Roman"/>
        </w:rPr>
      </w:pPr>
      <w:r w:rsidRPr="005F18E1">
        <w:rPr>
          <w:rFonts w:cs="Times New Roman"/>
          <w:i/>
          <w:lang w:val="en-CA"/>
        </w:rPr>
        <w:t>Civil Code of Québec</w:t>
      </w:r>
      <w:r w:rsidRPr="005F18E1">
        <w:rPr>
          <w:rFonts w:cs="Times New Roman"/>
          <w:lang w:val="en-CA"/>
        </w:rPr>
        <w:t>,</w:t>
      </w:r>
      <w:r w:rsidR="006B3E2A" w:rsidRPr="005F18E1">
        <w:rPr>
          <w:rFonts w:cs="Times New Roman"/>
          <w:lang w:val="en-CA"/>
        </w:rPr>
        <w:t xml:space="preserve"> S.Q. 1991, c. </w:t>
      </w:r>
      <w:r w:rsidR="00361D3F" w:rsidRPr="005F18E1">
        <w:rPr>
          <w:rFonts w:cs="Times New Roman"/>
          <w:lang w:val="en-CA"/>
        </w:rPr>
        <w:t>64,</w:t>
      </w:r>
      <w:r w:rsidRPr="005F18E1">
        <w:rPr>
          <w:rFonts w:cs="Times New Roman"/>
          <w:lang w:val="en-CA"/>
        </w:rPr>
        <w:t xml:space="preserve"> </w:t>
      </w:r>
      <w:r w:rsidR="00D057A2">
        <w:t>art. </w:t>
      </w:r>
      <w:r w:rsidRPr="00D057A2">
        <w:rPr>
          <w:rFonts w:cs="Times New Roman"/>
        </w:rPr>
        <w:t xml:space="preserve">596 </w:t>
      </w:r>
      <w:r w:rsidR="00D057A2">
        <w:t>para. </w:t>
      </w:r>
      <w:r w:rsidRPr="00D057A2">
        <w:rPr>
          <w:rFonts w:cs="Times New Roman"/>
        </w:rPr>
        <w:t>2.</w:t>
      </w:r>
    </w:p>
    <w:p w14:paraId="43EBF3DD" w14:textId="1AFD4D8C" w:rsidR="00A149DF" w:rsidRPr="00D057A2" w:rsidRDefault="00AC18CE" w:rsidP="008117DF">
      <w:pPr>
        <w:pStyle w:val="SCCNormalDoubleSpacing"/>
        <w:spacing w:after="240" w:line="240" w:lineRule="auto"/>
        <w:ind w:left="540" w:hanging="540"/>
        <w:rPr>
          <w:rFonts w:cs="Times New Roman"/>
        </w:rPr>
      </w:pPr>
      <w:r w:rsidRPr="00D057A2">
        <w:rPr>
          <w:rFonts w:cs="Times New Roman"/>
          <w:i/>
        </w:rPr>
        <w:t>Divorce Act</w:t>
      </w:r>
      <w:r w:rsidRPr="00D057A2">
        <w:rPr>
          <w:rFonts w:cs="Times New Roman"/>
        </w:rPr>
        <w:t>, R.S.C. 1985, c.</w:t>
      </w:r>
      <w:r w:rsidR="004F5F29" w:rsidRPr="00D057A2">
        <w:rPr>
          <w:rFonts w:cs="Times New Roman"/>
        </w:rPr>
        <w:t> </w:t>
      </w:r>
      <w:r w:rsidRPr="00D057A2">
        <w:rPr>
          <w:rFonts w:cs="Times New Roman"/>
        </w:rPr>
        <w:t xml:space="preserve">3 (2nd Supp.), </w:t>
      </w:r>
      <w:r w:rsidR="00D057A2">
        <w:t>ss. </w:t>
      </w:r>
      <w:r w:rsidR="00655F9B" w:rsidRPr="00D057A2">
        <w:rPr>
          <w:rFonts w:cs="Times New Roman"/>
        </w:rPr>
        <w:t>7.3,</w:t>
      </w:r>
      <w:r w:rsidR="00C96805" w:rsidRPr="00D057A2">
        <w:rPr>
          <w:rFonts w:cs="Times New Roman"/>
        </w:rPr>
        <w:t xml:space="preserve"> 7.5,</w:t>
      </w:r>
      <w:r w:rsidR="00655F9B" w:rsidRPr="00D057A2">
        <w:rPr>
          <w:rFonts w:cs="Times New Roman"/>
        </w:rPr>
        <w:t xml:space="preserve"> </w:t>
      </w:r>
      <w:r w:rsidRPr="00D057A2">
        <w:rPr>
          <w:rFonts w:cs="Times New Roman"/>
        </w:rPr>
        <w:t xml:space="preserve">17, </w:t>
      </w:r>
      <w:r w:rsidR="00F20089" w:rsidRPr="00D057A2">
        <w:rPr>
          <w:rFonts w:cs="Times New Roman"/>
        </w:rPr>
        <w:t>26.1.</w:t>
      </w:r>
    </w:p>
    <w:p w14:paraId="65073D82" w14:textId="77777777" w:rsidR="00F20089" w:rsidRPr="00D057A2" w:rsidRDefault="00F20089" w:rsidP="00F20089">
      <w:pPr>
        <w:pStyle w:val="SCCNormalDoubleSpacing"/>
        <w:spacing w:after="240" w:line="240" w:lineRule="auto"/>
        <w:ind w:left="540" w:hanging="540"/>
        <w:rPr>
          <w:rFonts w:cs="Times New Roman"/>
        </w:rPr>
      </w:pPr>
      <w:r w:rsidRPr="00D057A2">
        <w:rPr>
          <w:rFonts w:cs="Times New Roman"/>
          <w:i/>
        </w:rPr>
        <w:t>Family Law Act</w:t>
      </w:r>
      <w:r w:rsidRPr="00D057A2">
        <w:rPr>
          <w:rFonts w:cs="Times New Roman"/>
        </w:rPr>
        <w:t>, R.S.O. 1990, c. F.3, s. 39.1(2).</w:t>
      </w:r>
    </w:p>
    <w:p w14:paraId="6647918E" w14:textId="1DEF8861" w:rsidR="00530FEF" w:rsidRPr="00D057A2" w:rsidRDefault="00530FEF" w:rsidP="008117DF">
      <w:pPr>
        <w:pStyle w:val="SCCNormalDoubleSpacing"/>
        <w:spacing w:after="240" w:line="240" w:lineRule="auto"/>
        <w:ind w:left="540" w:hanging="540"/>
        <w:rPr>
          <w:rFonts w:cs="Times New Roman"/>
        </w:rPr>
      </w:pPr>
      <w:r w:rsidRPr="00D057A2">
        <w:rPr>
          <w:rFonts w:cs="Times New Roman"/>
          <w:i/>
        </w:rPr>
        <w:t>Family Law Act</w:t>
      </w:r>
      <w:r w:rsidRPr="00D057A2">
        <w:rPr>
          <w:rFonts w:cs="Times New Roman"/>
        </w:rPr>
        <w:t xml:space="preserve">, S.B.C. 2011, c. 25, </w:t>
      </w:r>
      <w:r w:rsidR="00D057A2">
        <w:t>ss. </w:t>
      </w:r>
      <w:r w:rsidRPr="00D057A2">
        <w:rPr>
          <w:rFonts w:cs="Times New Roman"/>
        </w:rPr>
        <w:t>5(1)</w:t>
      </w:r>
      <w:r w:rsidR="00273040" w:rsidRPr="00D057A2">
        <w:rPr>
          <w:rFonts w:cs="Times New Roman"/>
        </w:rPr>
        <w:t>, 10</w:t>
      </w:r>
      <w:r w:rsidRPr="00D057A2">
        <w:rPr>
          <w:rFonts w:cs="Times New Roman"/>
        </w:rPr>
        <w:t>.</w:t>
      </w:r>
    </w:p>
    <w:p w14:paraId="66450C5E" w14:textId="1A27225C" w:rsidR="006F5DEF" w:rsidRPr="00D057A2" w:rsidRDefault="006F5DEF" w:rsidP="008117DF">
      <w:pPr>
        <w:pStyle w:val="SCCNormalDoubleSpacing"/>
        <w:spacing w:after="240" w:line="240" w:lineRule="auto"/>
        <w:ind w:left="540" w:hanging="540"/>
        <w:rPr>
          <w:rFonts w:cs="Times New Roman"/>
          <w:i/>
        </w:rPr>
      </w:pPr>
      <w:r w:rsidRPr="00D057A2">
        <w:rPr>
          <w:rFonts w:cs="Times New Roman"/>
          <w:i/>
        </w:rPr>
        <w:t>Family Responsibility and Support Arrears Enforcement Act</w:t>
      </w:r>
      <w:r w:rsidR="003C0A8B" w:rsidRPr="00B91081">
        <w:rPr>
          <w:rFonts w:cs="Times New Roman"/>
        </w:rPr>
        <w:t>, 1996</w:t>
      </w:r>
      <w:r w:rsidRPr="00B91081">
        <w:rPr>
          <w:rFonts w:cs="Times New Roman"/>
        </w:rPr>
        <w:t>, S.O. 1996</w:t>
      </w:r>
      <w:r w:rsidRPr="00D057A2">
        <w:rPr>
          <w:rFonts w:cs="Times New Roman"/>
        </w:rPr>
        <w:t>, c. 31.</w:t>
      </w:r>
    </w:p>
    <w:p w14:paraId="2149CC03" w14:textId="51F2CC2F" w:rsidR="00AC18CE" w:rsidRPr="00D057A2" w:rsidRDefault="00AA48EC" w:rsidP="008117DF">
      <w:pPr>
        <w:pStyle w:val="SCCNormalDoubleSpacing"/>
        <w:spacing w:after="240" w:line="240" w:lineRule="auto"/>
        <w:ind w:left="540" w:hanging="540"/>
        <w:rPr>
          <w:rFonts w:cs="Times New Roman"/>
        </w:rPr>
      </w:pPr>
      <w:r w:rsidRPr="00D057A2">
        <w:rPr>
          <w:rFonts w:cs="Times New Roman"/>
          <w:i/>
        </w:rPr>
        <w:t>Federal Child Support Guidelines</w:t>
      </w:r>
      <w:r w:rsidRPr="00D057A2">
        <w:rPr>
          <w:rFonts w:cs="Times New Roman"/>
        </w:rPr>
        <w:t>, SOR/97</w:t>
      </w:r>
      <w:r w:rsidR="00D057A2">
        <w:noBreakHyphen/>
      </w:r>
      <w:r w:rsidRPr="00D057A2">
        <w:rPr>
          <w:rFonts w:cs="Times New Roman"/>
        </w:rPr>
        <w:t xml:space="preserve">175, </w:t>
      </w:r>
      <w:r w:rsidR="00D057A2">
        <w:t>ss. </w:t>
      </w:r>
      <w:r w:rsidR="00463749" w:rsidRPr="00D057A2">
        <w:rPr>
          <w:rFonts w:cs="Times New Roman"/>
        </w:rPr>
        <w:t>1, 3,</w:t>
      </w:r>
      <w:r w:rsidR="00F20089" w:rsidRPr="00D057A2">
        <w:rPr>
          <w:rFonts w:cs="Times New Roman"/>
        </w:rPr>
        <w:t xml:space="preserve"> 4,</w:t>
      </w:r>
      <w:r w:rsidR="00463749" w:rsidRPr="00D057A2">
        <w:rPr>
          <w:rFonts w:cs="Times New Roman"/>
        </w:rPr>
        <w:t xml:space="preserve"> 7,</w:t>
      </w:r>
      <w:r w:rsidR="0008004E" w:rsidRPr="00D057A2">
        <w:rPr>
          <w:rFonts w:cs="Times New Roman"/>
        </w:rPr>
        <w:t xml:space="preserve"> 10,</w:t>
      </w:r>
      <w:r w:rsidR="000C02EA" w:rsidRPr="00D057A2">
        <w:rPr>
          <w:rFonts w:cs="Times New Roman"/>
        </w:rPr>
        <w:t xml:space="preserve"> 14,</w:t>
      </w:r>
      <w:r w:rsidR="0008004E" w:rsidRPr="00D057A2">
        <w:rPr>
          <w:rFonts w:cs="Times New Roman"/>
        </w:rPr>
        <w:t xml:space="preserve"> 19,</w:t>
      </w:r>
      <w:r w:rsidR="00157B2A" w:rsidRPr="00D057A2">
        <w:rPr>
          <w:rFonts w:cs="Times New Roman"/>
        </w:rPr>
        <w:t xml:space="preserve"> 21(1),</w:t>
      </w:r>
      <w:r w:rsidR="00463749" w:rsidRPr="00D057A2">
        <w:rPr>
          <w:rFonts w:cs="Times New Roman"/>
        </w:rPr>
        <w:t xml:space="preserve"> S</w:t>
      </w:r>
      <w:r w:rsidR="00D057A2">
        <w:t>ch. </w:t>
      </w:r>
      <w:r w:rsidR="00463749" w:rsidRPr="00D057A2">
        <w:rPr>
          <w:rFonts w:cs="Times New Roman"/>
        </w:rPr>
        <w:t>I.</w:t>
      </w:r>
    </w:p>
    <w:p w14:paraId="4F48D3C1" w14:textId="64ABCCFE" w:rsidR="00B345AA" w:rsidRPr="00D057A2" w:rsidRDefault="00B345AA" w:rsidP="008117DF">
      <w:pPr>
        <w:pStyle w:val="SCCNormalDoubleSpacing"/>
        <w:spacing w:after="720" w:line="240" w:lineRule="auto"/>
        <w:ind w:left="540" w:hanging="540"/>
        <w:rPr>
          <w:rFonts w:cs="Times New Roman"/>
        </w:rPr>
      </w:pPr>
      <w:r w:rsidRPr="00D057A2">
        <w:rPr>
          <w:rFonts w:cs="Times New Roman"/>
          <w:i/>
        </w:rPr>
        <w:t>The Family Maintenance Act</w:t>
      </w:r>
      <w:r w:rsidRPr="00D057A2">
        <w:rPr>
          <w:rFonts w:cs="Times New Roman"/>
        </w:rPr>
        <w:t>, C.C.S.M., c. F20, s. 56.2(2)</w:t>
      </w:r>
      <w:r w:rsidR="00991D07" w:rsidRPr="00D057A2">
        <w:rPr>
          <w:rFonts w:cs="Times New Roman"/>
        </w:rPr>
        <w:t>, (3).</w:t>
      </w:r>
    </w:p>
    <w:p w14:paraId="235FA7BA" w14:textId="77777777" w:rsidR="002E6705" w:rsidRPr="00D057A2" w:rsidRDefault="002E6705" w:rsidP="008117DF">
      <w:pPr>
        <w:pStyle w:val="SCCNormalDoubleSpacing"/>
        <w:spacing w:after="720" w:line="240" w:lineRule="auto"/>
        <w:rPr>
          <w:rFonts w:cs="Times New Roman"/>
          <w:b/>
        </w:rPr>
      </w:pPr>
      <w:r w:rsidRPr="00D057A2">
        <w:rPr>
          <w:rFonts w:cs="Times New Roman"/>
          <w:b/>
        </w:rPr>
        <w:t>Authors Cited</w:t>
      </w:r>
    </w:p>
    <w:p w14:paraId="0E912BA3" w14:textId="77FCABF0" w:rsidR="00F94A28" w:rsidRPr="00D057A2" w:rsidRDefault="00F20089" w:rsidP="008117DF">
      <w:pPr>
        <w:pStyle w:val="SCCNormalDoubleSpacing"/>
        <w:spacing w:after="240" w:line="240" w:lineRule="auto"/>
        <w:ind w:left="540" w:hanging="540"/>
        <w:rPr>
          <w:rFonts w:cs="Times New Roman"/>
        </w:rPr>
      </w:pPr>
      <w:r w:rsidRPr="00D057A2">
        <w:rPr>
          <w:rFonts w:cs="Times New Roman"/>
        </w:rPr>
        <w:t>Bakht</w:t>
      </w:r>
      <w:r w:rsidR="00F94A28" w:rsidRPr="00D057A2">
        <w:rPr>
          <w:rFonts w:cs="Times New Roman"/>
        </w:rPr>
        <w:t xml:space="preserve">, Natasha, et </w:t>
      </w:r>
      <w:r w:rsidR="00D057A2">
        <w:t>al. </w:t>
      </w:r>
      <w:r w:rsidR="00F94A28" w:rsidRPr="00D057A2">
        <w:rPr>
          <w:rFonts w:cs="Times New Roman"/>
        </w:rPr>
        <w:t>“</w:t>
      </w:r>
      <w:r w:rsidR="00F94A28" w:rsidRPr="00D057A2">
        <w:rPr>
          <w:rFonts w:cs="Times New Roman"/>
          <w:i/>
          <w:iCs/>
        </w:rPr>
        <w:t>D.B.S. v. S.G.R.</w:t>
      </w:r>
      <w:r w:rsidR="00F94A28" w:rsidRPr="00D057A2">
        <w:rPr>
          <w:rFonts w:cs="Times New Roman"/>
        </w:rPr>
        <w:t xml:space="preserve">: Promoting Women’s Equality through the Automatic Recalculation of Child Support” (2006), 18 </w:t>
      </w:r>
      <w:r w:rsidR="00F94A28" w:rsidRPr="00D057A2">
        <w:rPr>
          <w:rFonts w:cs="Times New Roman"/>
          <w:i/>
        </w:rPr>
        <w:t>C.J.W.L.</w:t>
      </w:r>
      <w:r w:rsidR="00F94A28" w:rsidRPr="00D057A2">
        <w:rPr>
          <w:rFonts w:cs="Times New Roman"/>
        </w:rPr>
        <w:t xml:space="preserve"> 535.</w:t>
      </w:r>
    </w:p>
    <w:p w14:paraId="31FCA512" w14:textId="538551C6" w:rsidR="00655F9B" w:rsidRPr="00D057A2" w:rsidRDefault="00655F9B" w:rsidP="008117DF">
      <w:pPr>
        <w:pStyle w:val="SCCNormalDoubleSpacing"/>
        <w:spacing w:after="240" w:line="240" w:lineRule="auto"/>
        <w:ind w:left="540" w:hanging="540"/>
        <w:rPr>
          <w:rFonts w:cs="Times New Roman"/>
        </w:rPr>
      </w:pPr>
      <w:r w:rsidRPr="00D057A2">
        <w:rPr>
          <w:rFonts w:cs="Times New Roman"/>
        </w:rPr>
        <w:t>Bala, Nicholas. “Reforming Family Dispute Resolution in Ontario: Systemic Changes and Cultural Shifts”</w:t>
      </w:r>
      <w:r w:rsidR="009064C7" w:rsidRPr="00D057A2">
        <w:rPr>
          <w:rFonts w:cs="Times New Roman"/>
        </w:rPr>
        <w:t xml:space="preserve">, in Michael Trebilcock, Anthony Duggan and Lorne Sossin, eds., </w:t>
      </w:r>
      <w:r w:rsidR="009064C7" w:rsidRPr="00D057A2">
        <w:rPr>
          <w:rFonts w:cs="Times New Roman"/>
          <w:i/>
        </w:rPr>
        <w:t>Middle Income Access to Justice</w:t>
      </w:r>
      <w:r w:rsidR="009064C7" w:rsidRPr="00D057A2">
        <w:rPr>
          <w:rFonts w:cs="Times New Roman"/>
        </w:rPr>
        <w:t>. Toronto: University of Toronto Press, 2012, 271.</w:t>
      </w:r>
    </w:p>
    <w:p w14:paraId="5ABCB379" w14:textId="08AD7A81" w:rsidR="000F6841" w:rsidRPr="00D057A2" w:rsidRDefault="000F6841" w:rsidP="008117DF">
      <w:pPr>
        <w:pStyle w:val="SCCNormalDoubleSpacing"/>
        <w:spacing w:after="240" w:line="240" w:lineRule="auto"/>
        <w:ind w:left="540" w:hanging="540"/>
        <w:rPr>
          <w:rFonts w:cs="Times New Roman"/>
          <w:lang w:val="fr-CA"/>
        </w:rPr>
      </w:pPr>
      <w:r w:rsidRPr="00D057A2">
        <w:rPr>
          <w:rFonts w:cs="Times New Roman"/>
        </w:rPr>
        <w:t>Dalphond, Pierre</w:t>
      </w:r>
      <w:r w:rsidR="00A565A8" w:rsidRPr="00D057A2">
        <w:rPr>
          <w:rFonts w:cs="Times New Roman"/>
        </w:rPr>
        <w:t> </w:t>
      </w:r>
      <w:r w:rsidRPr="00D057A2">
        <w:rPr>
          <w:rFonts w:cs="Times New Roman"/>
        </w:rPr>
        <w:t xml:space="preserve">J., and Anushua Nag. </w:t>
      </w:r>
      <w:r w:rsidRPr="00D057A2">
        <w:rPr>
          <w:rFonts w:cs="Times New Roman"/>
          <w:lang w:val="fr-CA"/>
        </w:rPr>
        <w:t xml:space="preserve">“Enfin une réforme de la </w:t>
      </w:r>
      <w:r w:rsidRPr="00D057A2">
        <w:rPr>
          <w:rFonts w:cs="Times New Roman"/>
          <w:i/>
          <w:lang w:val="fr-CA"/>
        </w:rPr>
        <w:t>Loi sur le divorce</w:t>
      </w:r>
      <w:r w:rsidRPr="00D057A2">
        <w:rPr>
          <w:rFonts w:cs="Times New Roman"/>
          <w:lang w:val="fr-CA"/>
        </w:rPr>
        <w:t xml:space="preserve">” (2019), 78 </w:t>
      </w:r>
      <w:r w:rsidRPr="00D057A2">
        <w:rPr>
          <w:rFonts w:cs="Times New Roman"/>
          <w:i/>
          <w:lang w:val="fr-CA"/>
        </w:rPr>
        <w:t>R. du B.</w:t>
      </w:r>
      <w:r w:rsidRPr="00D057A2">
        <w:rPr>
          <w:rFonts w:cs="Times New Roman"/>
          <w:lang w:val="fr-CA"/>
        </w:rPr>
        <w:t xml:space="preserve"> 255.</w:t>
      </w:r>
    </w:p>
    <w:p w14:paraId="6B01A898" w14:textId="2E4E96CB" w:rsidR="009762B1" w:rsidRPr="00D057A2" w:rsidRDefault="00B91081" w:rsidP="008117DF">
      <w:pPr>
        <w:pStyle w:val="SCCNormalDoubleSpacing"/>
        <w:spacing w:after="240" w:line="240" w:lineRule="auto"/>
        <w:ind w:left="540" w:hanging="540"/>
        <w:rPr>
          <w:rFonts w:cs="Times New Roman"/>
        </w:rPr>
      </w:pPr>
      <w:r>
        <w:rPr>
          <w:rFonts w:cs="Times New Roman"/>
        </w:rPr>
        <w:t>Davies, Christine. </w:t>
      </w:r>
      <w:r w:rsidR="00683B72" w:rsidRPr="00D057A2">
        <w:rPr>
          <w:rFonts w:cs="Times New Roman"/>
        </w:rPr>
        <w:t xml:space="preserve">“Retroactive Child Support: the Alberta Trilogy” (2005), 24 </w:t>
      </w:r>
      <w:r w:rsidR="00683B72" w:rsidRPr="00D057A2">
        <w:rPr>
          <w:rFonts w:cs="Times New Roman"/>
          <w:i/>
        </w:rPr>
        <w:t>C.F.L.Q.</w:t>
      </w:r>
      <w:r w:rsidR="00683B72" w:rsidRPr="00D057A2">
        <w:rPr>
          <w:rFonts w:cs="Times New Roman"/>
        </w:rPr>
        <w:t xml:space="preserve"> 1.</w:t>
      </w:r>
    </w:p>
    <w:p w14:paraId="78EE9CEA" w14:textId="2401E2C2" w:rsidR="00CF08B4" w:rsidRPr="00D057A2" w:rsidRDefault="00A565A8" w:rsidP="008117DF">
      <w:pPr>
        <w:pStyle w:val="SCCNormalDoubleSpacing"/>
        <w:spacing w:after="240" w:line="240" w:lineRule="auto"/>
        <w:ind w:left="540" w:hanging="540"/>
        <w:rPr>
          <w:rFonts w:cs="Times New Roman"/>
        </w:rPr>
      </w:pPr>
      <w:r w:rsidRPr="00D057A2">
        <w:rPr>
          <w:rFonts w:cs="Times New Roman"/>
        </w:rPr>
        <w:t>Gordon, Marie </w:t>
      </w:r>
      <w:r w:rsidR="00CF08B4" w:rsidRPr="00D057A2">
        <w:rPr>
          <w:rFonts w:cs="Times New Roman"/>
        </w:rPr>
        <w:t>L. “</w:t>
      </w:r>
      <w:r w:rsidR="002F37A1" w:rsidRPr="00D057A2">
        <w:rPr>
          <w:rFonts w:cs="Times New Roman"/>
        </w:rPr>
        <w:t>A</w:t>
      </w:r>
      <w:r w:rsidR="00CF08B4" w:rsidRPr="00D057A2">
        <w:rPr>
          <w:rFonts w:cs="Times New Roman"/>
        </w:rPr>
        <w:t xml:space="preserve">n Update on Retroactive Child and Spousal Support: Five Years after </w:t>
      </w:r>
      <w:r w:rsidR="00CF08B4" w:rsidRPr="00D057A2">
        <w:rPr>
          <w:rFonts w:cs="Times New Roman"/>
          <w:i/>
        </w:rPr>
        <w:t>S.</w:t>
      </w:r>
      <w:r w:rsidR="002F37A1" w:rsidRPr="00D057A2">
        <w:rPr>
          <w:rFonts w:cs="Times New Roman"/>
          <w:i/>
        </w:rPr>
        <w:t> </w:t>
      </w:r>
      <w:r w:rsidR="00CF08B4" w:rsidRPr="00D057A2">
        <w:rPr>
          <w:rFonts w:cs="Times New Roman"/>
          <w:i/>
        </w:rPr>
        <w:t>(D.B.)</w:t>
      </w:r>
      <w:r w:rsidR="00F20089" w:rsidRPr="00D057A2">
        <w:rPr>
          <w:rFonts w:cs="Times New Roman"/>
          <w:i/>
        </w:rPr>
        <w:t xml:space="preserve"> v</w:t>
      </w:r>
      <w:r w:rsidR="002F37A1" w:rsidRPr="00D057A2">
        <w:rPr>
          <w:rFonts w:cs="Times New Roman"/>
          <w:i/>
        </w:rPr>
        <w:t>. G. (S.R.)</w:t>
      </w:r>
      <w:r w:rsidR="002F37A1" w:rsidRPr="00D057A2">
        <w:rPr>
          <w:rFonts w:cs="Times New Roman"/>
        </w:rPr>
        <w:t xml:space="preserve">” (2012), 31 </w:t>
      </w:r>
      <w:r w:rsidR="002F37A1" w:rsidRPr="00D057A2">
        <w:rPr>
          <w:rFonts w:cs="Times New Roman"/>
          <w:i/>
        </w:rPr>
        <w:t>C.F.L.Q.</w:t>
      </w:r>
      <w:r w:rsidR="002F37A1" w:rsidRPr="00D057A2">
        <w:rPr>
          <w:rFonts w:cs="Times New Roman"/>
        </w:rPr>
        <w:t xml:space="preserve"> 71.</w:t>
      </w:r>
    </w:p>
    <w:p w14:paraId="5292B050" w14:textId="242E490B" w:rsidR="005428F1" w:rsidRPr="00D057A2" w:rsidRDefault="005428F1" w:rsidP="008117DF">
      <w:pPr>
        <w:pStyle w:val="SCCNormalDoubleSpacing"/>
        <w:spacing w:after="240" w:line="240" w:lineRule="auto"/>
        <w:ind w:left="540" w:hanging="540"/>
        <w:rPr>
          <w:rFonts w:cs="Times New Roman"/>
        </w:rPr>
      </w:pPr>
      <w:r w:rsidRPr="00D057A2">
        <w:rPr>
          <w:rFonts w:cs="Times New Roman"/>
        </w:rPr>
        <w:t xml:space="preserve">Martinson, Donna, and Margaret Jackson. “Family Violence and Evolving Judicial Roles: Judges as Equality Guardians in Family Law Cases” (2017), 30 </w:t>
      </w:r>
      <w:r w:rsidRPr="00D057A2">
        <w:rPr>
          <w:rFonts w:cs="Times New Roman"/>
          <w:i/>
        </w:rPr>
        <w:t>Can. J. Fam. L.</w:t>
      </w:r>
      <w:r w:rsidRPr="00D057A2">
        <w:rPr>
          <w:rFonts w:cs="Times New Roman"/>
        </w:rPr>
        <w:t xml:space="preserve"> 11.</w:t>
      </w:r>
    </w:p>
    <w:p w14:paraId="6BB8AB8F" w14:textId="1FE6D79B" w:rsidR="0089336E" w:rsidRPr="00D057A2" w:rsidRDefault="00A565A8" w:rsidP="008117DF">
      <w:pPr>
        <w:pStyle w:val="SCCNormalDoubleSpacing"/>
        <w:spacing w:after="240" w:line="240" w:lineRule="auto"/>
        <w:ind w:left="540" w:hanging="540"/>
        <w:rPr>
          <w:rFonts w:cs="Times New Roman"/>
        </w:rPr>
      </w:pPr>
      <w:r w:rsidRPr="00D057A2">
        <w:rPr>
          <w:rFonts w:cs="Times New Roman"/>
        </w:rPr>
        <w:t>Payne, Julien D., and Marilyn </w:t>
      </w:r>
      <w:r w:rsidR="0089336E" w:rsidRPr="00D057A2">
        <w:rPr>
          <w:rFonts w:cs="Times New Roman"/>
        </w:rPr>
        <w:t xml:space="preserve">A. Payne. </w:t>
      </w:r>
      <w:r w:rsidR="0089336E" w:rsidRPr="00D057A2">
        <w:rPr>
          <w:rFonts w:cs="Times New Roman"/>
          <w:i/>
        </w:rPr>
        <w:t>Child Support Guidelines in Canada, 2020</w:t>
      </w:r>
      <w:r w:rsidR="0089336E" w:rsidRPr="00D057A2">
        <w:rPr>
          <w:rFonts w:cs="Times New Roman"/>
        </w:rPr>
        <w:t>. Toronto: Irwin Law, 2020.</w:t>
      </w:r>
    </w:p>
    <w:p w14:paraId="55D5A4EA" w14:textId="590B6F19" w:rsidR="00AB60DA" w:rsidRPr="00D057A2" w:rsidRDefault="004021F6" w:rsidP="008117DF">
      <w:pPr>
        <w:pStyle w:val="SCCNormalDoubleSpacing"/>
        <w:spacing w:after="240" w:line="240" w:lineRule="auto"/>
        <w:ind w:left="540" w:hanging="540"/>
        <w:rPr>
          <w:rFonts w:cs="Times New Roman"/>
        </w:rPr>
      </w:pPr>
      <w:r w:rsidRPr="00D057A2">
        <w:rPr>
          <w:rFonts w:cs="Times New Roman"/>
        </w:rPr>
        <w:t xml:space="preserve">Smith, D. </w:t>
      </w:r>
      <w:r w:rsidR="00111C8C" w:rsidRPr="00D057A2">
        <w:rPr>
          <w:rFonts w:cs="Times New Roman"/>
        </w:rPr>
        <w:t>“</w:t>
      </w:r>
      <w:r w:rsidR="00C96805" w:rsidRPr="00D057A2">
        <w:rPr>
          <w:rFonts w:cs="Times New Roman"/>
        </w:rPr>
        <w:t>Retroa</w:t>
      </w:r>
      <w:r w:rsidRPr="00D057A2">
        <w:rPr>
          <w:rFonts w:cs="Times New Roman"/>
        </w:rPr>
        <w:t xml:space="preserve">ctive Child Support — </w:t>
      </w:r>
      <w:proofErr w:type="gramStart"/>
      <w:r w:rsidRPr="00D057A2">
        <w:rPr>
          <w:rFonts w:cs="Times New Roman"/>
        </w:rPr>
        <w:t>An</w:t>
      </w:r>
      <w:proofErr w:type="gramEnd"/>
      <w:r w:rsidRPr="00D057A2">
        <w:rPr>
          <w:rFonts w:cs="Times New Roman"/>
        </w:rPr>
        <w:t xml:space="preserve"> Update</w:t>
      </w:r>
      <w:r w:rsidR="00111C8C" w:rsidRPr="00D057A2">
        <w:rPr>
          <w:rFonts w:cs="Times New Roman"/>
        </w:rPr>
        <w:t>”</w:t>
      </w:r>
      <w:r w:rsidR="00C96805" w:rsidRPr="00D057A2">
        <w:rPr>
          <w:rFonts w:cs="Times New Roman"/>
        </w:rPr>
        <w:t xml:space="preserve"> (2007), 26 </w:t>
      </w:r>
      <w:r w:rsidR="00C96805" w:rsidRPr="00D057A2">
        <w:rPr>
          <w:rFonts w:cs="Times New Roman"/>
          <w:i/>
        </w:rPr>
        <w:t>C.F.L.Q.</w:t>
      </w:r>
      <w:r w:rsidR="00C96805" w:rsidRPr="00D057A2">
        <w:rPr>
          <w:rFonts w:cs="Times New Roman"/>
        </w:rPr>
        <w:t xml:space="preserve"> 209.</w:t>
      </w:r>
    </w:p>
    <w:p w14:paraId="27E42358" w14:textId="1B97F40F" w:rsidR="00930858" w:rsidRPr="00D057A2" w:rsidRDefault="00A565A8" w:rsidP="008117DF">
      <w:pPr>
        <w:pStyle w:val="SCCNormalDoubleSpacing"/>
        <w:spacing w:after="720" w:line="240" w:lineRule="auto"/>
        <w:ind w:left="540" w:hanging="540"/>
        <w:rPr>
          <w:rFonts w:cs="Times New Roman"/>
        </w:rPr>
      </w:pPr>
      <w:r w:rsidRPr="00D057A2">
        <w:rPr>
          <w:rFonts w:cs="Times New Roman"/>
        </w:rPr>
        <w:t>Sowter, Deanne </w:t>
      </w:r>
      <w:r w:rsidR="00930858" w:rsidRPr="00D057A2">
        <w:rPr>
          <w:rFonts w:cs="Times New Roman"/>
        </w:rPr>
        <w:t>M. “Advocacy in Non</w:t>
      </w:r>
      <w:r w:rsidR="00D057A2">
        <w:noBreakHyphen/>
      </w:r>
      <w:r w:rsidR="00930858" w:rsidRPr="00D057A2">
        <w:rPr>
          <w:rFonts w:cs="Times New Roman"/>
        </w:rPr>
        <w:t xml:space="preserve">Adversarial Family Law: A Recommendation for Revision to the Model Code” (2018), 35 </w:t>
      </w:r>
      <w:r w:rsidR="00930858" w:rsidRPr="00D057A2">
        <w:rPr>
          <w:rFonts w:cs="Times New Roman"/>
          <w:i/>
        </w:rPr>
        <w:t>Windsor Y.B. Access Just.</w:t>
      </w:r>
      <w:r w:rsidR="00930858" w:rsidRPr="00D057A2">
        <w:rPr>
          <w:rFonts w:cs="Times New Roman"/>
        </w:rPr>
        <w:t xml:space="preserve"> 401.</w:t>
      </w:r>
    </w:p>
    <w:p w14:paraId="61428DED" w14:textId="573AEEA4" w:rsidR="00656313" w:rsidRPr="00D057A2" w:rsidRDefault="00341A77" w:rsidP="008117DF">
      <w:pPr>
        <w:pStyle w:val="SCCNormalDoubleSpacing"/>
        <w:spacing w:after="480"/>
        <w:rPr>
          <w:rFonts w:cs="Times New Roman"/>
        </w:rPr>
      </w:pPr>
      <w:r w:rsidRPr="00D057A2">
        <w:rPr>
          <w:rFonts w:cs="Times New Roman"/>
        </w:rPr>
        <w:tab/>
      </w:r>
      <w:r w:rsidR="009B57B3" w:rsidRPr="00D057A2">
        <w:rPr>
          <w:rFonts w:cs="Times New Roman"/>
        </w:rPr>
        <w:t>APPEAL from a judgment of the</w:t>
      </w:r>
      <w:r w:rsidRPr="00D057A2">
        <w:rPr>
          <w:rFonts w:cs="Times New Roman"/>
        </w:rPr>
        <w:t xml:space="preserve"> Ontario</w:t>
      </w:r>
      <w:r w:rsidR="009B57B3" w:rsidRPr="00D057A2">
        <w:rPr>
          <w:rFonts w:cs="Times New Roman"/>
        </w:rPr>
        <w:t xml:space="preserve"> Court of Appeal </w:t>
      </w:r>
      <w:r w:rsidR="003839BE" w:rsidRPr="00D057A2">
        <w:rPr>
          <w:rFonts w:cs="Times New Roman"/>
        </w:rPr>
        <w:t>(Brown, Roberts and Zarnett </w:t>
      </w:r>
      <w:r w:rsidRPr="00D057A2">
        <w:rPr>
          <w:rFonts w:cs="Times New Roman"/>
        </w:rPr>
        <w:t>JJ.A.), 2019 ONCA 561, 26 R.</w:t>
      </w:r>
      <w:r w:rsidR="003839BE" w:rsidRPr="00D057A2">
        <w:rPr>
          <w:rFonts w:cs="Times New Roman"/>
        </w:rPr>
        <w:t xml:space="preserve">F.L. (8th) 259, [2019] O.J. </w:t>
      </w:r>
      <w:r w:rsidR="00D057A2">
        <w:t>No. </w:t>
      </w:r>
      <w:r w:rsidRPr="00D057A2">
        <w:rPr>
          <w:rFonts w:cs="Times New Roman"/>
        </w:rPr>
        <w:t xml:space="preserve">3528 (QL), 2019 CarswellOnt 10845 (WL Can.), </w:t>
      </w:r>
      <w:r w:rsidR="00111500" w:rsidRPr="00D057A2">
        <w:rPr>
          <w:rFonts w:cs="Times New Roman"/>
        </w:rPr>
        <w:t xml:space="preserve">setting aside </w:t>
      </w:r>
      <w:r w:rsidRPr="00D057A2">
        <w:rPr>
          <w:rFonts w:cs="Times New Roman"/>
        </w:rPr>
        <w:t>in part</w:t>
      </w:r>
      <w:r w:rsidR="003839BE" w:rsidRPr="00D057A2">
        <w:rPr>
          <w:rFonts w:cs="Times New Roman"/>
        </w:rPr>
        <w:t xml:space="preserve"> a decision of Hockin </w:t>
      </w:r>
      <w:r w:rsidR="00111500" w:rsidRPr="00D057A2">
        <w:rPr>
          <w:rFonts w:cs="Times New Roman"/>
        </w:rPr>
        <w:t>J., 2018 ONSC 6627</w:t>
      </w:r>
      <w:r w:rsidR="00FE6C88" w:rsidRPr="00D057A2">
        <w:rPr>
          <w:rFonts w:cs="Times New Roman"/>
        </w:rPr>
        <w:t>. Appeal</w:t>
      </w:r>
      <w:r w:rsidR="004A7B86" w:rsidRPr="00D057A2">
        <w:rPr>
          <w:rFonts w:cs="Times New Roman"/>
        </w:rPr>
        <w:t xml:space="preserve"> dismissed.</w:t>
      </w:r>
    </w:p>
    <w:p w14:paraId="5F9BFC4F" w14:textId="6DAA003F" w:rsidR="004C245D" w:rsidRPr="00D057A2" w:rsidRDefault="00630D3C" w:rsidP="008117DF">
      <w:pPr>
        <w:pStyle w:val="SCCNormalDoubleSpacing"/>
        <w:spacing w:after="480"/>
        <w:rPr>
          <w:rFonts w:cs="Times New Roman"/>
        </w:rPr>
      </w:pPr>
      <w:r w:rsidRPr="00D057A2">
        <w:rPr>
          <w:rStyle w:val="SCCCounselNameChar"/>
          <w:rFonts w:cs="Times New Roman"/>
        </w:rPr>
        <w:tab/>
        <w:t xml:space="preserve">Richard </w:t>
      </w:r>
      <w:r w:rsidR="004A15E5" w:rsidRPr="00D057A2">
        <w:rPr>
          <w:rStyle w:val="SCCCounselNameChar"/>
          <w:rFonts w:cs="Times New Roman"/>
        </w:rPr>
        <w:t>Gordner</w:t>
      </w:r>
      <w:r w:rsidR="004A15E5" w:rsidRPr="00D057A2">
        <w:rPr>
          <w:rStyle w:val="SCCCounselSeparatorChar"/>
          <w:rFonts w:cs="Times New Roman"/>
        </w:rPr>
        <w:t xml:space="preserve"> and </w:t>
      </w:r>
      <w:r w:rsidR="004A15E5" w:rsidRPr="00D057A2">
        <w:rPr>
          <w:rStyle w:val="SCCCounselNameChar"/>
          <w:rFonts w:cs="Times New Roman"/>
        </w:rPr>
        <w:t>Michael Gordner</w:t>
      </w:r>
      <w:r w:rsidR="004A15E5" w:rsidRPr="00D057A2">
        <w:rPr>
          <w:rStyle w:val="SCCCounselPartyRoleChar"/>
          <w:rFonts w:cs="Times New Roman"/>
        </w:rPr>
        <w:t>, for the appellant.</w:t>
      </w:r>
    </w:p>
    <w:p w14:paraId="5F75C0FF" w14:textId="77777777" w:rsidR="004C245D" w:rsidRPr="00D057A2" w:rsidRDefault="004A15E5" w:rsidP="008117DF">
      <w:pPr>
        <w:pStyle w:val="SCCNormalDoubleSpacing"/>
        <w:spacing w:after="480"/>
        <w:rPr>
          <w:rFonts w:cs="Times New Roman"/>
        </w:rPr>
      </w:pPr>
      <w:r w:rsidRPr="00D057A2">
        <w:rPr>
          <w:rStyle w:val="SCCCounselNameChar"/>
          <w:rFonts w:cs="Times New Roman"/>
        </w:rPr>
        <w:tab/>
        <w:t>Cheryl Goldhart</w:t>
      </w:r>
      <w:r w:rsidR="00FE6C88" w:rsidRPr="00D057A2">
        <w:rPr>
          <w:rStyle w:val="SCCCounselSeparatorChar"/>
          <w:rFonts w:cs="Times New Roman"/>
        </w:rPr>
        <w:t xml:space="preserve"> and</w:t>
      </w:r>
      <w:r w:rsidRPr="00D057A2">
        <w:rPr>
          <w:rStyle w:val="SCCCounselSeparatorChar"/>
          <w:rFonts w:cs="Times New Roman"/>
        </w:rPr>
        <w:t xml:space="preserve"> </w:t>
      </w:r>
      <w:r w:rsidRPr="00D057A2">
        <w:rPr>
          <w:rStyle w:val="SCCCounselNameChar"/>
          <w:rFonts w:cs="Times New Roman"/>
        </w:rPr>
        <w:t>Surinder Multani</w:t>
      </w:r>
      <w:r w:rsidRPr="00D057A2">
        <w:rPr>
          <w:rStyle w:val="SCCCounselPartyRoleChar"/>
          <w:rFonts w:cs="Times New Roman"/>
        </w:rPr>
        <w:t>, for the respondent.</w:t>
      </w:r>
    </w:p>
    <w:p w14:paraId="3F77100E" w14:textId="77777777" w:rsidR="007D6335" w:rsidRDefault="004A15E5" w:rsidP="007D6335">
      <w:pPr>
        <w:pStyle w:val="SCCNormalDoubleSpacing"/>
        <w:spacing w:after="480"/>
        <w:rPr>
          <w:rFonts w:cs="Times New Roman"/>
        </w:rPr>
      </w:pPr>
      <w:r w:rsidRPr="00D057A2">
        <w:rPr>
          <w:rStyle w:val="SCCCounselNameChar"/>
          <w:rFonts w:cs="Times New Roman"/>
        </w:rPr>
        <w:tab/>
        <w:t>Jennifer Klinck</w:t>
      </w:r>
      <w:r w:rsidRPr="00D057A2">
        <w:rPr>
          <w:rStyle w:val="SCCCounselPartyRoleChar"/>
          <w:rFonts w:cs="Times New Roman"/>
        </w:rPr>
        <w:t>, for the intervener</w:t>
      </w:r>
      <w:r w:rsidR="00263859" w:rsidRPr="00D057A2">
        <w:rPr>
          <w:rStyle w:val="SCCCounselPartyRoleChar"/>
          <w:rFonts w:cs="Times New Roman"/>
        </w:rPr>
        <w:t>s</w:t>
      </w:r>
      <w:r w:rsidRPr="00D057A2">
        <w:rPr>
          <w:rStyle w:val="SCCCounselPartyRoleChar"/>
          <w:rFonts w:cs="Times New Roman"/>
        </w:rPr>
        <w:t xml:space="preserve"> </w:t>
      </w:r>
      <w:r w:rsidR="00263859" w:rsidRPr="00D057A2">
        <w:rPr>
          <w:rStyle w:val="SCCCounselPartyRoleChar"/>
          <w:rFonts w:cs="Times New Roman"/>
        </w:rPr>
        <w:t xml:space="preserve">the </w:t>
      </w:r>
      <w:r w:rsidRPr="00D057A2">
        <w:rPr>
          <w:rStyle w:val="SCCCounselPartyRoleChar"/>
          <w:rFonts w:cs="Times New Roman"/>
        </w:rPr>
        <w:t>West Coast Legal Education and Action Fund Association and</w:t>
      </w:r>
      <w:r w:rsidR="0006646D" w:rsidRPr="00D057A2">
        <w:rPr>
          <w:rStyle w:val="SCCCounselPartyRoleChar"/>
          <w:rFonts w:cs="Times New Roman"/>
        </w:rPr>
        <w:t xml:space="preserve"> </w:t>
      </w:r>
      <w:r w:rsidR="00EC2FC8" w:rsidRPr="00D057A2">
        <w:rPr>
          <w:rStyle w:val="SCCCounselPartyRoleChar"/>
          <w:rFonts w:cs="Times New Roman"/>
        </w:rPr>
        <w:t xml:space="preserve">the </w:t>
      </w:r>
      <w:r w:rsidRPr="00D057A2">
        <w:rPr>
          <w:rStyle w:val="SCCCounselPartyRoleChar"/>
          <w:rFonts w:cs="Times New Roman"/>
        </w:rPr>
        <w:t>Women</w:t>
      </w:r>
      <w:r w:rsidR="0094699A" w:rsidRPr="00D057A2">
        <w:rPr>
          <w:rStyle w:val="SCCCounselPartyRoleChar"/>
          <w:rFonts w:cs="Times New Roman"/>
        </w:rPr>
        <w:t>’</w:t>
      </w:r>
      <w:r w:rsidRPr="00D057A2">
        <w:rPr>
          <w:rStyle w:val="SCCCounselPartyRoleChar"/>
          <w:rFonts w:cs="Times New Roman"/>
        </w:rPr>
        <w:t>s Legal</w:t>
      </w:r>
      <w:r w:rsidR="00263859" w:rsidRPr="00D057A2">
        <w:rPr>
          <w:rStyle w:val="SCCCounselPartyRoleChar"/>
          <w:rFonts w:cs="Times New Roman"/>
        </w:rPr>
        <w:t xml:space="preserve"> Education and Action Fund Inc.</w:t>
      </w:r>
    </w:p>
    <w:p w14:paraId="09F5BA45" w14:textId="77777777" w:rsidR="007D6335" w:rsidRDefault="007D6335" w:rsidP="007D6335">
      <w:pPr>
        <w:pStyle w:val="SCCNormalDoubleSpacing"/>
        <w:spacing w:after="480"/>
        <w:rPr>
          <w:rStyle w:val="SCCCounselPartyRoleChar"/>
          <w:rFonts w:cs="Times New Roman"/>
        </w:rPr>
      </w:pPr>
      <w:r>
        <w:rPr>
          <w:rFonts w:cs="Times New Roman"/>
        </w:rPr>
        <w:tab/>
      </w:r>
      <w:r w:rsidR="004A15E5" w:rsidRPr="00D057A2">
        <w:rPr>
          <w:rStyle w:val="SCCCounselNameChar"/>
          <w:rFonts w:cs="Times New Roman"/>
        </w:rPr>
        <w:t>Ceilidh Joan Henderson</w:t>
      </w:r>
      <w:r w:rsidR="004A15E5" w:rsidRPr="00D057A2">
        <w:rPr>
          <w:rStyle w:val="SCCCounselPartyRoleChar"/>
          <w:rFonts w:cs="Times New Roman"/>
        </w:rPr>
        <w:t xml:space="preserve">, for the intervener Canada </w:t>
      </w:r>
      <w:proofErr w:type="gramStart"/>
      <w:r w:rsidR="004A15E5" w:rsidRPr="00D057A2">
        <w:rPr>
          <w:rStyle w:val="SCCCounselPartyRoleChar"/>
          <w:rFonts w:cs="Times New Roman"/>
        </w:rPr>
        <w:t>Without</w:t>
      </w:r>
      <w:proofErr w:type="gramEnd"/>
      <w:r w:rsidR="004A15E5" w:rsidRPr="00D057A2">
        <w:rPr>
          <w:rStyle w:val="SCCCounselPartyRoleChar"/>
          <w:rFonts w:cs="Times New Roman"/>
        </w:rPr>
        <w:t xml:space="preserve"> Poverty.</w:t>
      </w:r>
    </w:p>
    <w:p w14:paraId="08EE8EDD" w14:textId="471F76C3" w:rsidR="006E72DA" w:rsidRPr="007D6335" w:rsidRDefault="007D6335" w:rsidP="007D6335">
      <w:pPr>
        <w:pStyle w:val="SCCNormalDoubleSpacing"/>
        <w:spacing w:after="480"/>
        <w:rPr>
          <w:rFonts w:cs="Times New Roman"/>
        </w:rPr>
      </w:pPr>
      <w:r>
        <w:rPr>
          <w:rStyle w:val="SCCCounselPartyRoleChar"/>
          <w:rFonts w:cs="Times New Roman"/>
        </w:rPr>
        <w:tab/>
      </w:r>
      <w:r w:rsidR="006E72DA">
        <w:rPr>
          <w:rFonts w:cs="Times New Roman"/>
        </w:rPr>
        <w:t xml:space="preserve">The judgment of the Court </w:t>
      </w:r>
      <w:r w:rsidR="006E72DA">
        <w:rPr>
          <w:rFonts w:cs="Times New Roman"/>
          <w:szCs w:val="24"/>
        </w:rPr>
        <w:t>was delivered by</w:t>
      </w:r>
    </w:p>
    <w:p w14:paraId="3053A128" w14:textId="77777777" w:rsidR="006E72DA" w:rsidRDefault="006E72DA" w:rsidP="006E72DA">
      <w:pPr>
        <w:pStyle w:val="JudgeJuge"/>
      </w:pPr>
      <w:r w:rsidRPr="00767442">
        <w:tab/>
        <w:t xml:space="preserve">Martin J. — </w:t>
      </w:r>
    </w:p>
    <w:p w14:paraId="0C0589A0" w14:textId="77777777" w:rsidR="006E72DA" w:rsidRPr="00767442" w:rsidRDefault="006E72DA" w:rsidP="006E72DA">
      <w:pPr>
        <w:pStyle w:val="Title1LevelTitre1Niveau-AltL"/>
        <w:rPr>
          <w:rFonts w:cs="Times New Roman"/>
        </w:rPr>
      </w:pPr>
      <w:bookmarkStart w:id="1" w:name="_Toc62935234"/>
      <w:bookmarkStart w:id="2" w:name="_Toc62953603"/>
      <w:bookmarkStart w:id="3" w:name="_Toc62997973"/>
      <w:bookmarkStart w:id="4" w:name="_Toc64104254"/>
      <w:bookmarkStart w:id="5" w:name="_Toc64122491"/>
      <w:bookmarkStart w:id="6" w:name="_Toc64367694"/>
      <w:bookmarkStart w:id="7" w:name="_Toc66736611"/>
      <w:bookmarkStart w:id="8" w:name="_Toc67070431"/>
      <w:bookmarkStart w:id="9" w:name="_Toc67332073"/>
      <w:bookmarkStart w:id="10" w:name="_Toc67347356"/>
      <w:bookmarkStart w:id="11" w:name="_Toc71624525"/>
      <w:r w:rsidRPr="00767442">
        <w:rPr>
          <w:rFonts w:cs="Times New Roman"/>
        </w:rPr>
        <w:t>Overview</w:t>
      </w:r>
      <w:bookmarkEnd w:id="1"/>
      <w:bookmarkEnd w:id="2"/>
      <w:bookmarkEnd w:id="3"/>
      <w:bookmarkEnd w:id="4"/>
      <w:bookmarkEnd w:id="5"/>
      <w:bookmarkEnd w:id="6"/>
      <w:bookmarkEnd w:id="7"/>
      <w:bookmarkEnd w:id="8"/>
      <w:bookmarkEnd w:id="9"/>
      <w:bookmarkEnd w:id="10"/>
      <w:bookmarkEnd w:id="11"/>
    </w:p>
    <w:p w14:paraId="4B7D80C3" w14:textId="77777777" w:rsidR="006E72DA" w:rsidRPr="00767442" w:rsidRDefault="006E72DA" w:rsidP="006E72DA">
      <w:pPr>
        <w:pStyle w:val="ParaNoNdepar-AltN"/>
        <w:tabs>
          <w:tab w:val="clear" w:pos="1152"/>
          <w:tab w:val="left" w:pos="1166"/>
        </w:tabs>
        <w:rPr>
          <w:rFonts w:eastAsia="Times New Roman" w:cs="Times New Roman"/>
        </w:rPr>
      </w:pPr>
      <w:r w:rsidRPr="00767442">
        <w:rPr>
          <w:rFonts w:eastAsia="Times New Roman" w:cs="Times New Roman"/>
        </w:rPr>
        <w:t xml:space="preserve">This appeal centres on the appropriate framework for determining applications to retroactively decrease the amount of child support owing or forgive child support arrears under s. 17 of the </w:t>
      </w:r>
      <w:r w:rsidRPr="00767442">
        <w:rPr>
          <w:rFonts w:eastAsia="Times New Roman" w:cs="Times New Roman"/>
          <w:i/>
        </w:rPr>
        <w:t>Divorce Act</w:t>
      </w:r>
      <w:r w:rsidRPr="00767442">
        <w:rPr>
          <w:rFonts w:eastAsia="Times New Roman" w:cs="Times New Roman"/>
        </w:rPr>
        <w:t xml:space="preserve">, </w:t>
      </w:r>
      <w:r w:rsidRPr="00767442">
        <w:rPr>
          <w:rFonts w:cs="Times New Roman"/>
        </w:rPr>
        <w:t>R.S.C. 1985, c. 3 (2nd Supp.)</w:t>
      </w:r>
      <w:r w:rsidRPr="00767442">
        <w:rPr>
          <w:rFonts w:eastAsia="Times New Roman" w:cs="Times New Roman"/>
        </w:rPr>
        <w:t xml:space="preserve">. The amount of child support payable varies based on the payor parent’s income, and income often fluctuates. As a result, </w:t>
      </w:r>
      <w:r w:rsidRPr="00767442">
        <w:rPr>
          <w:rFonts w:cs="Times New Roman"/>
        </w:rPr>
        <w:t xml:space="preserve">applications to retroactively vary support are a common occurrence in courtrooms across the country. In an ideal world, when parents work together in the best interests of their children, they will provide full and accurate income information every year and recalculate the proper amount of support owing. When that does not occur, s. 17 of the </w:t>
      </w:r>
      <w:r w:rsidRPr="00767442">
        <w:rPr>
          <w:rFonts w:cs="Times New Roman"/>
          <w:i/>
        </w:rPr>
        <w:t xml:space="preserve">Divorce Act </w:t>
      </w:r>
      <w:r w:rsidRPr="00767442">
        <w:rPr>
          <w:rFonts w:cs="Times New Roman"/>
        </w:rPr>
        <w:t xml:space="preserve">allows a parent to ask the court to vary an existing order retroactively to align with the payor’s actual income for the relevant period.  </w:t>
      </w:r>
    </w:p>
    <w:p w14:paraId="28C1972D" w14:textId="77777777" w:rsidR="006E72DA" w:rsidRPr="00767442" w:rsidRDefault="006E72DA" w:rsidP="006E72DA">
      <w:pPr>
        <w:pStyle w:val="ParaNoNdepar-AltN"/>
        <w:rPr>
          <w:rFonts w:cs="Times New Roman"/>
        </w:rPr>
      </w:pPr>
      <w:r w:rsidRPr="00767442">
        <w:rPr>
          <w:rFonts w:cs="Times New Roman"/>
        </w:rPr>
        <w:t xml:space="preserve">In the present case, Mr. Colucci did not make any voluntary payments toward his child support obligations for over 16 </w:t>
      </w:r>
      <w:r w:rsidRPr="00767442">
        <w:rPr>
          <w:rFonts w:cs="Times New Roman"/>
          <w:szCs w:val="24"/>
        </w:rPr>
        <w:t>years and now owes approximately $170,000 in arrears. On application by Mr. Colucci, the motion judge retroactively decreased support, effectively reducing the arrears owing to $41,642. The Court of Appeal for Ontario overturned that decision and ordered him to pay the full amount of the arrears.</w:t>
      </w:r>
    </w:p>
    <w:p w14:paraId="25D16720" w14:textId="77777777" w:rsidR="006E72DA" w:rsidRPr="00767442" w:rsidRDefault="006E72DA" w:rsidP="006E72DA">
      <w:pPr>
        <w:pStyle w:val="ParaNoNdepar-AltN"/>
        <w:rPr>
          <w:rFonts w:cs="Times New Roman"/>
        </w:rPr>
      </w:pPr>
      <w:r w:rsidRPr="00767442">
        <w:rPr>
          <w:rFonts w:cs="Times New Roman"/>
        </w:rPr>
        <w:t xml:space="preserve">The divergent results in the lower courts highlight the confusion surrounding the applicable framework with respect to applications under s. 17 to retroactively reduce or rescind arrears, a confusion that has persisted since this Court’s landmark decision in </w:t>
      </w:r>
      <w:r w:rsidRPr="00767442">
        <w:rPr>
          <w:rFonts w:cs="Times New Roman"/>
          <w:i/>
          <w:iCs/>
          <w:lang w:val="en-US"/>
        </w:rPr>
        <w:t>D.B.S. v. S.R.G.</w:t>
      </w:r>
      <w:r w:rsidRPr="00767442">
        <w:rPr>
          <w:rFonts w:cs="Times New Roman"/>
          <w:lang w:val="en-US"/>
        </w:rPr>
        <w:t>, 2006 SCC 37, [2006] 2 S.C.R. 231</w:t>
      </w:r>
      <w:r w:rsidRPr="00767442">
        <w:rPr>
          <w:rFonts w:cs="Times New Roman"/>
        </w:rPr>
        <w:t xml:space="preserve">. </w:t>
      </w:r>
      <w:r w:rsidRPr="00767442">
        <w:rPr>
          <w:rFonts w:cs="Times New Roman"/>
          <w:lang w:val="en-US"/>
        </w:rPr>
        <w:t xml:space="preserve">In that case, the Court considered the principles and competing interests underlying recipients’ applications for retroactive child support. </w:t>
      </w:r>
      <w:r w:rsidRPr="00767442">
        <w:rPr>
          <w:rFonts w:cs="Times New Roman"/>
          <w:szCs w:val="24"/>
        </w:rPr>
        <w:t xml:space="preserve">The Court is now asked to clarify the principles which guide the exercise of judicial discretion where a payor seeks to retroactively decrease support to reflect a past reduction in income. </w:t>
      </w:r>
      <w:r w:rsidRPr="00767442">
        <w:rPr>
          <w:rFonts w:cs="Times New Roman"/>
        </w:rPr>
        <w:t>The courts have and need wide discretion to vary child support orders to ensure the correct amount of child support is being paid and to adapt to the enormous diversity of individual circumstances that families face. There is, however, a pressing need for clear statements about what must be established before a court will retroactively decrease the amount owing under an existing child support order.</w:t>
      </w:r>
    </w:p>
    <w:p w14:paraId="6D6DFEEE" w14:textId="77777777" w:rsidR="006E72DA" w:rsidRPr="00767442" w:rsidRDefault="006E72DA" w:rsidP="006E72DA">
      <w:pPr>
        <w:pStyle w:val="ParaNoNdepar-AltN"/>
        <w:rPr>
          <w:rFonts w:cs="Times New Roman"/>
        </w:rPr>
      </w:pPr>
      <w:r w:rsidRPr="00767442">
        <w:rPr>
          <w:rFonts w:cs="Times New Roman"/>
          <w:lang w:val="en-US"/>
        </w:rPr>
        <w:t xml:space="preserve">The applicable framework must give effect to the objectives and provisions of the </w:t>
      </w:r>
      <w:r w:rsidRPr="00767442">
        <w:rPr>
          <w:rFonts w:cs="Times New Roman"/>
          <w:i/>
        </w:rPr>
        <w:t>Federal Child Support Guidelines</w:t>
      </w:r>
      <w:r w:rsidRPr="00767442">
        <w:rPr>
          <w:rFonts w:cs="Times New Roman"/>
        </w:rPr>
        <w:t>, SOR/97-175</w:t>
      </w:r>
      <w:r w:rsidRPr="00767442">
        <w:rPr>
          <w:rFonts w:cs="Times New Roman"/>
          <w:i/>
        </w:rPr>
        <w:t xml:space="preserve"> </w:t>
      </w:r>
      <w:r w:rsidRPr="00767442">
        <w:rPr>
          <w:rFonts w:cs="Times New Roman"/>
        </w:rPr>
        <w:t>(“</w:t>
      </w:r>
      <w:r w:rsidRPr="00767442">
        <w:rPr>
          <w:rFonts w:cs="Times New Roman"/>
          <w:i/>
        </w:rPr>
        <w:t>Guidelines</w:t>
      </w:r>
      <w:r w:rsidRPr="00767442">
        <w:rPr>
          <w:rFonts w:cs="Times New Roman"/>
        </w:rPr>
        <w:t>”), particularly the core objective of safeguarding the child’s right to a “fair standard of support” (s. 1).</w:t>
      </w:r>
      <w:r w:rsidRPr="00767442">
        <w:rPr>
          <w:rFonts w:cs="Times New Roman"/>
          <w:szCs w:val="24"/>
        </w:rPr>
        <w:t xml:space="preserve"> </w:t>
      </w:r>
      <w:r w:rsidRPr="00767442">
        <w:rPr>
          <w:rFonts w:cs="Times New Roman"/>
        </w:rPr>
        <w:t>Retroactive variation applications also require courts to weigh the certainty and predictability provided by an existing court order against the need for flexibility in a system that ties support to fluctuating payor income. The framework set out below balances these interests in a way that incentivizes payment of the right amount of child support when it is due and the timely disclosure of financial information — the linchpin of a just and effective family law system. Rules which create perverse incentives to ignore or postpone parental support obligations are to be firmly rejected in favour of legal standards designed with the fundamental purposes of child support in mind.</w:t>
      </w:r>
      <w:r w:rsidRPr="00767442">
        <w:rPr>
          <w:rFonts w:cs="Times New Roman"/>
          <w:szCs w:val="24"/>
        </w:rPr>
        <w:t xml:space="preserve"> </w:t>
      </w:r>
    </w:p>
    <w:p w14:paraId="2FD9D52A" w14:textId="77777777" w:rsidR="006E72DA" w:rsidRPr="00767442" w:rsidRDefault="006E72DA" w:rsidP="006E72DA">
      <w:pPr>
        <w:pStyle w:val="ParaNoNdepar-AltN"/>
        <w:rPr>
          <w:rFonts w:cs="Times New Roman"/>
        </w:rPr>
      </w:pPr>
      <w:r w:rsidRPr="00767442">
        <w:rPr>
          <w:rFonts w:cs="Times New Roman"/>
        </w:rPr>
        <w:t xml:space="preserve">The controversy between the </w:t>
      </w:r>
      <w:proofErr w:type="gramStart"/>
      <w:r w:rsidRPr="00767442">
        <w:rPr>
          <w:rFonts w:cs="Times New Roman"/>
        </w:rPr>
        <w:t>parties</w:t>
      </w:r>
      <w:proofErr w:type="gramEnd"/>
      <w:r w:rsidRPr="00767442">
        <w:rPr>
          <w:rFonts w:cs="Times New Roman"/>
        </w:rPr>
        <w:t xml:space="preserve"> centres on whether the framework for retroactive decreases under s. 17 should reflect the flexible and discretionary approach applied to retroactive increases in </w:t>
      </w:r>
      <w:r w:rsidRPr="00767442">
        <w:rPr>
          <w:rFonts w:cs="Times New Roman"/>
          <w:i/>
        </w:rPr>
        <w:t xml:space="preserve">D.B.S. </w:t>
      </w:r>
      <w:r w:rsidRPr="00767442">
        <w:rPr>
          <w:rFonts w:cs="Times New Roman"/>
        </w:rPr>
        <w:t xml:space="preserve">With certain modifications, I conclude that it should. A payor who has established a past decrease in income is not automatically entitled to a retroactive decrease of support back to the date of the decrease, as suggested by the motion judge in this case. The overall decision is a discretionary one. </w:t>
      </w:r>
    </w:p>
    <w:p w14:paraId="52D38AE4" w14:textId="77777777" w:rsidR="006E72DA" w:rsidRPr="00767442" w:rsidRDefault="006E72DA" w:rsidP="006E72DA">
      <w:pPr>
        <w:pStyle w:val="ParaNoNdepar-AltN"/>
        <w:rPr>
          <w:rFonts w:cs="Times New Roman"/>
        </w:rPr>
      </w:pPr>
      <w:r w:rsidRPr="00767442">
        <w:rPr>
          <w:rFonts w:cs="Times New Roman"/>
        </w:rPr>
        <w:t xml:space="preserve">As I will explain further, the court’s discretion is structured by a presumption in favour of retroactively decreasing support to the date the payor gave the recipient effective notice of an intention to seek a downward adjustment of the child support obligation, up to three years before formal notice is given of an application to vary under s. 17. This presumption is triggered as soon as a past material change in circumstances is established — it is no longer necessary to first ask whether retroactive relief is generally appropriate before moving to the question of how far back retroactive relief should extend. Discretionary factors parallel to those considered in </w:t>
      </w:r>
      <w:r w:rsidRPr="00767442">
        <w:rPr>
          <w:rFonts w:cs="Times New Roman"/>
          <w:i/>
        </w:rPr>
        <w:t xml:space="preserve">D.B.S. </w:t>
      </w:r>
      <w:r w:rsidRPr="00767442">
        <w:rPr>
          <w:rFonts w:cs="Times New Roman"/>
        </w:rPr>
        <w:t xml:space="preserve">may justify departing from the presumptive date in favour of a longer or shorter period of retroactivity. For consistency, this presumption-based approach should be mirrored where the recipient seeks a retroactive increase. Once a past material change in income is established, a presumption is triggered in favour of retroactively increasing support to a certain date, with the </w:t>
      </w:r>
      <w:r w:rsidRPr="00767442">
        <w:rPr>
          <w:rFonts w:cs="Times New Roman"/>
          <w:i/>
        </w:rPr>
        <w:t xml:space="preserve">D.B.S. </w:t>
      </w:r>
      <w:r w:rsidRPr="00767442">
        <w:rPr>
          <w:rFonts w:cs="Times New Roman"/>
        </w:rPr>
        <w:t xml:space="preserve">factors guiding the court’s exercise of discretion in deciding whether to depart from that date. </w:t>
      </w:r>
    </w:p>
    <w:p w14:paraId="1884367B" w14:textId="77777777" w:rsidR="006E72DA" w:rsidRPr="00767442" w:rsidRDefault="006E72DA" w:rsidP="006E72DA">
      <w:pPr>
        <w:pStyle w:val="ParaNoNdepar-AltN"/>
        <w:rPr>
          <w:rFonts w:cs="Times New Roman"/>
        </w:rPr>
      </w:pPr>
      <w:r w:rsidRPr="00767442">
        <w:rPr>
          <w:rFonts w:cs="Times New Roman"/>
        </w:rPr>
        <w:t xml:space="preserve">Given the informational asymmetry between the parties, a payor’s success in obtaining a retroactive decrease will depend largely on the payor’s financial disclosure and communication. Indeed, effective notice in this context is only “effective” when there has been disclosure of the changed financial circumstances. At the stage of considering the </w:t>
      </w:r>
      <w:r w:rsidRPr="00767442">
        <w:rPr>
          <w:rFonts w:cs="Times New Roman"/>
          <w:i/>
        </w:rPr>
        <w:t xml:space="preserve">D.B.S. </w:t>
      </w:r>
      <w:r w:rsidRPr="00767442">
        <w:rPr>
          <w:rFonts w:cs="Times New Roman"/>
        </w:rPr>
        <w:t>factors, disclosure will once again be a key consideration in assessing whether the payor’s conduct operates to shorten or lengthen the presumptive period of retroactivity.</w:t>
      </w:r>
    </w:p>
    <w:p w14:paraId="232AC482" w14:textId="77777777" w:rsidR="006E72DA" w:rsidRPr="00767442" w:rsidRDefault="006E72DA" w:rsidP="006E72DA">
      <w:pPr>
        <w:pStyle w:val="ParaNoNdepar-AltN"/>
        <w:tabs>
          <w:tab w:val="clear" w:pos="1152"/>
          <w:tab w:val="left" w:pos="1166"/>
        </w:tabs>
        <w:rPr>
          <w:rFonts w:cs="Times New Roman"/>
        </w:rPr>
      </w:pPr>
      <w:r w:rsidRPr="00767442">
        <w:rPr>
          <w:rFonts w:cs="Times New Roman"/>
          <w:lang w:val="en-US"/>
        </w:rPr>
        <w:t xml:space="preserve">In the courts below, it appears Mr. Colucci also sought rescission of all or part of his arrears on the basis of a current and ongoing inability to pay. Applications of this kind require a different analysis. In these cases, the court order or agreement reflects the correct amount of child support owing, but the payor has failed to keep up with payments as they fell due. The payor subsequently asks the court to forgive all or part of the accrued debt because of present financial hardship. When the arrears reflect the amount that ought to have been paid, the payor cannot rely on a past decrease in income to explain why there are arrears. In these cases, </w:t>
      </w:r>
      <w:r w:rsidRPr="00767442">
        <w:rPr>
          <w:rFonts w:cs="Times New Roman"/>
        </w:rPr>
        <w:t>there is a presumption against rescinding any part of the arrears, as courts have a range of other remedial options. Rescission sits at the far end of the range because it wipes out a legally recognized debt. As such, rescission is only appropriate in exceptional circumstances. Such circumstances may arise where full disclosure of the payor’s financial circumstances shows that the payor is unable to pay the arrears and will be unable to pay in the future, even with a flexible payment plan.</w:t>
      </w:r>
    </w:p>
    <w:p w14:paraId="3AC16F11" w14:textId="77777777" w:rsidR="006E72DA" w:rsidRPr="00767442" w:rsidRDefault="006E72DA" w:rsidP="006E72DA">
      <w:pPr>
        <w:pStyle w:val="ParaNoNdepar-AltN"/>
        <w:tabs>
          <w:tab w:val="clear" w:pos="1152"/>
          <w:tab w:val="left" w:pos="1166"/>
        </w:tabs>
        <w:rPr>
          <w:rFonts w:eastAsia="Times New Roman" w:cs="Times New Roman"/>
        </w:rPr>
      </w:pPr>
      <w:r w:rsidRPr="00767442">
        <w:rPr>
          <w:rFonts w:cs="Times New Roman"/>
        </w:rPr>
        <w:t xml:space="preserve">In these reasons, I will set out the foundational principles established by the </w:t>
      </w:r>
      <w:r w:rsidRPr="00767442">
        <w:rPr>
          <w:rFonts w:cs="Times New Roman"/>
          <w:i/>
        </w:rPr>
        <w:t xml:space="preserve">Guidelines </w:t>
      </w:r>
      <w:r w:rsidRPr="00767442">
        <w:rPr>
          <w:rFonts w:cs="Times New Roman"/>
        </w:rPr>
        <w:t xml:space="preserve">and </w:t>
      </w:r>
      <w:r w:rsidRPr="00767442">
        <w:rPr>
          <w:rFonts w:cs="Times New Roman"/>
          <w:i/>
        </w:rPr>
        <w:t>D.B.S.</w:t>
      </w:r>
      <w:r w:rsidRPr="00767442">
        <w:rPr>
          <w:rFonts w:cs="Times New Roman"/>
        </w:rPr>
        <w:t xml:space="preserve">, followed by a discussion of the centrality of financial disclosure to the child support regime. Against this backdrop, I will explain the framework courts ought to apply to determine when to retroactively reduce child support under s. 17 of the </w:t>
      </w:r>
      <w:r w:rsidRPr="00767442">
        <w:rPr>
          <w:rFonts w:cs="Times New Roman"/>
          <w:i/>
        </w:rPr>
        <w:t>Divorce Act</w:t>
      </w:r>
      <w:r w:rsidRPr="00767442">
        <w:rPr>
          <w:rFonts w:cs="Times New Roman"/>
        </w:rPr>
        <w:t xml:space="preserve">. In doing so, I will reconcile the divergent lines of authority on the applicability of the contextual </w:t>
      </w:r>
      <w:r w:rsidRPr="00767442">
        <w:rPr>
          <w:rFonts w:cs="Times New Roman"/>
          <w:i/>
        </w:rPr>
        <w:t xml:space="preserve">D.B.S. </w:t>
      </w:r>
      <w:r w:rsidRPr="00767442">
        <w:rPr>
          <w:rFonts w:cs="Times New Roman"/>
        </w:rPr>
        <w:t>factors. Finally, I will set out the analysis that applies where the payor seeks rescission of arrears based on current inability to pay rather than a past change in circumstances. Applying the framework to the facts of this case, there is no reason for this Court to intervene to reduce or forgive the debt accrued under the existing child support order. I would dismiss Mr. Colucci’s appeal.</w:t>
      </w:r>
    </w:p>
    <w:p w14:paraId="29CEAFBA" w14:textId="77777777" w:rsidR="006E72DA" w:rsidRPr="00767442" w:rsidRDefault="006E72DA" w:rsidP="006E72DA">
      <w:pPr>
        <w:pStyle w:val="Title1LevelTitre1Niveau-AltL"/>
        <w:rPr>
          <w:rFonts w:cs="Times New Roman"/>
        </w:rPr>
      </w:pPr>
      <w:bookmarkStart w:id="12" w:name="_Toc62935235"/>
      <w:bookmarkStart w:id="13" w:name="_Toc62953604"/>
      <w:bookmarkStart w:id="14" w:name="_Toc62997974"/>
      <w:bookmarkStart w:id="15" w:name="_Toc64104255"/>
      <w:bookmarkStart w:id="16" w:name="_Toc64122492"/>
      <w:bookmarkStart w:id="17" w:name="_Toc64367695"/>
      <w:bookmarkStart w:id="18" w:name="_Toc66736612"/>
      <w:bookmarkStart w:id="19" w:name="_Toc67070432"/>
      <w:bookmarkStart w:id="20" w:name="_Toc67332074"/>
      <w:bookmarkStart w:id="21" w:name="_Toc67347357"/>
      <w:bookmarkStart w:id="22" w:name="_Toc71624526"/>
      <w:r w:rsidRPr="00767442">
        <w:rPr>
          <w:rFonts w:cs="Times New Roman"/>
        </w:rPr>
        <w:t>Background</w:t>
      </w:r>
      <w:bookmarkEnd w:id="12"/>
      <w:bookmarkEnd w:id="13"/>
      <w:bookmarkEnd w:id="14"/>
      <w:bookmarkEnd w:id="15"/>
      <w:bookmarkEnd w:id="16"/>
      <w:bookmarkEnd w:id="17"/>
      <w:bookmarkEnd w:id="18"/>
      <w:bookmarkEnd w:id="19"/>
      <w:bookmarkEnd w:id="20"/>
      <w:bookmarkEnd w:id="21"/>
      <w:bookmarkEnd w:id="22"/>
      <w:r w:rsidRPr="00767442">
        <w:rPr>
          <w:rFonts w:cs="Times New Roman"/>
        </w:rPr>
        <w:t xml:space="preserve"> </w:t>
      </w:r>
      <w:bookmarkStart w:id="23" w:name="_Toc53912710"/>
    </w:p>
    <w:p w14:paraId="79383029" w14:textId="77777777" w:rsidR="006E72DA" w:rsidRPr="00767442" w:rsidRDefault="006E72DA" w:rsidP="006E72DA">
      <w:pPr>
        <w:pStyle w:val="ParaNoNdepar-AltN"/>
        <w:tabs>
          <w:tab w:val="clear" w:pos="1152"/>
          <w:tab w:val="left" w:pos="1166"/>
        </w:tabs>
        <w:rPr>
          <w:rFonts w:eastAsia="Times New Roman" w:cs="Times New Roman"/>
        </w:rPr>
      </w:pPr>
      <w:r w:rsidRPr="00767442">
        <w:rPr>
          <w:rFonts w:eastAsia="Times New Roman" w:cs="Times New Roman"/>
        </w:rPr>
        <w:t>In 2016, Mr. Colucci applied to retroactively reduce child support and rescind arrears totalling approximately $170,000 at the time of the application.</w:t>
      </w:r>
    </w:p>
    <w:p w14:paraId="7B9C7A92" w14:textId="77777777" w:rsidR="006E72DA" w:rsidRPr="00767442" w:rsidRDefault="006E72DA" w:rsidP="006E72DA">
      <w:pPr>
        <w:pStyle w:val="ParaNoNdepar-AltN"/>
        <w:tabs>
          <w:tab w:val="clear" w:pos="1152"/>
          <w:tab w:val="left" w:pos="1166"/>
        </w:tabs>
        <w:rPr>
          <w:rFonts w:eastAsia="Times New Roman" w:cs="Times New Roman"/>
        </w:rPr>
      </w:pPr>
      <w:r w:rsidRPr="00767442">
        <w:rPr>
          <w:rFonts w:eastAsia="Times New Roman" w:cs="Times New Roman"/>
        </w:rPr>
        <w:t xml:space="preserve">The parties were married in 1983 and divorced in 1996. The order of McMahon J., dated May 13, 1996 (“Divorce Order”), made on consent, provided that Ms. Colucci would have sole custody of the parties’ two daughters, aged 8 and 6 at the time, and required Mr. Colucci to pay child support of $115 per week per child (indexed) until they were no longer “child[ren] of the marriage”. </w:t>
      </w:r>
      <w:r w:rsidRPr="00767442">
        <w:rPr>
          <w:rFonts w:cs="Times New Roman"/>
        </w:rPr>
        <w:t xml:space="preserve">The record does not show what Mr. Colucci’s income was at the time of the order, but the amount of child support was negotiated taking into account that Ms. Colucci forewent any claim to spousal support. One year after the order was made, the </w:t>
      </w:r>
      <w:r w:rsidRPr="00767442">
        <w:rPr>
          <w:rFonts w:cs="Times New Roman"/>
          <w:i/>
        </w:rPr>
        <w:t xml:space="preserve">Guidelines </w:t>
      </w:r>
      <w:r w:rsidRPr="00767442">
        <w:rPr>
          <w:rFonts w:cs="Times New Roman"/>
        </w:rPr>
        <w:t>came into force.</w:t>
      </w:r>
    </w:p>
    <w:p w14:paraId="3D171F9C"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In April 1998, Mr. Colucci contacted Ms. Colucci through counsel to request a reduction in his child support obligations on the basis of a decrease in his income. He provided no financial disclosure to support his request and the parties reached no agreement at that time. Mr. Colucci’s child support obligations ended in 2012, when the daughters were no longer children of the marriage. After that time, no further support payments accrued. Until he brought this application in 2016, Mr. Colucci took no further steps to vary the Divorce Order. </w:t>
      </w:r>
    </w:p>
    <w:p w14:paraId="3B248527" w14:textId="77777777" w:rsidR="006E72DA" w:rsidRPr="00767442" w:rsidRDefault="006E72DA" w:rsidP="006E72DA">
      <w:pPr>
        <w:pStyle w:val="ParaNoNdepar-AltN"/>
        <w:tabs>
          <w:tab w:val="clear" w:pos="1152"/>
          <w:tab w:val="left" w:pos="1166"/>
        </w:tabs>
        <w:rPr>
          <w:rFonts w:eastAsia="Arial" w:cs="Times New Roman"/>
        </w:rPr>
      </w:pPr>
      <w:r w:rsidRPr="00767442">
        <w:rPr>
          <w:rFonts w:cs="Times New Roman"/>
        </w:rPr>
        <w:t>From 1998 to 2012, the period during which arrears accrued, Mr. Colucci was absent from the children’s lives and his whereabouts were unknown to Ms. Colucci and the children. He made no voluntary child support payments and the Family Responsibility Office (“FRO”) was only able to collect limited sums through enforcement mechanisms from 1998 to 2016. Enforcement action taken by the FRO includes garnishment</w:t>
      </w:r>
      <w:r w:rsidRPr="00767442">
        <w:rPr>
          <w:rFonts w:eastAsia="Arial" w:cs="Times New Roman"/>
        </w:rPr>
        <w:t xml:space="preserve"> of Mr. Colucci’s Workplace Safety and Insurance Board payments and federal income tax refunds, the suspension of his driver’s license and Canadian passport, the issuance of a writ of seizure and sale, and reporting to the credit bureau. </w:t>
      </w:r>
    </w:p>
    <w:p w14:paraId="03150F13" w14:textId="77777777" w:rsidR="006E72DA" w:rsidRPr="00767442" w:rsidRDefault="006E72DA" w:rsidP="006E72DA">
      <w:pPr>
        <w:pStyle w:val="ParaNoNdepar-AltN"/>
        <w:tabs>
          <w:tab w:val="clear" w:pos="1152"/>
          <w:tab w:val="left" w:pos="1166"/>
        </w:tabs>
        <w:spacing w:before="240"/>
        <w:rPr>
          <w:rFonts w:eastAsia="Times New Roman" w:cs="Times New Roman"/>
        </w:rPr>
      </w:pPr>
      <w:r w:rsidRPr="00767442">
        <w:rPr>
          <w:rFonts w:cs="Times New Roman"/>
        </w:rPr>
        <w:t xml:space="preserve">Mr. Colucci commenced a motion to change in November 2016. He sought orders retroactively varying child support to the date the </w:t>
      </w:r>
      <w:r w:rsidRPr="00767442">
        <w:rPr>
          <w:rFonts w:cs="Times New Roman"/>
          <w:i/>
        </w:rPr>
        <w:t xml:space="preserve">Guidelines </w:t>
      </w:r>
      <w:r w:rsidRPr="00767442">
        <w:rPr>
          <w:rFonts w:cs="Times New Roman"/>
        </w:rPr>
        <w:t xml:space="preserve">came into force (May 1, 1997) and “[f]ixing the arrears of child support if any and determining the payments on those arrears in accordance with [his] income” (A.R., vol. II, at p. 4). He also asked that “any arrears of </w:t>
      </w:r>
      <w:proofErr w:type="gramStart"/>
      <w:r w:rsidRPr="00767442">
        <w:rPr>
          <w:rFonts w:cs="Times New Roman"/>
        </w:rPr>
        <w:t>support .</w:t>
      </w:r>
      <w:proofErr w:type="gramEnd"/>
      <w:r w:rsidRPr="00767442">
        <w:rPr>
          <w:rFonts w:cs="Times New Roman"/>
        </w:rPr>
        <w:t> . . not only be fixed but that the payments on those arrears be fixed in accordance with [his] ability to pay” (p. 10).</w:t>
      </w:r>
    </w:p>
    <w:p w14:paraId="59F00093"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In the course of these proceedings, Mr. Colucci eventually disclosed where he had been all these years. He said he moved to the United States in 2000 and worked there until 2005. He claims he earned approximately USD 25,000 annually during those years. In 2005, he returned to Italy to care for his mother until her death in 2008. From 2005 to 2008, he states that he made between €3,000 and €4,000 per year, with the exception of 2007, when he made €19,000. Soon after his mother’s death, he received an inheritance of €15,000. He said he lived on these funds until 2016, when he returned to Canada. In 2016, Mr. Colucci received an additional €15,000 from the sale of his mother’s property. He is entitled to a further €15,000 from the sale, which he was scheduled to receive on August 31, 2019.</w:t>
      </w:r>
    </w:p>
    <w:p w14:paraId="6752FBD7"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Mr. Colucci provided little documentation or financial disclosure to support these claims. He relied largely on unsubstantiated assertions in his affidavit about where he worked and how much he was paid, making it extremely difficult to accurately determine his income for the relevant years. Mr. Colucci claims he is unable to provide tax returns for the years 2000 to 2015. He says he cannot obtain tax returns from the Internal Revenue Service for the years he worked in the United States, in part because “[h]e does not have a Canadian passport . . . and may be denied re-entry” if he attends in person to obtain the returns (A.R., vol. II, at p. 59). He claims he worked for cash only between 2007 and 2015 and “did not file any income tax returns” (</w:t>
      </w:r>
      <w:r w:rsidRPr="00767442">
        <w:rPr>
          <w:rFonts w:cs="Times New Roman"/>
          <w:i/>
        </w:rPr>
        <w:t>ibid.</w:t>
      </w:r>
      <w:r w:rsidRPr="00767442">
        <w:rPr>
          <w:rFonts w:cs="Times New Roman"/>
        </w:rPr>
        <w:t>). Mr. Colucci offers no other explanation for the absence of tax returns for these years. He explained that he did not file a tax return in 2017 because he did not want the authorities to garnish his tax refund.</w:t>
      </w:r>
    </w:p>
    <w:p w14:paraId="75946249" w14:textId="77777777" w:rsidR="006E72DA" w:rsidRPr="00767442" w:rsidRDefault="006E72DA" w:rsidP="006E72DA">
      <w:pPr>
        <w:pStyle w:val="Title1LevelTitre1Niveau-AltL"/>
        <w:rPr>
          <w:rFonts w:cs="Times New Roman"/>
        </w:rPr>
      </w:pPr>
      <w:bookmarkStart w:id="24" w:name="_Toc62935236"/>
      <w:bookmarkStart w:id="25" w:name="_Toc62953605"/>
      <w:bookmarkStart w:id="26" w:name="_Toc62997975"/>
      <w:bookmarkStart w:id="27" w:name="_Toc64104256"/>
      <w:bookmarkStart w:id="28" w:name="_Toc64122493"/>
      <w:bookmarkStart w:id="29" w:name="_Toc64367696"/>
      <w:bookmarkStart w:id="30" w:name="_Toc66736613"/>
      <w:bookmarkStart w:id="31" w:name="_Toc67070433"/>
      <w:bookmarkStart w:id="32" w:name="_Toc67332075"/>
      <w:bookmarkStart w:id="33" w:name="_Toc67347358"/>
      <w:bookmarkStart w:id="34" w:name="_Toc71624527"/>
      <w:bookmarkEnd w:id="23"/>
      <w:r w:rsidRPr="00767442">
        <w:rPr>
          <w:rFonts w:cs="Times New Roman"/>
        </w:rPr>
        <w:t>Judicial History</w:t>
      </w:r>
      <w:bookmarkEnd w:id="24"/>
      <w:bookmarkEnd w:id="25"/>
      <w:bookmarkEnd w:id="26"/>
      <w:bookmarkEnd w:id="27"/>
      <w:bookmarkEnd w:id="28"/>
      <w:bookmarkEnd w:id="29"/>
      <w:bookmarkEnd w:id="30"/>
      <w:bookmarkEnd w:id="31"/>
      <w:bookmarkEnd w:id="32"/>
      <w:bookmarkEnd w:id="33"/>
      <w:bookmarkEnd w:id="34"/>
    </w:p>
    <w:p w14:paraId="588B7C09" w14:textId="77777777" w:rsidR="006E72DA" w:rsidRPr="00767442" w:rsidRDefault="006E72DA" w:rsidP="006E72DA">
      <w:pPr>
        <w:pStyle w:val="Title2LevelTitre2Niveau"/>
        <w:spacing w:after="600"/>
        <w:jc w:val="both"/>
        <w:rPr>
          <w:rFonts w:cs="Times New Roman"/>
          <w:i w:val="0"/>
        </w:rPr>
      </w:pPr>
      <w:bookmarkStart w:id="35" w:name="_Toc47110028"/>
      <w:bookmarkStart w:id="36" w:name="_Toc53912711"/>
      <w:bookmarkStart w:id="37" w:name="_Toc62935237"/>
      <w:bookmarkStart w:id="38" w:name="_Toc62953606"/>
      <w:bookmarkStart w:id="39" w:name="_Toc62997976"/>
      <w:bookmarkStart w:id="40" w:name="_Toc64104257"/>
      <w:bookmarkStart w:id="41" w:name="_Toc64122494"/>
      <w:bookmarkStart w:id="42" w:name="_Toc64367697"/>
      <w:bookmarkStart w:id="43" w:name="_Toc66736614"/>
      <w:bookmarkStart w:id="44" w:name="_Toc67070434"/>
      <w:bookmarkStart w:id="45" w:name="_Toc67332076"/>
      <w:bookmarkStart w:id="46" w:name="_Toc67347359"/>
      <w:bookmarkStart w:id="47" w:name="_Toc71624528"/>
      <w:r w:rsidRPr="00767442">
        <w:rPr>
          <w:rFonts w:cs="Times New Roman"/>
        </w:rPr>
        <w:t>Ontario Superior Court of Justice, 2018 ONSC 6627 (Hockin J.)</w:t>
      </w:r>
      <w:bookmarkEnd w:id="35"/>
      <w:bookmarkEnd w:id="36"/>
      <w:bookmarkEnd w:id="37"/>
      <w:bookmarkEnd w:id="38"/>
      <w:bookmarkEnd w:id="39"/>
      <w:bookmarkEnd w:id="40"/>
      <w:bookmarkEnd w:id="41"/>
      <w:bookmarkEnd w:id="42"/>
      <w:bookmarkEnd w:id="43"/>
      <w:bookmarkEnd w:id="44"/>
      <w:bookmarkEnd w:id="45"/>
      <w:bookmarkEnd w:id="46"/>
      <w:bookmarkEnd w:id="47"/>
    </w:p>
    <w:p w14:paraId="7A22464C" w14:textId="77777777" w:rsidR="006E72DA" w:rsidRPr="00767442" w:rsidRDefault="006E72DA" w:rsidP="006E72DA">
      <w:pPr>
        <w:pStyle w:val="ParaNoNdepar-AltN"/>
        <w:rPr>
          <w:rFonts w:eastAsia="Times New Roman" w:cs="Times New Roman"/>
        </w:rPr>
      </w:pPr>
      <w:r w:rsidRPr="00767442">
        <w:rPr>
          <w:rFonts w:eastAsia="Times New Roman" w:cs="Times New Roman"/>
        </w:rPr>
        <w:t xml:space="preserve">In brief reasons, the motion judge held that a material change in circumstances occurred when the </w:t>
      </w:r>
      <w:r w:rsidRPr="00767442">
        <w:rPr>
          <w:rFonts w:eastAsia="Times New Roman" w:cs="Times New Roman"/>
          <w:i/>
        </w:rPr>
        <w:t xml:space="preserve">Guidelines </w:t>
      </w:r>
      <w:r w:rsidRPr="00767442">
        <w:rPr>
          <w:rFonts w:eastAsia="Times New Roman" w:cs="Times New Roman"/>
        </w:rPr>
        <w:t xml:space="preserve">were adopted in May 1997, entitling Mr. Colucci to a retroactive adjustment of his child support obligation from that date forward. The motion judge relied on principles from </w:t>
      </w:r>
      <w:r w:rsidRPr="00767442">
        <w:rPr>
          <w:rFonts w:cs="Times New Roman"/>
          <w:i/>
        </w:rPr>
        <w:t>Corcios v. Burgos</w:t>
      </w:r>
      <w:r w:rsidRPr="00767442">
        <w:rPr>
          <w:rFonts w:cs="Times New Roman"/>
        </w:rPr>
        <w:t xml:space="preserve">, 2011 ONSC 3326, </w:t>
      </w:r>
      <w:r w:rsidRPr="00767442">
        <w:rPr>
          <w:rFonts w:eastAsia="Times New Roman" w:cs="Times New Roman"/>
        </w:rPr>
        <w:t xml:space="preserve">at para. 40 (CanLII), to impute income to Mr. Colucci based on Ontario’s minimum wage for the two years before he went to the U.S. and six of the years he spent in Italy. However, the motion judge did not apply the factors set out in </w:t>
      </w:r>
      <w:r w:rsidRPr="00767442">
        <w:rPr>
          <w:rFonts w:eastAsia="Times New Roman" w:cs="Times New Roman"/>
          <w:i/>
        </w:rPr>
        <w:t xml:space="preserve">Corcios </w:t>
      </w:r>
      <w:r w:rsidRPr="00767442">
        <w:rPr>
          <w:rFonts w:eastAsia="Times New Roman" w:cs="Times New Roman"/>
        </w:rPr>
        <w:t>for assessing whether a reduction of arrears is warranted.</w:t>
      </w:r>
    </w:p>
    <w:p w14:paraId="0FEFDA6F" w14:textId="77777777" w:rsidR="006E72DA" w:rsidRPr="00767442" w:rsidRDefault="006E72DA" w:rsidP="006E72DA">
      <w:pPr>
        <w:pStyle w:val="ParaNoNdepar-AltN"/>
        <w:rPr>
          <w:rFonts w:eastAsia="Times New Roman" w:cs="Times New Roman"/>
        </w:rPr>
      </w:pPr>
      <w:r w:rsidRPr="00767442">
        <w:rPr>
          <w:rFonts w:cs="Times New Roman"/>
        </w:rPr>
        <w:t xml:space="preserve">After finding a material change in circumstances, the motion judge simply completed a mathematical calculation. Based on the income attributed to Mr. Colucci for the years 1997 to 2012, the motion judge retroactively reduced Mr. Colucci’s child support obligations, effectively reducing the arrears owing from </w:t>
      </w:r>
      <w:r w:rsidRPr="00767442">
        <w:rPr>
          <w:rFonts w:eastAsia="Times New Roman" w:cs="Times New Roman"/>
        </w:rPr>
        <w:t xml:space="preserve">approximately $170,000 to $41,642. The motion judge found that this variation was warranted in order to bring the child support arrears in line with the principles stemming from the </w:t>
      </w:r>
      <w:r w:rsidRPr="00767442">
        <w:rPr>
          <w:rFonts w:eastAsia="Times New Roman" w:cs="Times New Roman"/>
          <w:i/>
        </w:rPr>
        <w:t>Guidelines</w:t>
      </w:r>
      <w:r w:rsidRPr="00767442">
        <w:rPr>
          <w:rFonts w:eastAsia="Times New Roman" w:cs="Times New Roman"/>
        </w:rPr>
        <w:t>, in particular the table amounts (which were implemented one year after the Divorce Order), and to reflect changes in Mr. Colucci’s drop in income over the period when the arrears were accruing (paras. 14</w:t>
      </w:r>
      <w:r w:rsidRPr="00767442">
        <w:rPr>
          <w:rFonts w:cs="Times New Roman"/>
        </w:rPr>
        <w:noBreakHyphen/>
      </w:r>
      <w:r w:rsidRPr="00767442">
        <w:rPr>
          <w:rFonts w:eastAsia="Times New Roman" w:cs="Times New Roman"/>
        </w:rPr>
        <w:t xml:space="preserve">15). </w:t>
      </w:r>
    </w:p>
    <w:p w14:paraId="7F9B7B82" w14:textId="77777777" w:rsidR="006E72DA" w:rsidRPr="00767442" w:rsidRDefault="006E72DA" w:rsidP="006E72DA">
      <w:pPr>
        <w:pStyle w:val="ParaNoNdepar-AltN"/>
        <w:rPr>
          <w:rFonts w:eastAsia="Times New Roman" w:cs="Times New Roman"/>
        </w:rPr>
      </w:pPr>
      <w:r w:rsidRPr="00767442">
        <w:rPr>
          <w:rFonts w:eastAsia="Times New Roman" w:cs="Times New Roman"/>
        </w:rPr>
        <w:t>Prospective payments against the arrears were fixed at $425 per month based on Mr. Colucci’s asserted current income. Mr. Colucci was also ordered to pay Ms. Colucci €15,000 upon receiving the funds from the sale of his mother’s house. H</w:t>
      </w:r>
      <w:r w:rsidRPr="00767442">
        <w:rPr>
          <w:rFonts w:cs="Times New Roman"/>
        </w:rPr>
        <w:t>e was scheduled to receive the funds on August 31, 2019</w:t>
      </w:r>
      <w:r w:rsidRPr="00767442">
        <w:rPr>
          <w:rFonts w:eastAsia="Times New Roman" w:cs="Times New Roman"/>
        </w:rPr>
        <w:t>. As of the date of the hearing before this Court, this amount had yet to be paid to Ms. Colucci.</w:t>
      </w:r>
    </w:p>
    <w:p w14:paraId="0ADE2A5C" w14:textId="77777777" w:rsidR="006E72DA" w:rsidRPr="00767442" w:rsidRDefault="006E72DA" w:rsidP="006E72DA">
      <w:pPr>
        <w:pStyle w:val="ParaNoNdepar-AltN"/>
        <w:rPr>
          <w:rFonts w:cs="Times New Roman"/>
        </w:rPr>
      </w:pPr>
      <w:r w:rsidRPr="00767442">
        <w:rPr>
          <w:rFonts w:eastAsia="Times New Roman" w:cs="Times New Roman"/>
        </w:rPr>
        <w:t xml:space="preserve">The motion judge made no reference to the </w:t>
      </w:r>
      <w:r w:rsidRPr="00767442">
        <w:rPr>
          <w:rFonts w:eastAsia="Times New Roman" w:cs="Times New Roman"/>
          <w:i/>
        </w:rPr>
        <w:t>D.B.S.</w:t>
      </w:r>
      <w:r w:rsidRPr="00767442">
        <w:rPr>
          <w:rFonts w:eastAsia="Times New Roman" w:cs="Times New Roman"/>
        </w:rPr>
        <w:t xml:space="preserve"> factors, referring to </w:t>
      </w:r>
      <w:r w:rsidRPr="00767442">
        <w:rPr>
          <w:rFonts w:eastAsia="Times New Roman" w:cs="Times New Roman"/>
          <w:i/>
        </w:rPr>
        <w:t>D.B.S.</w:t>
      </w:r>
      <w:r w:rsidRPr="00767442">
        <w:rPr>
          <w:rFonts w:eastAsia="Times New Roman" w:cs="Times New Roman"/>
        </w:rPr>
        <w:t xml:space="preserve"> only to note that “the so-called [three-year] rule does not apply” (para. 20). The “three-year rule” is a presumption established in </w:t>
      </w:r>
      <w:r w:rsidRPr="00767442">
        <w:rPr>
          <w:rFonts w:eastAsia="Times New Roman" w:cs="Times New Roman"/>
          <w:i/>
        </w:rPr>
        <w:t xml:space="preserve">D.B.S. </w:t>
      </w:r>
      <w:r w:rsidRPr="00767442">
        <w:rPr>
          <w:rFonts w:eastAsia="Times New Roman" w:cs="Times New Roman"/>
        </w:rPr>
        <w:t xml:space="preserve">that a retroactive increase in support should extend no more than three years before the recipient gave formal notice of the application to vary under s. 17 of the </w:t>
      </w:r>
      <w:r w:rsidRPr="00767442">
        <w:rPr>
          <w:rFonts w:eastAsia="Times New Roman" w:cs="Times New Roman"/>
          <w:i/>
        </w:rPr>
        <w:t>Divorce Act</w:t>
      </w:r>
      <w:r w:rsidRPr="00767442">
        <w:rPr>
          <w:rFonts w:eastAsia="Times New Roman" w:cs="Times New Roman"/>
        </w:rPr>
        <w:t xml:space="preserve">. The motion judge added that </w:t>
      </w:r>
    </w:p>
    <w:p w14:paraId="080BAFEA" w14:textId="77777777" w:rsidR="006E72DA" w:rsidRPr="00767442" w:rsidRDefault="006E72DA" w:rsidP="006E72DA">
      <w:pPr>
        <w:pStyle w:val="Citation-AltC"/>
      </w:pPr>
      <w:r w:rsidRPr="00767442">
        <w:t>[t]his is not a retroactive support order but a case where arrears have accumulated and require adjustment. In any event, it would be wrong to limit the calculation in view of [Mr. Colucci’s] delinquency. [para. 20]</w:t>
      </w:r>
    </w:p>
    <w:p w14:paraId="43686918" w14:textId="77777777" w:rsidR="006E72DA" w:rsidRPr="00767442" w:rsidRDefault="006E72DA" w:rsidP="006E72DA">
      <w:pPr>
        <w:pStyle w:val="Title2LevelTitre2Niveau"/>
        <w:spacing w:after="240"/>
        <w:jc w:val="both"/>
        <w:rPr>
          <w:rFonts w:cs="Times New Roman"/>
        </w:rPr>
      </w:pPr>
      <w:bookmarkStart w:id="48" w:name="_Toc320021606"/>
      <w:bookmarkStart w:id="49" w:name="_Toc400026539"/>
      <w:bookmarkStart w:id="50" w:name="_Toc47110029"/>
      <w:bookmarkStart w:id="51" w:name="_Toc53912712"/>
      <w:bookmarkStart w:id="52" w:name="_Toc62935238"/>
      <w:bookmarkStart w:id="53" w:name="_Toc62953607"/>
      <w:bookmarkStart w:id="54" w:name="_Toc62997977"/>
      <w:bookmarkStart w:id="55" w:name="_Toc64104258"/>
      <w:bookmarkStart w:id="56" w:name="_Toc64122495"/>
      <w:bookmarkStart w:id="57" w:name="_Toc64367698"/>
      <w:bookmarkStart w:id="58" w:name="_Toc66736615"/>
      <w:bookmarkStart w:id="59" w:name="_Toc67070435"/>
      <w:bookmarkStart w:id="60" w:name="_Toc67332077"/>
      <w:bookmarkStart w:id="61" w:name="_Toc67347360"/>
      <w:bookmarkStart w:id="62" w:name="_Toc71624529"/>
      <w:r w:rsidRPr="00767442">
        <w:rPr>
          <w:rFonts w:cs="Times New Roman"/>
        </w:rPr>
        <w:t>Court of Appeal</w:t>
      </w:r>
      <w:bookmarkEnd w:id="48"/>
      <w:bookmarkEnd w:id="49"/>
      <w:r w:rsidRPr="00767442">
        <w:rPr>
          <w:rFonts w:cs="Times New Roman"/>
        </w:rPr>
        <w:t>, 2019 ONCA 561, 26 R.F.L. (8th) 259 (Brown, Roberts and Zarnett JJ.A.)</w:t>
      </w:r>
      <w:bookmarkEnd w:id="50"/>
      <w:bookmarkEnd w:id="51"/>
      <w:bookmarkEnd w:id="52"/>
      <w:bookmarkEnd w:id="53"/>
      <w:bookmarkEnd w:id="54"/>
      <w:bookmarkEnd w:id="55"/>
      <w:bookmarkEnd w:id="56"/>
      <w:bookmarkEnd w:id="57"/>
      <w:bookmarkEnd w:id="58"/>
      <w:bookmarkEnd w:id="59"/>
      <w:bookmarkEnd w:id="60"/>
      <w:bookmarkEnd w:id="61"/>
      <w:bookmarkEnd w:id="62"/>
    </w:p>
    <w:p w14:paraId="17948354" w14:textId="77777777" w:rsidR="006E72DA" w:rsidRPr="00767442" w:rsidRDefault="006E72DA" w:rsidP="006E72DA">
      <w:pPr>
        <w:pStyle w:val="ParaNoNdepar-AltN"/>
        <w:rPr>
          <w:rFonts w:eastAsia="Times New Roman" w:cs="Times New Roman"/>
        </w:rPr>
      </w:pPr>
      <w:r w:rsidRPr="00767442">
        <w:rPr>
          <w:rFonts w:eastAsia="Times New Roman" w:cs="Times New Roman"/>
        </w:rPr>
        <w:t xml:space="preserve">Ms. Colucci appealed the motion judge’s order on three grounds: (1) the motion judge failed to apply the principles on retroactive variation from </w:t>
      </w:r>
      <w:r w:rsidRPr="00767442">
        <w:rPr>
          <w:rFonts w:eastAsia="Times New Roman" w:cs="Times New Roman"/>
          <w:i/>
        </w:rPr>
        <w:t xml:space="preserve">D.B.S. </w:t>
      </w:r>
      <w:r w:rsidRPr="00767442">
        <w:rPr>
          <w:rFonts w:eastAsia="Times New Roman" w:cs="Times New Roman"/>
        </w:rPr>
        <w:t>and</w:t>
      </w:r>
      <w:r w:rsidRPr="00767442">
        <w:rPr>
          <w:rFonts w:eastAsia="Times New Roman" w:cs="Times New Roman"/>
          <w:i/>
        </w:rPr>
        <w:t xml:space="preserve"> Gray v. Rizzi</w:t>
      </w:r>
      <w:r w:rsidRPr="00767442">
        <w:rPr>
          <w:rFonts w:eastAsia="Times New Roman" w:cs="Times New Roman"/>
        </w:rPr>
        <w:t xml:space="preserve">, 2016 ONCA 152, 129 O.R. (3d) 201, in order to evaluate whether it was appropriate to reduce the arrears in this case; (2) the motion judge failed to apply the three-year rule; and (3) the motion judge incorrectly imputed income to Mr. Colucci (para. 13). </w:t>
      </w:r>
    </w:p>
    <w:p w14:paraId="377EFD8A" w14:textId="77777777" w:rsidR="006E72DA" w:rsidRPr="00767442" w:rsidRDefault="006E72DA" w:rsidP="006E72DA">
      <w:pPr>
        <w:pStyle w:val="ParaNoNdepar-AltN"/>
        <w:tabs>
          <w:tab w:val="clear" w:pos="1152"/>
          <w:tab w:val="left" w:pos="1166"/>
        </w:tabs>
        <w:rPr>
          <w:rFonts w:eastAsia="Times New Roman" w:cs="Times New Roman"/>
        </w:rPr>
      </w:pPr>
      <w:r w:rsidRPr="00767442">
        <w:rPr>
          <w:rFonts w:eastAsia="Times New Roman" w:cs="Times New Roman"/>
        </w:rPr>
        <w:t xml:space="preserve">Speaking for the court, Roberts J.A. found that, while the enactment of the </w:t>
      </w:r>
      <w:r w:rsidRPr="00767442">
        <w:rPr>
          <w:rFonts w:eastAsia="Times New Roman" w:cs="Times New Roman"/>
          <w:i/>
        </w:rPr>
        <w:t>Guidelines</w:t>
      </w:r>
      <w:r w:rsidRPr="00767442">
        <w:rPr>
          <w:rFonts w:eastAsia="Times New Roman" w:cs="Times New Roman"/>
        </w:rPr>
        <w:t xml:space="preserve"> constituted a change in circumstances, the motion judge erred in concluding that Mr. Colucci was entitled to a retroactive variation extending back to 1997 “as of right” (para. 14). The motion judge also erred in distinguishing </w:t>
      </w:r>
      <w:r w:rsidRPr="00767442">
        <w:rPr>
          <w:rFonts w:eastAsia="Times New Roman" w:cs="Times New Roman"/>
          <w:i/>
        </w:rPr>
        <w:t>D.B.S.</w:t>
      </w:r>
      <w:r w:rsidRPr="00767442">
        <w:rPr>
          <w:rFonts w:eastAsia="Times New Roman" w:cs="Times New Roman"/>
        </w:rPr>
        <w:t xml:space="preserve"> and failing to follow </w:t>
      </w:r>
      <w:r w:rsidRPr="00767442">
        <w:rPr>
          <w:rFonts w:eastAsia="Times New Roman" w:cs="Times New Roman"/>
          <w:i/>
        </w:rPr>
        <w:t>Gray</w:t>
      </w:r>
      <w:r w:rsidRPr="00767442">
        <w:rPr>
          <w:rFonts w:eastAsia="Times New Roman" w:cs="Times New Roman"/>
        </w:rPr>
        <w:t xml:space="preserve">. Roberts J.A. stated: </w:t>
      </w:r>
    </w:p>
    <w:p w14:paraId="1DD170AD" w14:textId="77777777" w:rsidR="006E72DA" w:rsidRPr="00767442" w:rsidRDefault="006E72DA" w:rsidP="006E72DA">
      <w:pPr>
        <w:pStyle w:val="Citation-AltC"/>
      </w:pPr>
      <w:r w:rsidRPr="00767442">
        <w:t>While [</w:t>
      </w:r>
      <w:r w:rsidRPr="00767442">
        <w:rPr>
          <w:i/>
        </w:rPr>
        <w:t>D.B.S.</w:t>
      </w:r>
      <w:r w:rsidRPr="00767442">
        <w:t>] involved an application for a retroactive increase in support, the factors articulated by the Supreme Court were intended to serve as general principles applicable, with appropriate adaptation, to retroactive support variations that would decrease the quantum of child support. [para. 15]</w:t>
      </w:r>
    </w:p>
    <w:p w14:paraId="06DC52A6" w14:textId="30C13008" w:rsidR="006E72DA" w:rsidRPr="00767442" w:rsidRDefault="006E72DA" w:rsidP="006E72DA">
      <w:pPr>
        <w:pStyle w:val="ParaNoNdepar-AltN"/>
        <w:rPr>
          <w:rFonts w:eastAsia="Times New Roman" w:cs="Times New Roman"/>
        </w:rPr>
      </w:pPr>
      <w:r w:rsidRPr="00767442">
        <w:rPr>
          <w:rFonts w:eastAsia="Times New Roman" w:cs="Times New Roman"/>
        </w:rPr>
        <w:t xml:space="preserve">In line with these remarks, the Ontario Court of Appeal in </w:t>
      </w:r>
      <w:r w:rsidRPr="00767442">
        <w:rPr>
          <w:rFonts w:eastAsia="Times New Roman" w:cs="Times New Roman"/>
          <w:i/>
        </w:rPr>
        <w:t xml:space="preserve">Gray </w:t>
      </w:r>
      <w:r w:rsidRPr="00767442">
        <w:rPr>
          <w:rFonts w:eastAsia="Times New Roman" w:cs="Times New Roman"/>
        </w:rPr>
        <w:t xml:space="preserve">adapted the four </w:t>
      </w:r>
      <w:r w:rsidRPr="00767442">
        <w:rPr>
          <w:rFonts w:eastAsia="Times New Roman" w:cs="Times New Roman"/>
          <w:i/>
        </w:rPr>
        <w:t>D.B.S.</w:t>
      </w:r>
      <w:r w:rsidRPr="00767442">
        <w:rPr>
          <w:rFonts w:eastAsia="Times New Roman" w:cs="Times New Roman"/>
        </w:rPr>
        <w:t xml:space="preserve"> factors to applications to reduce or rescind child support arrears, along with the rule that variation should extend to the date of effective notice unless that date is more than three years before formal notice (paras. 15</w:t>
      </w:r>
      <w:r w:rsidRPr="00767442">
        <w:rPr>
          <w:rFonts w:cs="Times New Roman"/>
        </w:rPr>
        <w:noBreakHyphen/>
      </w:r>
      <w:r w:rsidRPr="00767442">
        <w:rPr>
          <w:rFonts w:eastAsia="Times New Roman" w:cs="Times New Roman"/>
        </w:rPr>
        <w:t xml:space="preserve">18). </w:t>
      </w:r>
    </w:p>
    <w:p w14:paraId="4D5B6DD1" w14:textId="77777777" w:rsidR="006E72DA" w:rsidRPr="00767442" w:rsidRDefault="006E72DA" w:rsidP="006E72DA">
      <w:pPr>
        <w:pStyle w:val="ParaNoNdepar-AltN"/>
        <w:rPr>
          <w:rFonts w:eastAsia="Times New Roman" w:cs="Times New Roman"/>
        </w:rPr>
      </w:pPr>
      <w:r w:rsidRPr="00767442">
        <w:rPr>
          <w:rFonts w:cs="Times New Roman"/>
        </w:rPr>
        <w:t xml:space="preserve">Roberts J.A. noted that, given Mr. Colucci’s failure to make full and accurate financial disclosure, the court was unable to determine whether he sought relief based on a current inability to pay the arrears or a change in financial circumstances that affected his ability to meet his obligations as they came due. </w:t>
      </w:r>
      <w:r w:rsidRPr="00767442">
        <w:rPr>
          <w:rFonts w:eastAsia="Times New Roman" w:cs="Times New Roman"/>
        </w:rPr>
        <w:t>However, the outcome is the same in either scenario (para. 28).</w:t>
      </w:r>
    </w:p>
    <w:p w14:paraId="4790B7A7" w14:textId="77777777" w:rsidR="006E72DA" w:rsidRPr="00767442" w:rsidRDefault="006E72DA" w:rsidP="006E72DA">
      <w:pPr>
        <w:pStyle w:val="ParaNoNdepar-AltN"/>
        <w:rPr>
          <w:rFonts w:eastAsia="Times New Roman" w:cs="Times New Roman"/>
          <w:lang w:val="en-US"/>
        </w:rPr>
      </w:pPr>
      <w:r w:rsidRPr="00767442">
        <w:rPr>
          <w:rFonts w:eastAsia="Times New Roman" w:cs="Times New Roman"/>
        </w:rPr>
        <w:t xml:space="preserve">With respect to the second scenario of changed circumstances based on decreased income, the motion judge ought to have applied the </w:t>
      </w:r>
      <w:r w:rsidRPr="00767442">
        <w:rPr>
          <w:rFonts w:eastAsia="Times New Roman" w:cs="Times New Roman"/>
          <w:i/>
        </w:rPr>
        <w:t>Corcios</w:t>
      </w:r>
      <w:r w:rsidRPr="00767442">
        <w:rPr>
          <w:rFonts w:eastAsia="Times New Roman" w:cs="Times New Roman"/>
        </w:rPr>
        <w:t>/</w:t>
      </w:r>
      <w:r w:rsidRPr="00767442">
        <w:rPr>
          <w:rFonts w:eastAsia="Times New Roman" w:cs="Times New Roman"/>
          <w:i/>
        </w:rPr>
        <w:t>Gray</w:t>
      </w:r>
      <w:r w:rsidRPr="00767442">
        <w:rPr>
          <w:rFonts w:eastAsia="Times New Roman" w:cs="Times New Roman"/>
        </w:rPr>
        <w:t xml:space="preserve"> factors (C.A. reasons, at paras. 22</w:t>
      </w:r>
      <w:r w:rsidRPr="00767442">
        <w:rPr>
          <w:rFonts w:cs="Times New Roman"/>
        </w:rPr>
        <w:noBreakHyphen/>
      </w:r>
      <w:r w:rsidRPr="00767442">
        <w:rPr>
          <w:rFonts w:eastAsia="Times New Roman" w:cs="Times New Roman"/>
        </w:rPr>
        <w:t>23). Applying those factors, the Court of Appeal found that Mr. Colucci failed to “discharg[e] his onus to explain his significant failure to make support payments and his extraordinary delay in proceeding with his application to vary” (para. 31). His blameworthy conduct as a “recalcitrant payor” (para. 30) and in failing to produce documents and misrepresenting his mother’s estate, along with hardship experienced by his daughters (including considerable student debt), militated against varying the child support order</w:t>
      </w:r>
      <w:r w:rsidRPr="00767442">
        <w:rPr>
          <w:rFonts w:cs="Times New Roman"/>
        </w:rPr>
        <w:t xml:space="preserve"> more than three years from the date </w:t>
      </w:r>
      <w:r w:rsidRPr="00767442">
        <w:rPr>
          <w:rFonts w:eastAsia="Times New Roman" w:cs="Times New Roman"/>
        </w:rPr>
        <w:t>of effective notice, that is November 17, 2016,</w:t>
      </w:r>
      <w:r w:rsidRPr="00767442">
        <w:rPr>
          <w:rFonts w:cs="Times New Roman"/>
        </w:rPr>
        <w:t xml:space="preserve"> </w:t>
      </w:r>
      <w:r w:rsidRPr="00767442">
        <w:rPr>
          <w:rFonts w:eastAsia="Times New Roman" w:cs="Times New Roman"/>
        </w:rPr>
        <w:t>the commencement of the motion to change (paras. 27</w:t>
      </w:r>
      <w:r w:rsidRPr="00767442">
        <w:rPr>
          <w:rFonts w:cs="Times New Roman"/>
        </w:rPr>
        <w:noBreakHyphen/>
      </w:r>
      <w:r w:rsidRPr="00767442">
        <w:rPr>
          <w:rFonts w:eastAsia="Times New Roman" w:cs="Times New Roman"/>
        </w:rPr>
        <w:t xml:space="preserve">32). </w:t>
      </w:r>
      <w:r w:rsidRPr="00767442">
        <w:rPr>
          <w:rFonts w:cs="Times New Roman"/>
        </w:rPr>
        <w:t>A</w:t>
      </w:r>
      <w:r w:rsidRPr="00767442">
        <w:rPr>
          <w:rFonts w:eastAsia="Times New Roman" w:cs="Times New Roman"/>
        </w:rPr>
        <w:t>s this date does not affect the amount of the accumulated arrears to 2012, no reduction in arrears was allowed (paras. 34</w:t>
      </w:r>
      <w:r w:rsidRPr="00767442">
        <w:rPr>
          <w:rFonts w:cs="Times New Roman"/>
        </w:rPr>
        <w:noBreakHyphen/>
      </w:r>
      <w:r w:rsidRPr="00767442">
        <w:rPr>
          <w:rFonts w:eastAsia="Times New Roman" w:cs="Times New Roman"/>
        </w:rPr>
        <w:t>36).</w:t>
      </w:r>
    </w:p>
    <w:p w14:paraId="15E25B83" w14:textId="77777777" w:rsidR="006E72DA" w:rsidRPr="00767442" w:rsidRDefault="006E72DA" w:rsidP="006E72DA">
      <w:pPr>
        <w:pStyle w:val="ParaNoNdepar-AltN"/>
        <w:rPr>
          <w:rFonts w:eastAsia="Times New Roman" w:cs="Times New Roman"/>
        </w:rPr>
      </w:pPr>
      <w:r w:rsidRPr="00767442">
        <w:rPr>
          <w:rFonts w:eastAsia="Times New Roman" w:cs="Times New Roman"/>
        </w:rPr>
        <w:t>Further, the Court of Appeal noted that Mr. Colucci was in breach of his ongoing requirement to make full documentary and financial disclosure (at para. 32) and had failed to produce any reliable evidence of his inability to pay while arrears were accumulating (para. 31).</w:t>
      </w:r>
    </w:p>
    <w:p w14:paraId="27DD5BE6" w14:textId="77777777" w:rsidR="006E72DA" w:rsidRPr="00767442" w:rsidRDefault="006E72DA" w:rsidP="006E72DA">
      <w:pPr>
        <w:pStyle w:val="Title1LevelTitre1Niveau-AltL"/>
        <w:rPr>
          <w:rFonts w:cs="Times New Roman"/>
        </w:rPr>
      </w:pPr>
      <w:bookmarkStart w:id="63" w:name="_Toc62935239"/>
      <w:bookmarkStart w:id="64" w:name="_Toc62953608"/>
      <w:bookmarkStart w:id="65" w:name="_Toc62997978"/>
      <w:bookmarkStart w:id="66" w:name="_Toc64104259"/>
      <w:bookmarkStart w:id="67" w:name="_Toc64122496"/>
      <w:bookmarkStart w:id="68" w:name="_Toc64367699"/>
      <w:bookmarkStart w:id="69" w:name="_Toc66736616"/>
      <w:bookmarkStart w:id="70" w:name="_Toc67070436"/>
      <w:bookmarkStart w:id="71" w:name="_Toc67332078"/>
      <w:bookmarkStart w:id="72" w:name="_Toc67347361"/>
      <w:bookmarkStart w:id="73" w:name="_Toc71624530"/>
      <w:r w:rsidRPr="00767442">
        <w:rPr>
          <w:rFonts w:cs="Times New Roman"/>
        </w:rPr>
        <w:t>Issue</w:t>
      </w:r>
      <w:bookmarkEnd w:id="63"/>
      <w:bookmarkEnd w:id="64"/>
      <w:bookmarkEnd w:id="65"/>
      <w:bookmarkEnd w:id="66"/>
      <w:bookmarkEnd w:id="67"/>
      <w:bookmarkEnd w:id="68"/>
      <w:bookmarkEnd w:id="69"/>
      <w:bookmarkEnd w:id="70"/>
      <w:bookmarkEnd w:id="71"/>
      <w:bookmarkEnd w:id="72"/>
      <w:bookmarkEnd w:id="73"/>
      <w:r>
        <w:rPr>
          <w:rFonts w:cs="Times New Roman"/>
        </w:rPr>
        <w:t>s</w:t>
      </w:r>
      <w:r w:rsidRPr="00767442">
        <w:rPr>
          <w:rFonts w:cs="Times New Roman"/>
        </w:rPr>
        <w:t xml:space="preserve"> </w:t>
      </w:r>
    </w:p>
    <w:p w14:paraId="721B5FF1" w14:textId="77777777" w:rsidR="006E72DA" w:rsidRDefault="006E72DA" w:rsidP="006E72DA">
      <w:pPr>
        <w:pStyle w:val="ParaNoNdepar-AltN"/>
        <w:tabs>
          <w:tab w:val="clear" w:pos="1152"/>
          <w:tab w:val="left" w:pos="1166"/>
        </w:tabs>
        <w:rPr>
          <w:rFonts w:cs="Times New Roman"/>
        </w:rPr>
      </w:pPr>
      <w:r w:rsidRPr="00767442">
        <w:rPr>
          <w:rFonts w:cs="Times New Roman"/>
        </w:rPr>
        <w:t xml:space="preserve">This appeal raises two questions: first, what is the appropriate framework for deciding applications to retroactively reduce child support under s. 17 of the </w:t>
      </w:r>
      <w:r w:rsidRPr="00767442">
        <w:rPr>
          <w:rFonts w:cs="Times New Roman"/>
          <w:i/>
        </w:rPr>
        <w:t>Divorce Act</w:t>
      </w:r>
      <w:r w:rsidRPr="00767442">
        <w:rPr>
          <w:rFonts w:cs="Times New Roman"/>
        </w:rPr>
        <w:t xml:space="preserve">, and second, what is the appropriate framework where the payor parent seeks to rescind child support arrears under s. 17 based on current and ongoing inability to pay? </w:t>
      </w:r>
    </w:p>
    <w:p w14:paraId="723251D4" w14:textId="77777777" w:rsidR="006E72DA" w:rsidRPr="00767442" w:rsidRDefault="006E72DA" w:rsidP="006E72DA">
      <w:pPr>
        <w:pStyle w:val="Title1LevelTitre1Niveau-AltL"/>
        <w:numPr>
          <w:ilvl w:val="0"/>
          <w:numId w:val="19"/>
        </w:numPr>
        <w:spacing w:before="600"/>
        <w:jc w:val="both"/>
        <w:rPr>
          <w:rFonts w:cs="Times New Roman"/>
        </w:rPr>
      </w:pPr>
      <w:bookmarkStart w:id="74" w:name="_Toc66736617"/>
      <w:bookmarkStart w:id="75" w:name="_Toc67070437"/>
      <w:bookmarkStart w:id="76" w:name="_Toc67332079"/>
      <w:bookmarkStart w:id="77" w:name="_Toc67347362"/>
      <w:bookmarkStart w:id="78" w:name="_Toc71624531"/>
      <w:bookmarkStart w:id="79" w:name="_Toc62953609"/>
      <w:bookmarkStart w:id="80" w:name="_Toc62997979"/>
      <w:bookmarkStart w:id="81" w:name="_Toc62431819"/>
      <w:bookmarkStart w:id="82" w:name="_Toc64104260"/>
      <w:bookmarkStart w:id="83" w:name="_Toc64122497"/>
      <w:bookmarkStart w:id="84" w:name="_Toc64367700"/>
      <w:r w:rsidRPr="00767442">
        <w:rPr>
          <w:rFonts w:cs="Times New Roman"/>
        </w:rPr>
        <w:t>Analysis</w:t>
      </w:r>
      <w:bookmarkEnd w:id="74"/>
      <w:bookmarkEnd w:id="75"/>
      <w:bookmarkEnd w:id="76"/>
      <w:bookmarkEnd w:id="77"/>
      <w:bookmarkEnd w:id="78"/>
      <w:r w:rsidRPr="00767442">
        <w:rPr>
          <w:rFonts w:cs="Times New Roman"/>
        </w:rPr>
        <w:t xml:space="preserve"> </w:t>
      </w:r>
    </w:p>
    <w:bookmarkEnd w:id="79"/>
    <w:bookmarkEnd w:id="80"/>
    <w:bookmarkEnd w:id="81"/>
    <w:bookmarkEnd w:id="82"/>
    <w:bookmarkEnd w:id="83"/>
    <w:bookmarkEnd w:id="84"/>
    <w:p w14:paraId="0F7A245C"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While children should be shielded from the economic consequences of divorce to the fullest extent possible, the federal child support regime contemplates that the family as a whole — including the child — will share the rising and falling fortunes of the payor parent, just as they would have before the separation. Because child support under the </w:t>
      </w:r>
      <w:r w:rsidRPr="00767442">
        <w:rPr>
          <w:rFonts w:cs="Times New Roman"/>
          <w:i/>
        </w:rPr>
        <w:t>Divorce Act</w:t>
      </w:r>
      <w:r w:rsidRPr="00767442">
        <w:rPr>
          <w:rFonts w:cs="Times New Roman"/>
        </w:rPr>
        <w:t xml:space="preserve"> is tied to payor income and income tends to fluctuate, a child support order or agreement reflects a snapshot in time and is never final (</w:t>
      </w:r>
      <w:r w:rsidRPr="00767442">
        <w:rPr>
          <w:rFonts w:cs="Times New Roman"/>
          <w:i/>
        </w:rPr>
        <w:t>D.B.S.</w:t>
      </w:r>
      <w:r w:rsidRPr="00767442">
        <w:rPr>
          <w:rFonts w:cs="Times New Roman"/>
        </w:rPr>
        <w:t xml:space="preserve">, at para. 64; </w:t>
      </w:r>
      <w:r w:rsidRPr="00767442">
        <w:rPr>
          <w:rFonts w:cs="Times New Roman"/>
          <w:i/>
        </w:rPr>
        <w:t>D.B.S. v. S.R.G.</w:t>
      </w:r>
      <w:r w:rsidRPr="00767442">
        <w:rPr>
          <w:rFonts w:cs="Times New Roman"/>
        </w:rPr>
        <w:t>, 2005 ABCA 2, 361 A.R. 60 (“</w:t>
      </w:r>
      <w:r w:rsidRPr="00767442">
        <w:rPr>
          <w:rFonts w:cs="Times New Roman"/>
          <w:i/>
        </w:rPr>
        <w:t>D.B.S.</w:t>
      </w:r>
      <w:r w:rsidRPr="00767442">
        <w:rPr>
          <w:rFonts w:cs="Times New Roman"/>
        </w:rPr>
        <w:t xml:space="preserve"> (C.A.)”), at para. 100; </w:t>
      </w:r>
      <w:r w:rsidRPr="00767442">
        <w:rPr>
          <w:rFonts w:cs="Times New Roman"/>
          <w:i/>
        </w:rPr>
        <w:t>Brear v. Brear</w:t>
      </w:r>
      <w:r w:rsidRPr="00767442">
        <w:rPr>
          <w:rFonts w:cs="Times New Roman"/>
        </w:rPr>
        <w:t xml:space="preserve">, 2019 ABCA 419, 97 Alta. L.R. (6th) 1, at para. 20, per Pentelechuk J.A.). Various legal, administrative and consent-based mechanisms exist to periodically change child support orders to bring them in line with financial realities. </w:t>
      </w:r>
    </w:p>
    <w:p w14:paraId="5BD19817" w14:textId="145A7B3D"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Section 17 of the </w:t>
      </w:r>
      <w:r w:rsidRPr="00767442">
        <w:rPr>
          <w:rFonts w:cs="Times New Roman"/>
          <w:i/>
        </w:rPr>
        <w:t>Divorce Act</w:t>
      </w:r>
      <w:r w:rsidRPr="00767442">
        <w:rPr>
          <w:rFonts w:cs="Times New Roman"/>
        </w:rPr>
        <w:t xml:space="preserve"> is one such mechanism. It provides that, on application, a court “may make an order </w:t>
      </w:r>
      <w:r w:rsidRPr="00767442">
        <w:rPr>
          <w:rFonts w:cs="Times New Roman"/>
          <w:u w:val="single"/>
        </w:rPr>
        <w:t>varying, rescinding or suspending</w:t>
      </w:r>
      <w:r w:rsidRPr="00767442">
        <w:rPr>
          <w:rFonts w:cs="Times New Roman"/>
        </w:rPr>
        <w:t>, retroactively or prospectively, a support order or any provision of one” (s. 17(1</w:t>
      </w:r>
      <w:proofErr w:type="gramStart"/>
      <w:r w:rsidRPr="00767442">
        <w:rPr>
          <w:rFonts w:cs="Times New Roman"/>
        </w:rPr>
        <w:t>)(</w:t>
      </w:r>
      <w:proofErr w:type="gramEnd"/>
      <w:r w:rsidRPr="00767442">
        <w:rPr>
          <w:rFonts w:cs="Times New Roman"/>
        </w:rPr>
        <w:t xml:space="preserve">a)). As the wording indicates, s. 17 confers wide discretion on the judge, who “may” — but is not required to — vary, rescind, or suspend an order into the future, the past, or both. The </w:t>
      </w:r>
      <w:r w:rsidRPr="00767442">
        <w:rPr>
          <w:rFonts w:cs="Times New Roman"/>
          <w:i/>
        </w:rPr>
        <w:t>Divorce Act</w:t>
      </w:r>
      <w:r w:rsidRPr="00767442">
        <w:rPr>
          <w:rFonts w:cs="Times New Roman"/>
        </w:rPr>
        <w:t xml:space="preserve"> expressly confers such broad powers because wide judicial discretion is necessary to respond to the multiplicity of factual situations produced by human behavio</w:t>
      </w:r>
      <w:r w:rsidR="00C23966">
        <w:rPr>
          <w:rFonts w:cs="Times New Roman"/>
        </w:rPr>
        <w:t>u</w:t>
      </w:r>
      <w:r w:rsidRPr="00767442">
        <w:rPr>
          <w:rFonts w:cs="Times New Roman"/>
        </w:rPr>
        <w:t xml:space="preserve">r. </w:t>
      </w:r>
    </w:p>
    <w:p w14:paraId="12C48CD0"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Experience teaches that there are three main categories of claims for retroactive relief under s. 17, each with its own particular set of considerations: </w:t>
      </w:r>
    </w:p>
    <w:p w14:paraId="195AD4F7" w14:textId="77777777" w:rsidR="006E72DA" w:rsidRPr="00767442" w:rsidRDefault="006E72DA" w:rsidP="00B91081">
      <w:pPr>
        <w:pStyle w:val="ListParagraph"/>
        <w:numPr>
          <w:ilvl w:val="0"/>
          <w:numId w:val="23"/>
        </w:numPr>
        <w:spacing w:after="160" w:line="480" w:lineRule="auto"/>
        <w:ind w:left="567" w:hanging="567"/>
        <w:jc w:val="both"/>
        <w:rPr>
          <w:rFonts w:cs="Times New Roman"/>
        </w:rPr>
      </w:pPr>
      <w:r w:rsidRPr="00767442">
        <w:rPr>
          <w:rFonts w:cs="Times New Roman"/>
        </w:rPr>
        <w:t>The recipient seeks to retroactively increase support because of a past change in circumstances, with the change usually being an increase in the payor’s income. In such circumstances, the existing order or agreement underestimates the payor’s income.</w:t>
      </w:r>
    </w:p>
    <w:p w14:paraId="4CA8D38F" w14:textId="77777777" w:rsidR="006E72DA" w:rsidRPr="00767442" w:rsidRDefault="006E72DA" w:rsidP="00B91081">
      <w:pPr>
        <w:pStyle w:val="ListParagraph"/>
        <w:spacing w:after="160" w:line="480" w:lineRule="auto"/>
        <w:ind w:left="567" w:hanging="567"/>
        <w:jc w:val="both"/>
        <w:rPr>
          <w:rFonts w:cs="Times New Roman"/>
        </w:rPr>
      </w:pPr>
    </w:p>
    <w:p w14:paraId="03C8E7E6" w14:textId="77777777" w:rsidR="006E72DA" w:rsidRPr="00767442" w:rsidRDefault="006E72DA" w:rsidP="00B91081">
      <w:pPr>
        <w:pStyle w:val="ListParagraph"/>
        <w:numPr>
          <w:ilvl w:val="0"/>
          <w:numId w:val="23"/>
        </w:numPr>
        <w:spacing w:after="160" w:line="480" w:lineRule="auto"/>
        <w:ind w:left="567" w:hanging="567"/>
        <w:jc w:val="both"/>
        <w:rPr>
          <w:rFonts w:cs="Times New Roman"/>
        </w:rPr>
      </w:pPr>
      <w:r w:rsidRPr="00767442">
        <w:rPr>
          <w:rFonts w:cs="Times New Roman"/>
        </w:rPr>
        <w:t xml:space="preserve">The payor seeks a retroactive decrease in support because of a past change in circumstances. The paradigmatic change is a drop in income that impacts the payor’s ability to make payments as they come due. In such circumstances, the existing order or agreement overestimates the payor’s income. </w:t>
      </w:r>
    </w:p>
    <w:p w14:paraId="4D7518F4" w14:textId="77777777" w:rsidR="006E72DA" w:rsidRPr="00767442" w:rsidRDefault="006E72DA" w:rsidP="00B91081">
      <w:pPr>
        <w:pStyle w:val="ListParagraph"/>
        <w:spacing w:line="480" w:lineRule="auto"/>
        <w:ind w:left="567" w:hanging="567"/>
        <w:jc w:val="both"/>
        <w:rPr>
          <w:rFonts w:cs="Times New Roman"/>
        </w:rPr>
      </w:pPr>
    </w:p>
    <w:p w14:paraId="204B1D89" w14:textId="77777777" w:rsidR="006E72DA" w:rsidRPr="00767442" w:rsidRDefault="006E72DA" w:rsidP="00B91081">
      <w:pPr>
        <w:pStyle w:val="ListParagraph"/>
        <w:numPr>
          <w:ilvl w:val="0"/>
          <w:numId w:val="23"/>
        </w:numPr>
        <w:spacing w:after="160" w:line="480" w:lineRule="auto"/>
        <w:ind w:left="567" w:hanging="567"/>
        <w:jc w:val="both"/>
        <w:rPr>
          <w:rFonts w:cs="Times New Roman"/>
        </w:rPr>
      </w:pPr>
      <w:r w:rsidRPr="00767442">
        <w:rPr>
          <w:rFonts w:cs="Times New Roman"/>
        </w:rPr>
        <w:t>The payor seeks to rescind or suspend arrears because of current and future inability to pay rather than a past change in circumstances.</w:t>
      </w:r>
    </w:p>
    <w:p w14:paraId="7CB8E2E3" w14:textId="77777777" w:rsidR="006E72DA" w:rsidRPr="00767442" w:rsidRDefault="006E72DA" w:rsidP="006E72DA">
      <w:pPr>
        <w:pStyle w:val="ParaNoNdepar-AltN"/>
        <w:tabs>
          <w:tab w:val="clear" w:pos="1152"/>
          <w:tab w:val="left" w:pos="1166"/>
        </w:tabs>
        <w:spacing w:before="600"/>
        <w:rPr>
          <w:rFonts w:cs="Times New Roman"/>
        </w:rPr>
      </w:pPr>
      <w:r w:rsidRPr="00767442">
        <w:rPr>
          <w:rFonts w:cs="Times New Roman"/>
        </w:rPr>
        <w:t xml:space="preserve">Mr. Colucci seeks two forms of relief under s. 17. He invokes the second category when he asks this Court to go back to the date the </w:t>
      </w:r>
      <w:r w:rsidRPr="00767442">
        <w:rPr>
          <w:rFonts w:cs="Times New Roman"/>
          <w:i/>
        </w:rPr>
        <w:t xml:space="preserve">Guidelines </w:t>
      </w:r>
      <w:r w:rsidRPr="00767442">
        <w:rPr>
          <w:rFonts w:cs="Times New Roman"/>
        </w:rPr>
        <w:t>came into force in 1997 and reduce his support obligation to correspond to what he says his income was for each of the years during which child support was payable, up until 2012. In his motion to change and before the Court of Appeal, it appears that he also sought to rescind all or some of what he ought to have paid because he says he is unable to pay even a reduced amount. This falls within the third category of cases.</w:t>
      </w:r>
    </w:p>
    <w:p w14:paraId="5BE521AA" w14:textId="77777777" w:rsidR="006E72DA" w:rsidRPr="00767442" w:rsidRDefault="006E72DA" w:rsidP="006E72DA">
      <w:pPr>
        <w:pStyle w:val="ParaNoNdepar-AltN"/>
        <w:tabs>
          <w:tab w:val="clear" w:pos="1152"/>
          <w:tab w:val="left" w:pos="1166"/>
        </w:tabs>
        <w:rPr>
          <w:rFonts w:cs="Times New Roman"/>
        </w:rPr>
      </w:pPr>
      <w:bookmarkStart w:id="85" w:name="_Toc62431820"/>
      <w:r w:rsidRPr="00767442">
        <w:rPr>
          <w:rFonts w:cs="Times New Roman"/>
        </w:rPr>
        <w:t xml:space="preserve">In this section, I start by setting out the basic principles of child support law established in the </w:t>
      </w:r>
      <w:r w:rsidRPr="00767442">
        <w:rPr>
          <w:rFonts w:cs="Times New Roman"/>
          <w:i/>
        </w:rPr>
        <w:t xml:space="preserve">Guidelines </w:t>
      </w:r>
      <w:r w:rsidRPr="00767442">
        <w:rPr>
          <w:rFonts w:cs="Times New Roman"/>
        </w:rPr>
        <w:t xml:space="preserve">and </w:t>
      </w:r>
      <w:r w:rsidRPr="00767442">
        <w:rPr>
          <w:rFonts w:cs="Times New Roman"/>
          <w:i/>
        </w:rPr>
        <w:t>D.B.S.</w:t>
      </w:r>
      <w:r w:rsidRPr="00767442">
        <w:rPr>
          <w:rFonts w:cs="Times New Roman"/>
        </w:rPr>
        <w:t>, which must</w:t>
      </w:r>
      <w:r w:rsidRPr="00767442">
        <w:rPr>
          <w:rFonts w:cs="Times New Roman"/>
          <w:i/>
        </w:rPr>
        <w:t xml:space="preserve"> </w:t>
      </w:r>
      <w:r w:rsidRPr="00767442">
        <w:rPr>
          <w:rFonts w:cs="Times New Roman"/>
        </w:rPr>
        <w:t>underpin and inform the courts’ approach to variation of child support and rescission of arrears. It will become clear from this discussion that the linchpin holding the child support regime together is financial disclosure. As such, before turning to the applicable framework under s. 17, I will elaborate on the importance of disclosure, a theme that will run throughout the analysis that follows.</w:t>
      </w:r>
      <w:bookmarkStart w:id="86" w:name="_Toc62431821"/>
      <w:bookmarkStart w:id="87" w:name="_Toc62953613"/>
      <w:bookmarkStart w:id="88" w:name="_Toc62997983"/>
      <w:bookmarkStart w:id="89" w:name="_Toc62953611"/>
      <w:bookmarkStart w:id="90" w:name="_Toc62997981"/>
      <w:bookmarkEnd w:id="85"/>
    </w:p>
    <w:p w14:paraId="004952B3" w14:textId="77777777" w:rsidR="006E72DA" w:rsidRPr="00767442" w:rsidRDefault="006E72DA" w:rsidP="006E72DA">
      <w:pPr>
        <w:pStyle w:val="Title2LevelTitre2Niveau"/>
        <w:numPr>
          <w:ilvl w:val="1"/>
          <w:numId w:val="19"/>
        </w:numPr>
        <w:spacing w:line="276" w:lineRule="auto"/>
        <w:jc w:val="both"/>
        <w:rPr>
          <w:rFonts w:cs="Times New Roman"/>
        </w:rPr>
      </w:pPr>
      <w:bookmarkStart w:id="91" w:name="_Toc67070438"/>
      <w:bookmarkStart w:id="92" w:name="_Toc67332080"/>
      <w:bookmarkStart w:id="93" w:name="_Toc67347363"/>
      <w:bookmarkStart w:id="94" w:name="_Toc71624532"/>
      <w:bookmarkStart w:id="95" w:name="_Toc64104262"/>
      <w:bookmarkStart w:id="96" w:name="_Toc64122499"/>
      <w:bookmarkStart w:id="97" w:name="_Toc64367702"/>
      <w:bookmarkStart w:id="98" w:name="_Toc66736618"/>
      <w:bookmarkEnd w:id="86"/>
      <w:bookmarkEnd w:id="87"/>
      <w:bookmarkEnd w:id="88"/>
      <w:r w:rsidRPr="00767442">
        <w:rPr>
          <w:rFonts w:cs="Times New Roman"/>
        </w:rPr>
        <w:t>Foundational Principles in the Guidelines and D.B.S</w:t>
      </w:r>
      <w:r w:rsidRPr="00767442">
        <w:rPr>
          <w:rFonts w:cs="Times New Roman"/>
          <w:i w:val="0"/>
        </w:rPr>
        <w:t>.</w:t>
      </w:r>
      <w:bookmarkEnd w:id="89"/>
      <w:bookmarkEnd w:id="90"/>
      <w:bookmarkEnd w:id="91"/>
      <w:bookmarkEnd w:id="92"/>
      <w:bookmarkEnd w:id="93"/>
      <w:bookmarkEnd w:id="94"/>
      <w:bookmarkEnd w:id="95"/>
      <w:bookmarkEnd w:id="96"/>
      <w:bookmarkEnd w:id="97"/>
      <w:bookmarkEnd w:id="98"/>
    </w:p>
    <w:p w14:paraId="17F64BA3"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Child support under the </w:t>
      </w:r>
      <w:r w:rsidRPr="00767442">
        <w:rPr>
          <w:rFonts w:cs="Times New Roman"/>
          <w:i/>
        </w:rPr>
        <w:t xml:space="preserve">Divorce Act </w:t>
      </w:r>
      <w:r w:rsidRPr="00767442">
        <w:rPr>
          <w:rFonts w:cs="Times New Roman"/>
        </w:rPr>
        <w:t xml:space="preserve">is determined in accordance with the </w:t>
      </w:r>
      <w:r w:rsidRPr="00767442">
        <w:rPr>
          <w:rFonts w:cs="Times New Roman"/>
          <w:i/>
        </w:rPr>
        <w:t>Guidelines</w:t>
      </w:r>
      <w:r w:rsidRPr="00767442">
        <w:rPr>
          <w:rFonts w:cs="Times New Roman"/>
        </w:rPr>
        <w:t xml:space="preserve">, which are legally binding as subordinate legislation enacted pursuant to s. 26.1 of the </w:t>
      </w:r>
      <w:r w:rsidRPr="00767442">
        <w:rPr>
          <w:rFonts w:cs="Times New Roman"/>
          <w:i/>
        </w:rPr>
        <w:t>Divorce Act</w:t>
      </w:r>
      <w:r w:rsidRPr="00767442">
        <w:rPr>
          <w:rFonts w:cs="Times New Roman"/>
        </w:rPr>
        <w:t>.</w:t>
      </w:r>
      <w:r w:rsidRPr="00767442">
        <w:rPr>
          <w:rFonts w:cs="Times New Roman"/>
          <w:i/>
        </w:rPr>
        <w:t xml:space="preserve"> </w:t>
      </w:r>
      <w:r w:rsidRPr="00767442">
        <w:rPr>
          <w:rFonts w:cs="Times New Roman"/>
        </w:rPr>
        <w:t xml:space="preserve">The </w:t>
      </w:r>
      <w:r w:rsidRPr="00767442">
        <w:rPr>
          <w:rFonts w:cs="Times New Roman"/>
          <w:i/>
        </w:rPr>
        <w:t xml:space="preserve">Guidelines </w:t>
      </w:r>
      <w:r w:rsidRPr="00767442">
        <w:rPr>
          <w:rFonts w:cs="Times New Roman"/>
        </w:rPr>
        <w:t xml:space="preserve">establish the goals, principles and provisions which govern all child support applications and determinations under the </w:t>
      </w:r>
      <w:r w:rsidRPr="00767442">
        <w:rPr>
          <w:rFonts w:cs="Times New Roman"/>
          <w:i/>
        </w:rPr>
        <w:t>Divorce Act</w:t>
      </w:r>
      <w:r w:rsidRPr="00767442">
        <w:rPr>
          <w:rFonts w:cs="Times New Roman"/>
        </w:rPr>
        <w:t xml:space="preserve">. Section 1 of the </w:t>
      </w:r>
      <w:r w:rsidRPr="00767442">
        <w:rPr>
          <w:rFonts w:cs="Times New Roman"/>
          <w:i/>
        </w:rPr>
        <w:t xml:space="preserve">Guidelines </w:t>
      </w:r>
      <w:r w:rsidRPr="00767442">
        <w:rPr>
          <w:rFonts w:cs="Times New Roman"/>
        </w:rPr>
        <w:t xml:space="preserve">sets out four overarching objectives that must be borne in mind in any child support proceeding in which the </w:t>
      </w:r>
      <w:r w:rsidRPr="00767442">
        <w:rPr>
          <w:rFonts w:cs="Times New Roman"/>
          <w:i/>
        </w:rPr>
        <w:t>Guidelines</w:t>
      </w:r>
      <w:r w:rsidRPr="00767442">
        <w:rPr>
          <w:rFonts w:cs="Times New Roman"/>
        </w:rPr>
        <w:t xml:space="preserve"> apply: </w:t>
      </w:r>
    </w:p>
    <w:p w14:paraId="5EC05EF1" w14:textId="77777777" w:rsidR="006E72DA" w:rsidRPr="00767442" w:rsidRDefault="006E72DA" w:rsidP="006E72DA">
      <w:pPr>
        <w:shd w:val="clear" w:color="auto" w:fill="FFFFFF"/>
        <w:ind w:left="1152"/>
        <w:jc w:val="both"/>
        <w:rPr>
          <w:szCs w:val="27"/>
        </w:rPr>
      </w:pPr>
      <w:r w:rsidRPr="00767442">
        <w:rPr>
          <w:b/>
          <w:szCs w:val="27"/>
        </w:rPr>
        <w:t>(</w:t>
      </w:r>
      <w:r w:rsidRPr="00767442">
        <w:rPr>
          <w:b/>
          <w:iCs/>
          <w:szCs w:val="27"/>
        </w:rPr>
        <w:t>a</w:t>
      </w:r>
      <w:r w:rsidRPr="00767442">
        <w:rPr>
          <w:b/>
          <w:szCs w:val="27"/>
        </w:rPr>
        <w:t>)</w:t>
      </w:r>
      <w:r w:rsidRPr="00767442">
        <w:rPr>
          <w:szCs w:val="27"/>
        </w:rPr>
        <w:t xml:space="preserve"> </w:t>
      </w:r>
      <w:proofErr w:type="gramStart"/>
      <w:r w:rsidRPr="00767442">
        <w:rPr>
          <w:szCs w:val="27"/>
        </w:rPr>
        <w:t>to</w:t>
      </w:r>
      <w:proofErr w:type="gramEnd"/>
      <w:r w:rsidRPr="00767442">
        <w:rPr>
          <w:szCs w:val="27"/>
        </w:rPr>
        <w:t xml:space="preserve"> establish a fair standard of support for children that ensures that they continue to benefit from the financial means of both spouses after separation; </w:t>
      </w:r>
    </w:p>
    <w:p w14:paraId="15072AA3" w14:textId="77777777" w:rsidR="006E72DA" w:rsidRPr="00767442" w:rsidRDefault="006E72DA" w:rsidP="006E72DA">
      <w:pPr>
        <w:shd w:val="clear" w:color="auto" w:fill="FFFFFF"/>
        <w:jc w:val="both"/>
        <w:rPr>
          <w:szCs w:val="27"/>
        </w:rPr>
      </w:pPr>
      <w:r w:rsidRPr="00767442">
        <w:rPr>
          <w:szCs w:val="27"/>
        </w:rPr>
        <w:t> </w:t>
      </w:r>
    </w:p>
    <w:p w14:paraId="4EFB6829" w14:textId="77777777" w:rsidR="006E72DA" w:rsidRPr="00767442" w:rsidRDefault="006E72DA" w:rsidP="006E72DA">
      <w:pPr>
        <w:shd w:val="clear" w:color="auto" w:fill="FFFFFF"/>
        <w:ind w:left="1152"/>
        <w:jc w:val="both"/>
        <w:rPr>
          <w:szCs w:val="27"/>
        </w:rPr>
      </w:pPr>
      <w:r w:rsidRPr="00767442">
        <w:rPr>
          <w:b/>
          <w:szCs w:val="27"/>
        </w:rPr>
        <w:t>(</w:t>
      </w:r>
      <w:r w:rsidRPr="00767442">
        <w:rPr>
          <w:b/>
          <w:iCs/>
          <w:szCs w:val="27"/>
        </w:rPr>
        <w:t>b</w:t>
      </w:r>
      <w:r w:rsidRPr="00767442">
        <w:rPr>
          <w:b/>
          <w:szCs w:val="27"/>
        </w:rPr>
        <w:t>)</w:t>
      </w:r>
      <w:r w:rsidRPr="00767442">
        <w:rPr>
          <w:szCs w:val="27"/>
        </w:rPr>
        <w:t xml:space="preserve"> </w:t>
      </w:r>
      <w:proofErr w:type="gramStart"/>
      <w:r w:rsidRPr="00767442">
        <w:rPr>
          <w:szCs w:val="27"/>
        </w:rPr>
        <w:t>to</w:t>
      </w:r>
      <w:proofErr w:type="gramEnd"/>
      <w:r w:rsidRPr="00767442">
        <w:rPr>
          <w:szCs w:val="27"/>
        </w:rPr>
        <w:t xml:space="preserve"> reduce conflict and tension between spouses by making the calculation of child support orders more objective;</w:t>
      </w:r>
    </w:p>
    <w:p w14:paraId="1DD7C889" w14:textId="77777777" w:rsidR="006E72DA" w:rsidRPr="00767442" w:rsidRDefault="006E72DA" w:rsidP="006E72DA">
      <w:pPr>
        <w:shd w:val="clear" w:color="auto" w:fill="FFFFFF"/>
        <w:jc w:val="both"/>
        <w:rPr>
          <w:szCs w:val="27"/>
        </w:rPr>
      </w:pPr>
      <w:r w:rsidRPr="00767442">
        <w:rPr>
          <w:szCs w:val="27"/>
        </w:rPr>
        <w:t> </w:t>
      </w:r>
    </w:p>
    <w:p w14:paraId="7A34E8DD" w14:textId="77777777" w:rsidR="006E72DA" w:rsidRPr="00767442" w:rsidRDefault="006E72DA" w:rsidP="006E72DA">
      <w:pPr>
        <w:shd w:val="clear" w:color="auto" w:fill="FFFFFF"/>
        <w:ind w:left="1152"/>
        <w:jc w:val="both"/>
        <w:rPr>
          <w:szCs w:val="27"/>
        </w:rPr>
      </w:pPr>
      <w:r w:rsidRPr="00767442">
        <w:rPr>
          <w:b/>
          <w:szCs w:val="27"/>
        </w:rPr>
        <w:t>(</w:t>
      </w:r>
      <w:r w:rsidRPr="00767442">
        <w:rPr>
          <w:b/>
          <w:iCs/>
          <w:szCs w:val="27"/>
        </w:rPr>
        <w:t>c</w:t>
      </w:r>
      <w:r w:rsidRPr="00767442">
        <w:rPr>
          <w:b/>
          <w:szCs w:val="27"/>
        </w:rPr>
        <w:t>)</w:t>
      </w:r>
      <w:r w:rsidRPr="00767442">
        <w:rPr>
          <w:szCs w:val="27"/>
        </w:rPr>
        <w:t xml:space="preserve"> </w:t>
      </w:r>
      <w:proofErr w:type="gramStart"/>
      <w:r w:rsidRPr="00767442">
        <w:rPr>
          <w:szCs w:val="27"/>
        </w:rPr>
        <w:t>to</w:t>
      </w:r>
      <w:proofErr w:type="gramEnd"/>
      <w:r w:rsidRPr="00767442">
        <w:rPr>
          <w:szCs w:val="27"/>
        </w:rPr>
        <w:t xml:space="preserve"> improve the efficiency of the legal process by giving courts and spouses guidance in setting the levels of child support orders and encouraging settlement; and</w:t>
      </w:r>
    </w:p>
    <w:p w14:paraId="5AD64FDC" w14:textId="77777777" w:rsidR="006E72DA" w:rsidRPr="00767442" w:rsidRDefault="006E72DA" w:rsidP="006E72DA">
      <w:pPr>
        <w:shd w:val="clear" w:color="auto" w:fill="FFFFFF"/>
        <w:jc w:val="both"/>
        <w:rPr>
          <w:szCs w:val="27"/>
        </w:rPr>
      </w:pPr>
      <w:r w:rsidRPr="00767442">
        <w:rPr>
          <w:szCs w:val="27"/>
        </w:rPr>
        <w:t> </w:t>
      </w:r>
    </w:p>
    <w:p w14:paraId="6AC28236" w14:textId="77777777" w:rsidR="006E72DA" w:rsidRPr="00767442" w:rsidRDefault="006E72DA" w:rsidP="006E72DA">
      <w:pPr>
        <w:shd w:val="clear" w:color="auto" w:fill="FFFFFF"/>
        <w:spacing w:after="480"/>
        <w:ind w:left="1152"/>
        <w:jc w:val="both"/>
        <w:rPr>
          <w:szCs w:val="27"/>
        </w:rPr>
      </w:pPr>
      <w:r w:rsidRPr="00767442">
        <w:rPr>
          <w:b/>
          <w:szCs w:val="27"/>
        </w:rPr>
        <w:t>(</w:t>
      </w:r>
      <w:r w:rsidRPr="00767442">
        <w:rPr>
          <w:b/>
          <w:iCs/>
          <w:szCs w:val="27"/>
        </w:rPr>
        <w:t>d</w:t>
      </w:r>
      <w:r w:rsidRPr="00767442">
        <w:rPr>
          <w:b/>
          <w:szCs w:val="27"/>
        </w:rPr>
        <w:t>)</w:t>
      </w:r>
      <w:r w:rsidRPr="00767442">
        <w:rPr>
          <w:szCs w:val="27"/>
        </w:rPr>
        <w:t xml:space="preserve"> </w:t>
      </w:r>
      <w:proofErr w:type="gramStart"/>
      <w:r w:rsidRPr="00767442">
        <w:rPr>
          <w:szCs w:val="27"/>
        </w:rPr>
        <w:t>to</w:t>
      </w:r>
      <w:proofErr w:type="gramEnd"/>
      <w:r w:rsidRPr="00767442">
        <w:rPr>
          <w:szCs w:val="27"/>
        </w:rPr>
        <w:t xml:space="preserve"> ensure consistent treatment of spouses and children who are in similar circumstances.</w:t>
      </w:r>
    </w:p>
    <w:p w14:paraId="430A42E9"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The enactment of the </w:t>
      </w:r>
      <w:r w:rsidRPr="00767442">
        <w:rPr>
          <w:rFonts w:cs="Times New Roman"/>
          <w:i/>
        </w:rPr>
        <w:t xml:space="preserve">Guidelines </w:t>
      </w:r>
      <w:r w:rsidRPr="00767442">
        <w:rPr>
          <w:rFonts w:cs="Times New Roman"/>
        </w:rPr>
        <w:t>in 1997 marked a paradigm shift in Canadian child support law away from a need-based approach to one which clearly established the child’s entitlement to support commensurate with the payor’s income (</w:t>
      </w:r>
      <w:r w:rsidRPr="00767442">
        <w:rPr>
          <w:rFonts w:cs="Times New Roman"/>
          <w:i/>
        </w:rPr>
        <w:t>D.B.S.</w:t>
      </w:r>
      <w:r w:rsidRPr="00767442">
        <w:rPr>
          <w:rFonts w:cs="Times New Roman"/>
        </w:rPr>
        <w:t>, at paras. 42-45).</w:t>
      </w:r>
      <w:r w:rsidRPr="00767442">
        <w:rPr>
          <w:rFonts w:cs="Times New Roman"/>
          <w:i/>
        </w:rPr>
        <w:t xml:space="preserve"> </w:t>
      </w:r>
      <w:r w:rsidRPr="00767442">
        <w:rPr>
          <w:rFonts w:cs="Times New Roman"/>
        </w:rPr>
        <w:t xml:space="preserve">The </w:t>
      </w:r>
      <w:r w:rsidRPr="00767442">
        <w:rPr>
          <w:rFonts w:cs="Times New Roman"/>
          <w:i/>
        </w:rPr>
        <w:t xml:space="preserve">Guidelines </w:t>
      </w:r>
      <w:r w:rsidRPr="00767442">
        <w:rPr>
          <w:rFonts w:cs="Times New Roman"/>
        </w:rPr>
        <w:t>rest on the principle that “spouses have a joint financial obligation to maintain the children of the marriage in accordance with their relative abilities to contribute to the performance of that obligation” (</w:t>
      </w:r>
      <w:r w:rsidRPr="00767442">
        <w:rPr>
          <w:rFonts w:cs="Times New Roman"/>
          <w:i/>
        </w:rPr>
        <w:t>Divorce Act</w:t>
      </w:r>
      <w:r w:rsidRPr="00767442">
        <w:rPr>
          <w:rFonts w:cs="Times New Roman"/>
        </w:rPr>
        <w:t xml:space="preserve">, s. 26.1(2)). Section 3 of the </w:t>
      </w:r>
      <w:r w:rsidRPr="00767442">
        <w:rPr>
          <w:rFonts w:cs="Times New Roman"/>
          <w:i/>
        </w:rPr>
        <w:t xml:space="preserve">Guidelines </w:t>
      </w:r>
      <w:r w:rsidRPr="00767442">
        <w:rPr>
          <w:rFonts w:cs="Times New Roman"/>
        </w:rPr>
        <w:t xml:space="preserve">provides that the amount of child support is presumptively determined in accordance with the applicable table in Schedule I. Putting aside shared custody arrangements, the tables generally allow parents and courts to calculate the amount of child support owing based on just two numbers: the payor’s income, and the number of children to be supported. (For s. 7 expenses under the </w:t>
      </w:r>
      <w:r w:rsidRPr="00767442">
        <w:rPr>
          <w:rFonts w:cs="Times New Roman"/>
          <w:i/>
        </w:rPr>
        <w:t>Guidelines</w:t>
      </w:r>
      <w:r w:rsidRPr="00767442">
        <w:rPr>
          <w:rFonts w:cs="Times New Roman"/>
        </w:rPr>
        <w:t>, the income of the recipient is also relevant.) The amount of child support is determined based solely on parental income and not the child’s needs (unless the payor’s income is over $150,000) (s. 4).</w:t>
      </w:r>
    </w:p>
    <w:p w14:paraId="7BB5B0B2"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All provinces and territories have an equivalent to the </w:t>
      </w:r>
      <w:r w:rsidRPr="00767442">
        <w:rPr>
          <w:rFonts w:cs="Times New Roman"/>
          <w:i/>
        </w:rPr>
        <w:t>Guidelines</w:t>
      </w:r>
      <w:r w:rsidRPr="00767442">
        <w:rPr>
          <w:rFonts w:cs="Times New Roman"/>
        </w:rPr>
        <w:t xml:space="preserve"> or have adopted the federal </w:t>
      </w:r>
      <w:r w:rsidRPr="00767442">
        <w:rPr>
          <w:rFonts w:cs="Times New Roman"/>
          <w:i/>
        </w:rPr>
        <w:t xml:space="preserve">Guidelines </w:t>
      </w:r>
      <w:r w:rsidRPr="00767442">
        <w:rPr>
          <w:rFonts w:cs="Times New Roman"/>
        </w:rPr>
        <w:t xml:space="preserve">for the purpose of determining child support under provincial family law legislation. Of course, the provinces are free to depart from the approach in the federal </w:t>
      </w:r>
      <w:r w:rsidRPr="00767442">
        <w:rPr>
          <w:rFonts w:cs="Times New Roman"/>
          <w:i/>
        </w:rPr>
        <w:t>Guidelines</w:t>
      </w:r>
      <w:r w:rsidRPr="00767442">
        <w:rPr>
          <w:rFonts w:cs="Times New Roman"/>
        </w:rPr>
        <w:t>, as</w:t>
      </w:r>
      <w:r w:rsidRPr="00767442">
        <w:rPr>
          <w:rFonts w:cs="Times New Roman"/>
          <w:i/>
        </w:rPr>
        <w:t xml:space="preserve"> </w:t>
      </w:r>
      <w:r w:rsidRPr="00767442">
        <w:rPr>
          <w:rFonts w:cs="Times New Roman"/>
        </w:rPr>
        <w:t>child support that is not incidental to divorce falls within provincial competence (</w:t>
      </w:r>
      <w:r w:rsidRPr="00767442">
        <w:rPr>
          <w:rFonts w:cs="Times New Roman"/>
          <w:i/>
        </w:rPr>
        <w:t>D.B.S.</w:t>
      </w:r>
      <w:r w:rsidRPr="00767442">
        <w:rPr>
          <w:rFonts w:cs="Times New Roman"/>
        </w:rPr>
        <w:t>, at paras. 49 and 53).</w:t>
      </w:r>
    </w:p>
    <w:p w14:paraId="04488485"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Building on the sea change initiated by the </w:t>
      </w:r>
      <w:r w:rsidRPr="00767442">
        <w:rPr>
          <w:rFonts w:cs="Times New Roman"/>
          <w:i/>
        </w:rPr>
        <w:t>Guidelines</w:t>
      </w:r>
      <w:r w:rsidRPr="00767442">
        <w:rPr>
          <w:rFonts w:cs="Times New Roman"/>
        </w:rPr>
        <w:t xml:space="preserve">, </w:t>
      </w:r>
      <w:r w:rsidRPr="00767442">
        <w:rPr>
          <w:rFonts w:cs="Times New Roman"/>
          <w:i/>
        </w:rPr>
        <w:t xml:space="preserve">D.B.S. </w:t>
      </w:r>
      <w:r w:rsidRPr="00767442">
        <w:rPr>
          <w:rFonts w:cs="Times New Roman"/>
        </w:rPr>
        <w:t>was a landmark decision in which the Court considered four cases involving applications by recipient parents for retroactive child support. The Court confirmed the long-established principles that support is the right of the child and that parents have a financial obligation to their children arising at birth and continuing after separation (</w:t>
      </w:r>
      <w:r w:rsidRPr="00767442">
        <w:rPr>
          <w:rFonts w:cs="Times New Roman"/>
          <w:i/>
        </w:rPr>
        <w:t>D.B.S.</w:t>
      </w:r>
      <w:r w:rsidRPr="00767442">
        <w:rPr>
          <w:rFonts w:cs="Times New Roman"/>
        </w:rPr>
        <w:t xml:space="preserve">, at paras. 37-38; see also </w:t>
      </w:r>
      <w:r w:rsidRPr="00767442">
        <w:rPr>
          <w:rFonts w:cs="Times New Roman"/>
          <w:i/>
        </w:rPr>
        <w:t xml:space="preserve">MacMinn v. MacMinn </w:t>
      </w:r>
      <w:r w:rsidRPr="00767442">
        <w:rPr>
          <w:rFonts w:cs="Times New Roman"/>
        </w:rPr>
        <w:t xml:space="preserve">(1995), 174 A.R. 261 (C.A.), at para. 15; </w:t>
      </w:r>
      <w:r w:rsidRPr="00767442">
        <w:rPr>
          <w:rFonts w:cs="Times New Roman"/>
          <w:i/>
        </w:rPr>
        <w:t>Hunt v. Smolis-Hunt</w:t>
      </w:r>
      <w:r w:rsidRPr="00767442">
        <w:rPr>
          <w:rFonts w:cs="Times New Roman"/>
        </w:rPr>
        <w:t xml:space="preserve">, 2001 ABCA 229, 97 Alta. L.R. (3d) 238, at para. 17; </w:t>
      </w:r>
      <w:r w:rsidRPr="00767442">
        <w:rPr>
          <w:rFonts w:cs="Times New Roman"/>
          <w:i/>
        </w:rPr>
        <w:t>Paras</w:t>
      </w:r>
      <w:r w:rsidRPr="00767442">
        <w:rPr>
          <w:rFonts w:cs="Times New Roman"/>
        </w:rPr>
        <w:t xml:space="preserve"> </w:t>
      </w:r>
      <w:r w:rsidRPr="00767442">
        <w:rPr>
          <w:rFonts w:cs="Times New Roman"/>
          <w:i/>
        </w:rPr>
        <w:t>v. Paras</w:t>
      </w:r>
      <w:r w:rsidRPr="00767442">
        <w:rPr>
          <w:rFonts w:cs="Times New Roman"/>
        </w:rPr>
        <w:t xml:space="preserve">, [1971] 1 O.R. 130 (C.A.), at p. 134). The Court also explained that, in the </w:t>
      </w:r>
      <w:r w:rsidRPr="00767442">
        <w:rPr>
          <w:rFonts w:cs="Times New Roman"/>
          <w:i/>
        </w:rPr>
        <w:t xml:space="preserve">Guidelines </w:t>
      </w:r>
      <w:r w:rsidRPr="00767442">
        <w:rPr>
          <w:rFonts w:cs="Times New Roman"/>
        </w:rPr>
        <w:t>era, the payor parent is always under a free-standing legal obligation — independent of any court order — to pay child support commensurate with income (</w:t>
      </w:r>
      <w:r w:rsidRPr="00767442">
        <w:rPr>
          <w:rFonts w:cs="Times New Roman"/>
          <w:i/>
        </w:rPr>
        <w:t>D.B.S.</w:t>
      </w:r>
      <w:r w:rsidRPr="00767442">
        <w:rPr>
          <w:rFonts w:cs="Times New Roman"/>
        </w:rPr>
        <w:t>, at para. 68).</w:t>
      </w:r>
    </w:p>
    <w:p w14:paraId="6D108C80"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Prior to </w:t>
      </w:r>
      <w:r w:rsidRPr="00767442">
        <w:rPr>
          <w:rFonts w:cs="Times New Roman"/>
          <w:i/>
        </w:rPr>
        <w:t>D.B.S.</w:t>
      </w:r>
      <w:r w:rsidRPr="00767442">
        <w:rPr>
          <w:rFonts w:cs="Times New Roman"/>
        </w:rPr>
        <w:t>, some courts had yet to move away from the judicial reluctance to award retroactive support that characterized the pre-</w:t>
      </w:r>
      <w:r w:rsidRPr="00767442">
        <w:rPr>
          <w:rFonts w:cs="Times New Roman"/>
          <w:i/>
        </w:rPr>
        <w:t xml:space="preserve">Guidelines </w:t>
      </w:r>
      <w:r w:rsidRPr="00767442">
        <w:rPr>
          <w:rFonts w:cs="Times New Roman"/>
        </w:rPr>
        <w:t xml:space="preserve">era. In order to obtain retroactive support capturing the period before formal proceedings were commenced, the recipient parent generally had to show exceptional circumstances or, at the very least, “appropriate circumstances” (C. Davies, “Retroactive Child Support: the Alberta Trilogy” (2005), 24 </w:t>
      </w:r>
      <w:r w:rsidRPr="00767442">
        <w:rPr>
          <w:rFonts w:cs="Times New Roman"/>
          <w:i/>
        </w:rPr>
        <w:t>C.F.L.Q.</w:t>
      </w:r>
      <w:r w:rsidRPr="00767442">
        <w:rPr>
          <w:rFonts w:cs="Times New Roman"/>
        </w:rPr>
        <w:t xml:space="preserve"> 1, at p. 8; </w:t>
      </w:r>
      <w:r w:rsidRPr="00767442">
        <w:rPr>
          <w:rFonts w:cs="Times New Roman"/>
          <w:i/>
        </w:rPr>
        <w:t>Whitton v. Shippelt</w:t>
      </w:r>
      <w:r w:rsidRPr="00767442">
        <w:rPr>
          <w:rFonts w:cs="Times New Roman"/>
        </w:rPr>
        <w:t xml:space="preserve">, 2001 ABCA 307, 23 R.F.L. (5th) 437, at para. 19). In </w:t>
      </w:r>
      <w:r w:rsidRPr="00767442">
        <w:rPr>
          <w:rFonts w:cs="Times New Roman"/>
          <w:i/>
        </w:rPr>
        <w:t>D.B.S.</w:t>
      </w:r>
      <w:r w:rsidRPr="00767442">
        <w:rPr>
          <w:rFonts w:cs="Times New Roman"/>
        </w:rPr>
        <w:t xml:space="preserve">, the Court took a decisive step into the </w:t>
      </w:r>
      <w:r w:rsidRPr="00767442">
        <w:rPr>
          <w:rFonts w:cs="Times New Roman"/>
          <w:i/>
        </w:rPr>
        <w:t xml:space="preserve">Guidelines </w:t>
      </w:r>
      <w:r w:rsidRPr="00767442">
        <w:rPr>
          <w:rFonts w:cs="Times New Roman"/>
        </w:rPr>
        <w:t xml:space="preserve">era by emphasizing that retroactive child support awards “cannot simply be regarded as exceptional orders to be made in exceptional circumstances” (para. 5). When the payor’s income rises but they continue to pay in accordance with an existing court order, they fall short of meeting the free-standing legal obligation to pay support commensurate with income. </w:t>
      </w:r>
      <w:r w:rsidRPr="00767442">
        <w:rPr>
          <w:rFonts w:cs="Times New Roman"/>
          <w:i/>
        </w:rPr>
        <w:t xml:space="preserve">D.B.S. </w:t>
      </w:r>
      <w:r w:rsidRPr="00767442">
        <w:rPr>
          <w:rFonts w:cs="Times New Roman"/>
        </w:rPr>
        <w:t>confirmed that a retroactive increase of support in such circumstances is therefore “not truly retroactive”; rather, it “enforce[s] an obligation that should have been fulfilled already” (paras. 67-68; see also para. 69).</w:t>
      </w:r>
    </w:p>
    <w:p w14:paraId="2EEAEE75" w14:textId="6FFD52C7" w:rsidR="006E72DA" w:rsidRPr="00767442" w:rsidRDefault="006E72DA" w:rsidP="006E72DA">
      <w:pPr>
        <w:pStyle w:val="ParaNoNdepar-AltN"/>
        <w:rPr>
          <w:rFonts w:cs="Times New Roman"/>
        </w:rPr>
      </w:pPr>
      <w:r w:rsidRPr="00767442">
        <w:rPr>
          <w:rFonts w:cs="Times New Roman"/>
        </w:rPr>
        <w:t xml:space="preserve">The majority in </w:t>
      </w:r>
      <w:r w:rsidRPr="00767442">
        <w:rPr>
          <w:rFonts w:cs="Times New Roman"/>
          <w:i/>
        </w:rPr>
        <w:t>D.B.S.</w:t>
      </w:r>
      <w:r w:rsidRPr="00767442">
        <w:rPr>
          <w:rFonts w:cs="Times New Roman"/>
        </w:rPr>
        <w:t xml:space="preserve"> found that a retroactive increase in support will not always be appropriate (para. 95). The court must exercise its discretion to determine whether a retroactive award should be given at all, and how far back it should extend. Justice Bastarache set out four factors to guide the courts’ discretion: (a) the recipient’s delay in seeking retroactive support; (b) the payor’s conduct; (c) the child’s circumstances; and (d) hardship entailed by a retroactive award. These factors were recently considered by this Court in </w:t>
      </w:r>
      <w:r w:rsidRPr="00767442">
        <w:rPr>
          <w:rFonts w:cs="Times New Roman"/>
          <w:i/>
        </w:rPr>
        <w:t>Michel v. Graydon</w:t>
      </w:r>
      <w:r w:rsidRPr="00767442">
        <w:rPr>
          <w:rFonts w:cs="Times New Roman"/>
        </w:rPr>
        <w:t>,</w:t>
      </w:r>
      <w:r w:rsidRPr="00767442">
        <w:rPr>
          <w:rFonts w:cs="Times New Roman"/>
          <w:i/>
        </w:rPr>
        <w:t xml:space="preserve"> </w:t>
      </w:r>
      <w:r w:rsidRPr="00767442">
        <w:rPr>
          <w:rFonts w:cs="Times New Roman"/>
        </w:rPr>
        <w:t xml:space="preserve">2020 SCC </w:t>
      </w:r>
      <w:r w:rsidR="00123192" w:rsidRPr="00123192">
        <w:rPr>
          <w:lang w:val="en-US"/>
        </w:rPr>
        <w:t xml:space="preserve">24, [2020] 2 </w:t>
      </w:r>
      <w:r w:rsidR="00123192">
        <w:t>S.C.R.</w:t>
      </w:r>
      <w:r w:rsidR="00123192" w:rsidRPr="00123192">
        <w:rPr>
          <w:lang w:val="en-US"/>
        </w:rPr>
        <w:t xml:space="preserve"> </w:t>
      </w:r>
      <w:r w:rsidR="00090A47" w:rsidRPr="00090A47">
        <w:rPr>
          <w:szCs w:val="24"/>
        </w:rPr>
        <w:t>763</w:t>
      </w:r>
      <w:r w:rsidR="00090A47" w:rsidRPr="00767442">
        <w:rPr>
          <w:rFonts w:cs="Times New Roman"/>
        </w:rPr>
        <w:t xml:space="preserve"> </w:t>
      </w:r>
      <w:r w:rsidRPr="00767442">
        <w:rPr>
          <w:rFonts w:cs="Times New Roman"/>
        </w:rPr>
        <w:t>(para. 29, per Brown J.; paras. 111-26, per Martin J.).</w:t>
      </w:r>
    </w:p>
    <w:p w14:paraId="05CABDF9"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Where a retroactive increase in child support is appropriate, the majority in </w:t>
      </w:r>
      <w:r w:rsidRPr="00767442">
        <w:rPr>
          <w:rFonts w:cs="Times New Roman"/>
          <w:i/>
        </w:rPr>
        <w:t xml:space="preserve">D.B.S. </w:t>
      </w:r>
      <w:r w:rsidRPr="00767442">
        <w:rPr>
          <w:rFonts w:cs="Times New Roman"/>
        </w:rPr>
        <w:t xml:space="preserve">suggested that the date of retroactivity should generally be the date of “effective notice” (para. 118). “Effective notice” in this context was said to simply require the recipient to “broac[h]” the subject of an increase in child support (para. 121). The majority of the Court noted, however, that recipients should be encouraged to move discussions forward after giving effective notice. To that end, the majority concluded that retroactive awards should generally extend no further than three years before the date of formal notice. This is known as the “three-year rule”, although it is a presumption only. </w:t>
      </w:r>
    </w:p>
    <w:p w14:paraId="4DE6A72A" w14:textId="77777777" w:rsidR="006E72DA" w:rsidRPr="00767442" w:rsidRDefault="006E72DA" w:rsidP="006E72DA">
      <w:pPr>
        <w:pStyle w:val="ParaNoNdepar-AltN"/>
        <w:rPr>
          <w:rFonts w:cs="Times New Roman"/>
        </w:rPr>
      </w:pPr>
      <w:r w:rsidRPr="00767442">
        <w:rPr>
          <w:rFonts w:cs="Times New Roman"/>
        </w:rPr>
        <w:t xml:space="preserve">In a significant caveat to these general rules, Justice Bastarache added that the date of the payor’s increase in income may sometimes be a more appropriate date of retroactivity, particularly where the payor engages in “blameworthy conduct” (para. 124). Such conduct includes the payor’s failure to disclose material increases in income. At para. 124, Bastarache J. said: </w:t>
      </w:r>
    </w:p>
    <w:p w14:paraId="24A7C875" w14:textId="77777777" w:rsidR="006E72DA" w:rsidRPr="00767442" w:rsidRDefault="006E72DA" w:rsidP="006E72DA">
      <w:pPr>
        <w:pStyle w:val="Citation-AltC"/>
      </w:pPr>
      <w:r w:rsidRPr="00767442">
        <w:t>Not disclosing a material change in circumstances — including an increase in income that one would expect to alter the amount of child support payable — is itself blameworthy conduct. The presence of such blameworthy conduct will move the presumptive date of retroactivity back to the time when circumstances changed materially. A payor parent cannot use his/her informational advantage to justify his/her deficient child support payments.</w:t>
      </w:r>
    </w:p>
    <w:p w14:paraId="53C1EDF2"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Since </w:t>
      </w:r>
      <w:r w:rsidRPr="00767442">
        <w:rPr>
          <w:rFonts w:cs="Times New Roman"/>
          <w:i/>
        </w:rPr>
        <w:t>D.B.S.</w:t>
      </w:r>
      <w:r w:rsidRPr="00767442">
        <w:rPr>
          <w:rFonts w:cs="Times New Roman"/>
        </w:rPr>
        <w:t>, various courts have accepted and acted upon the principle that failing to disclose an increase in income is blameworthy conduct justifying variation to the date of the change</w:t>
      </w:r>
      <w:r w:rsidRPr="00767442">
        <w:rPr>
          <w:rFonts w:cs="Times New Roman"/>
          <w:b/>
        </w:rPr>
        <w:t xml:space="preserve"> </w:t>
      </w:r>
      <w:r w:rsidRPr="00767442">
        <w:rPr>
          <w:rFonts w:cs="Times New Roman"/>
        </w:rPr>
        <w:t>(</w:t>
      </w:r>
      <w:r w:rsidRPr="00767442">
        <w:rPr>
          <w:rFonts w:cs="Times New Roman"/>
          <w:i/>
        </w:rPr>
        <w:t>C. (M.) v. O. (J.)</w:t>
      </w:r>
      <w:r w:rsidRPr="00767442">
        <w:rPr>
          <w:rFonts w:cs="Times New Roman"/>
        </w:rPr>
        <w:t xml:space="preserve">, 2017 NBCA 15, 93 R.F.L. (7th) 59, at para. 37; </w:t>
      </w:r>
      <w:r w:rsidRPr="00767442">
        <w:rPr>
          <w:rFonts w:cs="Times New Roman"/>
          <w:i/>
        </w:rPr>
        <w:t>Goulding v. Keck</w:t>
      </w:r>
      <w:r w:rsidRPr="00767442">
        <w:rPr>
          <w:rFonts w:cs="Times New Roman"/>
        </w:rPr>
        <w:t xml:space="preserve">, 2014 ABCA 138, 42 R.F.L. (7th) 259, at para. 44; </w:t>
      </w:r>
      <w:r w:rsidRPr="00767442">
        <w:rPr>
          <w:rFonts w:cs="Times New Roman"/>
          <w:i/>
        </w:rPr>
        <w:t>Brear</w:t>
      </w:r>
      <w:r w:rsidRPr="00767442">
        <w:rPr>
          <w:rFonts w:cs="Times New Roman"/>
        </w:rPr>
        <w:t>, at para. 74, per Pentelechuk J.A.;</w:t>
      </w:r>
      <w:r w:rsidRPr="00767442">
        <w:rPr>
          <w:rFonts w:cs="Times New Roman"/>
          <w:i/>
        </w:rPr>
        <w:t xml:space="preserve"> Burchill v. Roberts</w:t>
      </w:r>
      <w:r w:rsidRPr="00767442">
        <w:rPr>
          <w:rFonts w:cs="Times New Roman"/>
        </w:rPr>
        <w:t>, 2013 BCCA 39, 41 B.C.L.R. (5th) 217, at paras. 29-30;</w:t>
      </w:r>
      <w:r w:rsidRPr="00767442">
        <w:rPr>
          <w:rFonts w:cs="Times New Roman"/>
          <w:i/>
        </w:rPr>
        <w:t xml:space="preserve"> Greene v. Greene</w:t>
      </w:r>
      <w:r w:rsidRPr="00767442">
        <w:rPr>
          <w:rFonts w:cs="Times New Roman"/>
        </w:rPr>
        <w:t xml:space="preserve">, 2010 BCCA 595, 12 B.C.L.R. (5th) 330, at para. 73; </w:t>
      </w:r>
      <w:r w:rsidRPr="00767442">
        <w:rPr>
          <w:rFonts w:cs="Times New Roman"/>
          <w:i/>
        </w:rPr>
        <w:t>Carlaw v. Carlaw</w:t>
      </w:r>
      <w:r w:rsidRPr="00767442">
        <w:rPr>
          <w:rFonts w:cs="Times New Roman"/>
        </w:rPr>
        <w:t xml:space="preserve">, 2009 NSSC 428, 299 N.S.R. (2d) 1, at paras. 23-25; </w:t>
      </w:r>
      <w:r w:rsidRPr="00767442">
        <w:rPr>
          <w:rFonts w:cs="Times New Roman"/>
          <w:i/>
          <w:shd w:val="clear" w:color="auto" w:fill="FFFFFF"/>
        </w:rPr>
        <w:t>Damphouse v. Damphouse</w:t>
      </w:r>
      <w:r w:rsidRPr="00767442">
        <w:rPr>
          <w:rFonts w:cs="Times New Roman"/>
          <w:shd w:val="clear" w:color="auto" w:fill="FFFFFF"/>
        </w:rPr>
        <w:t>, 2020 ABQB 101, at para. 72 (CanLII)</w:t>
      </w:r>
      <w:r w:rsidRPr="00767442">
        <w:rPr>
          <w:rFonts w:cs="Times New Roman"/>
        </w:rPr>
        <w:t>). “Blameworthy conduct”, as that concept has developed in the cases, does not simply extend to the most egregious cases of deception or intentional evasion, like this case. It may also extend to cases of mere passivity and “taking the path of least resistance” (</w:t>
      </w:r>
      <w:r w:rsidRPr="00767442">
        <w:rPr>
          <w:rFonts w:cs="Times New Roman"/>
          <w:i/>
        </w:rPr>
        <w:t>Burchill</w:t>
      </w:r>
      <w:r w:rsidRPr="00767442">
        <w:rPr>
          <w:rFonts w:cs="Times New Roman"/>
        </w:rPr>
        <w:t>, at para. 30).</w:t>
      </w:r>
    </w:p>
    <w:p w14:paraId="51D234A8" w14:textId="77777777" w:rsidR="006E72DA" w:rsidRPr="00767442" w:rsidRDefault="006E72DA" w:rsidP="006E72DA">
      <w:pPr>
        <w:pStyle w:val="ParaNoNdepar-AltN"/>
        <w:rPr>
          <w:rFonts w:cs="Times New Roman"/>
        </w:rPr>
      </w:pPr>
      <w:r w:rsidRPr="00767442">
        <w:rPr>
          <w:rFonts w:cs="Times New Roman"/>
          <w:bCs/>
        </w:rPr>
        <w:t xml:space="preserve">Most recently, in </w:t>
      </w:r>
      <w:r w:rsidRPr="00767442">
        <w:rPr>
          <w:rFonts w:cs="Times New Roman"/>
          <w:bCs/>
          <w:i/>
        </w:rPr>
        <w:t>Michel</w:t>
      </w:r>
      <w:r w:rsidRPr="00767442">
        <w:rPr>
          <w:rFonts w:cs="Times New Roman"/>
          <w:bCs/>
        </w:rPr>
        <w:t>,</w:t>
      </w:r>
      <w:r w:rsidRPr="00767442">
        <w:rPr>
          <w:rFonts w:cs="Times New Roman"/>
          <w:bCs/>
          <w:i/>
        </w:rPr>
        <w:t xml:space="preserve"> </w:t>
      </w:r>
      <w:r w:rsidRPr="00767442">
        <w:rPr>
          <w:rFonts w:cs="Times New Roman"/>
          <w:bCs/>
        </w:rPr>
        <w:t xml:space="preserve">my colleague </w:t>
      </w:r>
      <w:r w:rsidRPr="00767442">
        <w:rPr>
          <w:rFonts w:cs="Times New Roman"/>
        </w:rPr>
        <w:t>Brown J. (speaking for the Court on this point) confirmed</w:t>
      </w:r>
      <w:r w:rsidRPr="00767442">
        <w:rPr>
          <w:rFonts w:cs="Times New Roman"/>
          <w:i/>
        </w:rPr>
        <w:t xml:space="preserve"> </w:t>
      </w:r>
      <w:r w:rsidRPr="00767442">
        <w:rPr>
          <w:rFonts w:cs="Times New Roman"/>
        </w:rPr>
        <w:t>that “th</w:t>
      </w:r>
      <w:r w:rsidRPr="00767442">
        <w:rPr>
          <w:rFonts w:cs="Times New Roman"/>
          <w:shd w:val="clear" w:color="auto" w:fill="FFFFFF"/>
        </w:rPr>
        <w:t>e date of effective notice is not relevant when a payor parent has engaged in blameworthy conduct (irrespective of the degree of blameworthiness)”, including failure to disclose material information (para. 36; see also para. 33).</w:t>
      </w:r>
      <w:r w:rsidRPr="00767442">
        <w:rPr>
          <w:rFonts w:cs="Times New Roman"/>
        </w:rPr>
        <w:t xml:space="preserve"> Payor parents are “subject to a duty of full and honest disclosure” (para. 33). Where the payor fails to comply with this duty and leaves the recipient unaware of increases in income, a retroactive award “will commonly be appropriate” because non-disclosure “eliminates any need to protect [the payor’s] interest in the certainty of his [or her] child support obligations” (paras. 32 and 34). </w:t>
      </w:r>
    </w:p>
    <w:p w14:paraId="083ADF69"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In practice, then, the date of retroactivity is frequently adjusted to align with the date of the material increase in income, despite the “general rule” of varying to the date of effective notice in </w:t>
      </w:r>
      <w:r w:rsidRPr="00767442">
        <w:rPr>
          <w:rFonts w:cs="Times New Roman"/>
          <w:i/>
        </w:rPr>
        <w:t xml:space="preserve">D.B.S. </w:t>
      </w:r>
      <w:r w:rsidRPr="00767442">
        <w:rPr>
          <w:rFonts w:cs="Times New Roman"/>
        </w:rPr>
        <w:t>(para. 118). It would be “untenable to suggest that a parent who fails to provide financial disclosure can assume that the amount being provided is adequate because the recipient parent has not brought a court application” (</w:t>
      </w:r>
      <w:r w:rsidRPr="00767442">
        <w:rPr>
          <w:rFonts w:cs="Times New Roman"/>
          <w:i/>
        </w:rPr>
        <w:t>Brear</w:t>
      </w:r>
      <w:r w:rsidRPr="00767442">
        <w:rPr>
          <w:rFonts w:cs="Times New Roman"/>
        </w:rPr>
        <w:t xml:space="preserve">, at para. 74, per Pentelechuk J.A.). Further, even where the payor has disclosed increases in income, the </w:t>
      </w:r>
      <w:r w:rsidRPr="00767442">
        <w:rPr>
          <w:rFonts w:cs="Times New Roman"/>
          <w:i/>
        </w:rPr>
        <w:t xml:space="preserve">D.B.S. </w:t>
      </w:r>
      <w:r w:rsidRPr="00767442">
        <w:rPr>
          <w:rFonts w:cs="Times New Roman"/>
        </w:rPr>
        <w:t xml:space="preserve">factors may support extending a retroactive increase of support back to the time of the change in income. </w:t>
      </w:r>
    </w:p>
    <w:p w14:paraId="55997278" w14:textId="77777777" w:rsidR="006E72DA" w:rsidRPr="00767442" w:rsidRDefault="006E72DA" w:rsidP="006E72DA">
      <w:pPr>
        <w:pStyle w:val="ParaNoNdepar-AltN"/>
        <w:tabs>
          <w:tab w:val="clear" w:pos="1152"/>
          <w:tab w:val="left" w:pos="1166"/>
        </w:tabs>
        <w:rPr>
          <w:rFonts w:cs="Times New Roman"/>
        </w:rPr>
      </w:pPr>
      <w:r w:rsidRPr="00767442">
        <w:rPr>
          <w:rFonts w:cs="Times New Roman"/>
          <w:shd w:val="clear" w:color="auto" w:fill="FFFFFF"/>
        </w:rPr>
        <w:t xml:space="preserve">In settling on the date of effective notice as the “general rule”, </w:t>
      </w:r>
      <w:r w:rsidRPr="00767442">
        <w:rPr>
          <w:rFonts w:cs="Times New Roman"/>
          <w:i/>
        </w:rPr>
        <w:t xml:space="preserve">D.B.S. </w:t>
      </w:r>
      <w:r w:rsidRPr="00767442">
        <w:rPr>
          <w:rFonts w:cs="Times New Roman"/>
        </w:rPr>
        <w:t>represented a kind of compromise between the pre-</w:t>
      </w:r>
      <w:r w:rsidRPr="00767442">
        <w:rPr>
          <w:rFonts w:cs="Times New Roman"/>
          <w:i/>
        </w:rPr>
        <w:t xml:space="preserve">Guidelines </w:t>
      </w:r>
      <w:r w:rsidRPr="00767442">
        <w:rPr>
          <w:rFonts w:cs="Times New Roman"/>
        </w:rPr>
        <w:t xml:space="preserve">world — with its payor-focused concepts of </w:t>
      </w:r>
      <w:r w:rsidRPr="00767442">
        <w:rPr>
          <w:rFonts w:cs="Times New Roman"/>
          <w:i/>
        </w:rPr>
        <w:t xml:space="preserve">laches </w:t>
      </w:r>
      <w:r w:rsidRPr="00767442">
        <w:rPr>
          <w:rFonts w:cs="Times New Roman"/>
        </w:rPr>
        <w:t xml:space="preserve">and hoarding — and the child-centered era of the </w:t>
      </w:r>
      <w:r w:rsidRPr="00767442">
        <w:rPr>
          <w:rFonts w:cs="Times New Roman"/>
          <w:i/>
        </w:rPr>
        <w:t>Guidelines</w:t>
      </w:r>
      <w:r w:rsidRPr="00767442">
        <w:rPr>
          <w:rFonts w:cs="Times New Roman"/>
        </w:rPr>
        <w:t>. In the pre-</w:t>
      </w:r>
      <w:r w:rsidRPr="00767442">
        <w:rPr>
          <w:rFonts w:cs="Times New Roman"/>
          <w:i/>
        </w:rPr>
        <w:t>Guidelines</w:t>
      </w:r>
      <w:r w:rsidRPr="00767442">
        <w:rPr>
          <w:rFonts w:cs="Times New Roman"/>
        </w:rPr>
        <w:t xml:space="preserve"> era, notice was considered important because it was viewed as unfair to surprise payors with a retroactive award when they could not know the extent of their child support obligation until it was determined by the court (</w:t>
      </w:r>
      <w:r w:rsidRPr="00767442">
        <w:rPr>
          <w:rFonts w:cs="Times New Roman"/>
          <w:i/>
          <w:shd w:val="clear" w:color="auto" w:fill="FFFFFF"/>
        </w:rPr>
        <w:t xml:space="preserve">D.B.S. </w:t>
      </w:r>
      <w:r w:rsidRPr="00767442">
        <w:rPr>
          <w:rFonts w:cs="Times New Roman"/>
          <w:shd w:val="clear" w:color="auto" w:fill="FFFFFF"/>
        </w:rPr>
        <w:t xml:space="preserve">(C.A.), </w:t>
      </w:r>
      <w:r w:rsidRPr="00767442">
        <w:rPr>
          <w:rFonts w:cs="Times New Roman"/>
        </w:rPr>
        <w:t>at para. 79</w:t>
      </w:r>
      <w:r w:rsidRPr="00767442">
        <w:rPr>
          <w:rFonts w:cs="Times New Roman"/>
          <w:shd w:val="clear" w:color="auto" w:fill="FFFFFF"/>
        </w:rPr>
        <w:t>)</w:t>
      </w:r>
      <w:r w:rsidRPr="00767442">
        <w:rPr>
          <w:rFonts w:cs="Times New Roman"/>
          <w:sz w:val="22"/>
          <w:shd w:val="clear" w:color="auto" w:fill="FFFFFF"/>
        </w:rPr>
        <w:t xml:space="preserve">. </w:t>
      </w:r>
      <w:r w:rsidRPr="00767442">
        <w:rPr>
          <w:rFonts w:cs="Times New Roman"/>
          <w:shd w:val="clear" w:color="auto" w:fill="FFFFFF"/>
        </w:rPr>
        <w:t xml:space="preserve">After the </w:t>
      </w:r>
      <w:r w:rsidRPr="00767442">
        <w:rPr>
          <w:rFonts w:cs="Times New Roman"/>
          <w:i/>
          <w:shd w:val="clear" w:color="auto" w:fill="FFFFFF"/>
        </w:rPr>
        <w:t xml:space="preserve">Guidelines </w:t>
      </w:r>
      <w:r w:rsidRPr="00767442">
        <w:rPr>
          <w:rFonts w:cs="Times New Roman"/>
          <w:shd w:val="clear" w:color="auto" w:fill="FFFFFF"/>
        </w:rPr>
        <w:t>became law, parents knew about the existence and extent of their obligations, but courts continued to show reluctance to grant retroactive awards and pre-</w:t>
      </w:r>
      <w:r w:rsidRPr="00767442">
        <w:rPr>
          <w:rFonts w:cs="Times New Roman"/>
          <w:i/>
          <w:shd w:val="clear" w:color="auto" w:fill="FFFFFF"/>
        </w:rPr>
        <w:t xml:space="preserve">Guidelines </w:t>
      </w:r>
      <w:r w:rsidRPr="00767442">
        <w:rPr>
          <w:rFonts w:cs="Times New Roman"/>
          <w:shd w:val="clear" w:color="auto" w:fill="FFFFFF"/>
        </w:rPr>
        <w:t xml:space="preserve">concepts like notice and </w:t>
      </w:r>
      <w:r w:rsidRPr="00767442">
        <w:rPr>
          <w:rFonts w:cs="Times New Roman"/>
          <w:i/>
          <w:shd w:val="clear" w:color="auto" w:fill="FFFFFF"/>
        </w:rPr>
        <w:t xml:space="preserve">laches </w:t>
      </w:r>
      <w:r w:rsidRPr="00767442">
        <w:rPr>
          <w:rFonts w:cs="Times New Roman"/>
          <w:shd w:val="clear" w:color="auto" w:fill="FFFFFF"/>
        </w:rPr>
        <w:t xml:space="preserve">retained some influence. This background helps explain the majority’s wariness in </w:t>
      </w:r>
      <w:r w:rsidRPr="00767442">
        <w:rPr>
          <w:rFonts w:cs="Times New Roman"/>
          <w:i/>
          <w:shd w:val="clear" w:color="auto" w:fill="FFFFFF"/>
        </w:rPr>
        <w:t xml:space="preserve">D.B.S. </w:t>
      </w:r>
      <w:r w:rsidRPr="00767442">
        <w:rPr>
          <w:rFonts w:cs="Times New Roman"/>
          <w:shd w:val="clear" w:color="auto" w:fill="FFFFFF"/>
        </w:rPr>
        <w:t xml:space="preserve">about changing the rules for payors mid-stream. Since </w:t>
      </w:r>
      <w:r w:rsidRPr="00767442">
        <w:rPr>
          <w:rFonts w:cs="Times New Roman"/>
          <w:i/>
          <w:shd w:val="clear" w:color="auto" w:fill="FFFFFF"/>
        </w:rPr>
        <w:t>D.B.S.</w:t>
      </w:r>
      <w:r w:rsidRPr="00767442">
        <w:rPr>
          <w:rFonts w:cs="Times New Roman"/>
          <w:shd w:val="clear" w:color="auto" w:fill="FFFFFF"/>
        </w:rPr>
        <w:t>, however, expectations of and for payors have evolved.</w:t>
      </w:r>
      <w:r w:rsidRPr="00767442">
        <w:rPr>
          <w:rFonts w:cs="Times New Roman"/>
        </w:rPr>
        <w:t xml:space="preserve"> The </w:t>
      </w:r>
      <w:r w:rsidRPr="00767442">
        <w:rPr>
          <w:rFonts w:cs="Times New Roman"/>
          <w:i/>
        </w:rPr>
        <w:t>Guidelines</w:t>
      </w:r>
      <w:r w:rsidRPr="00767442">
        <w:rPr>
          <w:rFonts w:cs="Times New Roman"/>
        </w:rPr>
        <w:t xml:space="preserve"> and s. 17 of the </w:t>
      </w:r>
      <w:r w:rsidRPr="00767442">
        <w:rPr>
          <w:rFonts w:cs="Times New Roman"/>
          <w:i/>
        </w:rPr>
        <w:t>Divorce Act</w:t>
      </w:r>
      <w:r w:rsidRPr="00767442">
        <w:rPr>
          <w:rFonts w:cs="Times New Roman"/>
        </w:rPr>
        <w:t xml:space="preserve"> are clear and </w:t>
      </w:r>
      <w:r w:rsidRPr="00767442">
        <w:rPr>
          <w:rFonts w:cs="Times New Roman"/>
          <w:i/>
          <w:shd w:val="clear" w:color="auto" w:fill="FFFFFF"/>
        </w:rPr>
        <w:t>D.B.S.</w:t>
      </w:r>
      <w:r w:rsidRPr="00767442">
        <w:rPr>
          <w:rFonts w:cs="Times New Roman"/>
          <w:shd w:val="clear" w:color="auto" w:fill="FFFFFF"/>
        </w:rPr>
        <w:t xml:space="preserve"> itself gave notice to payor parents that they must pay more support as income rises and that this obligation may be enforced after the fact. </w:t>
      </w:r>
    </w:p>
    <w:p w14:paraId="7AC94FB0"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In light of the existing approach to blameworthy conduct and the pervasiveness of non-disclosure, it may be necessary in a future case to revisit the presumptive date of retroactivity in cases where the recipient seeks a retroactive variation to reflect increases in the payor’s income. A presumption in favour of varying support to the date of the increase would better reflect the recipient’s informational disadvantage and remove any incentive for payors to withhold disclosure or underpay support in the hopes that the </w:t>
      </w:r>
      <w:r w:rsidRPr="00767442">
        <w:rPr>
          <w:rFonts w:cs="Times New Roman"/>
          <w:i/>
        </w:rPr>
        <w:t>status quo</w:t>
      </w:r>
      <w:r w:rsidRPr="00767442">
        <w:rPr>
          <w:rFonts w:cs="Times New Roman"/>
        </w:rPr>
        <w:t xml:space="preserve"> will be maintained. Such a presumption would accord with other core principles of child support and reinforce that payors share the burden of ensuring the child receives the appropriate amount of support.</w:t>
      </w:r>
    </w:p>
    <w:p w14:paraId="18031AEF"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In </w:t>
      </w:r>
      <w:r w:rsidRPr="00767442">
        <w:rPr>
          <w:rFonts w:cs="Times New Roman"/>
          <w:i/>
        </w:rPr>
        <w:t>D.B.S.</w:t>
      </w:r>
      <w:r w:rsidRPr="00767442">
        <w:rPr>
          <w:rFonts w:cs="Times New Roman"/>
        </w:rPr>
        <w:t>, the</w:t>
      </w:r>
      <w:r w:rsidRPr="00767442">
        <w:rPr>
          <w:rFonts w:cs="Times New Roman"/>
          <w:i/>
        </w:rPr>
        <w:t xml:space="preserve"> </w:t>
      </w:r>
      <w:r w:rsidRPr="00767442">
        <w:rPr>
          <w:rFonts w:cs="Times New Roman"/>
        </w:rPr>
        <w:t>Court also drew attention to three interests which must be balanced to achieve a fair result in retroactive variation cases: first and foremost, the child’s interest in receiving the appropriate amount of support to which they are entitled; second, the interest of the parties and the child in certainty and predictability; and third, the need for flexibility to ensure a just result in light of fluctuations in payor income (</w:t>
      </w:r>
      <w:r w:rsidRPr="00767442">
        <w:rPr>
          <w:rFonts w:cs="Times New Roman"/>
          <w:i/>
        </w:rPr>
        <w:t>D.B.S.</w:t>
      </w:r>
      <w:r w:rsidRPr="00767442">
        <w:rPr>
          <w:rFonts w:cs="Times New Roman"/>
        </w:rPr>
        <w:t xml:space="preserve">, at paras. 2, 74 and 96; see also </w:t>
      </w:r>
      <w:r w:rsidRPr="00767442">
        <w:rPr>
          <w:rFonts w:cs="Times New Roman"/>
          <w:i/>
        </w:rPr>
        <w:t>Templeton v. Nuttall</w:t>
      </w:r>
      <w:r w:rsidRPr="00767442">
        <w:rPr>
          <w:rFonts w:cs="Times New Roman"/>
        </w:rPr>
        <w:t xml:space="preserve">, 2018 ONSC 815, at para. 43 (CanLII); </w:t>
      </w:r>
      <w:r w:rsidRPr="00767442">
        <w:rPr>
          <w:rFonts w:cs="Times New Roman"/>
          <w:i/>
          <w:iCs/>
        </w:rPr>
        <w:t>Contino v. Leonelli</w:t>
      </w:r>
      <w:r w:rsidRPr="00767442">
        <w:rPr>
          <w:rFonts w:cs="Times New Roman"/>
          <w:i/>
          <w:iCs/>
        </w:rPr>
        <w:noBreakHyphen/>
        <w:t>Contino</w:t>
      </w:r>
      <w:r w:rsidRPr="00767442">
        <w:rPr>
          <w:rFonts w:cs="Times New Roman"/>
        </w:rPr>
        <w:t>, 2005 SCC 63, [2005] 3 S.C.R. 217, at para. 33). The child’s interest in a fair standard of support commensurate with income is the core interest to which all rules and principles must yield. A fair result that adequately protects this interest will sometimes lean toward preserving certainty, and sometimes toward flexibility.</w:t>
      </w:r>
    </w:p>
    <w:p w14:paraId="4A2D1060"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In addition to the fundamental principles established in the </w:t>
      </w:r>
      <w:r w:rsidRPr="00767442">
        <w:rPr>
          <w:rFonts w:cs="Times New Roman"/>
          <w:i/>
        </w:rPr>
        <w:t xml:space="preserve">Guidelines </w:t>
      </w:r>
      <w:r w:rsidRPr="00767442">
        <w:rPr>
          <w:rFonts w:cs="Times New Roman"/>
        </w:rPr>
        <w:t xml:space="preserve">and </w:t>
      </w:r>
      <w:r w:rsidRPr="00767442">
        <w:rPr>
          <w:rFonts w:cs="Times New Roman"/>
          <w:i/>
        </w:rPr>
        <w:t>D.B.S.</w:t>
      </w:r>
      <w:r w:rsidRPr="00767442">
        <w:rPr>
          <w:rFonts w:cs="Times New Roman"/>
        </w:rPr>
        <w:t xml:space="preserve">, any framework for decreased child support must account for the informational asymmetry between the parties and the resulting need for full and frank disclosure of the payor’s income. It is to this point which I now turn. </w:t>
      </w:r>
    </w:p>
    <w:p w14:paraId="3DDA0CA4" w14:textId="77777777" w:rsidR="006E72DA" w:rsidRPr="00767442" w:rsidRDefault="006E72DA" w:rsidP="006E72DA">
      <w:pPr>
        <w:pStyle w:val="Title2LevelTitre2Niveau"/>
        <w:numPr>
          <w:ilvl w:val="1"/>
          <w:numId w:val="19"/>
        </w:numPr>
        <w:jc w:val="both"/>
        <w:rPr>
          <w:rFonts w:cs="Times New Roman"/>
        </w:rPr>
      </w:pPr>
      <w:bookmarkStart w:id="99" w:name="_Toc66736619"/>
      <w:bookmarkStart w:id="100" w:name="_Toc67070439"/>
      <w:bookmarkStart w:id="101" w:name="_Toc67332081"/>
      <w:bookmarkStart w:id="102" w:name="_Toc67347364"/>
      <w:bookmarkStart w:id="103" w:name="_Toc71624533"/>
      <w:r w:rsidRPr="00767442">
        <w:rPr>
          <w:rFonts w:cs="Times New Roman"/>
        </w:rPr>
        <w:t>Encouraging Timely and Full Disclosure</w:t>
      </w:r>
      <w:bookmarkEnd w:id="99"/>
      <w:bookmarkEnd w:id="100"/>
      <w:bookmarkEnd w:id="101"/>
      <w:bookmarkEnd w:id="102"/>
      <w:bookmarkEnd w:id="103"/>
    </w:p>
    <w:p w14:paraId="7123BA47"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After applying the </w:t>
      </w:r>
      <w:r w:rsidRPr="00767442">
        <w:rPr>
          <w:rFonts w:cs="Times New Roman"/>
          <w:i/>
        </w:rPr>
        <w:t xml:space="preserve">Guidelines </w:t>
      </w:r>
      <w:r w:rsidRPr="00767442">
        <w:rPr>
          <w:rFonts w:cs="Times New Roman"/>
        </w:rPr>
        <w:t xml:space="preserve">and </w:t>
      </w:r>
      <w:r w:rsidRPr="00767442">
        <w:rPr>
          <w:rFonts w:cs="Times New Roman"/>
          <w:i/>
        </w:rPr>
        <w:t>D.B.S.</w:t>
      </w:r>
      <w:r w:rsidRPr="00767442">
        <w:rPr>
          <w:rFonts w:cs="Times New Roman"/>
        </w:rPr>
        <w:t xml:space="preserve"> for many years, it has become clear just how much the child support system, including s. 17 variations, depends upon adequate, accurate and timely financial disclosure. The centrality of disclosure in child support matters has been recognized in a rich body of jurisprudence both before and after </w:t>
      </w:r>
      <w:r w:rsidRPr="00767442">
        <w:rPr>
          <w:rFonts w:cs="Times New Roman"/>
          <w:i/>
        </w:rPr>
        <w:t>D.B.S.</w:t>
      </w:r>
      <w:r w:rsidRPr="00767442">
        <w:rPr>
          <w:rFonts w:cs="Times New Roman"/>
        </w:rPr>
        <w:t xml:space="preserve"> (see, e.g., </w:t>
      </w:r>
      <w:r w:rsidRPr="00767442">
        <w:rPr>
          <w:rFonts w:cs="Times New Roman"/>
          <w:i/>
        </w:rPr>
        <w:t>Shamli v. Shamli</w:t>
      </w:r>
      <w:r w:rsidRPr="00767442">
        <w:rPr>
          <w:rFonts w:cs="Times New Roman"/>
        </w:rPr>
        <w:t xml:space="preserve">, 2004 CanLII 45956 (Ont. S.C.J.), at para. 8; </w:t>
      </w:r>
      <w:r w:rsidRPr="00767442">
        <w:rPr>
          <w:rFonts w:cs="Times New Roman"/>
          <w:i/>
        </w:rPr>
        <w:t>Hietanen v. Hietanen</w:t>
      </w:r>
      <w:r w:rsidRPr="00767442">
        <w:rPr>
          <w:rFonts w:cs="Times New Roman"/>
        </w:rPr>
        <w:t xml:space="preserve">, 2004 BCSC 306, 7 R.F.L. (6th) 67, at para. 11; </w:t>
      </w:r>
      <w:r w:rsidRPr="00767442">
        <w:rPr>
          <w:rFonts w:cs="Times New Roman"/>
          <w:i/>
        </w:rPr>
        <w:t>Gray</w:t>
      </w:r>
      <w:r w:rsidRPr="00767442">
        <w:rPr>
          <w:rFonts w:cs="Times New Roman"/>
        </w:rPr>
        <w:t xml:space="preserve">, at para. 63; </w:t>
      </w:r>
      <w:r w:rsidRPr="00767442">
        <w:rPr>
          <w:rFonts w:cs="Times New Roman"/>
          <w:i/>
        </w:rPr>
        <w:t>M.K.R. v. J.A.R.</w:t>
      </w:r>
      <w:r w:rsidRPr="00767442">
        <w:rPr>
          <w:rFonts w:cs="Times New Roman"/>
        </w:rPr>
        <w:t xml:space="preserve">, 2015 NBCA 73, 443 N.B.R. (2d) 313, at paras. 14 and 20; </w:t>
      </w:r>
      <w:r w:rsidRPr="00767442">
        <w:rPr>
          <w:rFonts w:cs="Times New Roman"/>
          <w:i/>
        </w:rPr>
        <w:t>Francis v. Terry</w:t>
      </w:r>
      <w:r w:rsidRPr="00767442">
        <w:rPr>
          <w:rFonts w:cs="Times New Roman"/>
        </w:rPr>
        <w:t xml:space="preserve">, 2004 NSCA 118, 227 N.S.R. (2d) 99, at para. 9; </w:t>
      </w:r>
      <w:r w:rsidRPr="00767442">
        <w:rPr>
          <w:rFonts w:cs="Times New Roman"/>
          <w:i/>
        </w:rPr>
        <w:t>Goulding</w:t>
      </w:r>
      <w:r w:rsidRPr="00767442">
        <w:rPr>
          <w:rFonts w:cs="Times New Roman"/>
        </w:rPr>
        <w:t xml:space="preserve">, at para. 44). Simply stated, disclosure is the linchpin on which fair child support depends and the relevant legal tests must encourage the timely provision of necessary information. </w:t>
      </w:r>
    </w:p>
    <w:p w14:paraId="02AE39AC"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The pivotal role of disclosure comes as no surprise since the premise underlying the </w:t>
      </w:r>
      <w:r w:rsidRPr="00767442">
        <w:rPr>
          <w:rFonts w:cs="Times New Roman"/>
          <w:i/>
        </w:rPr>
        <w:t xml:space="preserve">Guidelines </w:t>
      </w:r>
      <w:r w:rsidRPr="00767442">
        <w:rPr>
          <w:rFonts w:cs="Times New Roman"/>
        </w:rPr>
        <w:t>“is that the support obligation itself should fluctuate with the payor parent’s income” (</w:t>
      </w:r>
      <w:r w:rsidRPr="00767442">
        <w:rPr>
          <w:rFonts w:cs="Times New Roman"/>
          <w:i/>
        </w:rPr>
        <w:t>D.B.S.</w:t>
      </w:r>
      <w:r w:rsidRPr="00767442">
        <w:rPr>
          <w:rFonts w:cs="Times New Roman"/>
        </w:rPr>
        <w:t>, at para. 45).</w:t>
      </w:r>
      <w:r w:rsidRPr="00767442">
        <w:rPr>
          <w:rFonts w:cs="Times New Roman"/>
          <w:sz w:val="22"/>
        </w:rPr>
        <w:t xml:space="preserve"> </w:t>
      </w:r>
      <w:r w:rsidRPr="00767442">
        <w:rPr>
          <w:rFonts w:cs="Times New Roman"/>
        </w:rPr>
        <w:t xml:space="preserve">The structure of the </w:t>
      </w:r>
      <w:r w:rsidRPr="00767442">
        <w:rPr>
          <w:rFonts w:cs="Times New Roman"/>
          <w:i/>
        </w:rPr>
        <w:t xml:space="preserve">Guidelines </w:t>
      </w:r>
      <w:r w:rsidRPr="00767442">
        <w:rPr>
          <w:rFonts w:cs="Times New Roman"/>
        </w:rPr>
        <w:t>thus creates an informational asymmetry between the parties. In a system that ties support to payor income, it is the payor who knows and controls the information needed to calculate the appropriate amount of support. The recipient does not have access to this information, except to the extent that the payor chooses or is made to share it. It would thus be illogical, unfair and contrary to the child’s best interests to make the recipient solely responsible for policing the payor’s ongoing compliance with their support obligation.</w:t>
      </w:r>
    </w:p>
    <w:p w14:paraId="70E722F8"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This is why frank disclosure of income information by the payor lies at the foundation of the child support regime. In </w:t>
      </w:r>
      <w:r w:rsidRPr="00767442">
        <w:rPr>
          <w:rFonts w:cs="Times New Roman"/>
          <w:i/>
        </w:rPr>
        <w:t>Roberts</w:t>
      </w:r>
      <w:r w:rsidRPr="00767442">
        <w:rPr>
          <w:rFonts w:cs="Times New Roman"/>
        </w:rPr>
        <w:t xml:space="preserve"> </w:t>
      </w:r>
      <w:r w:rsidRPr="00767442">
        <w:rPr>
          <w:rFonts w:cs="Times New Roman"/>
          <w:i/>
        </w:rPr>
        <w:t>v. Roberts</w:t>
      </w:r>
      <w:r w:rsidRPr="00767442">
        <w:rPr>
          <w:rFonts w:cs="Times New Roman"/>
        </w:rPr>
        <w:t>, 2015 ONCA 450, 65 R.F.L. (7th) 6, the Court of Appeal described the duty to disclose financial information as “[t]he most basic obligation in family law” (para. 11). A payor’s failure to make timely, proactive and full disclosure undermines the policies underlying the family law regime and “the processes that have been carefully designed to achieve those policy goals” (</w:t>
      </w:r>
      <w:r w:rsidRPr="00767442">
        <w:rPr>
          <w:rFonts w:cs="Times New Roman"/>
          <w:i/>
        </w:rPr>
        <w:t>Leitch v. Novac</w:t>
      </w:r>
      <w:r w:rsidRPr="00767442">
        <w:rPr>
          <w:rFonts w:cs="Times New Roman"/>
        </w:rPr>
        <w:t>, 2020 ONCA 257, 150 O.R. (3d) 587, at para. 44). Without proper disclosure, the system simply cannot function and the objective of establishing a fair standard of support for children that ensures they benefit from the means of both parents will be out of reach (</w:t>
      </w:r>
      <w:r w:rsidRPr="00767442">
        <w:rPr>
          <w:rFonts w:cs="Times New Roman"/>
          <w:i/>
        </w:rPr>
        <w:t>Michel</w:t>
      </w:r>
      <w:r w:rsidRPr="00767442">
        <w:rPr>
          <w:rFonts w:cs="Times New Roman"/>
        </w:rPr>
        <w:t xml:space="preserve">, at para. 32, per Brown J.; </w:t>
      </w:r>
      <w:r w:rsidRPr="00767442">
        <w:rPr>
          <w:rFonts w:cs="Times New Roman"/>
          <w:i/>
          <w:iCs/>
        </w:rPr>
        <w:t>Brear</w:t>
      </w:r>
      <w:r w:rsidRPr="00767442">
        <w:rPr>
          <w:rFonts w:cs="Times New Roman"/>
          <w:iCs/>
        </w:rPr>
        <w:t>,</w:t>
      </w:r>
      <w:r w:rsidRPr="00767442">
        <w:rPr>
          <w:rFonts w:cs="Times New Roman"/>
          <w:i/>
          <w:iCs/>
        </w:rPr>
        <w:t xml:space="preserve"> </w:t>
      </w:r>
      <w:r w:rsidRPr="00767442">
        <w:rPr>
          <w:rFonts w:cs="Times New Roman"/>
        </w:rPr>
        <w:t>at para. 19, per Pentelechuk J.A.).</w:t>
      </w:r>
    </w:p>
    <w:p w14:paraId="6E3579BB"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Full and frank disclosure is also a precondition to good faith negotiation. Without it, the parties cannot stand on the equal footing required to make informed decisions and resolve child support disputes outside of court. Promoting proactive payor disclosure thus advances the objectives — found in s. 1 of the </w:t>
      </w:r>
      <w:r w:rsidRPr="00767442">
        <w:rPr>
          <w:rFonts w:cs="Times New Roman"/>
          <w:i/>
        </w:rPr>
        <w:t xml:space="preserve">Guidelines </w:t>
      </w:r>
      <w:r w:rsidRPr="00767442">
        <w:rPr>
          <w:rFonts w:cs="Times New Roman"/>
        </w:rPr>
        <w:t>— of reducing conflict between the parties and encouraging settlement.</w:t>
      </w:r>
    </w:p>
    <w:p w14:paraId="148BF299"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In line with these realities, courts have increasingly recognized that the payor’s duty to disclose income information is a corollary of the legal obligation to pay support commensurate with income (</w:t>
      </w:r>
      <w:r w:rsidRPr="00767442">
        <w:rPr>
          <w:rFonts w:cs="Times New Roman"/>
          <w:i/>
        </w:rPr>
        <w:t>Brear</w:t>
      </w:r>
      <w:r w:rsidRPr="00767442">
        <w:rPr>
          <w:rFonts w:cs="Times New Roman"/>
        </w:rPr>
        <w:t xml:space="preserve">, at paras. 19 and 69, per Pentelechuk J.A.; </w:t>
      </w:r>
      <w:r w:rsidRPr="00767442">
        <w:rPr>
          <w:rFonts w:cs="Times New Roman"/>
          <w:i/>
        </w:rPr>
        <w:t>Roseberry v. Roseberry</w:t>
      </w:r>
      <w:r w:rsidRPr="00767442">
        <w:rPr>
          <w:rFonts w:cs="Times New Roman"/>
        </w:rPr>
        <w:t xml:space="preserve">, 2015 ABQB 75, 13 Alta. L.R. (6th) 215, at para. 63; </w:t>
      </w:r>
      <w:r w:rsidRPr="00767442">
        <w:rPr>
          <w:rFonts w:cs="Times New Roman"/>
          <w:i/>
        </w:rPr>
        <w:t>Cunningham v. Seveny</w:t>
      </w:r>
      <w:r w:rsidRPr="00767442">
        <w:rPr>
          <w:rFonts w:cs="Times New Roman"/>
        </w:rPr>
        <w:t>, 2017 ABCA 4, 88 R.F.L. (7th) 1,</w:t>
      </w:r>
      <w:r w:rsidRPr="00767442">
        <w:rPr>
          <w:rFonts w:cs="Times New Roman"/>
          <w:i/>
        </w:rPr>
        <w:t xml:space="preserve"> </w:t>
      </w:r>
      <w:r w:rsidRPr="00767442">
        <w:rPr>
          <w:rFonts w:cs="Times New Roman"/>
        </w:rPr>
        <w:t xml:space="preserve">at paras. 21 and 26). As explained by Brown J., speaking for the full Court in </w:t>
      </w:r>
      <w:r w:rsidRPr="00767442">
        <w:rPr>
          <w:rFonts w:cs="Times New Roman"/>
          <w:i/>
        </w:rPr>
        <w:t>Michel</w:t>
      </w:r>
      <w:r w:rsidRPr="00767442">
        <w:rPr>
          <w:rFonts w:cs="Times New Roman"/>
        </w:rPr>
        <w:t xml:space="preserve">, payor parents “are subject to a duty of full and honest disclosure — a duty comparable to that arising in matrimonial negotiations” (para. 33, referencing </w:t>
      </w:r>
      <w:r w:rsidRPr="00767442">
        <w:rPr>
          <w:rFonts w:cs="Times New Roman"/>
          <w:i/>
        </w:rPr>
        <w:t>Rick v. Brandsema</w:t>
      </w:r>
      <w:r w:rsidRPr="00767442">
        <w:rPr>
          <w:rFonts w:cs="Times New Roman"/>
        </w:rPr>
        <w:t xml:space="preserve">, 2009 SCC 10, [2009] 1 S.C.R. 295, at paras. 47-49). Courts and legislatures have also implemented various mechanisms to incentivize and even require regular ongoing disclosure of updated income information by the payor, along with tools to move proceedings forward in the face of non-disclosure. Those mechanisms include imputing income to payors who have failed to make adequate disclosure, striking pleadings, drawing adverse inferences, and awarding costs. By encouraging timely disclosure, these tools reduce the likelihood that the recipient will be forced to apply to court multiple times to secure disclosure. </w:t>
      </w:r>
    </w:p>
    <w:p w14:paraId="57E68E34"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Following </w:t>
      </w:r>
      <w:r w:rsidRPr="00767442">
        <w:rPr>
          <w:rFonts w:cs="Times New Roman"/>
          <w:i/>
        </w:rPr>
        <w:t>D.B.S.</w:t>
      </w:r>
      <w:r w:rsidRPr="00767442">
        <w:rPr>
          <w:rFonts w:cs="Times New Roman"/>
        </w:rPr>
        <w:t xml:space="preserve">, lawyers and courts also began implementing “proactive strategies to avoid tedious and conflicting arguments related to ‘asking versus telling’ about income increases”, such as the use of mandatory annual disclosure obligations in child support orders in Alberta and Ontario (M. L. Gordon, “An Update on Retroactive Child and Spousal Support: Five Years after </w:t>
      </w:r>
      <w:r w:rsidRPr="00767442">
        <w:rPr>
          <w:rFonts w:cs="Times New Roman"/>
          <w:i/>
        </w:rPr>
        <w:t>S. (D.B.) v. G. (S.R.)</w:t>
      </w:r>
      <w:r w:rsidRPr="00767442">
        <w:rPr>
          <w:rFonts w:cs="Times New Roman"/>
        </w:rPr>
        <w:t xml:space="preserve">” (2012), 31 </w:t>
      </w:r>
      <w:r w:rsidRPr="00767442">
        <w:rPr>
          <w:rFonts w:cs="Times New Roman"/>
          <w:i/>
        </w:rPr>
        <w:t>C.F.L.Q.</w:t>
      </w:r>
      <w:r w:rsidRPr="00767442">
        <w:rPr>
          <w:rFonts w:cs="Times New Roman"/>
        </w:rPr>
        <w:t xml:space="preserve"> 71, at p. 72; see also </w:t>
      </w:r>
      <w:r w:rsidRPr="00767442">
        <w:rPr>
          <w:rFonts w:cs="Times New Roman"/>
          <w:i/>
        </w:rPr>
        <w:t>Sawatzky v. Sawatzky</w:t>
      </w:r>
      <w:r w:rsidRPr="00767442">
        <w:rPr>
          <w:rFonts w:cs="Times New Roman"/>
        </w:rPr>
        <w:t xml:space="preserve">, 2018 MBCA 102, 428 D.L.R. (4th) 247, at para. 58; </w:t>
      </w:r>
      <w:r w:rsidRPr="00767442">
        <w:rPr>
          <w:rFonts w:cs="Times New Roman"/>
          <w:i/>
        </w:rPr>
        <w:t>Roseberry</w:t>
      </w:r>
      <w:r w:rsidRPr="00767442">
        <w:rPr>
          <w:rFonts w:cs="Times New Roman"/>
        </w:rPr>
        <w:t>, at para. 64). In Ontario, the legislature has echoed this trend by amending the guidelines to include a requirement that payors disclose income information annually without the requirement of a request from the recipient (</w:t>
      </w:r>
      <w:r w:rsidRPr="00767442">
        <w:rPr>
          <w:rFonts w:cs="Times New Roman"/>
          <w:i/>
        </w:rPr>
        <w:t>Child Support Guidelines</w:t>
      </w:r>
      <w:r w:rsidRPr="00767442">
        <w:rPr>
          <w:rFonts w:cs="Times New Roman"/>
        </w:rPr>
        <w:t>,</w:t>
      </w:r>
      <w:r w:rsidRPr="00767442">
        <w:rPr>
          <w:rFonts w:cs="Times New Roman"/>
          <w:i/>
        </w:rPr>
        <w:t xml:space="preserve"> </w:t>
      </w:r>
      <w:r w:rsidRPr="00767442">
        <w:rPr>
          <w:rFonts w:cs="Times New Roman"/>
        </w:rPr>
        <w:t xml:space="preserve">O. Reg. 391/97, s. 24.1(1)). Similarly, in British Columbia, s. 5(1) of the </w:t>
      </w:r>
      <w:r w:rsidRPr="00767442">
        <w:rPr>
          <w:rFonts w:cs="Times New Roman"/>
          <w:i/>
        </w:rPr>
        <w:t>Family Law Act</w:t>
      </w:r>
      <w:r w:rsidRPr="00767442">
        <w:rPr>
          <w:rFonts w:cs="Times New Roman"/>
        </w:rPr>
        <w:t xml:space="preserve">, S.B.C. 2011, c. 25, imposes a general duty to disclose “full and true information” for the purpose of resolving family law disputes. </w:t>
      </w:r>
    </w:p>
    <w:p w14:paraId="42EA4AB1" w14:textId="77777777" w:rsidR="006E72DA" w:rsidRDefault="006E72DA" w:rsidP="006E72DA">
      <w:pPr>
        <w:pStyle w:val="ParaNoNdepar-AltN"/>
        <w:tabs>
          <w:tab w:val="clear" w:pos="1152"/>
          <w:tab w:val="left" w:pos="1166"/>
        </w:tabs>
        <w:rPr>
          <w:rFonts w:cs="Times New Roman"/>
        </w:rPr>
      </w:pPr>
      <w:r w:rsidRPr="00767442">
        <w:rPr>
          <w:rFonts w:cs="Times New Roman"/>
        </w:rPr>
        <w:t xml:space="preserve">In keeping with these developments, the exercise of judicial discretion and the setting of legal standards under s. 17 of the </w:t>
      </w:r>
      <w:r w:rsidRPr="00767442">
        <w:rPr>
          <w:rFonts w:cs="Times New Roman"/>
          <w:i/>
        </w:rPr>
        <w:t>Divorce Act</w:t>
      </w:r>
      <w:r w:rsidRPr="00767442">
        <w:rPr>
          <w:rFonts w:cs="Times New Roman"/>
        </w:rPr>
        <w:t xml:space="preserve"> must encourage financial disclosure and in no way reward those who improperly withhold, hide or misrepresent information they ought to have shared. Proactive disclosure of changes in income is the first step to ensuring that child support obligations are tied to payor income as it fluctuates. Inadequate disclosure breeds “a backlog of [retroactive] support applications” (</w:t>
      </w:r>
      <w:r w:rsidRPr="00767442">
        <w:rPr>
          <w:rFonts w:cs="Times New Roman"/>
          <w:i/>
        </w:rPr>
        <w:t>Roseberry</w:t>
      </w:r>
      <w:r w:rsidRPr="00767442">
        <w:rPr>
          <w:rFonts w:cs="Times New Roman"/>
        </w:rPr>
        <w:t>, at para. 61). Indeed, with full, frank and regular disclosure, long-term arrears — such as Mr. Colucci’s — should be rare.</w:t>
      </w:r>
    </w:p>
    <w:p w14:paraId="0633D36A" w14:textId="77777777" w:rsidR="006E72DA" w:rsidRPr="00767442" w:rsidRDefault="006E72DA" w:rsidP="006E72DA">
      <w:pPr>
        <w:pStyle w:val="Title2LevelTitre2Niveau"/>
        <w:numPr>
          <w:ilvl w:val="1"/>
          <w:numId w:val="19"/>
        </w:numPr>
        <w:jc w:val="both"/>
        <w:rPr>
          <w:rFonts w:cs="Times New Roman"/>
        </w:rPr>
      </w:pPr>
      <w:bookmarkStart w:id="104" w:name="_Toc62935242"/>
      <w:bookmarkStart w:id="105" w:name="_Toc62953614"/>
      <w:bookmarkStart w:id="106" w:name="_Toc62997984"/>
      <w:bookmarkStart w:id="107" w:name="_Toc64104268"/>
      <w:bookmarkStart w:id="108" w:name="_Toc64122505"/>
      <w:bookmarkStart w:id="109" w:name="_Toc64367708"/>
      <w:bookmarkStart w:id="110" w:name="_Toc66736620"/>
      <w:bookmarkStart w:id="111" w:name="_Toc67070440"/>
      <w:bookmarkStart w:id="112" w:name="_Toc67332082"/>
      <w:bookmarkStart w:id="113" w:name="_Toc67347365"/>
      <w:bookmarkStart w:id="114" w:name="_Toc71624534"/>
      <w:r w:rsidRPr="00767442">
        <w:rPr>
          <w:rFonts w:cs="Times New Roman"/>
        </w:rPr>
        <w:t>The Applicable Framework</w:t>
      </w:r>
      <w:bookmarkEnd w:id="104"/>
      <w:bookmarkEnd w:id="105"/>
      <w:bookmarkEnd w:id="106"/>
      <w:bookmarkEnd w:id="107"/>
      <w:bookmarkEnd w:id="108"/>
      <w:bookmarkEnd w:id="109"/>
      <w:bookmarkEnd w:id="110"/>
      <w:bookmarkEnd w:id="111"/>
      <w:bookmarkEnd w:id="112"/>
      <w:bookmarkEnd w:id="113"/>
      <w:bookmarkEnd w:id="114"/>
      <w:r w:rsidRPr="00767442">
        <w:rPr>
          <w:rFonts w:cs="Times New Roman"/>
        </w:rPr>
        <w:t xml:space="preserve"> </w:t>
      </w:r>
    </w:p>
    <w:p w14:paraId="0D423472"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In building a framework for the variation of child support and the rescission of arrears, judicial discretion must be structured to safeguard the child’s interest in receiving the appropriate amount of support to which they are entitled. Alongside this paramount interest, there must be a fair balancing of certainty and flexibility to reach a just result in light of fluctuations in payor income and the particular circumstances of each case. In addition, the framework under s. 17 must promote the timely disclosure of accurate information, which in turn encourages equal bargaining and fair settlements, as the payor parent “holds the cards” when it comes to child support (</w:t>
      </w:r>
      <w:r w:rsidRPr="00767442">
        <w:rPr>
          <w:rFonts w:cs="Times New Roman"/>
          <w:i/>
        </w:rPr>
        <w:t>Michel</w:t>
      </w:r>
      <w:r w:rsidRPr="00767442">
        <w:rPr>
          <w:rFonts w:cs="Times New Roman"/>
        </w:rPr>
        <w:t>, at para. 32, per Brown J.).</w:t>
      </w:r>
      <w:r w:rsidRPr="00767442">
        <w:rPr>
          <w:rFonts w:cs="Times New Roman"/>
          <w:i/>
        </w:rPr>
        <w:t xml:space="preserve"> </w:t>
      </w:r>
      <w:r w:rsidRPr="00767442">
        <w:rPr>
          <w:rFonts w:cs="Times New Roman"/>
        </w:rPr>
        <w:t>Above all,</w:t>
      </w:r>
      <w:r w:rsidRPr="00767442">
        <w:rPr>
          <w:rFonts w:cs="Times New Roman"/>
          <w:i/>
        </w:rPr>
        <w:t xml:space="preserve"> </w:t>
      </w:r>
      <w:r w:rsidRPr="00767442">
        <w:rPr>
          <w:rFonts w:cs="Times New Roman"/>
        </w:rPr>
        <w:t>“the ultimate goal must be to ensure that children benefit from the support they are owed at the time when they are owed it. Any incentives for payor parents to be deficient in meeting their obligations should be eliminated” (</w:t>
      </w:r>
      <w:r w:rsidRPr="00767442">
        <w:rPr>
          <w:rFonts w:cs="Times New Roman"/>
          <w:i/>
        </w:rPr>
        <w:t>D.B.S.</w:t>
      </w:r>
      <w:r w:rsidRPr="00767442">
        <w:rPr>
          <w:rFonts w:cs="Times New Roman"/>
        </w:rPr>
        <w:t>, at</w:t>
      </w:r>
      <w:r w:rsidRPr="00767442">
        <w:rPr>
          <w:rFonts w:cs="Times New Roman"/>
          <w:i/>
        </w:rPr>
        <w:t xml:space="preserve"> </w:t>
      </w:r>
      <w:r w:rsidRPr="00767442">
        <w:rPr>
          <w:rFonts w:cs="Times New Roman"/>
        </w:rPr>
        <w:t xml:space="preserve">para. 4). Payors should not be better off from a legal standpoint if they do not pay the child support the law says they owe. Nor should payors receive any sort of benefit or advantage from failing to disclose their real financial situation or providing disclosure on the eve of the hearing. </w:t>
      </w:r>
    </w:p>
    <w:p w14:paraId="3FE2AFF6" w14:textId="77777777" w:rsidR="006E72DA" w:rsidRPr="00767442" w:rsidRDefault="006E72DA" w:rsidP="006E72DA">
      <w:pPr>
        <w:pStyle w:val="ParaNoNdepar-AltN"/>
        <w:tabs>
          <w:tab w:val="clear" w:pos="1152"/>
          <w:tab w:val="left" w:pos="1166"/>
        </w:tabs>
        <w:rPr>
          <w:rFonts w:eastAsia="Calibri" w:cs="Times New Roman"/>
          <w:u w:val="single"/>
        </w:rPr>
      </w:pPr>
      <w:r w:rsidRPr="00767442">
        <w:rPr>
          <w:rFonts w:cs="Times New Roman"/>
        </w:rPr>
        <w:t xml:space="preserve">Based on these guiding principles, I will first set out the framework applicable to a payor’s application for a retroactive decrease in support based on a material change in circumstances. I will then explain the applicable framework where the payor seeks to rescind arrears based on present inability to pay rather than a </w:t>
      </w:r>
      <w:bookmarkStart w:id="115" w:name="_Toc64104269"/>
      <w:bookmarkStart w:id="116" w:name="_Toc64122506"/>
      <w:bookmarkStart w:id="117" w:name="_Toc64367709"/>
      <w:bookmarkStart w:id="118" w:name="_Toc66736621"/>
      <w:r w:rsidRPr="00767442">
        <w:rPr>
          <w:rFonts w:cs="Times New Roman"/>
        </w:rPr>
        <w:t>past change in circumstances.</w:t>
      </w:r>
    </w:p>
    <w:p w14:paraId="02F537AC" w14:textId="77777777" w:rsidR="004E49A1" w:rsidRPr="00767442" w:rsidRDefault="004E49A1" w:rsidP="004E49A1">
      <w:pPr>
        <w:pStyle w:val="Title3LevelTitre3Niveau"/>
        <w:numPr>
          <w:ilvl w:val="2"/>
          <w:numId w:val="19"/>
        </w:numPr>
        <w:tabs>
          <w:tab w:val="clear" w:pos="1152"/>
          <w:tab w:val="num" w:pos="1566"/>
        </w:tabs>
        <w:ind w:left="1566"/>
        <w:jc w:val="both"/>
        <w:rPr>
          <w:rFonts w:cs="Times New Roman"/>
        </w:rPr>
      </w:pPr>
      <w:bookmarkStart w:id="119" w:name="_Toc67070441"/>
      <w:bookmarkStart w:id="120" w:name="_Toc67332083"/>
      <w:bookmarkStart w:id="121" w:name="_Toc67347366"/>
      <w:bookmarkStart w:id="122" w:name="_Toc71624535"/>
      <w:bookmarkStart w:id="123" w:name="_Toc64104281"/>
      <w:bookmarkStart w:id="124" w:name="_Toc64122518"/>
      <w:bookmarkStart w:id="125" w:name="_Toc64367721"/>
      <w:bookmarkStart w:id="126" w:name="_Toc66736633"/>
      <w:bookmarkStart w:id="127" w:name="_Toc67070453"/>
      <w:bookmarkStart w:id="128" w:name="_Toc67332099"/>
      <w:bookmarkStart w:id="129" w:name="_Toc67347382"/>
      <w:bookmarkStart w:id="130" w:name="_Toc71624551"/>
      <w:bookmarkEnd w:id="115"/>
      <w:bookmarkEnd w:id="116"/>
      <w:bookmarkEnd w:id="117"/>
      <w:bookmarkEnd w:id="118"/>
      <w:r w:rsidRPr="00767442">
        <w:rPr>
          <w:rFonts w:cs="Times New Roman"/>
        </w:rPr>
        <w:t>Retroactive Decreases Where The Prior Order Overestimates Payor Income</w:t>
      </w:r>
      <w:bookmarkEnd w:id="119"/>
      <w:bookmarkEnd w:id="120"/>
      <w:bookmarkEnd w:id="121"/>
      <w:bookmarkEnd w:id="122"/>
    </w:p>
    <w:p w14:paraId="146571E4"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This category of cases covers situations in which the payor has experienced a material drop in income that affected their ability to make payments as they came due. The payor will argue that the recipient was in fact owed a lower amount under the </w:t>
      </w:r>
      <w:r w:rsidRPr="00767442">
        <w:rPr>
          <w:rFonts w:cs="Times New Roman"/>
          <w:i/>
        </w:rPr>
        <w:t>Guidelines</w:t>
      </w:r>
      <w:r w:rsidRPr="00767442">
        <w:rPr>
          <w:rFonts w:cs="Times New Roman"/>
        </w:rPr>
        <w:t xml:space="preserve"> than the amount payable under a pre-existing order or agreement, thus necessitating a recalculation of the amount owing for past years based on the payor’s actual income, the number of children to be supported in those years, and the table amounts. Decreased income is an all too common and unfortunate reality for many families. Any framework developed to accommodate retroactive variations of child support in response to decreased payor income must deal fairly with a wide range of factual situations, from payors who diligently paid the proper amount until they lost their employment or otherwise fell on hard times, to those who have made little effort to meet their responsibilities and are absent, intentionally underemployed or persistently delinquent.</w:t>
      </w:r>
    </w:p>
    <w:p w14:paraId="12CEF859"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In this section, I first discuss the threshold the payor must meet to access a retroactive decrease under s. 17, namely the requirement of showing a change in circumstances that would justify varying the amount of child support. I then reconcile the divergent lines of authority about what happens when this threshold is met, settling on a presumption-based approach that leaves space for judicial discretion structured by the </w:t>
      </w:r>
      <w:r w:rsidRPr="00767442">
        <w:rPr>
          <w:rFonts w:cs="Times New Roman"/>
          <w:i/>
        </w:rPr>
        <w:t xml:space="preserve">D.B.S. </w:t>
      </w:r>
      <w:r w:rsidRPr="00767442">
        <w:rPr>
          <w:rFonts w:cs="Times New Roman"/>
        </w:rPr>
        <w:t xml:space="preserve">factors. Under this approach, once the payor has met the threshold of showing a change in circumstances, a presumption is triggered in favour of varying support back to the date of effective notice, up to three years before formal notice. I explain what effective notice means and why it is an appropriate presumptive date in this category of case. I then discuss how the </w:t>
      </w:r>
      <w:r w:rsidRPr="00767442">
        <w:rPr>
          <w:rFonts w:cs="Times New Roman"/>
          <w:i/>
        </w:rPr>
        <w:t xml:space="preserve">D.B.S. </w:t>
      </w:r>
      <w:r w:rsidRPr="00767442">
        <w:rPr>
          <w:rFonts w:cs="Times New Roman"/>
        </w:rPr>
        <w:t xml:space="preserve">factors can be adapted to retroactive decreases in deciding whether to depart from the presumptive date of retroactivity. Finally, I address quantum, the final stage of the analysis, which requires the court to calculate the proper amount of support in accordance with the </w:t>
      </w:r>
      <w:r w:rsidRPr="00767442">
        <w:rPr>
          <w:rFonts w:cs="Times New Roman"/>
          <w:i/>
        </w:rPr>
        <w:t>Guidelines</w:t>
      </w:r>
      <w:r w:rsidRPr="00767442">
        <w:rPr>
          <w:rFonts w:cs="Times New Roman"/>
        </w:rPr>
        <w:t>.</w:t>
      </w:r>
      <w:bookmarkStart w:id="131" w:name="_Toc64367710"/>
    </w:p>
    <w:p w14:paraId="291A2183" w14:textId="77777777" w:rsidR="004E49A1" w:rsidRPr="00767442" w:rsidRDefault="004E49A1" w:rsidP="004E49A1">
      <w:pPr>
        <w:pStyle w:val="Title4LevelTitre4Niveau"/>
        <w:numPr>
          <w:ilvl w:val="3"/>
          <w:numId w:val="19"/>
        </w:numPr>
        <w:jc w:val="both"/>
        <w:rPr>
          <w:rFonts w:cs="Times New Roman"/>
        </w:rPr>
      </w:pPr>
      <w:bookmarkStart w:id="132" w:name="_Toc66736622"/>
      <w:bookmarkStart w:id="133" w:name="_Toc67070442"/>
      <w:bookmarkStart w:id="134" w:name="_Toc67332084"/>
      <w:bookmarkStart w:id="135" w:name="_Toc67347367"/>
      <w:bookmarkStart w:id="136" w:name="_Toc71624536"/>
      <w:r w:rsidRPr="00767442">
        <w:rPr>
          <w:rFonts w:cs="Times New Roman"/>
        </w:rPr>
        <w:t>The Threshold Requirement of a Change in Circumstances</w:t>
      </w:r>
      <w:bookmarkEnd w:id="132"/>
      <w:bookmarkEnd w:id="133"/>
      <w:bookmarkEnd w:id="134"/>
      <w:bookmarkEnd w:id="135"/>
      <w:bookmarkEnd w:id="136"/>
    </w:p>
    <w:p w14:paraId="6A845463"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Like any applicant seeking a retroactive variation under s. 17 of the </w:t>
      </w:r>
      <w:r w:rsidRPr="00767442">
        <w:rPr>
          <w:rFonts w:cs="Times New Roman"/>
          <w:i/>
        </w:rPr>
        <w:t>Divorce Act</w:t>
      </w:r>
      <w:r w:rsidRPr="00767442">
        <w:rPr>
          <w:rFonts w:cs="Times New Roman"/>
        </w:rPr>
        <w:t xml:space="preserve">, a payor seeking a downward retroactive change must first show a past change in circumstances, as required under s. 17(4). Section 14 of the </w:t>
      </w:r>
      <w:r w:rsidRPr="00767442">
        <w:rPr>
          <w:rFonts w:cs="Times New Roman"/>
          <w:i/>
        </w:rPr>
        <w:t>Guidelines</w:t>
      </w:r>
      <w:r w:rsidRPr="00767442">
        <w:rPr>
          <w:rFonts w:cs="Times New Roman"/>
        </w:rPr>
        <w:t xml:space="preserve"> lists situations constituting a change in circumstances for the purpose of s. 17(4) of the </w:t>
      </w:r>
      <w:r w:rsidRPr="00767442">
        <w:rPr>
          <w:rFonts w:cs="Times New Roman"/>
          <w:i/>
        </w:rPr>
        <w:t>Divorce Act</w:t>
      </w:r>
      <w:r w:rsidRPr="00767442">
        <w:rPr>
          <w:rFonts w:cs="Times New Roman"/>
        </w:rPr>
        <w:t xml:space="preserve">, including the coming into force of the </w:t>
      </w:r>
      <w:r w:rsidRPr="00767442">
        <w:rPr>
          <w:rFonts w:cs="Times New Roman"/>
          <w:i/>
        </w:rPr>
        <w:t xml:space="preserve">Guidelines </w:t>
      </w:r>
      <w:r w:rsidRPr="00767442">
        <w:rPr>
          <w:rFonts w:cs="Times New Roman"/>
        </w:rPr>
        <w:t>(s. 14(c)). A change in circumstances could also include a change that, if known at the time, would probably have resulted in different terms, such as a drop in income (</w:t>
      </w:r>
      <w:r w:rsidRPr="00767442">
        <w:rPr>
          <w:rFonts w:cs="Times New Roman"/>
          <w:i/>
        </w:rPr>
        <w:t>Guidelines</w:t>
      </w:r>
      <w:r w:rsidRPr="00767442">
        <w:rPr>
          <w:rFonts w:cs="Times New Roman"/>
        </w:rPr>
        <w:t>, s. 14(a);</w:t>
      </w:r>
      <w:r w:rsidRPr="00767442">
        <w:rPr>
          <w:rFonts w:cs="Times New Roman"/>
          <w:i/>
        </w:rPr>
        <w:t xml:space="preserve"> </w:t>
      </w:r>
      <w:r w:rsidRPr="00767442">
        <w:rPr>
          <w:rFonts w:cs="Times New Roman"/>
          <w:i/>
          <w:iCs/>
        </w:rPr>
        <w:t>Willick v. Willick</w:t>
      </w:r>
      <w:r w:rsidRPr="00767442">
        <w:rPr>
          <w:rFonts w:cs="Times New Roman"/>
        </w:rPr>
        <w:t xml:space="preserve">, [1994] 3 S.C.R. 670, at p. 688; </w:t>
      </w:r>
      <w:r w:rsidRPr="00767442">
        <w:rPr>
          <w:rFonts w:cs="Times New Roman"/>
          <w:i/>
        </w:rPr>
        <w:t>Gray</w:t>
      </w:r>
      <w:r w:rsidRPr="00767442">
        <w:rPr>
          <w:rFonts w:cs="Times New Roman"/>
        </w:rPr>
        <w:t>, at para. 39).</w:t>
      </w:r>
    </w:p>
    <w:p w14:paraId="71A643D6" w14:textId="77777777" w:rsidR="004E49A1" w:rsidRPr="00767442" w:rsidRDefault="004E49A1" w:rsidP="004E49A1">
      <w:pPr>
        <w:pStyle w:val="ParaNoNdepar-AltN"/>
        <w:tabs>
          <w:tab w:val="clear" w:pos="1152"/>
          <w:tab w:val="num" w:pos="1242"/>
        </w:tabs>
        <w:ind w:left="90"/>
        <w:rPr>
          <w:rFonts w:cs="Times New Roman"/>
        </w:rPr>
      </w:pPr>
      <w:r w:rsidRPr="00767442">
        <w:rPr>
          <w:rFonts w:cs="Times New Roman"/>
        </w:rPr>
        <w:t>The onus is on the party seeking a retroactive decrease to show a change in circumstances (</w:t>
      </w:r>
      <w:r w:rsidRPr="00767442">
        <w:rPr>
          <w:rFonts w:cs="Times New Roman"/>
          <w:i/>
        </w:rPr>
        <w:t>Punzo v. Punzo</w:t>
      </w:r>
      <w:r w:rsidRPr="00767442">
        <w:rPr>
          <w:rFonts w:cs="Times New Roman"/>
        </w:rPr>
        <w:t>, 2016 ONCA 957,</w:t>
      </w:r>
      <w:r w:rsidRPr="00767442">
        <w:rPr>
          <w:rFonts w:cs="Times New Roman"/>
          <w:i/>
        </w:rPr>
        <w:t xml:space="preserve"> </w:t>
      </w:r>
      <w:r w:rsidRPr="00767442">
        <w:rPr>
          <w:rFonts w:cs="Times New Roman"/>
        </w:rPr>
        <w:t xml:space="preserve">90 R.F.L. (7th) 304, at para. 26; </w:t>
      </w:r>
      <w:r w:rsidRPr="00767442">
        <w:rPr>
          <w:rFonts w:cs="Times New Roman"/>
          <w:i/>
        </w:rPr>
        <w:t>Templeton</w:t>
      </w:r>
      <w:r w:rsidRPr="00767442">
        <w:rPr>
          <w:rFonts w:cs="Times New Roman"/>
        </w:rPr>
        <w:t>, at para. 33). In some cases that may be relatively straightforward: for example, establishing that the children are no longer legally entitled to support because they are no longer children of the marriage.</w:t>
      </w:r>
    </w:p>
    <w:p w14:paraId="12855BD6" w14:textId="77777777" w:rsidR="004E49A1" w:rsidRPr="00767442" w:rsidRDefault="004E49A1" w:rsidP="004E49A1">
      <w:pPr>
        <w:pStyle w:val="ParaNoNdepar-AltN"/>
        <w:tabs>
          <w:tab w:val="clear" w:pos="1152"/>
          <w:tab w:val="num" w:pos="1242"/>
        </w:tabs>
        <w:ind w:left="90"/>
        <w:rPr>
          <w:rFonts w:cs="Times New Roman"/>
        </w:rPr>
      </w:pPr>
      <w:r w:rsidRPr="00767442">
        <w:rPr>
          <w:rFonts w:cs="Times New Roman"/>
        </w:rPr>
        <w:t>Most commonly, the retroactive variation claim will be based on a material change in income. To meet the threshold, a decrease in income must be significant and have some degree of continuity, and it must be real and not one of choice (</w:t>
      </w:r>
      <w:r w:rsidRPr="00767442">
        <w:rPr>
          <w:rFonts w:cs="Times New Roman"/>
          <w:i/>
        </w:rPr>
        <w:t>Willick</w:t>
      </w:r>
      <w:r w:rsidRPr="00767442">
        <w:rPr>
          <w:rFonts w:cs="Times New Roman"/>
        </w:rPr>
        <w:t xml:space="preserve">, at pp. 687-88; </w:t>
      </w:r>
      <w:r w:rsidRPr="00767442">
        <w:rPr>
          <w:rFonts w:cs="Times New Roman"/>
          <w:i/>
          <w:iCs/>
        </w:rPr>
        <w:t>Earle v. Earle</w:t>
      </w:r>
      <w:r w:rsidRPr="00767442">
        <w:rPr>
          <w:rFonts w:cs="Times New Roman"/>
          <w:iCs/>
        </w:rPr>
        <w:t xml:space="preserve">, </w:t>
      </w:r>
      <w:r w:rsidRPr="00767442">
        <w:rPr>
          <w:rFonts w:cs="Times New Roman"/>
        </w:rPr>
        <w:t xml:space="preserve">1999 CanLII 6914 (B.C.S.C.), at para. 27; </w:t>
      </w:r>
      <w:r w:rsidRPr="00767442">
        <w:rPr>
          <w:rFonts w:cs="Times New Roman"/>
          <w:i/>
        </w:rPr>
        <w:t>MacCarthy v. MacCarthy</w:t>
      </w:r>
      <w:r w:rsidRPr="00767442">
        <w:rPr>
          <w:rFonts w:cs="Times New Roman"/>
        </w:rPr>
        <w:t xml:space="preserve">, 2015 BCCA 496, 380 B.C.A.C. 102, at para. 58, citing </w:t>
      </w:r>
      <w:r w:rsidRPr="00767442">
        <w:rPr>
          <w:rFonts w:cs="Times New Roman"/>
          <w:i/>
        </w:rPr>
        <w:t>Earle</w:t>
      </w:r>
      <w:r w:rsidRPr="00767442">
        <w:rPr>
          <w:rFonts w:cs="Times New Roman"/>
        </w:rPr>
        <w:t xml:space="preserve">; </w:t>
      </w:r>
      <w:r w:rsidRPr="00767442">
        <w:rPr>
          <w:rFonts w:cs="Times New Roman"/>
          <w:i/>
        </w:rPr>
        <w:t>L.M.P. v. L.S.</w:t>
      </w:r>
      <w:r w:rsidRPr="00767442">
        <w:rPr>
          <w:rFonts w:cs="Times New Roman"/>
        </w:rPr>
        <w:t xml:space="preserve">, 2011 SCC 64, [2011] 3 S.C.R. 775, at para. 33; </w:t>
      </w:r>
      <w:r w:rsidRPr="00767442">
        <w:rPr>
          <w:rFonts w:cs="Times New Roman"/>
          <w:i/>
        </w:rPr>
        <w:t>Gray</w:t>
      </w:r>
      <w:r w:rsidRPr="00767442">
        <w:rPr>
          <w:rFonts w:cs="Times New Roman"/>
        </w:rPr>
        <w:t xml:space="preserve">, at para. 39; </w:t>
      </w:r>
      <w:r w:rsidRPr="00767442">
        <w:rPr>
          <w:rFonts w:cs="Times New Roman"/>
          <w:i/>
        </w:rPr>
        <w:t>Brown v. Brown</w:t>
      </w:r>
      <w:r w:rsidRPr="00767442">
        <w:rPr>
          <w:rFonts w:cs="Times New Roman"/>
        </w:rPr>
        <w:t>, 2010 NBCA 5, 353 N.B.R. (2d) 323 (“</w:t>
      </w:r>
      <w:r w:rsidRPr="00767442">
        <w:rPr>
          <w:rFonts w:cs="Times New Roman"/>
          <w:i/>
        </w:rPr>
        <w:t>Brown</w:t>
      </w:r>
      <w:r w:rsidRPr="00767442">
        <w:rPr>
          <w:rFonts w:cs="Times New Roman"/>
        </w:rPr>
        <w:t>”),</w:t>
      </w:r>
      <w:r w:rsidRPr="00767442">
        <w:rPr>
          <w:rFonts w:cs="Times New Roman"/>
          <w:i/>
        </w:rPr>
        <w:t xml:space="preserve"> </w:t>
      </w:r>
      <w:r w:rsidRPr="00767442">
        <w:rPr>
          <w:rFonts w:cs="Times New Roman"/>
        </w:rPr>
        <w:t xml:space="preserve">at para. 2; </w:t>
      </w:r>
      <w:r w:rsidRPr="00767442">
        <w:rPr>
          <w:rFonts w:cs="Times New Roman"/>
          <w:i/>
        </w:rPr>
        <w:t>Templeton</w:t>
      </w:r>
      <w:r w:rsidRPr="00767442">
        <w:rPr>
          <w:rFonts w:cs="Times New Roman"/>
        </w:rPr>
        <w:t>, at para. 35). Trivial or short-lived changes are insufficient to justify a variation (</w:t>
      </w:r>
      <w:r w:rsidRPr="00767442">
        <w:rPr>
          <w:rFonts w:cs="Times New Roman"/>
          <w:i/>
        </w:rPr>
        <w:t>Templeton</w:t>
      </w:r>
      <w:r w:rsidRPr="00767442">
        <w:rPr>
          <w:rFonts w:cs="Times New Roman"/>
        </w:rPr>
        <w:t>, at para. 35). In this way, the threshold inquiry preserves some sense of certainty and predictability for the parties and the child, while allowing some flexibility in response to changes in the payor’s income.</w:t>
      </w:r>
    </w:p>
    <w:p w14:paraId="2120D438" w14:textId="77777777" w:rsidR="004E49A1" w:rsidRPr="00767442" w:rsidRDefault="004E49A1" w:rsidP="004E49A1">
      <w:pPr>
        <w:pStyle w:val="ParaNoNdepar-AltN"/>
        <w:tabs>
          <w:tab w:val="clear" w:pos="1152"/>
          <w:tab w:val="num" w:pos="1242"/>
        </w:tabs>
        <w:ind w:left="90"/>
        <w:rPr>
          <w:rFonts w:cs="Times New Roman"/>
        </w:rPr>
      </w:pPr>
      <w:r w:rsidRPr="00767442">
        <w:rPr>
          <w:rFonts w:cs="Times New Roman"/>
        </w:rPr>
        <w:t>The payor must have disclosed sufficient reliable evidence for the court to determine when and how far their income fell, and to ascertain whether the change was significant, long lasting, and not one of choice. A decision to retroactively decrease support can only be made based on “reliable, accurate and complete information” (</w:t>
      </w:r>
      <w:r w:rsidRPr="00767442">
        <w:rPr>
          <w:rFonts w:cs="Times New Roman"/>
          <w:i/>
        </w:rPr>
        <w:t>Earle</w:t>
      </w:r>
      <w:r w:rsidRPr="00767442">
        <w:rPr>
          <w:rFonts w:cs="Times New Roman"/>
        </w:rPr>
        <w:t>, at para. 28). The payor cannot ask the court to make findings on income that are contrary to the recipient’s interests “while at the same time shielding information that is relevant to the determination of their income behind a protective wall” (</w:t>
      </w:r>
      <w:r w:rsidRPr="00767442">
        <w:rPr>
          <w:rFonts w:cs="Times New Roman"/>
          <w:i/>
        </w:rPr>
        <w:t>Templeton</w:t>
      </w:r>
      <w:r w:rsidRPr="00767442">
        <w:rPr>
          <w:rFonts w:cs="Times New Roman"/>
        </w:rPr>
        <w:t xml:space="preserve">, at para. 67; see also </w:t>
      </w:r>
      <w:r w:rsidRPr="00767442">
        <w:rPr>
          <w:rFonts w:cs="Times New Roman"/>
          <w:i/>
        </w:rPr>
        <w:t>Tougher v. Tougher</w:t>
      </w:r>
      <w:r w:rsidRPr="00767442">
        <w:rPr>
          <w:rFonts w:cs="Times New Roman"/>
        </w:rPr>
        <w:t>, 1999 ABQB 552, at paras. 14</w:t>
      </w:r>
      <w:r w:rsidRPr="00767442">
        <w:rPr>
          <w:rFonts w:cs="Times New Roman"/>
        </w:rPr>
        <w:noBreakHyphen/>
        <w:t xml:space="preserve">15 (CanLII); </w:t>
      </w:r>
      <w:r w:rsidRPr="00767442">
        <w:rPr>
          <w:rFonts w:cs="Times New Roman"/>
          <w:i/>
        </w:rPr>
        <w:t>Terry</w:t>
      </w:r>
      <w:r w:rsidRPr="00767442">
        <w:rPr>
          <w:rFonts w:cs="Times New Roman"/>
        </w:rPr>
        <w:t>, at para. 9).</w:t>
      </w:r>
    </w:p>
    <w:p w14:paraId="037A3A05" w14:textId="77777777" w:rsidR="004E49A1" w:rsidRPr="00767442" w:rsidRDefault="004E49A1" w:rsidP="004E49A1">
      <w:pPr>
        <w:pStyle w:val="ParaNoNdepar-AltN"/>
        <w:tabs>
          <w:tab w:val="clear" w:pos="1152"/>
          <w:tab w:val="left" w:pos="1166"/>
          <w:tab w:val="num" w:pos="1242"/>
        </w:tabs>
        <w:ind w:left="90"/>
        <w:rPr>
          <w:rFonts w:eastAsia="Times New Roman" w:cs="Times New Roman"/>
        </w:rPr>
      </w:pPr>
      <w:r w:rsidRPr="00767442">
        <w:rPr>
          <w:rFonts w:eastAsia="Times New Roman" w:cs="Times New Roman"/>
        </w:rPr>
        <w:t>Of course, a payor whose income was originally imputed because of an initial lack of disclosure cannot later claim that a change in circumstances occurs when he or she subsequently produces proper documentation showing the imputation was higher than the table amount for their actual income. The payor cannot rely on their own late disclosure as a change in circumstances to ground a variation order (</w:t>
      </w:r>
      <w:r w:rsidRPr="00767442">
        <w:rPr>
          <w:rFonts w:eastAsia="Times New Roman" w:cs="Times New Roman"/>
          <w:i/>
          <w:iCs/>
        </w:rPr>
        <w:t>Gray</w:t>
      </w:r>
      <w:r w:rsidRPr="00767442">
        <w:rPr>
          <w:rFonts w:eastAsia="Times New Roman" w:cs="Times New Roman"/>
          <w:iCs/>
        </w:rPr>
        <w:t>, at paras. 33-34</w:t>
      </w:r>
      <w:r w:rsidRPr="00767442">
        <w:rPr>
          <w:rFonts w:eastAsia="Times New Roman" w:cs="Times New Roman"/>
        </w:rPr>
        <w:t>). This would “defeat the purpose of imputing income in the first place” and act as “a disincentive for payors to participate in the initial court process” (</w:t>
      </w:r>
      <w:r w:rsidRPr="00767442">
        <w:rPr>
          <w:rFonts w:eastAsia="Times New Roman" w:cs="Times New Roman"/>
          <w:i/>
          <w:iCs/>
        </w:rPr>
        <w:t>Trang v. Trang</w:t>
      </w:r>
      <w:r w:rsidRPr="00767442">
        <w:rPr>
          <w:rFonts w:eastAsia="Times New Roman" w:cs="Times New Roman"/>
        </w:rPr>
        <w:t>, 2013 ONSC 1980, 29 R.F.L. (7th) 364, at para. 53).</w:t>
      </w:r>
    </w:p>
    <w:p w14:paraId="031084D9" w14:textId="77777777" w:rsidR="004E49A1" w:rsidRPr="00767442" w:rsidRDefault="004E49A1" w:rsidP="004E49A1">
      <w:pPr>
        <w:pStyle w:val="Title4LevelTitre4Niveau"/>
        <w:numPr>
          <w:ilvl w:val="3"/>
          <w:numId w:val="19"/>
        </w:numPr>
        <w:jc w:val="both"/>
        <w:rPr>
          <w:rFonts w:cs="Times New Roman"/>
        </w:rPr>
      </w:pPr>
      <w:bookmarkStart w:id="137" w:name="_Toc66736623"/>
      <w:bookmarkStart w:id="138" w:name="_Toc67070443"/>
      <w:bookmarkStart w:id="139" w:name="_Toc67332085"/>
      <w:bookmarkStart w:id="140" w:name="_Toc67347368"/>
      <w:bookmarkStart w:id="141" w:name="_Toc71624537"/>
      <w:bookmarkEnd w:id="131"/>
      <w:r w:rsidRPr="00767442">
        <w:rPr>
          <w:rFonts w:cs="Times New Roman"/>
        </w:rPr>
        <w:t>Reconciling Divergent Authorities on the Application of D.B.S.</w:t>
      </w:r>
      <w:bookmarkEnd w:id="137"/>
      <w:bookmarkEnd w:id="138"/>
      <w:bookmarkEnd w:id="139"/>
      <w:bookmarkEnd w:id="140"/>
      <w:bookmarkEnd w:id="141"/>
    </w:p>
    <w:p w14:paraId="2BC520B2" w14:textId="77777777" w:rsidR="004E49A1" w:rsidRPr="00767442" w:rsidRDefault="004E49A1" w:rsidP="004E49A1">
      <w:pPr>
        <w:pStyle w:val="ParaNoNdepar-AltN"/>
        <w:rPr>
          <w:rFonts w:eastAsia="Times New Roman" w:cs="Times New Roman"/>
        </w:rPr>
      </w:pPr>
      <w:r w:rsidRPr="00767442">
        <w:rPr>
          <w:rFonts w:eastAsia="Times New Roman" w:cs="Times New Roman"/>
          <w:lang w:val="en-US"/>
        </w:rPr>
        <w:t>Assuming the threshold of a change in circumstances is met, the parties disagree on two crucial questions: how to decide whether retroactive relief should be granted in the first place, and how far back a court should go when varying a previously ordered amount.</w:t>
      </w:r>
    </w:p>
    <w:p w14:paraId="4484186B" w14:textId="77777777" w:rsidR="004E49A1" w:rsidRPr="00767442" w:rsidRDefault="004E49A1" w:rsidP="004E49A1">
      <w:pPr>
        <w:pStyle w:val="ParaNoNdepar-AltN"/>
        <w:tabs>
          <w:tab w:val="clear" w:pos="1152"/>
          <w:tab w:val="left" w:pos="1166"/>
          <w:tab w:val="num" w:pos="1242"/>
        </w:tabs>
        <w:ind w:left="90"/>
        <w:rPr>
          <w:rFonts w:cs="Times New Roman"/>
        </w:rPr>
      </w:pPr>
      <w:r w:rsidRPr="00767442">
        <w:rPr>
          <w:rFonts w:eastAsia="Times New Roman" w:cs="Times New Roman"/>
          <w:lang w:val="en-US"/>
        </w:rPr>
        <w:t xml:space="preserve">To answer these questions, each party relies on one of </w:t>
      </w:r>
      <w:r w:rsidRPr="00767442">
        <w:rPr>
          <w:rFonts w:cs="Times New Roman"/>
        </w:rPr>
        <w:t>two divergent lines of authority in the post-</w:t>
      </w:r>
      <w:r w:rsidRPr="00767442">
        <w:rPr>
          <w:rFonts w:cs="Times New Roman"/>
          <w:i/>
        </w:rPr>
        <w:t>D.B.S.</w:t>
      </w:r>
      <w:r w:rsidRPr="00767442">
        <w:rPr>
          <w:rFonts w:cs="Times New Roman"/>
        </w:rPr>
        <w:t xml:space="preserve"> jurisprudence concerning retroactive decreases in child support. Mr. Colucci says the payor who satisfies the threshold is entitled to a retroactive decrease without any consideration of contextual factors. This reflects the approach taken in </w:t>
      </w:r>
      <w:r w:rsidRPr="00767442">
        <w:rPr>
          <w:rFonts w:cs="Times New Roman"/>
          <w:i/>
        </w:rPr>
        <w:t>Brown</w:t>
      </w:r>
      <w:r w:rsidRPr="00767442">
        <w:rPr>
          <w:rFonts w:cs="Times New Roman"/>
        </w:rPr>
        <w:t xml:space="preserve">. In </w:t>
      </w:r>
      <w:r w:rsidRPr="00767442">
        <w:rPr>
          <w:rFonts w:cs="Times New Roman"/>
          <w:i/>
        </w:rPr>
        <w:t>Brown</w:t>
      </w:r>
      <w:r w:rsidRPr="00767442">
        <w:rPr>
          <w:rFonts w:cs="Times New Roman"/>
        </w:rPr>
        <w:t>, the New Brunswick Court of Appeal</w:t>
      </w:r>
      <w:r w:rsidRPr="00767442">
        <w:rPr>
          <w:rFonts w:cs="Times New Roman"/>
          <w:i/>
        </w:rPr>
        <w:t xml:space="preserve"> </w:t>
      </w:r>
      <w:r w:rsidRPr="00767442">
        <w:rPr>
          <w:rFonts w:cs="Times New Roman"/>
        </w:rPr>
        <w:t xml:space="preserve">concluded that </w:t>
      </w:r>
      <w:r w:rsidRPr="00767442">
        <w:rPr>
          <w:rFonts w:cs="Times New Roman"/>
          <w:i/>
        </w:rPr>
        <w:t>D.B.S.</w:t>
      </w:r>
      <w:r w:rsidRPr="00767442">
        <w:rPr>
          <w:rFonts w:cs="Times New Roman"/>
        </w:rPr>
        <w:t xml:space="preserve"> does not apply to arrears at all, given Bastarache J.’s comments at paras. 1 and 98 of </w:t>
      </w:r>
      <w:r w:rsidRPr="00767442">
        <w:rPr>
          <w:rFonts w:cs="Times New Roman"/>
          <w:i/>
        </w:rPr>
        <w:t xml:space="preserve">D.B.S. </w:t>
      </w:r>
      <w:r w:rsidRPr="00767442">
        <w:rPr>
          <w:rFonts w:cs="Times New Roman"/>
        </w:rPr>
        <w:t xml:space="preserve">(discussed below). Under the </w:t>
      </w:r>
      <w:r w:rsidRPr="00767442">
        <w:rPr>
          <w:rFonts w:cs="Times New Roman"/>
          <w:i/>
        </w:rPr>
        <w:t>Brown</w:t>
      </w:r>
      <w:r w:rsidRPr="00767442">
        <w:rPr>
          <w:rFonts w:cs="Times New Roman"/>
        </w:rPr>
        <w:t xml:space="preserve"> test, the court considers only whether there has been a material change in circumstances since the original order was made and, if so, what the proper amount of child support should have been under the </w:t>
      </w:r>
      <w:r w:rsidRPr="00767442">
        <w:rPr>
          <w:rFonts w:cs="Times New Roman"/>
          <w:i/>
        </w:rPr>
        <w:t>Guidelines</w:t>
      </w:r>
      <w:r w:rsidRPr="00767442">
        <w:rPr>
          <w:rFonts w:cs="Times New Roman"/>
        </w:rPr>
        <w:t xml:space="preserve">. As such, the </w:t>
      </w:r>
      <w:r w:rsidRPr="00767442">
        <w:rPr>
          <w:rFonts w:cs="Times New Roman"/>
          <w:i/>
        </w:rPr>
        <w:t xml:space="preserve">Brown </w:t>
      </w:r>
      <w:r w:rsidRPr="00767442">
        <w:rPr>
          <w:rFonts w:cs="Times New Roman"/>
        </w:rPr>
        <w:t>test is a “no</w:t>
      </w:r>
      <w:r w:rsidRPr="00767442">
        <w:rPr>
          <w:rFonts w:cs="Times New Roman"/>
        </w:rPr>
        <w:noBreakHyphen/>
        <w:t>fault” test (</w:t>
      </w:r>
      <w:r w:rsidRPr="00767442">
        <w:rPr>
          <w:rFonts w:cs="Times New Roman"/>
          <w:i/>
        </w:rPr>
        <w:t>M.W. v. K.T.</w:t>
      </w:r>
      <w:r w:rsidRPr="00767442">
        <w:rPr>
          <w:rFonts w:cs="Times New Roman"/>
        </w:rPr>
        <w:t>, 2019 NLSC 14, 19 R.F.L. (8th) 51, at para. 43).</w:t>
      </w:r>
    </w:p>
    <w:p w14:paraId="1AA9A3DB" w14:textId="77777777" w:rsidR="004E49A1" w:rsidRPr="00767442" w:rsidRDefault="004E49A1" w:rsidP="004E49A1">
      <w:pPr>
        <w:pStyle w:val="ParaNoNdepar-AltN"/>
        <w:tabs>
          <w:tab w:val="clear" w:pos="1152"/>
          <w:tab w:val="left" w:pos="1166"/>
          <w:tab w:val="num" w:pos="1242"/>
        </w:tabs>
        <w:ind w:left="90"/>
        <w:rPr>
          <w:rFonts w:cs="Times New Roman"/>
        </w:rPr>
      </w:pPr>
      <w:r w:rsidRPr="00767442">
        <w:rPr>
          <w:rFonts w:eastAsia="Times New Roman" w:cs="Times New Roman"/>
          <w:lang w:val="en-US"/>
        </w:rPr>
        <w:t xml:space="preserve">Ms. Colucci relies on the </w:t>
      </w:r>
      <w:r w:rsidRPr="00767442">
        <w:rPr>
          <w:rFonts w:eastAsia="Times New Roman" w:cs="Times New Roman"/>
          <w:i/>
          <w:lang w:val="en-US"/>
        </w:rPr>
        <w:t>Corcios</w:t>
      </w:r>
      <w:r w:rsidRPr="00767442">
        <w:rPr>
          <w:rFonts w:eastAsia="Times New Roman" w:cs="Times New Roman"/>
          <w:lang w:val="en-US"/>
        </w:rPr>
        <w:t>/</w:t>
      </w:r>
      <w:r w:rsidRPr="00767442">
        <w:rPr>
          <w:rFonts w:eastAsia="Times New Roman" w:cs="Times New Roman"/>
          <w:i/>
          <w:lang w:val="en-US"/>
        </w:rPr>
        <w:t xml:space="preserve">Gray </w:t>
      </w:r>
      <w:r w:rsidRPr="00767442">
        <w:rPr>
          <w:rFonts w:eastAsia="Times New Roman" w:cs="Times New Roman"/>
          <w:lang w:val="en-US"/>
        </w:rPr>
        <w:t xml:space="preserve">line of authority, </w:t>
      </w:r>
      <w:r w:rsidRPr="00767442">
        <w:rPr>
          <w:rFonts w:cs="Times New Roman"/>
        </w:rPr>
        <w:t xml:space="preserve">in which the contextual </w:t>
      </w:r>
      <w:r w:rsidRPr="00767442">
        <w:rPr>
          <w:rFonts w:cs="Times New Roman"/>
          <w:i/>
        </w:rPr>
        <w:t xml:space="preserve">D.B.S. </w:t>
      </w:r>
      <w:r w:rsidRPr="00767442">
        <w:rPr>
          <w:rFonts w:cs="Times New Roman"/>
        </w:rPr>
        <w:t>factors have been adapted</w:t>
      </w:r>
      <w:r w:rsidRPr="00767442">
        <w:rPr>
          <w:rFonts w:cs="Times New Roman"/>
          <w:i/>
        </w:rPr>
        <w:t xml:space="preserve"> </w:t>
      </w:r>
      <w:r w:rsidRPr="00767442">
        <w:rPr>
          <w:rFonts w:cs="Times New Roman"/>
        </w:rPr>
        <w:t xml:space="preserve">to suit applications to retroactively decrease support. Under the </w:t>
      </w:r>
      <w:r w:rsidRPr="00767442">
        <w:rPr>
          <w:rFonts w:cs="Times New Roman"/>
          <w:i/>
        </w:rPr>
        <w:t>Corcios</w:t>
      </w:r>
      <w:r w:rsidRPr="00767442">
        <w:rPr>
          <w:rFonts w:cs="Times New Roman"/>
        </w:rPr>
        <w:t>/</w:t>
      </w:r>
      <w:r w:rsidRPr="00767442">
        <w:rPr>
          <w:rFonts w:cs="Times New Roman"/>
          <w:i/>
        </w:rPr>
        <w:t xml:space="preserve">Gray </w:t>
      </w:r>
      <w:r w:rsidRPr="00767442">
        <w:rPr>
          <w:rFonts w:cs="Times New Roman"/>
        </w:rPr>
        <w:t>framework, the court may consider these factors in deciding whether a retroactive decrease is appropriate, in setting the date of retroactivity, and sometimes in setting the amount to be paid (</w:t>
      </w:r>
      <w:r w:rsidRPr="00767442">
        <w:rPr>
          <w:rFonts w:cs="Times New Roman"/>
          <w:i/>
        </w:rPr>
        <w:t>Gray</w:t>
      </w:r>
      <w:r w:rsidRPr="00767442">
        <w:rPr>
          <w:rFonts w:cs="Times New Roman"/>
        </w:rPr>
        <w:t xml:space="preserve">, at para. 60; </w:t>
      </w:r>
      <w:r w:rsidRPr="00767442">
        <w:rPr>
          <w:rFonts w:cs="Times New Roman"/>
          <w:i/>
        </w:rPr>
        <w:t>Templeton</w:t>
      </w:r>
      <w:r w:rsidRPr="00767442">
        <w:rPr>
          <w:rFonts w:cs="Times New Roman"/>
        </w:rPr>
        <w:t xml:space="preserve">, at paras. 49-50). Mirroring </w:t>
      </w:r>
      <w:r w:rsidRPr="00767442">
        <w:rPr>
          <w:rFonts w:cs="Times New Roman"/>
          <w:i/>
        </w:rPr>
        <w:t>D.B.S.</w:t>
      </w:r>
      <w:r w:rsidRPr="00767442">
        <w:rPr>
          <w:rFonts w:cs="Times New Roman"/>
        </w:rPr>
        <w:t xml:space="preserve">, the </w:t>
      </w:r>
      <w:r w:rsidRPr="00767442">
        <w:rPr>
          <w:rFonts w:cs="Times New Roman"/>
          <w:i/>
        </w:rPr>
        <w:t>Corcios</w:t>
      </w:r>
      <w:r w:rsidRPr="00767442">
        <w:rPr>
          <w:rFonts w:cs="Times New Roman"/>
        </w:rPr>
        <w:t>/</w:t>
      </w:r>
      <w:r w:rsidRPr="00767442">
        <w:rPr>
          <w:rFonts w:cs="Times New Roman"/>
          <w:i/>
        </w:rPr>
        <w:t xml:space="preserve">Gray </w:t>
      </w:r>
      <w:r w:rsidRPr="00767442">
        <w:rPr>
          <w:rFonts w:cs="Times New Roman"/>
        </w:rPr>
        <w:t>approach establishes a general rule in favour of varying back to the date that the payor gave the recipient effective notice of their intention to seek a decrease based on changed circumstances, up to a presumptive maximum of three years before the date of formal notice (</w:t>
      </w:r>
      <w:r w:rsidRPr="00767442">
        <w:rPr>
          <w:rFonts w:cs="Times New Roman"/>
          <w:i/>
        </w:rPr>
        <w:t>Gray</w:t>
      </w:r>
      <w:r w:rsidRPr="00767442">
        <w:rPr>
          <w:rFonts w:cs="Times New Roman"/>
        </w:rPr>
        <w:t>, at para. 61).</w:t>
      </w:r>
      <w:r w:rsidRPr="00767442">
        <w:rPr>
          <w:rFonts w:cs="Times New Roman"/>
          <w:i/>
        </w:rPr>
        <w:t xml:space="preserve"> </w:t>
      </w:r>
      <w:r w:rsidRPr="00767442">
        <w:rPr>
          <w:rFonts w:cs="Times New Roman"/>
        </w:rPr>
        <w:t xml:space="preserve">The Court of Appeal followed the </w:t>
      </w:r>
      <w:r w:rsidRPr="00767442">
        <w:rPr>
          <w:rFonts w:cs="Times New Roman"/>
          <w:i/>
        </w:rPr>
        <w:t>Corcios</w:t>
      </w:r>
      <w:r w:rsidRPr="00767442">
        <w:rPr>
          <w:rFonts w:cs="Times New Roman"/>
        </w:rPr>
        <w:t>/</w:t>
      </w:r>
      <w:r w:rsidRPr="00767442">
        <w:rPr>
          <w:rFonts w:cs="Times New Roman"/>
          <w:i/>
        </w:rPr>
        <w:t xml:space="preserve">Gray </w:t>
      </w:r>
      <w:r w:rsidRPr="00767442">
        <w:rPr>
          <w:rFonts w:cs="Times New Roman"/>
        </w:rPr>
        <w:t>approach in the case at bar.</w:t>
      </w:r>
    </w:p>
    <w:p w14:paraId="78FFBA02" w14:textId="77777777" w:rsidR="004E49A1" w:rsidRPr="00767442" w:rsidRDefault="004E49A1" w:rsidP="004E49A1">
      <w:pPr>
        <w:pStyle w:val="ParaNoNdepar-AltN"/>
        <w:rPr>
          <w:rFonts w:eastAsia="Times New Roman" w:cs="Times New Roman"/>
        </w:rPr>
      </w:pPr>
      <w:r w:rsidRPr="00767442">
        <w:rPr>
          <w:rFonts w:eastAsia="Times New Roman" w:cs="Times New Roman"/>
        </w:rPr>
        <w:t xml:space="preserve">In my view, both lines of authority have something to offer. </w:t>
      </w:r>
      <w:r w:rsidRPr="00767442">
        <w:rPr>
          <w:rFonts w:eastAsia="Times New Roman" w:cs="Times New Roman"/>
          <w:i/>
        </w:rPr>
        <w:t>Brown</w:t>
      </w:r>
      <w:r w:rsidRPr="00767442">
        <w:rPr>
          <w:rFonts w:eastAsia="Times New Roman" w:cs="Times New Roman"/>
        </w:rPr>
        <w:t xml:space="preserve"> offers simplicity and predictability.</w:t>
      </w:r>
      <w:r w:rsidRPr="00767442">
        <w:rPr>
          <w:rFonts w:cs="Times New Roman"/>
        </w:rPr>
        <w:t xml:space="preserve"> However, it ignores the interest of the recipient and child in certainty and does nothing to encourage the payor to disclose changes in income to the recipient. Further, the </w:t>
      </w:r>
      <w:r w:rsidRPr="00767442">
        <w:rPr>
          <w:rFonts w:cs="Times New Roman"/>
          <w:i/>
        </w:rPr>
        <w:t xml:space="preserve">Brown </w:t>
      </w:r>
      <w:r w:rsidRPr="00767442">
        <w:rPr>
          <w:rFonts w:cs="Times New Roman"/>
        </w:rPr>
        <w:t xml:space="preserve">framework is inconsistent with the discretionary language of s. 17 of the </w:t>
      </w:r>
      <w:r w:rsidRPr="00767442">
        <w:rPr>
          <w:rFonts w:cs="Times New Roman"/>
          <w:i/>
        </w:rPr>
        <w:t>Divorce Act</w:t>
      </w:r>
      <w:r w:rsidRPr="00767442">
        <w:rPr>
          <w:rFonts w:cs="Times New Roman"/>
        </w:rPr>
        <w:t xml:space="preserve">, which provides that the court “may” retroactively vary a support order. On the </w:t>
      </w:r>
      <w:r w:rsidRPr="00767442">
        <w:rPr>
          <w:rFonts w:cs="Times New Roman"/>
          <w:i/>
        </w:rPr>
        <w:t xml:space="preserve">Brown </w:t>
      </w:r>
      <w:r w:rsidRPr="00767442">
        <w:rPr>
          <w:rFonts w:cs="Times New Roman"/>
        </w:rPr>
        <w:t xml:space="preserve">approach, the court </w:t>
      </w:r>
      <w:r w:rsidRPr="00767442">
        <w:rPr>
          <w:rFonts w:cs="Times New Roman"/>
          <w:i/>
        </w:rPr>
        <w:t xml:space="preserve">must </w:t>
      </w:r>
      <w:r w:rsidRPr="00767442">
        <w:rPr>
          <w:rFonts w:cs="Times New Roman"/>
        </w:rPr>
        <w:t xml:space="preserve">vary the order once the payor has established a change in circumstances, and </w:t>
      </w:r>
      <w:r w:rsidRPr="00767442">
        <w:rPr>
          <w:rFonts w:cs="Times New Roman"/>
          <w:i/>
        </w:rPr>
        <w:t>must</w:t>
      </w:r>
      <w:r w:rsidRPr="00767442">
        <w:rPr>
          <w:rFonts w:cs="Times New Roman"/>
        </w:rPr>
        <w:t xml:space="preserve"> vary back to the date of the change. The </w:t>
      </w:r>
      <w:r w:rsidRPr="00767442">
        <w:rPr>
          <w:rFonts w:cs="Times New Roman"/>
          <w:i/>
        </w:rPr>
        <w:t xml:space="preserve">Brown </w:t>
      </w:r>
      <w:r w:rsidRPr="00767442">
        <w:rPr>
          <w:rFonts w:cs="Times New Roman"/>
        </w:rPr>
        <w:t xml:space="preserve">framework also makes it much easier for a payor parent to obtain a retroactive decrease than it is for a recipient to obtain a retroactive increase, a shortcoming that is even more unfair when considered in light of the recipient’s informational disadvantage. This undermines the objective in s. 1 of the </w:t>
      </w:r>
      <w:r w:rsidRPr="00767442">
        <w:rPr>
          <w:rFonts w:cs="Times New Roman"/>
          <w:i/>
        </w:rPr>
        <w:t xml:space="preserve">Guidelines </w:t>
      </w:r>
      <w:r w:rsidRPr="00767442">
        <w:rPr>
          <w:rFonts w:cs="Times New Roman"/>
        </w:rPr>
        <w:t xml:space="preserve">of ensuring consistent treatment of spouses in similar circumstances. These are serious limitations which stand in the way of a fair resolution on the facts of each case. </w:t>
      </w:r>
    </w:p>
    <w:p w14:paraId="058FDA70" w14:textId="77777777" w:rsidR="004E49A1" w:rsidRPr="00767442" w:rsidRDefault="004E49A1" w:rsidP="004E49A1">
      <w:pPr>
        <w:pStyle w:val="ParaNoNdepar-AltN"/>
        <w:tabs>
          <w:tab w:val="clear" w:pos="1152"/>
          <w:tab w:val="left" w:pos="1166"/>
          <w:tab w:val="num" w:pos="1242"/>
        </w:tabs>
        <w:ind w:left="90"/>
        <w:rPr>
          <w:rFonts w:eastAsia="Times New Roman" w:cs="Times New Roman"/>
          <w:lang w:val="x-none"/>
        </w:rPr>
      </w:pPr>
      <w:r w:rsidRPr="00767442">
        <w:rPr>
          <w:rFonts w:cs="Times New Roman"/>
        </w:rPr>
        <w:t xml:space="preserve">The </w:t>
      </w:r>
      <w:r w:rsidRPr="00767442">
        <w:rPr>
          <w:rFonts w:cs="Times New Roman"/>
          <w:i/>
        </w:rPr>
        <w:t>Corcios</w:t>
      </w:r>
      <w:r w:rsidRPr="00767442">
        <w:rPr>
          <w:rFonts w:cs="Times New Roman"/>
        </w:rPr>
        <w:t>/</w:t>
      </w:r>
      <w:r w:rsidRPr="00767442">
        <w:rPr>
          <w:rFonts w:cs="Times New Roman"/>
          <w:i/>
        </w:rPr>
        <w:t>Gray</w:t>
      </w:r>
      <w:r w:rsidRPr="00767442">
        <w:rPr>
          <w:rFonts w:cs="Times New Roman"/>
        </w:rPr>
        <w:t xml:space="preserve"> framework mitigates these limitations by adapting </w:t>
      </w:r>
      <w:r w:rsidRPr="00767442">
        <w:rPr>
          <w:rFonts w:cs="Times New Roman"/>
          <w:i/>
        </w:rPr>
        <w:t xml:space="preserve">D.B.S. </w:t>
      </w:r>
      <w:r w:rsidRPr="00767442">
        <w:rPr>
          <w:rFonts w:cs="Times New Roman"/>
        </w:rPr>
        <w:t xml:space="preserve">to the decrease context, in terms of both focusing on the date of effective notice as the default date of retroactivity and leaving room to shift the date of retroactivity based on contextual factors. The problem, however, is that </w:t>
      </w:r>
      <w:r w:rsidRPr="00767442">
        <w:rPr>
          <w:rFonts w:cs="Times New Roman"/>
          <w:i/>
        </w:rPr>
        <w:t xml:space="preserve">Gray </w:t>
      </w:r>
      <w:r w:rsidRPr="00767442">
        <w:rPr>
          <w:rFonts w:cs="Times New Roman"/>
        </w:rPr>
        <w:t>directs the court to consider multiple factors over three different questions (whether a retroactive order is appropriate, how far back it should extend, and what the quantum should be) (</w:t>
      </w:r>
      <w:r w:rsidRPr="00767442">
        <w:rPr>
          <w:rFonts w:cs="Times New Roman"/>
          <w:i/>
        </w:rPr>
        <w:t>Gray</w:t>
      </w:r>
      <w:r w:rsidRPr="00767442">
        <w:rPr>
          <w:rFonts w:cs="Times New Roman"/>
        </w:rPr>
        <w:t>,</w:t>
      </w:r>
      <w:r w:rsidRPr="00767442">
        <w:rPr>
          <w:rFonts w:cs="Times New Roman"/>
          <w:i/>
        </w:rPr>
        <w:t xml:space="preserve"> </w:t>
      </w:r>
      <w:r w:rsidRPr="00767442">
        <w:rPr>
          <w:rFonts w:cs="Times New Roman"/>
        </w:rPr>
        <w:t xml:space="preserve">at para. 60). The result is often confusion and undue complexity: the questions are mingled, the factors become muddled and the layering of discretion over multiple steps of the analysis means that </w:t>
      </w:r>
      <w:r w:rsidRPr="00767442">
        <w:rPr>
          <w:rFonts w:eastAsia="Times New Roman" w:cs="Times New Roman"/>
        </w:rPr>
        <w:t xml:space="preserve">predictability and transparency are sacrificed. </w:t>
      </w:r>
      <w:r w:rsidRPr="00767442">
        <w:rPr>
          <w:rFonts w:cs="Times New Roman"/>
        </w:rPr>
        <w:t>This complexity makes the framework less useful for family law litigants who are increasingly self-represented (</w:t>
      </w:r>
      <w:r w:rsidRPr="00767442">
        <w:rPr>
          <w:rFonts w:cs="Times New Roman"/>
          <w:i/>
        </w:rPr>
        <w:t>Morwald-Benevides v. Benevides</w:t>
      </w:r>
      <w:r w:rsidRPr="00767442">
        <w:rPr>
          <w:rFonts w:cs="Times New Roman"/>
        </w:rPr>
        <w:t>, 2019 ONCA 1023, 148 O.R. (3d) 305, at para. 19).</w:t>
      </w:r>
    </w:p>
    <w:p w14:paraId="7ABBA9F7" w14:textId="77777777" w:rsidR="004E49A1" w:rsidRPr="00767442" w:rsidRDefault="004E49A1" w:rsidP="004E49A1">
      <w:pPr>
        <w:pStyle w:val="ParaNoNdepar-AltN"/>
        <w:tabs>
          <w:tab w:val="clear" w:pos="1152"/>
          <w:tab w:val="left" w:pos="1166"/>
          <w:tab w:val="num" w:pos="1242"/>
        </w:tabs>
        <w:ind w:left="90"/>
        <w:rPr>
          <w:rFonts w:eastAsia="Times New Roman" w:cs="Times New Roman"/>
          <w:lang w:val="x-none"/>
        </w:rPr>
      </w:pPr>
      <w:r w:rsidRPr="00767442">
        <w:rPr>
          <w:rFonts w:cs="Times New Roman"/>
        </w:rPr>
        <w:t>A framework that involves the application of multi-factoral discretion at multiple steps of the analysis is also less useful as an anchor for negotiations and settlement of child support matters. There is a</w:t>
      </w:r>
      <w:r w:rsidRPr="00767442">
        <w:rPr>
          <w:rFonts w:cs="Times New Roman"/>
          <w:i/>
        </w:rPr>
        <w:t xml:space="preserve"> </w:t>
      </w:r>
      <w:r w:rsidRPr="00767442">
        <w:rPr>
          <w:rFonts w:cs="Times New Roman"/>
        </w:rPr>
        <w:t xml:space="preserve">trend in family law away from an adversarial culture of litigation to a culture of negotiation (see, e.g., D. Martinson and M. Jackson, “Family Violence and Evolving Judicial Roles: Judges as Equality Guardians in Family Law Cases” (2017), 30 </w:t>
      </w:r>
      <w:r w:rsidRPr="00767442">
        <w:rPr>
          <w:rFonts w:cs="Times New Roman"/>
          <w:i/>
        </w:rPr>
        <w:t>Can. J. Fam. L.</w:t>
      </w:r>
      <w:r w:rsidRPr="00767442">
        <w:rPr>
          <w:rFonts w:cs="Times New Roman"/>
        </w:rPr>
        <w:t xml:space="preserve"> 11, at p. 22; D. M. Sowter, “Advocacy in Non-Adversarial Family Law: A Recommendation for Revision to the Model Code” (2018), 35 </w:t>
      </w:r>
      <w:r w:rsidRPr="00767442">
        <w:rPr>
          <w:rFonts w:cs="Times New Roman"/>
          <w:i/>
        </w:rPr>
        <w:t>Windsor Y.B. Access Just.</w:t>
      </w:r>
      <w:r w:rsidRPr="00767442">
        <w:rPr>
          <w:rFonts w:cs="Times New Roman"/>
        </w:rPr>
        <w:t xml:space="preserve"> </w:t>
      </w:r>
      <w:r w:rsidRPr="00767442">
        <w:rPr>
          <w:rFonts w:cs="Times New Roman"/>
          <w:lang w:val="en-US"/>
        </w:rPr>
        <w:t xml:space="preserve">401, at p. 402; P. J. Dalphond and A. Nag, “Enfin une réforme de la </w:t>
      </w:r>
      <w:r w:rsidRPr="00767442">
        <w:rPr>
          <w:rFonts w:cs="Times New Roman"/>
          <w:i/>
          <w:lang w:val="en-US"/>
        </w:rPr>
        <w:t>Loi sur le divorce</w:t>
      </w:r>
      <w:r w:rsidRPr="00767442">
        <w:rPr>
          <w:rFonts w:cs="Times New Roman"/>
          <w:lang w:val="en-US"/>
        </w:rPr>
        <w:t xml:space="preserve">” (2019), 78 </w:t>
      </w:r>
      <w:r w:rsidRPr="00767442">
        <w:rPr>
          <w:rFonts w:cs="Times New Roman"/>
          <w:i/>
          <w:lang w:val="en-US"/>
        </w:rPr>
        <w:t>R. du B.</w:t>
      </w:r>
      <w:r w:rsidRPr="00767442">
        <w:rPr>
          <w:rFonts w:cs="Times New Roman"/>
          <w:lang w:val="en-US"/>
        </w:rPr>
        <w:t xml:space="preserve"> 255, at pp. 312 et seq.). </w:t>
      </w:r>
      <w:r w:rsidRPr="00767442">
        <w:rPr>
          <w:rFonts w:cs="Times New Roman"/>
        </w:rPr>
        <w:t xml:space="preserve">Not only is encouraging settlement one of the objectives of the </w:t>
      </w:r>
      <w:r w:rsidRPr="00767442">
        <w:rPr>
          <w:rFonts w:cs="Times New Roman"/>
          <w:i/>
        </w:rPr>
        <w:t>Guidelines</w:t>
      </w:r>
      <w:r w:rsidRPr="00767442">
        <w:rPr>
          <w:rFonts w:cs="Times New Roman"/>
        </w:rPr>
        <w:t>, but recent</w:t>
      </w:r>
      <w:r w:rsidRPr="00767442">
        <w:rPr>
          <w:rFonts w:cs="Times New Roman"/>
          <w:i/>
        </w:rPr>
        <w:t xml:space="preserve"> </w:t>
      </w:r>
      <w:r w:rsidRPr="00767442">
        <w:rPr>
          <w:rFonts w:cs="Times New Roman"/>
        </w:rPr>
        <w:t xml:space="preserve">amendments to the </w:t>
      </w:r>
      <w:r w:rsidRPr="00767442">
        <w:rPr>
          <w:rFonts w:cs="Times New Roman"/>
          <w:i/>
        </w:rPr>
        <w:t xml:space="preserve">Divorce Act </w:t>
      </w:r>
      <w:r w:rsidRPr="00767442">
        <w:rPr>
          <w:rFonts w:cs="Times New Roman"/>
        </w:rPr>
        <w:t>reflect this shift by requiring parties, where appropriate, to try to resolve family law disputes through family dispute resolution processes (s. 7.3). Parents should be encouraged — absent family violence or significant power imbalances — to resolve their disputes themselves outside the court structure and legal rules should be clear and accessible so they may reach fair agreements. Reaching a negotiated settlement not only saves resources but also reduces the need for future court applications by setting up a less acrimonious relationship between the parties (N. Bala, “Reforming Family Dispute Resolution in Ontario: Systemic Changes and Cultural Shifts”, in M. Trebilcock, A. Duggan and L. Sossin, eds., </w:t>
      </w:r>
      <w:r w:rsidRPr="00767442">
        <w:rPr>
          <w:rFonts w:cs="Times New Roman"/>
          <w:i/>
          <w:iCs/>
        </w:rPr>
        <w:t>Middle Income Access to Justice</w:t>
      </w:r>
      <w:r w:rsidRPr="00767442">
        <w:rPr>
          <w:rFonts w:cs="Times New Roman"/>
        </w:rPr>
        <w:t> (2012), 271, at pp. 286-87). </w:t>
      </w:r>
    </w:p>
    <w:p w14:paraId="0C745A2D" w14:textId="77777777" w:rsidR="004E49A1" w:rsidRPr="00767442" w:rsidRDefault="004E49A1" w:rsidP="004E49A1">
      <w:pPr>
        <w:pStyle w:val="ParaNoNdepar-AltN"/>
        <w:tabs>
          <w:tab w:val="clear" w:pos="1152"/>
          <w:tab w:val="left" w:pos="1166"/>
          <w:tab w:val="num" w:pos="1242"/>
        </w:tabs>
        <w:ind w:left="90"/>
        <w:rPr>
          <w:rFonts w:eastAsia="Times New Roman" w:cs="Times New Roman"/>
          <w:lang w:val="x-none"/>
        </w:rPr>
      </w:pPr>
      <w:r w:rsidRPr="00767442">
        <w:rPr>
          <w:rFonts w:cs="Times New Roman"/>
        </w:rPr>
        <w:t xml:space="preserve">To support a culture of negotiation, the framework under s. 17 of the </w:t>
      </w:r>
      <w:r w:rsidRPr="00767442">
        <w:rPr>
          <w:rFonts w:cs="Times New Roman"/>
          <w:i/>
        </w:rPr>
        <w:t xml:space="preserve">Divorce Act </w:t>
      </w:r>
      <w:r w:rsidRPr="00767442">
        <w:rPr>
          <w:rFonts w:cs="Times New Roman"/>
        </w:rPr>
        <w:t>must provide parties with a foundation for their efforts to resolve the matter themselves. A framework that promotes timely disclosure and structures judicial discretion through clear and simple presumptions will provide a solid starting point for negotiation between the parties.</w:t>
      </w:r>
    </w:p>
    <w:p w14:paraId="66B4241F" w14:textId="77777777" w:rsidR="004E49A1" w:rsidRPr="00767442" w:rsidRDefault="004E49A1" w:rsidP="004E49A1">
      <w:pPr>
        <w:pStyle w:val="ParaNoNdepar-AltN"/>
        <w:tabs>
          <w:tab w:val="clear" w:pos="1152"/>
          <w:tab w:val="left" w:pos="1166"/>
          <w:tab w:val="num" w:pos="1242"/>
        </w:tabs>
        <w:ind w:left="90"/>
        <w:rPr>
          <w:rFonts w:eastAsia="Times New Roman" w:cs="Times New Roman"/>
        </w:rPr>
      </w:pPr>
      <w:r w:rsidRPr="00767442">
        <w:rPr>
          <w:rFonts w:eastAsia="Times New Roman" w:cs="Times New Roman"/>
          <w:lang w:val="en-US"/>
        </w:rPr>
        <w:t>There</w:t>
      </w:r>
      <w:r w:rsidRPr="00767442">
        <w:rPr>
          <w:rFonts w:eastAsia="Times New Roman" w:cs="Times New Roman"/>
        </w:rPr>
        <w:t xml:space="preserve"> is thus merit in a simplified framework which takes the benefits of </w:t>
      </w:r>
      <w:r w:rsidRPr="00767442">
        <w:rPr>
          <w:rFonts w:eastAsia="Times New Roman" w:cs="Times New Roman"/>
          <w:i/>
        </w:rPr>
        <w:t xml:space="preserve">Brown </w:t>
      </w:r>
      <w:r w:rsidRPr="00767442">
        <w:rPr>
          <w:rFonts w:eastAsia="Times New Roman" w:cs="Times New Roman"/>
        </w:rPr>
        <w:t xml:space="preserve">and </w:t>
      </w:r>
      <w:r w:rsidRPr="00767442">
        <w:rPr>
          <w:rFonts w:eastAsia="Times New Roman" w:cs="Times New Roman"/>
          <w:i/>
        </w:rPr>
        <w:t>Corcios</w:t>
      </w:r>
      <w:r w:rsidRPr="00767442">
        <w:rPr>
          <w:rFonts w:eastAsia="Times New Roman" w:cs="Times New Roman"/>
        </w:rPr>
        <w:t>/</w:t>
      </w:r>
      <w:r w:rsidRPr="00767442">
        <w:rPr>
          <w:rFonts w:eastAsia="Times New Roman" w:cs="Times New Roman"/>
          <w:i/>
        </w:rPr>
        <w:t xml:space="preserve">Gray </w:t>
      </w:r>
      <w:r w:rsidRPr="00767442">
        <w:rPr>
          <w:rFonts w:eastAsia="Times New Roman" w:cs="Times New Roman"/>
        </w:rPr>
        <w:t xml:space="preserve">but removes their drawbacks. </w:t>
      </w:r>
      <w:r w:rsidRPr="00767442">
        <w:rPr>
          <w:rFonts w:cs="Times New Roman"/>
        </w:rPr>
        <w:t xml:space="preserve">To advance clarity, simplicity and predictability, the analysis should be focused on a single presumption regarding the date of retroactivity. Once the applicant establishes a change in circumstances, a presumption is triggered that support will be varied back to a certain date (i.e., effective notice, up to three years before formal notice). The </w:t>
      </w:r>
      <w:r w:rsidRPr="00767442">
        <w:rPr>
          <w:rFonts w:cs="Times New Roman"/>
          <w:i/>
        </w:rPr>
        <w:t xml:space="preserve">D.B.S. </w:t>
      </w:r>
      <w:r w:rsidRPr="00767442">
        <w:rPr>
          <w:rFonts w:cs="Times New Roman"/>
        </w:rPr>
        <w:t xml:space="preserve">factors are then concentrated on one question: should the court depart from the presumptive date of retroactivity to achieve a fair result? It is on this question only that the factors of delay, payor conduct, the child’s circumstances and potential hardship are brought to bear. </w:t>
      </w:r>
    </w:p>
    <w:p w14:paraId="27DAA6CF" w14:textId="77777777" w:rsidR="004E49A1" w:rsidRPr="00767442" w:rsidRDefault="004E49A1" w:rsidP="004E49A1">
      <w:pPr>
        <w:pStyle w:val="ParaNoNdepar-AltN"/>
        <w:tabs>
          <w:tab w:val="clear" w:pos="1152"/>
          <w:tab w:val="num" w:pos="1242"/>
        </w:tabs>
        <w:ind w:left="90"/>
        <w:rPr>
          <w:rFonts w:cs="Times New Roman"/>
        </w:rPr>
      </w:pPr>
      <w:r w:rsidRPr="00767442">
        <w:rPr>
          <w:rFonts w:cs="Times New Roman"/>
        </w:rPr>
        <w:t>It is therefore no longer necessary to first ask whether retroactive relief is warranted as a general proposition, with contextual</w:t>
      </w:r>
      <w:r w:rsidRPr="00767442">
        <w:rPr>
          <w:rFonts w:cs="Times New Roman"/>
          <w:i/>
        </w:rPr>
        <w:t xml:space="preserve"> </w:t>
      </w:r>
      <w:r w:rsidRPr="00767442">
        <w:rPr>
          <w:rFonts w:cs="Times New Roman"/>
        </w:rPr>
        <w:t xml:space="preserve">factors guiding both this preliminary inquiry and the question of how far back retroactive relief should go. Already in the jurisprudence, this preliminary question has often been blurred with the question of the timing of any retroactive order, casting doubt on the utility of inquiring first into the general appropriateness of retroactive relief. For example, even though the analytical framework in </w:t>
      </w:r>
      <w:r w:rsidRPr="00767442">
        <w:rPr>
          <w:rFonts w:cs="Times New Roman"/>
          <w:i/>
        </w:rPr>
        <w:t>Corcios</w:t>
      </w:r>
      <w:r w:rsidRPr="00767442">
        <w:rPr>
          <w:rFonts w:cs="Times New Roman"/>
        </w:rPr>
        <w:t xml:space="preserve"> called for a separate step of asking whether retroactive relief is appropriate in the first place, the court did not separate out this preliminary question from the inquiry into how far back retroactive relief should extend. Moving directly to a presumptive date simplifies</w:t>
      </w:r>
      <w:r w:rsidRPr="00767442">
        <w:rPr>
          <w:rFonts w:cs="Times New Roman"/>
          <w:i/>
        </w:rPr>
        <w:t xml:space="preserve"> </w:t>
      </w:r>
      <w:r w:rsidRPr="00767442">
        <w:rPr>
          <w:rFonts w:cs="Times New Roman"/>
        </w:rPr>
        <w:t xml:space="preserve">the analysis and enhances fairness and predictability for the parties. </w:t>
      </w:r>
    </w:p>
    <w:p w14:paraId="0A3E1C1C" w14:textId="77777777" w:rsidR="004E49A1" w:rsidRPr="00767442" w:rsidRDefault="004E49A1" w:rsidP="004E49A1">
      <w:pPr>
        <w:pStyle w:val="ParaNoNdepar-AltN"/>
        <w:tabs>
          <w:tab w:val="clear" w:pos="1152"/>
          <w:tab w:val="left" w:pos="1166"/>
        </w:tabs>
        <w:rPr>
          <w:rFonts w:eastAsia="Times New Roman" w:cs="Times New Roman"/>
        </w:rPr>
      </w:pPr>
      <w:r w:rsidRPr="00767442">
        <w:rPr>
          <w:rFonts w:cs="Times New Roman"/>
        </w:rPr>
        <w:t xml:space="preserve">To ensure consistency and even-handedness, this same presumption-based approach should be applied in all retroactive variation contexts, including where the recipient applies under s. 17 for a retroactive increase. It would not be fair if payors claiming a decrease benefit from a presumption that is unavailable to recipients claiming an increase, especially when applications to retroactively reduce support will often be countered by an application for a retroactive increase in the same proceeding, or vice versa. A recipient is thus no longer required to demonstrate as a preliminary matter that a retroactive award is appropriate based on the </w:t>
      </w:r>
      <w:r w:rsidRPr="00767442">
        <w:rPr>
          <w:rFonts w:cs="Times New Roman"/>
          <w:i/>
        </w:rPr>
        <w:t xml:space="preserve">D.B.S. </w:t>
      </w:r>
      <w:r w:rsidRPr="00767442">
        <w:rPr>
          <w:rFonts w:cs="Times New Roman"/>
        </w:rPr>
        <w:t xml:space="preserve">factors. Once an increase in the payor’s income has been shown, the only question is how far back retroactive support should extend. No injustice arises if the inquiry into the general appropriateness of retroactive child support is omitted, as </w:t>
      </w:r>
      <w:r w:rsidRPr="00767442">
        <w:rPr>
          <w:rFonts w:eastAsia="Times New Roman" w:cs="Times New Roman"/>
        </w:rPr>
        <w:t xml:space="preserve">any fears that payors will be taken by surprise by </w:t>
      </w:r>
      <w:r w:rsidRPr="00767442">
        <w:rPr>
          <w:rFonts w:eastAsia="Times New Roman" w:cs="Times New Roman"/>
          <w:i/>
        </w:rPr>
        <w:t xml:space="preserve">ex post </w:t>
      </w:r>
      <w:r w:rsidRPr="00767442">
        <w:rPr>
          <w:rFonts w:eastAsia="Times New Roman" w:cs="Times New Roman"/>
        </w:rPr>
        <w:t>changes are fully answered by the express reference to retroactive variations in the wording of s. 17, the way the</w:t>
      </w:r>
      <w:r w:rsidRPr="00767442">
        <w:rPr>
          <w:rFonts w:eastAsia="Times New Roman" w:cs="Times New Roman"/>
          <w:i/>
        </w:rPr>
        <w:t xml:space="preserve"> Guidelines</w:t>
      </w:r>
      <w:r w:rsidRPr="00767442">
        <w:rPr>
          <w:rFonts w:eastAsia="Times New Roman" w:cs="Times New Roman"/>
        </w:rPr>
        <w:t xml:space="preserve"> work, and the fact that the Court’s reasons in </w:t>
      </w:r>
      <w:r w:rsidRPr="00767442">
        <w:rPr>
          <w:rFonts w:eastAsia="Times New Roman" w:cs="Times New Roman"/>
          <w:i/>
        </w:rPr>
        <w:t>D.B.S.</w:t>
      </w:r>
      <w:r w:rsidRPr="00767442">
        <w:rPr>
          <w:rFonts w:eastAsia="Times New Roman" w:cs="Times New Roman"/>
        </w:rPr>
        <w:t xml:space="preserve"> were given over </w:t>
      </w:r>
      <w:r>
        <w:rPr>
          <w:rFonts w:eastAsia="Times New Roman" w:cs="Times New Roman"/>
        </w:rPr>
        <w:t>15 </w:t>
      </w:r>
      <w:r w:rsidRPr="00767442">
        <w:rPr>
          <w:rFonts w:eastAsia="Times New Roman" w:cs="Times New Roman"/>
        </w:rPr>
        <w:t xml:space="preserve">years ago. </w:t>
      </w:r>
    </w:p>
    <w:p w14:paraId="0BC90789" w14:textId="77777777" w:rsidR="004E49A1" w:rsidRPr="00767442" w:rsidRDefault="004E49A1" w:rsidP="004E49A1">
      <w:pPr>
        <w:pStyle w:val="ParaNoNdepar-AltN"/>
        <w:tabs>
          <w:tab w:val="clear" w:pos="1152"/>
          <w:tab w:val="left" w:pos="1166"/>
        </w:tabs>
        <w:rPr>
          <w:rFonts w:eastAsia="Times New Roman" w:cs="Times New Roman"/>
        </w:rPr>
      </w:pPr>
      <w:r w:rsidRPr="00767442">
        <w:rPr>
          <w:rFonts w:eastAsia="Times New Roman" w:cs="Times New Roman"/>
        </w:rPr>
        <w:t>Thus, w</w:t>
      </w:r>
      <w:r w:rsidRPr="00767442">
        <w:rPr>
          <w:rFonts w:cs="Times New Roman"/>
        </w:rPr>
        <w:t xml:space="preserve">here a past material change in the payor’s income is established, the amount set out in the child support order no longer reflects the content of the payor’s legal obligation to pay support in line with the table amounts. The only question is what remedy flows from this legal fact. In the decrease context, the presumption of varying back to the date of effective notice, up to three years before formal notice, assists the court in answering this question. </w:t>
      </w:r>
      <w:r w:rsidRPr="00767442">
        <w:rPr>
          <w:rFonts w:eastAsia="Times New Roman" w:cs="Times New Roman"/>
        </w:rPr>
        <w:t xml:space="preserve">It will still be true under this approach that not all applications will lead to retroactive </w:t>
      </w:r>
      <w:r>
        <w:rPr>
          <w:rFonts w:eastAsia="Times New Roman" w:cs="Times New Roman"/>
        </w:rPr>
        <w:t>variation</w:t>
      </w:r>
      <w:r w:rsidRPr="00767442">
        <w:rPr>
          <w:rFonts w:eastAsia="Times New Roman" w:cs="Times New Roman"/>
        </w:rPr>
        <w:t xml:space="preserve">, but the </w:t>
      </w:r>
      <w:r w:rsidRPr="00767442">
        <w:rPr>
          <w:rFonts w:cs="Times New Roman"/>
        </w:rPr>
        <w:t>focus</w:t>
      </w:r>
      <w:r w:rsidRPr="00767442">
        <w:rPr>
          <w:rFonts w:eastAsia="Times New Roman" w:cs="Times New Roman"/>
        </w:rPr>
        <w:t xml:space="preserve"> will be on whether a material change in circumstances has been proven and the date to which a retroactive </w:t>
      </w:r>
      <w:r>
        <w:rPr>
          <w:rFonts w:eastAsia="Times New Roman" w:cs="Times New Roman"/>
        </w:rPr>
        <w:t>variation</w:t>
      </w:r>
      <w:r w:rsidRPr="00767442">
        <w:rPr>
          <w:rFonts w:eastAsia="Times New Roman" w:cs="Times New Roman"/>
        </w:rPr>
        <w:t xml:space="preserve"> should extend.</w:t>
      </w:r>
    </w:p>
    <w:p w14:paraId="3A32D070" w14:textId="77777777" w:rsidR="004E49A1" w:rsidRPr="00767442" w:rsidRDefault="004E49A1" w:rsidP="004E49A1">
      <w:pPr>
        <w:pStyle w:val="ParaNoNdepar-AltN"/>
        <w:tabs>
          <w:tab w:val="clear" w:pos="1152"/>
          <w:tab w:val="num" w:pos="1242"/>
        </w:tabs>
        <w:ind w:left="90"/>
        <w:rPr>
          <w:rFonts w:cs="Times New Roman"/>
        </w:rPr>
      </w:pPr>
      <w:r w:rsidRPr="00767442">
        <w:rPr>
          <w:rFonts w:cs="Times New Roman"/>
        </w:rPr>
        <w:t xml:space="preserve">This means I reject Mr. Colucci’s argument, based on </w:t>
      </w:r>
      <w:r w:rsidRPr="00767442">
        <w:rPr>
          <w:rFonts w:cs="Times New Roman"/>
          <w:i/>
        </w:rPr>
        <w:t>Brown</w:t>
      </w:r>
      <w:r w:rsidRPr="00767442">
        <w:rPr>
          <w:rFonts w:cs="Times New Roman"/>
        </w:rPr>
        <w:t xml:space="preserve">, that the </w:t>
      </w:r>
      <w:r w:rsidRPr="00767442">
        <w:rPr>
          <w:rFonts w:cs="Times New Roman"/>
          <w:i/>
        </w:rPr>
        <w:t>D.B.S.</w:t>
      </w:r>
      <w:r w:rsidRPr="00767442">
        <w:rPr>
          <w:rFonts w:cs="Times New Roman"/>
        </w:rPr>
        <w:t xml:space="preserve"> factors have no role in retroactive decrease applications. He submits that para. 98 of </w:t>
      </w:r>
      <w:r w:rsidRPr="00767442">
        <w:rPr>
          <w:rFonts w:cs="Times New Roman"/>
          <w:i/>
        </w:rPr>
        <w:t>D.B.S.</w:t>
      </w:r>
      <w:r w:rsidRPr="00767442">
        <w:rPr>
          <w:rFonts w:cs="Times New Roman"/>
        </w:rPr>
        <w:t xml:space="preserve"> is binding authority establishing that the </w:t>
      </w:r>
      <w:r w:rsidRPr="00767442">
        <w:rPr>
          <w:rFonts w:cs="Times New Roman"/>
          <w:i/>
        </w:rPr>
        <w:t xml:space="preserve">D.B.S. </w:t>
      </w:r>
      <w:r w:rsidRPr="00767442">
        <w:rPr>
          <w:rFonts w:cs="Times New Roman"/>
        </w:rPr>
        <w:t xml:space="preserve">factors do not apply to arrears. At para. 98, Bastarache J. wrote: </w:t>
      </w:r>
    </w:p>
    <w:p w14:paraId="4A731EF8" w14:textId="77777777" w:rsidR="004E49A1" w:rsidRPr="00767442" w:rsidRDefault="004E49A1" w:rsidP="004E49A1">
      <w:pPr>
        <w:pStyle w:val="Citation-AltC"/>
      </w:pPr>
      <w:r w:rsidRPr="00767442">
        <w:t xml:space="preserve">. . . </w:t>
      </w:r>
      <w:proofErr w:type="gramStart"/>
      <w:r w:rsidRPr="00767442">
        <w:t>these</w:t>
      </w:r>
      <w:proofErr w:type="gramEnd"/>
      <w:r w:rsidRPr="00767442">
        <w:t xml:space="preserve"> factors are not meant to apply to circumstances where arrears have accumulated. In such situations, the payor parent cannot argue that the amounts claimed disrupt his/her interest in certainty and predictability; to the contrary, in the case of arrears, certainty and predictability militate in the opposite direction. There is no analogy that can be made to the present cases. </w:t>
      </w:r>
    </w:p>
    <w:p w14:paraId="3D77F878" w14:textId="77777777" w:rsidR="004E49A1" w:rsidRPr="00767442" w:rsidRDefault="004E49A1" w:rsidP="004E49A1">
      <w:pPr>
        <w:pStyle w:val="ParaNoNdepar-AltN"/>
        <w:tabs>
          <w:tab w:val="clear" w:pos="1152"/>
          <w:tab w:val="left" w:pos="1166"/>
          <w:tab w:val="num" w:pos="1242"/>
        </w:tabs>
        <w:rPr>
          <w:rFonts w:cs="Times New Roman"/>
          <w:i/>
        </w:rPr>
      </w:pPr>
      <w:r w:rsidRPr="00767442">
        <w:rPr>
          <w:rFonts w:cs="Times New Roman"/>
        </w:rPr>
        <w:t xml:space="preserve">In my view, this passage does not support the proposition that the </w:t>
      </w:r>
      <w:r w:rsidRPr="00767442">
        <w:rPr>
          <w:rFonts w:cs="Times New Roman"/>
          <w:i/>
        </w:rPr>
        <w:t xml:space="preserve">D.B.S. </w:t>
      </w:r>
      <w:r w:rsidRPr="00767442">
        <w:rPr>
          <w:rFonts w:cs="Times New Roman"/>
        </w:rPr>
        <w:t>factors are wholly irrelevant where the payor seeks a retroactive decrease based on a change in circumstances.</w:t>
      </w:r>
      <w:r w:rsidRPr="00767442">
        <w:rPr>
          <w:rFonts w:cs="Times New Roman"/>
          <w:b/>
        </w:rPr>
        <w:t xml:space="preserve"> </w:t>
      </w:r>
      <w:r w:rsidRPr="00767442">
        <w:rPr>
          <w:rFonts w:cs="Times New Roman"/>
        </w:rPr>
        <w:t>Rather, Bastarache J. was pointing out that the balance between certainty and flexibility is very different as between the increase and decrease categories of cases. Those interests will pull in different directions depending on whether the recipient or the payor seeks to retroactively vary support. This is a point that bears further elucidation, as it will be relevant to the way effective notice is defined in the increase and decrease contexts.</w:t>
      </w:r>
    </w:p>
    <w:p w14:paraId="3E83EE68"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On an application for a retroactive increase, the recipient seeks the flexibility of a retroactive award to capture the payor’s increased income and secure payment of child support in the correct amount. It is the payor who has some interest in the certainty and predictability supplied by an existing court order or agreement (</w:t>
      </w:r>
      <w:r w:rsidRPr="00767442">
        <w:rPr>
          <w:rFonts w:cs="Times New Roman"/>
          <w:i/>
        </w:rPr>
        <w:t>D.B.S.</w:t>
      </w:r>
      <w:r w:rsidRPr="00767442">
        <w:rPr>
          <w:rFonts w:cs="Times New Roman"/>
        </w:rPr>
        <w:t>,</w:t>
      </w:r>
      <w:r w:rsidRPr="00767442">
        <w:rPr>
          <w:rFonts w:cs="Times New Roman"/>
          <w:i/>
        </w:rPr>
        <w:t xml:space="preserve"> </w:t>
      </w:r>
      <w:r w:rsidRPr="00767442">
        <w:rPr>
          <w:rFonts w:cs="Times New Roman"/>
        </w:rPr>
        <w:t xml:space="preserve">at para. 63). However, this certainty interest is heavily qualified by the </w:t>
      </w:r>
      <w:r w:rsidRPr="00767442">
        <w:rPr>
          <w:rFonts w:cs="Times New Roman"/>
          <w:i/>
        </w:rPr>
        <w:t>Guidelines</w:t>
      </w:r>
      <w:r w:rsidRPr="00767442">
        <w:rPr>
          <w:rFonts w:cs="Times New Roman"/>
        </w:rPr>
        <w:t xml:space="preserve">-era principle that more income means more support. The payor cannot reasonably expect their child support obligations to remain static in the face of material increases in income. Given the structure of the </w:t>
      </w:r>
      <w:r w:rsidRPr="00767442">
        <w:rPr>
          <w:rFonts w:cs="Times New Roman"/>
          <w:i/>
        </w:rPr>
        <w:t>Guidelines</w:t>
      </w:r>
      <w:r w:rsidRPr="00767442">
        <w:rPr>
          <w:rFonts w:cs="Times New Roman"/>
        </w:rPr>
        <w:t>, the only real “certainty” in the face of fluctuating income is that the payor is responsible for paying the table amount based on actual income. Further, a payor who has fallen into arrears cannot resist a retroactive increase based on their interest in certainty, as the payor cannot claim they relied on the order in arranging their affairs (</w:t>
      </w:r>
      <w:r w:rsidRPr="00767442">
        <w:rPr>
          <w:rFonts w:cs="Times New Roman"/>
          <w:i/>
        </w:rPr>
        <w:t>Gray</w:t>
      </w:r>
      <w:r w:rsidRPr="00767442">
        <w:rPr>
          <w:rFonts w:cs="Times New Roman"/>
        </w:rPr>
        <w:t xml:space="preserve">, at para. 51; </w:t>
      </w:r>
      <w:r w:rsidRPr="00767442">
        <w:rPr>
          <w:rFonts w:cs="Times New Roman"/>
          <w:i/>
        </w:rPr>
        <w:t>MacEachern v. Bell</w:t>
      </w:r>
      <w:r w:rsidRPr="00767442">
        <w:rPr>
          <w:rFonts w:cs="Times New Roman"/>
        </w:rPr>
        <w:t xml:space="preserve">, 2019 ONSC 4720, 33 R.F.L. (8th) 68, at para. 89). </w:t>
      </w:r>
    </w:p>
    <w:p w14:paraId="665DEB50"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Conversely, in a claim for a retroactive decrease, as indicated in </w:t>
      </w:r>
      <w:r w:rsidRPr="00767442">
        <w:rPr>
          <w:rFonts w:cs="Times New Roman"/>
          <w:i/>
        </w:rPr>
        <w:t>D.B.S.</w:t>
      </w:r>
      <w:r w:rsidRPr="00767442">
        <w:rPr>
          <w:rFonts w:cs="Times New Roman"/>
        </w:rPr>
        <w:t>,</w:t>
      </w:r>
      <w:r w:rsidRPr="00767442">
        <w:rPr>
          <w:rFonts w:cs="Times New Roman"/>
          <w:i/>
        </w:rPr>
        <w:t xml:space="preserve"> </w:t>
      </w:r>
      <w:r w:rsidRPr="00767442">
        <w:rPr>
          <w:rFonts w:cs="Times New Roman"/>
        </w:rPr>
        <w:t xml:space="preserve">at para. 98, the interest in certainty lies with the recipient parent and child, while the interest in flexibility lies with the payor parent. Under the </w:t>
      </w:r>
      <w:r w:rsidRPr="00767442">
        <w:rPr>
          <w:rFonts w:cs="Times New Roman"/>
          <w:i/>
        </w:rPr>
        <w:t>Guidelines</w:t>
      </w:r>
      <w:r w:rsidRPr="00767442">
        <w:rPr>
          <w:rFonts w:cs="Times New Roman"/>
        </w:rPr>
        <w:t xml:space="preserve">, the payor is only responsible for child support commensurate with income, but a retroactive reduction in support means a disruption to the certainty enjoyed by the child and the recipient. </w:t>
      </w:r>
      <w:r w:rsidRPr="00767442">
        <w:rPr>
          <w:rFonts w:eastAsia="Times New Roman" w:cs="Times New Roman"/>
        </w:rPr>
        <w:t xml:space="preserve">The recipient is entitled to expect that the existing order will be complied with unless they are in receipt of reasonable proof that a relevant change in the payor’s circumstances has occurred. </w:t>
      </w:r>
      <w:r w:rsidRPr="00767442">
        <w:rPr>
          <w:rFonts w:cs="Times New Roman"/>
        </w:rPr>
        <w:t xml:space="preserve">Again, the payor </w:t>
      </w:r>
      <w:r w:rsidRPr="00767442">
        <w:rPr>
          <w:rFonts w:eastAsia="Times New Roman" w:cs="Times New Roman"/>
        </w:rPr>
        <w:t>holds the relevant information</w:t>
      </w:r>
      <w:r w:rsidRPr="00767442">
        <w:rPr>
          <w:rFonts w:cs="Times New Roman"/>
        </w:rPr>
        <w:t xml:space="preserve"> and knows when there has been a decrease in income</w:t>
      </w:r>
      <w:r w:rsidRPr="00767442">
        <w:rPr>
          <w:rFonts w:eastAsia="Times New Roman" w:cs="Times New Roman"/>
        </w:rPr>
        <w:t>. It is in the payor’s own best interest to use this knowledge to notify the recipient of the change in circumstances and take steps to formally vary a child support order.</w:t>
      </w:r>
    </w:p>
    <w:p w14:paraId="3C194C9B" w14:textId="77777777" w:rsidR="004E49A1" w:rsidRPr="00767442" w:rsidRDefault="004E49A1" w:rsidP="004E49A1">
      <w:pPr>
        <w:pStyle w:val="ParaNoNdepar-AltN"/>
        <w:rPr>
          <w:rFonts w:eastAsia="Times New Roman" w:cs="Times New Roman"/>
        </w:rPr>
      </w:pPr>
      <w:r w:rsidRPr="00767442">
        <w:rPr>
          <w:rFonts w:cs="Times New Roman"/>
        </w:rPr>
        <w:t xml:space="preserve">In my view, the role of para. 98 of </w:t>
      </w:r>
      <w:r w:rsidRPr="00767442">
        <w:rPr>
          <w:rFonts w:cs="Times New Roman"/>
          <w:i/>
        </w:rPr>
        <w:t xml:space="preserve">D.B.S. </w:t>
      </w:r>
      <w:r w:rsidRPr="00767442">
        <w:rPr>
          <w:rFonts w:cs="Times New Roman"/>
        </w:rPr>
        <w:t xml:space="preserve">is to capture these salient differences which demand a distinct balancing of interests in retroactive decrease and increase cases. Paragraph 98 does not preclude this Court from employing the four </w:t>
      </w:r>
      <w:r w:rsidRPr="00767442">
        <w:rPr>
          <w:rFonts w:cs="Times New Roman"/>
          <w:i/>
        </w:rPr>
        <w:t>D.B.S.</w:t>
      </w:r>
      <w:r w:rsidRPr="00767442">
        <w:rPr>
          <w:rFonts w:cs="Times New Roman"/>
        </w:rPr>
        <w:t xml:space="preserve"> factors, with necessary modification, as part of a unified framework to govern increase and decrease variation applications under s. 17. Indeed, there is good reason to do so, as t</w:t>
      </w:r>
      <w:r w:rsidRPr="00767442">
        <w:rPr>
          <w:rFonts w:eastAsia="Times New Roman" w:cs="Times New Roman"/>
        </w:rPr>
        <w:t xml:space="preserve">he </w:t>
      </w:r>
      <w:r w:rsidRPr="00767442">
        <w:rPr>
          <w:rFonts w:eastAsia="Times New Roman" w:cs="Times New Roman"/>
          <w:i/>
        </w:rPr>
        <w:t>D.B.S.</w:t>
      </w:r>
      <w:r w:rsidRPr="00767442">
        <w:rPr>
          <w:rFonts w:eastAsia="Times New Roman" w:cs="Times New Roman"/>
        </w:rPr>
        <w:t xml:space="preserve"> factors will assist the court in weighing the equities and reaching a fair balancing of certainty, flexibility and the child’s right to support based on income. </w:t>
      </w:r>
    </w:p>
    <w:p w14:paraId="319CA968" w14:textId="77777777" w:rsidR="004E49A1" w:rsidRPr="00767442" w:rsidRDefault="004E49A1" w:rsidP="004E49A1">
      <w:pPr>
        <w:pStyle w:val="Title4LevelTitre4Niveau"/>
        <w:numPr>
          <w:ilvl w:val="3"/>
          <w:numId w:val="19"/>
        </w:numPr>
        <w:jc w:val="both"/>
        <w:rPr>
          <w:rFonts w:cs="Times New Roman"/>
        </w:rPr>
      </w:pPr>
      <w:bookmarkStart w:id="142" w:name="_Toc64104272"/>
      <w:bookmarkStart w:id="143" w:name="_Toc64122509"/>
      <w:bookmarkStart w:id="144" w:name="_Toc64367712"/>
      <w:bookmarkStart w:id="145" w:name="_Toc66736625"/>
      <w:bookmarkStart w:id="146" w:name="_Toc67070444"/>
      <w:bookmarkStart w:id="147" w:name="_Toc67332086"/>
      <w:bookmarkStart w:id="148" w:name="_Toc67347369"/>
      <w:bookmarkStart w:id="149" w:name="_Toc71624538"/>
      <w:r w:rsidRPr="00767442">
        <w:rPr>
          <w:rFonts w:cs="Times New Roman"/>
        </w:rPr>
        <w:t>The Presumptive Date of Retroactivity</w:t>
      </w:r>
      <w:bookmarkEnd w:id="142"/>
      <w:bookmarkEnd w:id="143"/>
      <w:bookmarkEnd w:id="144"/>
      <w:bookmarkEnd w:id="145"/>
      <w:bookmarkEnd w:id="146"/>
      <w:bookmarkEnd w:id="147"/>
      <w:bookmarkEnd w:id="148"/>
      <w:bookmarkEnd w:id="149"/>
    </w:p>
    <w:p w14:paraId="621BBF1D" w14:textId="77777777" w:rsidR="004E49A1" w:rsidRPr="00767442" w:rsidRDefault="004E49A1" w:rsidP="004E49A1">
      <w:pPr>
        <w:pStyle w:val="ParaNoNdepar-AltN"/>
        <w:tabs>
          <w:tab w:val="clear" w:pos="1152"/>
          <w:tab w:val="left" w:pos="1166"/>
          <w:tab w:val="num" w:pos="1242"/>
        </w:tabs>
        <w:ind w:left="90"/>
        <w:rPr>
          <w:rFonts w:cs="Times New Roman"/>
        </w:rPr>
      </w:pPr>
      <w:r w:rsidRPr="00767442">
        <w:rPr>
          <w:rFonts w:cs="Times New Roman"/>
        </w:rPr>
        <w:t xml:space="preserve">Even before the </w:t>
      </w:r>
      <w:r w:rsidRPr="00767442">
        <w:rPr>
          <w:rFonts w:cs="Times New Roman"/>
          <w:i/>
        </w:rPr>
        <w:t xml:space="preserve">D.B.S. </w:t>
      </w:r>
      <w:r w:rsidRPr="00767442">
        <w:rPr>
          <w:rFonts w:cs="Times New Roman"/>
        </w:rPr>
        <w:t xml:space="preserve">factors come into play, the choice of the presumptive date of retroactivity itself aims to reach a preliminary balancing of these competing interests. Although the general preference for effective notice as the presumptive date in increase cases may need to be revisited for the reasons previously stated, for retroactive decreases, this presumptive date properly reflects the recipient’s informational disadvantage and represents a fair balancing of certainty and flexibility. As such, once the payor establishes a change in circumstances, a presumption arises in favour of varying support to the date of effective notice, up to three years before formal notice. </w:t>
      </w:r>
    </w:p>
    <w:p w14:paraId="5D7FAE8C" w14:textId="77777777" w:rsidR="004E49A1" w:rsidRDefault="004E49A1" w:rsidP="004E49A1">
      <w:pPr>
        <w:pStyle w:val="ParaNoNdepar-AltN"/>
        <w:tabs>
          <w:tab w:val="clear" w:pos="1152"/>
          <w:tab w:val="left" w:pos="1166"/>
          <w:tab w:val="num" w:pos="1242"/>
        </w:tabs>
        <w:ind w:left="90"/>
        <w:rPr>
          <w:rFonts w:cs="Times New Roman"/>
        </w:rPr>
      </w:pPr>
      <w:r w:rsidRPr="00767442">
        <w:rPr>
          <w:rFonts w:cs="Times New Roman"/>
        </w:rPr>
        <w:t>In this section, I outline why this presumption strikes the right balance between relevant interests; what is meant by “effective notice” in decrease cases; the role of the three-year rule; and the appropriate date of retroactivity where the payor has not given effective notice.</w:t>
      </w:r>
    </w:p>
    <w:p w14:paraId="06582A19" w14:textId="77777777" w:rsidR="004E49A1" w:rsidRPr="00767442" w:rsidRDefault="004E49A1" w:rsidP="004E49A1">
      <w:pPr>
        <w:pStyle w:val="Title5LevelTitre5Niveau"/>
        <w:numPr>
          <w:ilvl w:val="4"/>
          <w:numId w:val="19"/>
        </w:numPr>
        <w:ind w:left="1152"/>
        <w:jc w:val="both"/>
        <w:rPr>
          <w:rFonts w:cs="Times New Roman"/>
        </w:rPr>
      </w:pPr>
      <w:bookmarkStart w:id="150" w:name="_Toc67332087"/>
      <w:bookmarkStart w:id="151" w:name="_Toc67347370"/>
      <w:bookmarkStart w:id="152" w:name="_Toc71624539"/>
      <w:r w:rsidRPr="00767442">
        <w:rPr>
          <w:rFonts w:cs="Times New Roman"/>
        </w:rPr>
        <w:t>The Rationale for Effective Notice as the Presumptive Date of Retroactivity in Decrease Cases</w:t>
      </w:r>
      <w:bookmarkEnd w:id="150"/>
      <w:bookmarkEnd w:id="151"/>
      <w:bookmarkEnd w:id="152"/>
    </w:p>
    <w:p w14:paraId="7F53B082" w14:textId="77777777" w:rsidR="004E49A1" w:rsidRPr="00767442" w:rsidRDefault="004E49A1" w:rsidP="004E49A1">
      <w:pPr>
        <w:pStyle w:val="ParaNoNdepar-AltN"/>
        <w:tabs>
          <w:tab w:val="clear" w:pos="1152"/>
          <w:tab w:val="left" w:pos="1166"/>
          <w:tab w:val="num" w:pos="1242"/>
        </w:tabs>
        <w:ind w:left="90"/>
        <w:rPr>
          <w:rFonts w:cs="Times New Roman"/>
          <w:shd w:val="clear" w:color="auto" w:fill="FFFFFF"/>
        </w:rPr>
      </w:pPr>
      <w:r w:rsidRPr="00767442">
        <w:rPr>
          <w:rFonts w:cs="Times New Roman"/>
        </w:rPr>
        <w:t xml:space="preserve">The presumption in decrease cases that support will be reduced back to the date of effective notice strikes a fair balance between the certainty interest of the child and recipient and the payor’s interest in flexibility. While recipients should be aware that support in the </w:t>
      </w:r>
      <w:r w:rsidRPr="00767442">
        <w:rPr>
          <w:rFonts w:cs="Times New Roman"/>
          <w:i/>
        </w:rPr>
        <w:t xml:space="preserve">Guidelines </w:t>
      </w:r>
      <w:r w:rsidRPr="00767442">
        <w:rPr>
          <w:rFonts w:cs="Times New Roman"/>
        </w:rPr>
        <w:t>era varies with payor income, they are at an informational disadvantage. The recipient is entitled to rely on the court order or agreement in the absence of proper communication and disclosure by the payor showing a decrease in income that is lasting and genuine (</w:t>
      </w:r>
      <w:r w:rsidRPr="00767442">
        <w:rPr>
          <w:rFonts w:eastAsia="Times New Roman" w:cs="Times New Roman"/>
          <w:i/>
        </w:rPr>
        <w:t>H.G.S. v. J.R.M.</w:t>
      </w:r>
      <w:r w:rsidRPr="00767442">
        <w:rPr>
          <w:rFonts w:eastAsia="Times New Roman" w:cs="Times New Roman"/>
        </w:rPr>
        <w:t>, 2018 ABQB 892, 16 R.F.L. (8th) 404, at para. 87)</w:t>
      </w:r>
      <w:r w:rsidRPr="00767442">
        <w:rPr>
          <w:rFonts w:cs="Times New Roman"/>
        </w:rPr>
        <w:t>. As the Court of Appeal stated in this case, “the support amount provided for in the prior order or agreement will have formed a part of the recipient parent’s budget and the support recipient often will have undertaken financial obligations premised on the continuation of the support set out in the order” (para. 26).</w:t>
      </w:r>
    </w:p>
    <w:p w14:paraId="48A76A9B" w14:textId="77777777" w:rsidR="004E49A1" w:rsidRPr="00767442" w:rsidRDefault="004E49A1" w:rsidP="004E49A1">
      <w:pPr>
        <w:pStyle w:val="ParaNoNdepar-AltN"/>
        <w:tabs>
          <w:tab w:val="clear" w:pos="1152"/>
          <w:tab w:val="left" w:pos="1166"/>
        </w:tabs>
        <w:rPr>
          <w:rFonts w:cs="Times New Roman"/>
        </w:rPr>
      </w:pPr>
      <w:r w:rsidRPr="00767442">
        <w:rPr>
          <w:rFonts w:eastAsia="Times New Roman" w:cs="Times New Roman"/>
        </w:rPr>
        <w:t xml:space="preserve">A retroactive decrease will mean less funds, a possible set-off and even a repayment from the recipient to the payor. </w:t>
      </w:r>
      <w:r w:rsidRPr="00767442">
        <w:rPr>
          <w:rFonts w:cs="Times New Roman"/>
        </w:rPr>
        <w:t>This in turn implicates and intensifies the certainty interest of the child and the recipient who have relied on the prior court order.</w:t>
      </w:r>
      <w:r w:rsidRPr="00767442">
        <w:rPr>
          <w:rFonts w:eastAsia="Times New Roman" w:cs="Times New Roman"/>
        </w:rPr>
        <w:t xml:space="preserve"> </w:t>
      </w:r>
      <w:r w:rsidRPr="00767442">
        <w:rPr>
          <w:rFonts w:cs="Times New Roman"/>
        </w:rPr>
        <w:t>It will generally be more difficult to adjust to the receipt of lesser, rather than greater amounts of support, increasing the likelihood and severity of hardship. Those with lower incomes will have less ability to absorb negative financial events.</w:t>
      </w:r>
    </w:p>
    <w:p w14:paraId="59B18E0E" w14:textId="77777777" w:rsidR="004E49A1" w:rsidRPr="00767442" w:rsidRDefault="004E49A1" w:rsidP="004E49A1">
      <w:pPr>
        <w:pStyle w:val="ParaNoNdepar-AltN"/>
        <w:tabs>
          <w:tab w:val="clear" w:pos="1152"/>
          <w:tab w:val="left" w:pos="1166"/>
        </w:tabs>
        <w:rPr>
          <w:rFonts w:cs="Times New Roman"/>
          <w:shd w:val="clear" w:color="auto" w:fill="FFFFFF"/>
        </w:rPr>
      </w:pPr>
      <w:r w:rsidRPr="00767442">
        <w:rPr>
          <w:rFonts w:cs="Times New Roman"/>
        </w:rPr>
        <w:t xml:space="preserve">The best interests of the child lie in predictability and stability of household finances. The </w:t>
      </w:r>
      <w:r w:rsidRPr="00767442">
        <w:rPr>
          <w:rFonts w:cs="Times New Roman"/>
          <w:i/>
        </w:rPr>
        <w:t xml:space="preserve">Guidelines </w:t>
      </w:r>
      <w:r w:rsidRPr="00767442">
        <w:rPr>
          <w:rFonts w:cs="Times New Roman"/>
        </w:rPr>
        <w:t>contemplate that a drop in payor income may lead to a drop in the child’s standard of living, just as it would if the parents were still together. However, payors must promptly communicate such changes to the recipient, just as they would if the parents had not separated, and move to have the terms of the order or agreement changed to restore certainty to child support arrangements between the parties.</w:t>
      </w:r>
      <w:r w:rsidRPr="00767442">
        <w:rPr>
          <w:rFonts w:cs="Times New Roman"/>
          <w:shd w:val="clear" w:color="auto" w:fill="FFFFFF"/>
        </w:rPr>
        <w:t xml:space="preserve"> </w:t>
      </w:r>
      <w:r w:rsidRPr="00767442">
        <w:rPr>
          <w:rFonts w:cs="Times New Roman"/>
        </w:rPr>
        <w:t>This ensures that the child is impacted as little as possible by the parents’ separation and continues to benefit from predictable and regular support from the payor parent. A drop in support can be presumed to have detrimental impacts on the child, but ongoing communication and disclosure cushions those impacts and preserves the child’s best interests to the fullest extent possible. For these reasons, in the absence of effective notice of a drop in payor income, certainty and predictability for the child are to be prioritized over the payor’s interest in flexibility.</w:t>
      </w:r>
    </w:p>
    <w:p w14:paraId="0BA38F72" w14:textId="77777777" w:rsidR="004E49A1" w:rsidRPr="00767442" w:rsidRDefault="004E49A1" w:rsidP="004E49A1">
      <w:pPr>
        <w:pStyle w:val="ParaNoNdepar-AltN"/>
        <w:tabs>
          <w:tab w:val="clear" w:pos="1152"/>
          <w:tab w:val="left" w:pos="1166"/>
        </w:tabs>
        <w:rPr>
          <w:rFonts w:cs="Times New Roman"/>
          <w:shd w:val="clear" w:color="auto" w:fill="FFFFFF"/>
        </w:rPr>
      </w:pPr>
      <w:r w:rsidRPr="00767442">
        <w:rPr>
          <w:rFonts w:cs="Times New Roman"/>
        </w:rPr>
        <w:t>The payor’s interest in flexibility comes to the forefront once effective notice is given (</w:t>
      </w:r>
      <w:r w:rsidRPr="00767442">
        <w:rPr>
          <w:rFonts w:eastAsia="Times New Roman" w:cs="Times New Roman"/>
          <w:i/>
        </w:rPr>
        <w:t>H.G.S.</w:t>
      </w:r>
      <w:r w:rsidRPr="00767442">
        <w:rPr>
          <w:rFonts w:eastAsia="Times New Roman" w:cs="Times New Roman"/>
        </w:rPr>
        <w:t>, at para. 82)</w:t>
      </w:r>
      <w:r w:rsidRPr="00767442">
        <w:rPr>
          <w:rFonts w:cs="Times New Roman"/>
        </w:rPr>
        <w:t>. As such, by making the date of effective notice the presumptive date of retroactivity, the framework preserves ample flexibility for the payor. The presumption also provides payors with the certainty of knowing that any material change in income should be disclosed. Not only is the payor the one who is aware of their financial situation, but they also control the date on which they disclose that information. The payor therefore has control over the date of notice and the date of retroactivity.</w:t>
      </w:r>
    </w:p>
    <w:p w14:paraId="1CC2D285" w14:textId="77777777" w:rsidR="004E49A1" w:rsidRPr="00767442" w:rsidRDefault="004E49A1" w:rsidP="004E49A1">
      <w:pPr>
        <w:pStyle w:val="Title5LevelTitre5Niveau"/>
        <w:numPr>
          <w:ilvl w:val="4"/>
          <w:numId w:val="19"/>
        </w:numPr>
        <w:ind w:left="1152"/>
        <w:jc w:val="both"/>
        <w:rPr>
          <w:rFonts w:cs="Times New Roman"/>
          <w:shd w:val="clear" w:color="auto" w:fill="FFFFFF"/>
        </w:rPr>
      </w:pPr>
      <w:bookmarkStart w:id="153" w:name="_Toc67332088"/>
      <w:bookmarkStart w:id="154" w:name="_Toc67347371"/>
      <w:bookmarkStart w:id="155" w:name="_Toc71624540"/>
      <w:r w:rsidRPr="00767442">
        <w:rPr>
          <w:rFonts w:cs="Times New Roman"/>
        </w:rPr>
        <w:t>Effective Notice</w:t>
      </w:r>
      <w:bookmarkEnd w:id="153"/>
      <w:bookmarkEnd w:id="154"/>
      <w:bookmarkEnd w:id="155"/>
    </w:p>
    <w:p w14:paraId="79130471"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What qualifies as</w:t>
      </w:r>
      <w:r w:rsidRPr="00767442">
        <w:rPr>
          <w:rFonts w:cs="Times New Roman"/>
          <w:b/>
        </w:rPr>
        <w:t xml:space="preserve"> </w:t>
      </w:r>
      <w:r w:rsidRPr="00767442">
        <w:rPr>
          <w:rFonts w:cs="Times New Roman"/>
        </w:rPr>
        <w:t xml:space="preserve">“effective notice” must be viewed in light of the information asymmetry between the parties and the way that certainty, flexibility and the child’s best interests play out in retroactive decrease cases. When a recipient seeks a retroactive increase, the Court held in </w:t>
      </w:r>
      <w:r w:rsidRPr="00767442">
        <w:rPr>
          <w:rFonts w:cs="Times New Roman"/>
          <w:i/>
        </w:rPr>
        <w:t>D.B.S.</w:t>
      </w:r>
      <w:r w:rsidRPr="00767442">
        <w:rPr>
          <w:rFonts w:cs="Times New Roman"/>
        </w:rPr>
        <w:t xml:space="preserve"> that the recipient will have provided effective notice simply by broaching the topic of a potential increase (para. 121). This low bar was justified by the recipient’s informational disadvantage. Regardless of whether the recipient had given notice, the payor knew when their own income had increased and must be taken to know that more income means more support.</w:t>
      </w:r>
    </w:p>
    <w:p w14:paraId="699E51DE"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In the decrease context, by contrast, experience has shown that it is not enough for the payor to merely broach the subject of a reduction of support with the recipient. A payor seeking a retroactive decrease has the informational advantage. The presumptive date of retroactivity must encourage </w:t>
      </w:r>
      <w:r w:rsidRPr="00767442" w:rsidDel="00CE07E4">
        <w:rPr>
          <w:rFonts w:cs="Times New Roman"/>
        </w:rPr>
        <w:t>payors to communicate with recipients on an ongoing basis and move with reasonable dispatch to formalize a</w:t>
      </w:r>
      <w:r w:rsidRPr="00767442">
        <w:rPr>
          <w:rFonts w:cs="Times New Roman"/>
        </w:rPr>
        <w:t xml:space="preserve"> decrease </w:t>
      </w:r>
      <w:r w:rsidRPr="00767442" w:rsidDel="00CE07E4">
        <w:rPr>
          <w:rFonts w:cs="Times New Roman"/>
        </w:rPr>
        <w:t>through a court order or change to a pre-existing agreement.</w:t>
      </w:r>
      <w:r w:rsidRPr="00767442">
        <w:rPr>
          <w:rFonts w:cs="Times New Roman"/>
        </w:rPr>
        <w:t xml:space="preserve"> The timing and extent of disclosure will be a critical consideration in ascertaining whether and when effective notice has been given and determining whether to depart from the presumptive date of retroactivity.</w:t>
      </w:r>
    </w:p>
    <w:p w14:paraId="79B7A45C"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In decrease cases, therefore, courts have recognized that effective notice must be accompanied by “reasonable proof” that is sufficient to allow the recipient to “independently assess the situation in a meaningful way and respond appropriately” (</w:t>
      </w:r>
      <w:r w:rsidRPr="00767442">
        <w:rPr>
          <w:rFonts w:cs="Times New Roman"/>
          <w:i/>
        </w:rPr>
        <w:t>Gray</w:t>
      </w:r>
      <w:r w:rsidRPr="00767442">
        <w:rPr>
          <w:rFonts w:cs="Times New Roman"/>
        </w:rPr>
        <w:t xml:space="preserve">, at para. 62, citing </w:t>
      </w:r>
      <w:r w:rsidRPr="00767442">
        <w:rPr>
          <w:rFonts w:cs="Times New Roman"/>
          <w:i/>
        </w:rPr>
        <w:t>Corcios</w:t>
      </w:r>
      <w:r w:rsidRPr="00767442">
        <w:rPr>
          <w:rFonts w:cs="Times New Roman"/>
        </w:rPr>
        <w:t xml:space="preserve">, at para. 55; </w:t>
      </w:r>
      <w:r w:rsidRPr="00767442">
        <w:rPr>
          <w:rFonts w:cs="Times New Roman"/>
          <w:i/>
        </w:rPr>
        <w:t>Templeton</w:t>
      </w:r>
      <w:r w:rsidRPr="00767442">
        <w:rPr>
          <w:rFonts w:cs="Times New Roman"/>
        </w:rPr>
        <w:t>, at para. 51). This ensures that effective notice provides a realistic starting point for negotiations and allows the recipient to adjust expectations, make necessary changes to lifestyle and expenditures, and make informed decisions (</w:t>
      </w:r>
      <w:r w:rsidRPr="00767442">
        <w:rPr>
          <w:rFonts w:cs="Times New Roman"/>
          <w:i/>
        </w:rPr>
        <w:t>Hrynkow v. Gosse</w:t>
      </w:r>
      <w:r w:rsidRPr="00767442">
        <w:rPr>
          <w:rFonts w:cs="Times New Roman"/>
        </w:rPr>
        <w:t xml:space="preserve">, 2017 ABQB 675, at para. 13 (CanLII); </w:t>
      </w:r>
      <w:r w:rsidRPr="00767442">
        <w:rPr>
          <w:rFonts w:cs="Times New Roman"/>
          <w:i/>
        </w:rPr>
        <w:t>Hodges v. Hodges</w:t>
      </w:r>
      <w:r w:rsidRPr="00767442">
        <w:rPr>
          <w:rFonts w:cs="Times New Roman"/>
        </w:rPr>
        <w:t>, 2018 ABCA 197,</w:t>
      </w:r>
      <w:r w:rsidRPr="00767442">
        <w:rPr>
          <w:rFonts w:cs="Times New Roman"/>
          <w:i/>
        </w:rPr>
        <w:t xml:space="preserve"> </w:t>
      </w:r>
      <w:r w:rsidRPr="00767442">
        <w:rPr>
          <w:rFonts w:cs="Times New Roman"/>
        </w:rPr>
        <w:t xml:space="preserve">at para. 10 (CanLII)).  </w:t>
      </w:r>
    </w:p>
    <w:p w14:paraId="15296126"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In some cases, such as where the payor is incarcerated or suffers a serious health setback, clear communication may be sufficient to meet the requirements of effective notice. In other cases, the payor may not have access to full income information at the time notice is given, but should provide proof of the change in circumstances by promptly obtaining and disclosing available documents, such as those demonstrating new employment, reduction of salary or termination of employment. Even where a diligent payor believes in good faith that a decrease in income will be temporary, the most prudent course of action is nevertheless to communicate the change to the recipient and provide information which substantiates the claimed change in circumstance. </w:t>
      </w:r>
    </w:p>
    <w:p w14:paraId="6F80AEDE"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After communicating a change</w:t>
      </w:r>
      <w:r w:rsidRPr="00767442">
        <w:rPr>
          <w:rFonts w:cs="Times New Roman"/>
          <w:b/>
        </w:rPr>
        <w:t xml:space="preserve"> </w:t>
      </w:r>
      <w:r w:rsidRPr="00767442">
        <w:rPr>
          <w:rFonts w:cs="Times New Roman"/>
        </w:rPr>
        <w:t>and providing available documents, a payor maintains “an ongoing obligation to engage in meaningful dialogue with the recipient, advise the recipient of changes in their circumstances that may impact their ability to pay support and voluntarily disclose pertinent information so that the recipient can continue to independently assess the situation and react appropriately” (</w:t>
      </w:r>
      <w:r w:rsidRPr="00767442">
        <w:rPr>
          <w:rFonts w:cs="Times New Roman"/>
          <w:i/>
        </w:rPr>
        <w:t>Templeton</w:t>
      </w:r>
      <w:r w:rsidRPr="00767442">
        <w:rPr>
          <w:rFonts w:cs="Times New Roman"/>
        </w:rPr>
        <w:t xml:space="preserve">, at para. 52). Failure to do so may impact the period of retroactivity when the court applies the discretionary </w:t>
      </w:r>
      <w:r w:rsidRPr="00767442">
        <w:rPr>
          <w:rFonts w:cs="Times New Roman"/>
          <w:i/>
        </w:rPr>
        <w:t xml:space="preserve">D.B.S. </w:t>
      </w:r>
      <w:r w:rsidRPr="00767442">
        <w:rPr>
          <w:rFonts w:cs="Times New Roman"/>
        </w:rPr>
        <w:t>factors. Further, effective notice of an initial change in income will not amount to effective notice of subsequent changes (</w:t>
      </w:r>
      <w:r w:rsidRPr="00767442">
        <w:rPr>
          <w:rFonts w:cs="Times New Roman"/>
          <w:i/>
        </w:rPr>
        <w:t>Corcios</w:t>
      </w:r>
      <w:r w:rsidRPr="00767442">
        <w:rPr>
          <w:rFonts w:cs="Times New Roman"/>
        </w:rPr>
        <w:t xml:space="preserve">, at para. 55). </w:t>
      </w:r>
    </w:p>
    <w:p w14:paraId="36C1601A" w14:textId="77777777" w:rsidR="004E49A1" w:rsidRPr="00767442" w:rsidRDefault="004E49A1" w:rsidP="004E49A1">
      <w:pPr>
        <w:pStyle w:val="Title5LevelTitre5Niveau"/>
        <w:numPr>
          <w:ilvl w:val="4"/>
          <w:numId w:val="19"/>
        </w:numPr>
        <w:ind w:left="1152"/>
        <w:jc w:val="both"/>
        <w:rPr>
          <w:rFonts w:cs="Times New Roman"/>
          <w:shd w:val="clear" w:color="auto" w:fill="FFFFFF"/>
        </w:rPr>
      </w:pPr>
      <w:bookmarkStart w:id="156" w:name="_Toc67332089"/>
      <w:bookmarkStart w:id="157" w:name="_Toc67347372"/>
      <w:bookmarkStart w:id="158" w:name="_Toc71624541"/>
      <w:r w:rsidRPr="00767442">
        <w:rPr>
          <w:rFonts w:cs="Times New Roman"/>
        </w:rPr>
        <w:t>The Three-Year Rule</w:t>
      </w:r>
      <w:bookmarkEnd w:id="156"/>
      <w:bookmarkEnd w:id="157"/>
      <w:bookmarkEnd w:id="158"/>
      <w:r w:rsidRPr="00767442">
        <w:rPr>
          <w:rFonts w:cs="Times New Roman"/>
        </w:rPr>
        <w:t xml:space="preserve"> </w:t>
      </w:r>
    </w:p>
    <w:p w14:paraId="33909D30" w14:textId="77777777" w:rsidR="004E49A1" w:rsidRPr="00767442" w:rsidRDefault="004E49A1" w:rsidP="004E49A1">
      <w:pPr>
        <w:pStyle w:val="ParaNoNdepar-AltN"/>
        <w:tabs>
          <w:tab w:val="clear" w:pos="1152"/>
          <w:tab w:val="left" w:pos="1166"/>
        </w:tabs>
        <w:rPr>
          <w:rFonts w:cs="Times New Roman"/>
          <w:shd w:val="clear" w:color="auto" w:fill="FFFFFF"/>
        </w:rPr>
      </w:pPr>
      <w:r w:rsidRPr="00767442">
        <w:rPr>
          <w:rFonts w:cs="Times New Roman"/>
        </w:rPr>
        <w:t xml:space="preserve">Even where the payor has given proper effective notice, the period of retroactivity is presumed to extend no further than three years before the date of formal notice. This three-year presumptive rule was established by the majority in </w:t>
      </w:r>
      <w:r w:rsidRPr="00767442">
        <w:rPr>
          <w:rFonts w:cs="Times New Roman"/>
          <w:i/>
        </w:rPr>
        <w:t xml:space="preserve">D.B.S. </w:t>
      </w:r>
      <w:r w:rsidRPr="00767442">
        <w:rPr>
          <w:rFonts w:cs="Times New Roman"/>
        </w:rPr>
        <w:t>to incentivize recipients seeking a retroactive variation to move discussions forward and to protect the payor’s certainty interests (para. 123).</w:t>
      </w:r>
    </w:p>
    <w:p w14:paraId="4DEB08D0" w14:textId="77777777" w:rsidR="004E49A1" w:rsidRPr="00767442" w:rsidRDefault="004E49A1" w:rsidP="004E49A1">
      <w:pPr>
        <w:pStyle w:val="ParaNoNdepar-AltN"/>
        <w:tabs>
          <w:tab w:val="clear" w:pos="1152"/>
          <w:tab w:val="left" w:pos="1166"/>
        </w:tabs>
        <w:rPr>
          <w:rFonts w:cs="Times New Roman"/>
          <w:shd w:val="clear" w:color="auto" w:fill="FFFFFF"/>
        </w:rPr>
      </w:pPr>
      <w:r w:rsidRPr="00767442">
        <w:rPr>
          <w:rFonts w:cs="Times New Roman"/>
        </w:rPr>
        <w:t xml:space="preserve">This three-year rule has been applied for parallel reasons in the retroactive decrease context, as it was by the Court of Appeal in this case (para. 27; see also </w:t>
      </w:r>
      <w:r w:rsidRPr="00767442">
        <w:rPr>
          <w:rFonts w:cs="Times New Roman"/>
          <w:i/>
        </w:rPr>
        <w:t>Corcios</w:t>
      </w:r>
      <w:r w:rsidRPr="00767442">
        <w:rPr>
          <w:rFonts w:cs="Times New Roman"/>
        </w:rPr>
        <w:t xml:space="preserve">, at para. 55; </w:t>
      </w:r>
      <w:r w:rsidRPr="00767442">
        <w:rPr>
          <w:rFonts w:cs="Times New Roman"/>
          <w:i/>
        </w:rPr>
        <w:t>Gray</w:t>
      </w:r>
      <w:r w:rsidRPr="00767442">
        <w:rPr>
          <w:rFonts w:cs="Times New Roman"/>
        </w:rPr>
        <w:t xml:space="preserve">, at para. 61; </w:t>
      </w:r>
      <w:r w:rsidRPr="00767442">
        <w:rPr>
          <w:rFonts w:cs="Times New Roman"/>
          <w:i/>
        </w:rPr>
        <w:t>H.G.S.</w:t>
      </w:r>
      <w:r w:rsidRPr="00767442">
        <w:rPr>
          <w:rFonts w:cs="Times New Roman"/>
        </w:rPr>
        <w:t>, at paras. 94-95 and 105-8). The informational asymmetry between the parties means the recipient will often lack the requisite information to know whether the change in circumstances communicated by the payor at the time of effective notice continues to reflect the payor’s situation. Thus, a lengthy “period of inactivity after effective notice may indicate that the [recipient] parent’s reasonable interest in certainty has returned” (</w:t>
      </w:r>
      <w:r w:rsidRPr="00767442">
        <w:rPr>
          <w:rFonts w:cs="Times New Roman"/>
          <w:i/>
        </w:rPr>
        <w:t>D.B.S.</w:t>
      </w:r>
      <w:r w:rsidRPr="00767442">
        <w:rPr>
          <w:rFonts w:cs="Times New Roman"/>
        </w:rPr>
        <w:t>, at para. 123). The longer the delay, the greater the recipient’s reliance on and certainty interest in the unchallenged order (</w:t>
      </w:r>
      <w:r w:rsidRPr="00767442">
        <w:rPr>
          <w:rFonts w:cs="Times New Roman"/>
          <w:i/>
        </w:rPr>
        <w:t>Brown v. Barber</w:t>
      </w:r>
      <w:r w:rsidRPr="00767442">
        <w:rPr>
          <w:rFonts w:cs="Times New Roman"/>
        </w:rPr>
        <w:t>, 2016 ABQB 687, 85 R.F.L. (7th) 401 (“</w:t>
      </w:r>
      <w:r w:rsidRPr="00767442">
        <w:rPr>
          <w:rFonts w:cs="Times New Roman"/>
          <w:i/>
        </w:rPr>
        <w:t>Barber</w:t>
      </w:r>
      <w:r w:rsidRPr="00767442">
        <w:rPr>
          <w:rFonts w:cs="Times New Roman"/>
        </w:rPr>
        <w:t>”), at para. 35).</w:t>
      </w:r>
    </w:p>
    <w:p w14:paraId="4CBDED40" w14:textId="77777777" w:rsidR="004E49A1" w:rsidRPr="00767442" w:rsidRDefault="004E49A1" w:rsidP="004E49A1">
      <w:pPr>
        <w:pStyle w:val="ParaNoNdepar-AltN"/>
        <w:tabs>
          <w:tab w:val="clear" w:pos="1152"/>
          <w:tab w:val="left" w:pos="1166"/>
        </w:tabs>
        <w:rPr>
          <w:rFonts w:cs="Times New Roman"/>
          <w:shd w:val="clear" w:color="auto" w:fill="FFFFFF"/>
        </w:rPr>
      </w:pPr>
      <w:r w:rsidRPr="00767442">
        <w:rPr>
          <w:rFonts w:cs="Times New Roman"/>
        </w:rPr>
        <w:t>The presumptive three-year limit allows the parties time to negotiate but recognizes that the payor must commence proceedings in a timely manner if negotiations fail in order to protect the certainty interests of the child and recipient (</w:t>
      </w:r>
      <w:r w:rsidRPr="00767442">
        <w:rPr>
          <w:rFonts w:cs="Times New Roman"/>
          <w:i/>
        </w:rPr>
        <w:t>Corcios</w:t>
      </w:r>
      <w:r w:rsidRPr="00767442">
        <w:rPr>
          <w:rFonts w:cs="Times New Roman"/>
        </w:rPr>
        <w:t>, at para. 55). Payors should not be encouraged to wait until an enforcement agency takes steps to enforce an order to bring an application to vary. Further, as the interveners West Coast Legal Education and Action Fund Association and the Women’s Legal Education and Action Fund Inc. point out, given the pervasiveness of deficient disclosure in family law, recipients may often have good reason to doubt the adequacy of disclosure provided with effective notice. Resulting disputes about disclosure and payor income can only be resolved through formal proceedings, and those proceedings must be commenced in a timely manner to restore certainty to child support arrangements between the parties.</w:t>
      </w:r>
    </w:p>
    <w:p w14:paraId="2D439A5A" w14:textId="77777777" w:rsidR="004E49A1" w:rsidRPr="00767442" w:rsidRDefault="004E49A1" w:rsidP="004E49A1">
      <w:pPr>
        <w:pStyle w:val="ParaNoNdepar-AltN"/>
        <w:tabs>
          <w:tab w:val="clear" w:pos="1152"/>
          <w:tab w:val="left" w:pos="1166"/>
        </w:tabs>
        <w:rPr>
          <w:rFonts w:cs="Times New Roman"/>
          <w:shd w:val="clear" w:color="auto" w:fill="FFFFFF"/>
        </w:rPr>
      </w:pPr>
      <w:r w:rsidRPr="00767442">
        <w:rPr>
          <w:rFonts w:cs="Times New Roman"/>
        </w:rPr>
        <w:t>The presumptive three-year limit is also justified by evidentiary concerns. Reliable evidence is required to determine the payor’s income. The best evidence of income or ability to earn income is generally more readily available closer to the time that the income is earned (</w:t>
      </w:r>
      <w:r w:rsidRPr="00767442">
        <w:rPr>
          <w:rFonts w:cs="Times New Roman"/>
          <w:i/>
        </w:rPr>
        <w:t>Janik v. Drotlef</w:t>
      </w:r>
      <w:r w:rsidRPr="00767442">
        <w:rPr>
          <w:rFonts w:cs="Times New Roman"/>
        </w:rPr>
        <w:t>, 2018 ONCJ 287, at para. 230 (CanLII)). If the payor delays in bringing an application, it may be more difficult to produce reliable and full documentation on income. This leaves recipients and courts to bridge the gaps through guesswork, adverse inferences and the imputation of income. Timely disclosure and applications to vary must be incentivized to preserve procedural fairness to the recipient and ensure the court has access to the information necessary to determine whether a material change in circumstances has occurred and to quantify support. Three years provide ample time. The legislature could step in to address these concerns by imposing a presumptive limitation period of a longer or shorter duration. For example, in Quebec, “in no case where the arrears claimed have been due for over six months</w:t>
      </w:r>
      <w:r w:rsidRPr="00767442">
        <w:rPr>
          <w:rFonts w:cs="Times New Roman"/>
          <w:b/>
        </w:rPr>
        <w:t xml:space="preserve"> </w:t>
      </w:r>
      <w:r w:rsidRPr="00767442">
        <w:rPr>
          <w:rFonts w:cs="Times New Roman"/>
        </w:rPr>
        <w:t>may the debtor be released from payment of them unless he shows that it was impossible for him to exercise his right to obtain a review of the judgment fixing the support” (</w:t>
      </w:r>
      <w:r w:rsidRPr="00F60AB3">
        <w:rPr>
          <w:rFonts w:cs="Times New Roman"/>
          <w:i/>
        </w:rPr>
        <w:t>Civil Code of Québec</w:t>
      </w:r>
      <w:r w:rsidRPr="00F60AB3">
        <w:rPr>
          <w:rFonts w:cs="Times New Roman"/>
        </w:rPr>
        <w:t xml:space="preserve">, S.Q. 1991, c. 64, </w:t>
      </w:r>
      <w:r w:rsidRPr="00767442">
        <w:rPr>
          <w:rFonts w:cs="Times New Roman"/>
        </w:rPr>
        <w:t>art. 596 para. 2).</w:t>
      </w:r>
    </w:p>
    <w:p w14:paraId="158529F7" w14:textId="77777777" w:rsidR="004E49A1" w:rsidRPr="00767442" w:rsidRDefault="004E49A1" w:rsidP="004E49A1">
      <w:pPr>
        <w:pStyle w:val="Title5LevelTitre5Niveau"/>
        <w:numPr>
          <w:ilvl w:val="4"/>
          <w:numId w:val="19"/>
        </w:numPr>
        <w:ind w:left="1152"/>
        <w:jc w:val="both"/>
        <w:rPr>
          <w:rFonts w:cs="Times New Roman"/>
          <w:shd w:val="clear" w:color="auto" w:fill="FFFFFF"/>
        </w:rPr>
      </w:pPr>
      <w:bookmarkStart w:id="159" w:name="_Toc67332090"/>
      <w:bookmarkStart w:id="160" w:name="_Toc67347373"/>
      <w:bookmarkStart w:id="161" w:name="_Toc71624542"/>
      <w:r w:rsidRPr="00767442">
        <w:rPr>
          <w:rFonts w:cs="Times New Roman"/>
          <w:shd w:val="clear" w:color="auto" w:fill="FFFFFF"/>
        </w:rPr>
        <w:t>Where No Effective Notice Given</w:t>
      </w:r>
      <w:bookmarkEnd w:id="159"/>
      <w:bookmarkEnd w:id="160"/>
      <w:bookmarkEnd w:id="161"/>
      <w:r w:rsidRPr="00767442">
        <w:rPr>
          <w:rFonts w:cs="Times New Roman"/>
          <w:shd w:val="clear" w:color="auto" w:fill="FFFFFF"/>
        </w:rPr>
        <w:t xml:space="preserve"> </w:t>
      </w:r>
    </w:p>
    <w:p w14:paraId="30A7B635" w14:textId="77777777" w:rsidR="004E49A1" w:rsidRPr="00767442" w:rsidRDefault="004E49A1" w:rsidP="004E49A1">
      <w:pPr>
        <w:pStyle w:val="ParaNoNdepar-AltN"/>
        <w:tabs>
          <w:tab w:val="clear" w:pos="1152"/>
          <w:tab w:val="left" w:pos="1166"/>
        </w:tabs>
        <w:rPr>
          <w:rFonts w:cs="Times New Roman"/>
          <w:shd w:val="clear" w:color="auto" w:fill="FFFFFF"/>
        </w:rPr>
      </w:pPr>
      <w:r w:rsidRPr="00767442">
        <w:rPr>
          <w:rFonts w:cs="Times New Roman"/>
        </w:rPr>
        <w:t xml:space="preserve">Where no effective notice was given before proceedings were commenced, the start date of the variation will generally be the date of formal notice. However, this result is not automatic. Disclosure remains a relevant factor. For instance, if three years have elapsed since a motion to change was served on the recipient, but full and frank disclosure is only provided on the eve of the hearing, the payor parent generally should not benefit from a decrease for the period between the date of formal notice and the time of disclosure. Payors should not be rewarded for breaching disclosure obligations in the </w:t>
      </w:r>
      <w:r w:rsidRPr="00767442">
        <w:rPr>
          <w:rFonts w:cs="Times New Roman"/>
          <w:i/>
        </w:rPr>
        <w:t>Guidelines</w:t>
      </w:r>
      <w:r w:rsidRPr="00767442">
        <w:rPr>
          <w:rFonts w:cs="Times New Roman"/>
        </w:rPr>
        <w:t>, the rules of court, and other legislation. Slipshod or misleading disclosure deprives the parties of an opportunity to negotiate between the date of formal notice and the hearing. However, if the payor can show a good reason for delayed disclosure, the court may vary back to the date of formal notice despite the delay. Payors facing such difficulties must be prepared to adduce evidence of their efforts to obtain the relevant documents in a timely fashion.</w:t>
      </w:r>
      <w:bookmarkStart w:id="162" w:name="_Toc64104273"/>
      <w:bookmarkStart w:id="163" w:name="_Toc64122510"/>
      <w:r w:rsidRPr="00767442">
        <w:rPr>
          <w:rFonts w:cs="Times New Roman"/>
        </w:rPr>
        <w:t xml:space="preserve"> </w:t>
      </w:r>
    </w:p>
    <w:p w14:paraId="2D05E20D" w14:textId="77777777" w:rsidR="004E49A1" w:rsidRPr="00767442" w:rsidRDefault="004E49A1" w:rsidP="004E49A1">
      <w:pPr>
        <w:pStyle w:val="Title4LevelTitre4Niveau"/>
        <w:numPr>
          <w:ilvl w:val="3"/>
          <w:numId w:val="19"/>
        </w:numPr>
        <w:jc w:val="both"/>
        <w:rPr>
          <w:rFonts w:cs="Times New Roman"/>
        </w:rPr>
      </w:pPr>
      <w:bookmarkStart w:id="164" w:name="_Toc64367713"/>
      <w:bookmarkStart w:id="165" w:name="_Toc66736626"/>
      <w:bookmarkStart w:id="166" w:name="_Toc67070445"/>
      <w:bookmarkStart w:id="167" w:name="_Toc67332091"/>
      <w:bookmarkStart w:id="168" w:name="_Toc67347374"/>
      <w:bookmarkStart w:id="169" w:name="_Toc71624543"/>
      <w:r w:rsidRPr="00767442">
        <w:rPr>
          <w:rFonts w:cs="Times New Roman"/>
        </w:rPr>
        <w:t>Discretion to Depart from the Presumption: The Four D.B.S. Factors</w:t>
      </w:r>
      <w:bookmarkEnd w:id="162"/>
      <w:bookmarkEnd w:id="163"/>
      <w:bookmarkEnd w:id="164"/>
      <w:bookmarkEnd w:id="165"/>
      <w:bookmarkEnd w:id="166"/>
      <w:bookmarkEnd w:id="167"/>
      <w:bookmarkEnd w:id="168"/>
      <w:bookmarkEnd w:id="169"/>
      <w:r w:rsidRPr="00767442">
        <w:rPr>
          <w:rFonts w:cs="Times New Roman"/>
        </w:rPr>
        <w:t xml:space="preserve"> </w:t>
      </w:r>
    </w:p>
    <w:p w14:paraId="55BDDB8C"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The court retains discretion to depart from the presumptive date of retroactivity where the result would otherwise be unfair in the circumstances of a particular case. In this section, I explore how the </w:t>
      </w:r>
      <w:r w:rsidRPr="00767442">
        <w:rPr>
          <w:rFonts w:cs="Times New Roman"/>
          <w:i/>
        </w:rPr>
        <w:t xml:space="preserve">D.B.S. </w:t>
      </w:r>
      <w:r w:rsidRPr="00767442">
        <w:rPr>
          <w:rFonts w:cs="Times New Roman"/>
        </w:rPr>
        <w:t>factors — adapted to suit the retroactive decrease context — help the court reach a fair balancing of the three interests at play, namely the child’s interest in a fair standard of support, the payor’s interest in flexibility, and the interest of the child and recipient in certainty. There is no fixed formula; none of the factors is determinative and they must be viewed holistically (</w:t>
      </w:r>
      <w:r w:rsidRPr="00767442">
        <w:rPr>
          <w:rFonts w:cs="Times New Roman"/>
          <w:i/>
        </w:rPr>
        <w:t>D.B.S.</w:t>
      </w:r>
      <w:r w:rsidRPr="00767442">
        <w:rPr>
          <w:rFonts w:cs="Times New Roman"/>
        </w:rPr>
        <w:t>, at para. 99).</w:t>
      </w:r>
    </w:p>
    <w:p w14:paraId="6F9C66FE" w14:textId="77777777" w:rsidR="004E49A1" w:rsidRPr="00767442" w:rsidRDefault="004E49A1" w:rsidP="004E49A1">
      <w:pPr>
        <w:pStyle w:val="Title5LevelTitre5Niveau"/>
        <w:numPr>
          <w:ilvl w:val="4"/>
          <w:numId w:val="19"/>
        </w:numPr>
        <w:ind w:left="1152"/>
        <w:jc w:val="both"/>
        <w:rPr>
          <w:rFonts w:cs="Times New Roman"/>
        </w:rPr>
      </w:pPr>
      <w:bookmarkStart w:id="170" w:name="_Toc62935247"/>
      <w:bookmarkStart w:id="171" w:name="_Toc62953619"/>
      <w:bookmarkStart w:id="172" w:name="_Toc62997989"/>
      <w:bookmarkStart w:id="173" w:name="_Toc64104274"/>
      <w:bookmarkStart w:id="174" w:name="_Toc64122511"/>
      <w:bookmarkStart w:id="175" w:name="_Toc64367714"/>
      <w:bookmarkStart w:id="176" w:name="_Toc66736627"/>
      <w:bookmarkStart w:id="177" w:name="_Toc67070446"/>
      <w:bookmarkStart w:id="178" w:name="_Toc67332092"/>
      <w:bookmarkStart w:id="179" w:name="_Toc67347375"/>
      <w:bookmarkStart w:id="180" w:name="_Toc71624544"/>
      <w:r w:rsidRPr="00767442">
        <w:rPr>
          <w:rFonts w:cs="Times New Roman"/>
        </w:rPr>
        <w:t>Understandable Reason for the Delay</w:t>
      </w:r>
      <w:bookmarkEnd w:id="170"/>
      <w:bookmarkEnd w:id="171"/>
      <w:bookmarkEnd w:id="172"/>
      <w:bookmarkEnd w:id="173"/>
      <w:bookmarkEnd w:id="174"/>
      <w:bookmarkEnd w:id="175"/>
      <w:bookmarkEnd w:id="176"/>
      <w:bookmarkEnd w:id="177"/>
      <w:bookmarkEnd w:id="178"/>
      <w:bookmarkEnd w:id="179"/>
      <w:bookmarkEnd w:id="180"/>
    </w:p>
    <w:p w14:paraId="5E281602"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The first factor is whether the payor has an understandable reason for the delay in giving effective notice or seeking relief in the courts. Judges are well placed to assess whether the reasons proffered for the delay explain the extent of the payor’s inactivity. Where the payor has such a reason, fairness may militate in favour of extending the date of retroactivity to a time before the date of effective notice or not applying the three-year limit.</w:t>
      </w:r>
    </w:p>
    <w:p w14:paraId="42E12EC2"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Understandable reasons for delay may include health problems or other difficulties that prevent the payor from confronting the situation, or an unwillingness to disrupt a fragile parent-child relationship (D. Smith, “Retroactive Child Support — An Update” (2007), 26 </w:t>
      </w:r>
      <w:r w:rsidRPr="00767442">
        <w:rPr>
          <w:rFonts w:cs="Times New Roman"/>
          <w:i/>
          <w:iCs/>
        </w:rPr>
        <w:t>C.F.L.Q.</w:t>
      </w:r>
      <w:r w:rsidRPr="00767442">
        <w:rPr>
          <w:rFonts w:cs="Times New Roman"/>
        </w:rPr>
        <w:t> 209, at p. 239). The payor may also lack the financial or emotional wherewithal to proceed with the matter (</w:t>
      </w:r>
      <w:r w:rsidRPr="00767442">
        <w:rPr>
          <w:rFonts w:cs="Times New Roman"/>
          <w:i/>
        </w:rPr>
        <w:t>Brown</w:t>
      </w:r>
      <w:r w:rsidRPr="00767442">
        <w:rPr>
          <w:rFonts w:cs="Times New Roman"/>
        </w:rPr>
        <w:t>, at para. 34).</w:t>
      </w:r>
    </w:p>
    <w:p w14:paraId="53CB8EC2"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In some cases, the recipient’s conduct may be at play, such as where the recipient threatens to withhold access or uses other tactics to discourage the payor from applying to reduce support. To ensure the child’s best interests are protected, recipient conduct is only a significant factor where the recipient is aware of the change in the payor’s circumstances and has therefore been able to plan for a possible reduction in support. Courts must also be cautious to distinguish bad faith on the part of the recipient from situations where recipient conduct results from safety concerns arising from a history of family violence. </w:t>
      </w:r>
    </w:p>
    <w:p w14:paraId="433090DA"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The recipient’s delay in enforcing arrears is irrelevant to the analysis (</w:t>
      </w:r>
      <w:r w:rsidRPr="00767442">
        <w:rPr>
          <w:rFonts w:cs="Times New Roman"/>
          <w:i/>
        </w:rPr>
        <w:t>Haisman</w:t>
      </w:r>
      <w:r w:rsidRPr="00767442">
        <w:rPr>
          <w:rFonts w:cs="Times New Roman"/>
        </w:rPr>
        <w:t xml:space="preserve"> </w:t>
      </w:r>
      <w:r w:rsidRPr="00767442">
        <w:rPr>
          <w:rFonts w:cs="Times New Roman"/>
          <w:i/>
        </w:rPr>
        <w:t>v. Haisman</w:t>
      </w:r>
      <w:r w:rsidRPr="00767442">
        <w:rPr>
          <w:rFonts w:cs="Times New Roman"/>
        </w:rPr>
        <w:t xml:space="preserve"> (1994), 157 A.R. 47 (C.A.), at para. 46; </w:t>
      </w:r>
      <w:r w:rsidRPr="00767442">
        <w:rPr>
          <w:rFonts w:cs="Times New Roman"/>
          <w:i/>
        </w:rPr>
        <w:t>Templeton</w:t>
      </w:r>
      <w:r w:rsidRPr="00767442">
        <w:rPr>
          <w:rFonts w:cs="Times New Roman"/>
        </w:rPr>
        <w:t>, at para. 48). Courts must bear in mind that child support arrears are a debt. Under general principles of debtor-creditor law, the debtor is required to seek out and pay the creditor, and debts are not forgiven by the mere passage of time in the absence of a statutory limitation period (</w:t>
      </w:r>
      <w:r w:rsidRPr="00767442">
        <w:rPr>
          <w:rFonts w:cs="Times New Roman"/>
          <w:i/>
        </w:rPr>
        <w:t>Brown</w:t>
      </w:r>
      <w:r w:rsidRPr="00767442">
        <w:rPr>
          <w:rFonts w:cs="Times New Roman"/>
        </w:rPr>
        <w:t>, at para. 33).</w:t>
      </w:r>
    </w:p>
    <w:p w14:paraId="3931D602" w14:textId="77777777" w:rsidR="004E49A1" w:rsidRPr="00767442" w:rsidRDefault="004E49A1" w:rsidP="004E49A1">
      <w:pPr>
        <w:pStyle w:val="Title5LevelTitre5Niveau"/>
        <w:ind w:left="1152"/>
        <w:rPr>
          <w:rFonts w:cs="Times New Roman"/>
        </w:rPr>
      </w:pPr>
      <w:bookmarkStart w:id="181" w:name="_Toc62935248"/>
      <w:bookmarkStart w:id="182" w:name="_Toc62953620"/>
      <w:bookmarkStart w:id="183" w:name="_Toc62997990"/>
      <w:bookmarkStart w:id="184" w:name="_Toc64104275"/>
      <w:bookmarkStart w:id="185" w:name="_Toc64122512"/>
      <w:bookmarkStart w:id="186" w:name="_Toc64367715"/>
      <w:bookmarkStart w:id="187" w:name="_Toc66736628"/>
      <w:bookmarkStart w:id="188" w:name="_Toc67070447"/>
      <w:bookmarkStart w:id="189" w:name="_Toc67332093"/>
      <w:bookmarkStart w:id="190" w:name="_Toc67347376"/>
      <w:bookmarkStart w:id="191" w:name="_Toc71624545"/>
      <w:r w:rsidRPr="00767442">
        <w:rPr>
          <w:rFonts w:cs="Times New Roman"/>
        </w:rPr>
        <w:t>The Payor’s Conduct</w:t>
      </w:r>
      <w:bookmarkEnd w:id="181"/>
      <w:bookmarkEnd w:id="182"/>
      <w:bookmarkEnd w:id="183"/>
      <w:bookmarkEnd w:id="184"/>
      <w:bookmarkEnd w:id="185"/>
      <w:bookmarkEnd w:id="186"/>
      <w:bookmarkEnd w:id="187"/>
      <w:bookmarkEnd w:id="188"/>
      <w:bookmarkEnd w:id="189"/>
      <w:bookmarkEnd w:id="190"/>
      <w:bookmarkEnd w:id="191"/>
      <w:r w:rsidRPr="00767442">
        <w:rPr>
          <w:rFonts w:cs="Times New Roman"/>
        </w:rPr>
        <w:t xml:space="preserve"> </w:t>
      </w:r>
    </w:p>
    <w:p w14:paraId="47EBEA43"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The second factor is the payor’s conduct. Blameworthy conduct is conduct that has “the </w:t>
      </w:r>
      <w:r w:rsidRPr="00767442">
        <w:rPr>
          <w:rFonts w:cs="Times New Roman"/>
          <w:i/>
        </w:rPr>
        <w:t>effect</w:t>
      </w:r>
      <w:r w:rsidRPr="00767442">
        <w:rPr>
          <w:rFonts w:cs="Times New Roman"/>
        </w:rPr>
        <w:t xml:space="preserve"> of privileging [the payor’s] interests over the child’s right to support” (</w:t>
      </w:r>
      <w:r w:rsidRPr="00767442">
        <w:rPr>
          <w:rFonts w:cs="Times New Roman"/>
          <w:i/>
        </w:rPr>
        <w:t>Goulding</w:t>
      </w:r>
      <w:r w:rsidRPr="00767442">
        <w:rPr>
          <w:rFonts w:cs="Times New Roman"/>
        </w:rPr>
        <w:t xml:space="preserve">, at para. 44 (emphasis in original); see also </w:t>
      </w:r>
      <w:r w:rsidRPr="00767442">
        <w:rPr>
          <w:rFonts w:cs="Times New Roman"/>
          <w:i/>
        </w:rPr>
        <w:t>D.B.S.</w:t>
      </w:r>
      <w:r w:rsidRPr="00767442">
        <w:rPr>
          <w:rFonts w:cs="Times New Roman"/>
        </w:rPr>
        <w:t>, at para. 106). The payor’s subjective intentions are rarely relevant (</w:t>
      </w:r>
      <w:r w:rsidRPr="00767442">
        <w:rPr>
          <w:rFonts w:cs="Times New Roman"/>
          <w:i/>
        </w:rPr>
        <w:t>Goulding</w:t>
      </w:r>
      <w:r w:rsidRPr="00767442">
        <w:rPr>
          <w:rFonts w:cs="Times New Roman"/>
        </w:rPr>
        <w:t>, at para. 44).</w:t>
      </w:r>
    </w:p>
    <w:p w14:paraId="4086D685"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The payor’s efforts to disclose and communicate will often be prominent considerations in assessing the payor’s conduct in the context of an application for a retroactive decrease of support. For example, if the payor provides effective notice but fails to communicate and disclose information on an ongoing basis after the date of effective notice, the payor’s silence may militate in favour of abbreviating the period of retroactivity. Conversely, if more than three years have passed between the date of effective notice and the date of formal notice, the court might consider declining to apply the three-year rule if the payor has made ongoing efforts to disclose, communicate and engage in dialogue with the recipient. </w:t>
      </w:r>
    </w:p>
    <w:p w14:paraId="0FE07F6A"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The court may also consider whether the payor made voluntary payments against the arrears, continued to pay in accordance with their ability to pay, cooperated with enforcement agencies, and showed a willingness to support the child rather than evading child support obligations (see </w:t>
      </w:r>
      <w:r w:rsidRPr="00767442">
        <w:rPr>
          <w:rFonts w:cs="Times New Roman"/>
          <w:i/>
        </w:rPr>
        <w:t xml:space="preserve">DiFrancesco v. Couto </w:t>
      </w:r>
      <w:r w:rsidRPr="00767442">
        <w:rPr>
          <w:rFonts w:cs="Times New Roman"/>
        </w:rPr>
        <w:t>(2001),</w:t>
      </w:r>
      <w:r w:rsidRPr="00767442">
        <w:rPr>
          <w:rFonts w:cs="Times New Roman"/>
          <w:i/>
        </w:rPr>
        <w:t xml:space="preserve"> </w:t>
      </w:r>
      <w:r w:rsidRPr="00767442">
        <w:rPr>
          <w:rFonts w:cs="Times New Roman"/>
        </w:rPr>
        <w:t xml:space="preserve">56 O.R. (3d) 363 (C.A.), at para. 25). It should go without saying that a person who is subject to a child support order must “comply with the order until it is no longer in effect”, and this principle is now expressly enshrined in the </w:t>
      </w:r>
      <w:r w:rsidRPr="00767442">
        <w:rPr>
          <w:rFonts w:cs="Times New Roman"/>
          <w:i/>
        </w:rPr>
        <w:t xml:space="preserve">Divorce Act </w:t>
      </w:r>
      <w:r w:rsidRPr="00767442">
        <w:rPr>
          <w:rFonts w:cs="Times New Roman"/>
        </w:rPr>
        <w:t xml:space="preserve">“[f]or greater certainty” (s. 7.5). Genuine efforts to continue paying as much as the payor can will show good faith and a willingness to support the child. </w:t>
      </w:r>
    </w:p>
    <w:p w14:paraId="3284C9D8" w14:textId="77777777" w:rsidR="004E49A1" w:rsidRPr="00767442" w:rsidRDefault="004E49A1" w:rsidP="004E49A1">
      <w:pPr>
        <w:pStyle w:val="Title5LevelTitre5Niveau"/>
        <w:ind w:left="1152"/>
        <w:rPr>
          <w:rFonts w:cs="Times New Roman"/>
        </w:rPr>
      </w:pPr>
      <w:bookmarkStart w:id="192" w:name="_Toc62935249"/>
      <w:bookmarkStart w:id="193" w:name="_Toc62953621"/>
      <w:bookmarkStart w:id="194" w:name="_Toc62997991"/>
      <w:bookmarkStart w:id="195" w:name="_Toc64104276"/>
      <w:bookmarkStart w:id="196" w:name="_Toc64122513"/>
      <w:bookmarkStart w:id="197" w:name="_Toc64367716"/>
      <w:bookmarkStart w:id="198" w:name="_Toc66736629"/>
      <w:bookmarkStart w:id="199" w:name="_Toc67070448"/>
      <w:bookmarkStart w:id="200" w:name="_Toc67332094"/>
      <w:bookmarkStart w:id="201" w:name="_Toc67347377"/>
      <w:bookmarkStart w:id="202" w:name="_Toc71624546"/>
      <w:r w:rsidRPr="00767442">
        <w:rPr>
          <w:rFonts w:cs="Times New Roman"/>
        </w:rPr>
        <w:t>Circumstances of the Child</w:t>
      </w:r>
      <w:bookmarkEnd w:id="192"/>
      <w:bookmarkEnd w:id="193"/>
      <w:bookmarkEnd w:id="194"/>
      <w:bookmarkEnd w:id="195"/>
      <w:bookmarkEnd w:id="196"/>
      <w:bookmarkEnd w:id="197"/>
      <w:bookmarkEnd w:id="198"/>
      <w:bookmarkEnd w:id="199"/>
      <w:bookmarkEnd w:id="200"/>
      <w:bookmarkEnd w:id="201"/>
      <w:bookmarkEnd w:id="202"/>
      <w:r w:rsidRPr="00767442">
        <w:rPr>
          <w:rFonts w:cs="Times New Roman"/>
        </w:rPr>
        <w:t xml:space="preserve"> </w:t>
      </w:r>
    </w:p>
    <w:p w14:paraId="2B40301F"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The circumstances of the child are the third factor. If the child has experienced hardship or is currently in need, this factor militates in favour of a shorter period of retroactivity.</w:t>
      </w:r>
    </w:p>
    <w:p w14:paraId="5882E822"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Another relevant consideration is whether the retroactive decrease would result in an order requiring the recipient to repay support to remedy an overpayment. The framework under s. 17 of the </w:t>
      </w:r>
      <w:r w:rsidRPr="00767442">
        <w:rPr>
          <w:rFonts w:cs="Times New Roman"/>
          <w:i/>
        </w:rPr>
        <w:t xml:space="preserve">Divorce Act </w:t>
      </w:r>
      <w:r w:rsidRPr="00767442">
        <w:rPr>
          <w:rFonts w:cs="Times New Roman"/>
        </w:rPr>
        <w:t>should not penalize payors for having continued to pay the full amount of support under an order or agreement after they experience a drop in income. However, reimbursement or set-off may cause hardship for the child and recipient. As such, where repayment is a possibility, it is even more important for the payor to give the recipient prompt notice of the decrease in their income — complete with disclosure enabling the recipient to meaningfully assess the extent of any potential future repayment — and move with reasonable diligence to seek a formal variation (</w:t>
      </w:r>
      <w:r w:rsidRPr="00767442">
        <w:rPr>
          <w:rFonts w:cs="Times New Roman"/>
          <w:i/>
        </w:rPr>
        <w:t>Corcios</w:t>
      </w:r>
      <w:r w:rsidRPr="00767442">
        <w:rPr>
          <w:rFonts w:cs="Times New Roman"/>
        </w:rPr>
        <w:t xml:space="preserve">, at para. 55; </w:t>
      </w:r>
      <w:r w:rsidRPr="00767442">
        <w:rPr>
          <w:rFonts w:cs="Times New Roman"/>
          <w:i/>
        </w:rPr>
        <w:t>Gray</w:t>
      </w:r>
      <w:r w:rsidRPr="00767442">
        <w:rPr>
          <w:rFonts w:cs="Times New Roman"/>
        </w:rPr>
        <w:t xml:space="preserve">, at para. 60; see also </w:t>
      </w:r>
      <w:r w:rsidRPr="00767442">
        <w:rPr>
          <w:rFonts w:cs="Times New Roman"/>
          <w:i/>
        </w:rPr>
        <w:t>Fleury v. Fleury</w:t>
      </w:r>
      <w:r w:rsidRPr="00767442">
        <w:rPr>
          <w:rFonts w:cs="Times New Roman"/>
        </w:rPr>
        <w:t>, 2009 ABCA 43, 448 A.R. 92, at para. 32).</w:t>
      </w:r>
    </w:p>
    <w:p w14:paraId="31103625"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In cases involving claims of overpayment, it will rarely be appropriate, given the recipient’s absence of knowledge, to retroactively decrease support to a date before the recipient could have expected that child support payments received from the payor might need to be repaid at some future date. This approach protects the child’s best interests and the recipient’s certainty interest, while allowing payors who have overpaid to seek a retroactive decrease as long as the recipient has been given proper notice and disclosure. </w:t>
      </w:r>
    </w:p>
    <w:p w14:paraId="55FA0275" w14:textId="77777777" w:rsidR="004E49A1" w:rsidRPr="00767442" w:rsidRDefault="004E49A1" w:rsidP="004E49A1">
      <w:pPr>
        <w:pStyle w:val="Title5LevelTitre5Niveau"/>
        <w:ind w:left="1152"/>
        <w:rPr>
          <w:rFonts w:cs="Times New Roman"/>
          <w:b/>
        </w:rPr>
      </w:pPr>
      <w:bookmarkStart w:id="203" w:name="_Toc62935250"/>
      <w:bookmarkStart w:id="204" w:name="_Toc62953622"/>
      <w:bookmarkStart w:id="205" w:name="_Toc62997992"/>
      <w:bookmarkStart w:id="206" w:name="_Toc64104277"/>
      <w:bookmarkStart w:id="207" w:name="_Toc64122514"/>
      <w:bookmarkStart w:id="208" w:name="_Toc64367717"/>
      <w:bookmarkStart w:id="209" w:name="_Toc66736630"/>
      <w:bookmarkStart w:id="210" w:name="_Toc67070449"/>
      <w:bookmarkStart w:id="211" w:name="_Toc67332095"/>
      <w:bookmarkStart w:id="212" w:name="_Toc67347378"/>
      <w:bookmarkStart w:id="213" w:name="_Toc71624547"/>
      <w:r w:rsidRPr="00767442">
        <w:rPr>
          <w:rFonts w:cs="Times New Roman"/>
        </w:rPr>
        <w:t>Hardship</w:t>
      </w:r>
      <w:bookmarkEnd w:id="203"/>
      <w:bookmarkEnd w:id="204"/>
      <w:bookmarkEnd w:id="205"/>
      <w:bookmarkEnd w:id="206"/>
      <w:bookmarkEnd w:id="207"/>
      <w:bookmarkEnd w:id="208"/>
      <w:bookmarkEnd w:id="209"/>
      <w:bookmarkEnd w:id="210"/>
      <w:bookmarkEnd w:id="211"/>
      <w:bookmarkEnd w:id="212"/>
      <w:bookmarkEnd w:id="213"/>
      <w:r w:rsidRPr="00767442">
        <w:rPr>
          <w:rFonts w:cs="Times New Roman"/>
        </w:rPr>
        <w:t xml:space="preserve"> </w:t>
      </w:r>
    </w:p>
    <w:p w14:paraId="733D143F"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The final factor is hardship to the payor if the period of retroactivity is not lengthened beyond the presumptive date. The payor must adduce evidence to “establish real facts” supporting a finding of hardship (</w:t>
      </w:r>
      <w:r w:rsidRPr="00767442">
        <w:rPr>
          <w:rFonts w:cs="Times New Roman"/>
          <w:i/>
          <w:iCs/>
        </w:rPr>
        <w:t>Goulding</w:t>
      </w:r>
      <w:r w:rsidRPr="00767442">
        <w:rPr>
          <w:rFonts w:cs="Times New Roman"/>
        </w:rPr>
        <w:t>, at para. 57). Bald assertions are not enough (</w:t>
      </w:r>
      <w:r w:rsidRPr="00767442">
        <w:rPr>
          <w:rFonts w:cs="Times New Roman"/>
          <w:i/>
          <w:iCs/>
        </w:rPr>
        <w:t>ibid</w:t>
      </w:r>
      <w:r w:rsidRPr="00767442">
        <w:rPr>
          <w:rFonts w:cs="Times New Roman"/>
        </w:rPr>
        <w:t>).</w:t>
      </w:r>
      <w:r w:rsidRPr="00767442" w:rsidDel="00A271E3">
        <w:rPr>
          <w:rFonts w:cs="Times New Roman"/>
        </w:rPr>
        <w:t xml:space="preserve"> </w:t>
      </w:r>
      <w:r w:rsidRPr="00767442">
        <w:rPr>
          <w:rFonts w:cs="Times New Roman"/>
        </w:rPr>
        <w:t>The payor must also provide a complete picture of their financial situation, including income, assets and debts.</w:t>
      </w:r>
      <w:r w:rsidRPr="00767442">
        <w:rPr>
          <w:rFonts w:cs="Times New Roman"/>
          <w:i/>
          <w:iCs/>
        </w:rPr>
        <w:t> </w:t>
      </w:r>
      <w:r w:rsidRPr="00767442">
        <w:rPr>
          <w:rFonts w:cs="Times New Roman"/>
        </w:rPr>
        <w:t xml:space="preserve">For example, in this case, an assessment of hardship requires consideration of not only Mr. Colucci’s present income and future earning capacity, but also the funds he received from his mother’s estate and any other assets. </w:t>
      </w:r>
    </w:p>
    <w:p w14:paraId="093EBB9D" w14:textId="77777777" w:rsidR="004E49A1" w:rsidRPr="00767442" w:rsidRDefault="004E49A1" w:rsidP="004E49A1">
      <w:pPr>
        <w:pStyle w:val="ParaNoNdepar-AltN"/>
        <w:tabs>
          <w:tab w:val="clear" w:pos="1152"/>
          <w:tab w:val="num" w:pos="1242"/>
        </w:tabs>
        <w:ind w:left="90"/>
        <w:rPr>
          <w:rFonts w:cs="Times New Roman"/>
        </w:rPr>
      </w:pPr>
      <w:r w:rsidRPr="00767442">
        <w:rPr>
          <w:rFonts w:cs="Times New Roman"/>
        </w:rPr>
        <w:t>A showing of hardship will not automatically justify a departure from the presumed date of retroactivity. Hardship carries much less weight where brought on by the payor’s own unreasonable failure to make proper disclosure and give notice to the recipient (</w:t>
      </w:r>
      <w:r w:rsidRPr="00767442">
        <w:rPr>
          <w:rFonts w:cs="Times New Roman"/>
          <w:i/>
        </w:rPr>
        <w:t>D.B.S.</w:t>
      </w:r>
      <w:r w:rsidRPr="00767442">
        <w:rPr>
          <w:rFonts w:cs="Times New Roman"/>
        </w:rPr>
        <w:t xml:space="preserve">, at para. 116). Hardship to the payor must also be viewed </w:t>
      </w:r>
      <w:r w:rsidRPr="00767442" w:rsidDel="00D04F57">
        <w:rPr>
          <w:rFonts w:cs="Times New Roman"/>
        </w:rPr>
        <w:t>in the context of hardship to the recipient and child if the court were to extend the period of the retroactive decrease (</w:t>
      </w:r>
      <w:r w:rsidRPr="00767442" w:rsidDel="00D04F57">
        <w:rPr>
          <w:rFonts w:cs="Times New Roman"/>
          <w:i/>
        </w:rPr>
        <w:t>Goulding</w:t>
      </w:r>
      <w:r w:rsidRPr="00767442" w:rsidDel="00D04F57">
        <w:rPr>
          <w:rFonts w:cs="Times New Roman"/>
        </w:rPr>
        <w:t>, at para.</w:t>
      </w:r>
      <w:r w:rsidRPr="00767442">
        <w:rPr>
          <w:rFonts w:cs="Times New Roman"/>
        </w:rPr>
        <w:t> </w:t>
      </w:r>
      <w:r w:rsidRPr="00767442" w:rsidDel="00D04F57">
        <w:rPr>
          <w:rFonts w:cs="Times New Roman"/>
        </w:rPr>
        <w:t>56).</w:t>
      </w:r>
      <w:r w:rsidRPr="00767442">
        <w:rPr>
          <w:rFonts w:cs="Times New Roman"/>
        </w:rPr>
        <w:t xml:space="preserve"> It is a holistic and relative assessment (</w:t>
      </w:r>
      <w:r w:rsidRPr="00767442">
        <w:rPr>
          <w:rFonts w:cs="Times New Roman"/>
          <w:i/>
        </w:rPr>
        <w:t>Michel</w:t>
      </w:r>
      <w:r w:rsidRPr="00767442">
        <w:rPr>
          <w:rFonts w:cs="Times New Roman"/>
        </w:rPr>
        <w:t>, at para. 100, per Martin J.).</w:t>
      </w:r>
    </w:p>
    <w:p w14:paraId="46B019ED" w14:textId="77777777" w:rsidR="004E49A1" w:rsidRPr="00767442" w:rsidRDefault="004E49A1" w:rsidP="004E49A1">
      <w:pPr>
        <w:pStyle w:val="Title4LevelTitre4Niveau"/>
        <w:numPr>
          <w:ilvl w:val="3"/>
          <w:numId w:val="19"/>
        </w:numPr>
        <w:jc w:val="both"/>
        <w:rPr>
          <w:rFonts w:cs="Times New Roman"/>
        </w:rPr>
      </w:pPr>
      <w:bookmarkStart w:id="214" w:name="_Toc62935251"/>
      <w:bookmarkStart w:id="215" w:name="_Toc62953623"/>
      <w:bookmarkStart w:id="216" w:name="_Toc62997993"/>
      <w:bookmarkStart w:id="217" w:name="_Toc64104278"/>
      <w:bookmarkStart w:id="218" w:name="_Toc64122515"/>
      <w:bookmarkStart w:id="219" w:name="_Toc64367718"/>
      <w:bookmarkStart w:id="220" w:name="_Toc66736631"/>
      <w:bookmarkStart w:id="221" w:name="_Toc67070450"/>
      <w:bookmarkStart w:id="222" w:name="_Toc67332096"/>
      <w:bookmarkStart w:id="223" w:name="_Toc67347379"/>
      <w:bookmarkStart w:id="224" w:name="_Toc71624548"/>
      <w:r w:rsidRPr="00767442">
        <w:rPr>
          <w:rFonts w:cs="Times New Roman"/>
        </w:rPr>
        <w:t>Quantum and Terms of Variation Order</w:t>
      </w:r>
      <w:bookmarkEnd w:id="214"/>
      <w:bookmarkEnd w:id="215"/>
      <w:bookmarkEnd w:id="216"/>
      <w:bookmarkEnd w:id="217"/>
      <w:bookmarkEnd w:id="218"/>
      <w:bookmarkEnd w:id="219"/>
      <w:bookmarkEnd w:id="220"/>
      <w:bookmarkEnd w:id="221"/>
      <w:bookmarkEnd w:id="222"/>
      <w:bookmarkEnd w:id="223"/>
      <w:bookmarkEnd w:id="224"/>
      <w:r w:rsidRPr="00767442">
        <w:rPr>
          <w:rFonts w:cs="Times New Roman"/>
        </w:rPr>
        <w:t xml:space="preserve"> </w:t>
      </w:r>
    </w:p>
    <w:p w14:paraId="6CDF7329"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If retroactive variation is appropriate, quantum is governed by the statutory scheme that applies to the award (</w:t>
      </w:r>
      <w:r w:rsidRPr="00767442">
        <w:rPr>
          <w:rFonts w:cs="Times New Roman"/>
          <w:i/>
        </w:rPr>
        <w:t>D.B.S.</w:t>
      </w:r>
      <w:r w:rsidRPr="00767442">
        <w:rPr>
          <w:rFonts w:cs="Times New Roman"/>
        </w:rPr>
        <w:t xml:space="preserve">, at para. 126). In this case, the </w:t>
      </w:r>
      <w:r w:rsidRPr="00767442">
        <w:rPr>
          <w:rFonts w:cs="Times New Roman"/>
          <w:i/>
        </w:rPr>
        <w:t xml:space="preserve">Guidelines </w:t>
      </w:r>
      <w:r w:rsidRPr="00767442">
        <w:rPr>
          <w:rFonts w:cs="Times New Roman"/>
        </w:rPr>
        <w:t xml:space="preserve">apply in determining the quantum of support. The </w:t>
      </w:r>
      <w:r w:rsidRPr="00767442">
        <w:rPr>
          <w:rFonts w:cs="Times New Roman"/>
          <w:i/>
        </w:rPr>
        <w:t xml:space="preserve">Guidelines </w:t>
      </w:r>
      <w:r w:rsidRPr="00767442">
        <w:rPr>
          <w:rFonts w:cs="Times New Roman"/>
        </w:rPr>
        <w:t xml:space="preserve">leave some space for discretion, such as when there is undue hardship within the meaning of s. 10. As in the prospective context, the court may also impute income under s. 19 of the </w:t>
      </w:r>
      <w:r w:rsidRPr="00767442">
        <w:rPr>
          <w:rFonts w:cs="Times New Roman"/>
          <w:i/>
        </w:rPr>
        <w:t>Guidelines</w:t>
      </w:r>
      <w:r w:rsidRPr="00767442">
        <w:rPr>
          <w:rFonts w:cs="Times New Roman"/>
        </w:rPr>
        <w:t>, such as where the payor has been intentionally under-employed or has unreasonably deducted expenses from income. Blameworthy conduct by the payor may be considered in setting interest or costs (</w:t>
      </w:r>
      <w:r w:rsidRPr="00767442">
        <w:rPr>
          <w:rFonts w:cs="Times New Roman"/>
          <w:i/>
        </w:rPr>
        <w:t>Michel</w:t>
      </w:r>
      <w:r w:rsidRPr="00767442">
        <w:rPr>
          <w:rFonts w:cs="Times New Roman"/>
        </w:rPr>
        <w:t>, at para. 119, per Martin J.).</w:t>
      </w:r>
    </w:p>
    <w:p w14:paraId="5351D278"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Full and complete disclosure is required to quantify the appropriate amount of support for the period of retroactivity, just as it would be when quantifying prospective support (</w:t>
      </w:r>
      <w:r w:rsidRPr="00767442">
        <w:rPr>
          <w:rFonts w:cs="Times New Roman"/>
          <w:i/>
        </w:rPr>
        <w:t>Brown</w:t>
      </w:r>
      <w:r w:rsidRPr="00767442">
        <w:rPr>
          <w:rFonts w:cs="Times New Roman"/>
        </w:rPr>
        <w:t>, at para. 20). The onus is on the payor to show the extent to which their income decreased during the period of retroactivity (</w:t>
      </w:r>
      <w:r w:rsidRPr="00767442">
        <w:rPr>
          <w:rFonts w:cs="Times New Roman"/>
          <w:i/>
        </w:rPr>
        <w:t>Templeton</w:t>
      </w:r>
      <w:r w:rsidRPr="00767442">
        <w:rPr>
          <w:rFonts w:cs="Times New Roman"/>
        </w:rPr>
        <w:t>, at para. 65). If the payor fails to provide all relevant evidence required for the court to fully appreciate their true income during any part of the period of retroactivity, the court may draw an adverse inference against the payor (</w:t>
      </w:r>
      <w:r w:rsidRPr="00767442">
        <w:rPr>
          <w:rFonts w:cs="Times New Roman"/>
          <w:i/>
        </w:rPr>
        <w:t>Templeton</w:t>
      </w:r>
      <w:r w:rsidRPr="00767442">
        <w:rPr>
          <w:rFonts w:cs="Times New Roman"/>
        </w:rPr>
        <w:t xml:space="preserve">, at para. 67). The payor must also make complete disclosure of their current financial circumstances if seeking a periodic payment plan or temporary suspension on hardship grounds. </w:t>
      </w:r>
    </w:p>
    <w:p w14:paraId="05043910" w14:textId="77777777" w:rsidR="004E49A1" w:rsidRPr="00767442" w:rsidRDefault="004E49A1" w:rsidP="004E49A1">
      <w:pPr>
        <w:pStyle w:val="ParaNoNdepar-AltN"/>
        <w:rPr>
          <w:rFonts w:cs="Times New Roman"/>
        </w:rPr>
      </w:pPr>
      <w:r w:rsidRPr="00767442">
        <w:rPr>
          <w:rFonts w:cs="Times New Roman"/>
        </w:rPr>
        <w:t xml:space="preserve">Finally, while the above framework facilitates fair resolution of disputes after the fact, parties, counsel and the courts should be mindful of best practices designed to obviate the need to resort to the courts. Given the prevalence of fluctuating income, the preferred solution — absent family violence — is a yearly recalculation of child support based on disclosure of updated income. Some provinces offer an administrative recalculation service (see, e.g., </w:t>
      </w:r>
      <w:r w:rsidRPr="00767442">
        <w:rPr>
          <w:rFonts w:cs="Times New Roman"/>
          <w:i/>
        </w:rPr>
        <w:t>Family Law Act</w:t>
      </w:r>
      <w:r w:rsidRPr="00767442">
        <w:rPr>
          <w:rFonts w:cs="Times New Roman"/>
        </w:rPr>
        <w:t xml:space="preserve">, R.S.O. 1990, c. F.3, s. 39.1(2)) and/or free family mediation services if the parties cannot agree on a change in support following a change in the payor’s income (see, e.g., family justice counsellors in British Columbia: </w:t>
      </w:r>
      <w:r w:rsidRPr="00767442">
        <w:rPr>
          <w:rFonts w:cs="Times New Roman"/>
          <w:i/>
        </w:rPr>
        <w:t>Family Law Act</w:t>
      </w:r>
      <w:r w:rsidRPr="00767442">
        <w:rPr>
          <w:rFonts w:cs="Times New Roman"/>
        </w:rPr>
        <w:t xml:space="preserve">, s. 10). </w:t>
      </w:r>
    </w:p>
    <w:p w14:paraId="0E0DCAC5" w14:textId="77777777" w:rsidR="004E49A1" w:rsidRPr="00767442" w:rsidRDefault="004E49A1" w:rsidP="004E49A1">
      <w:pPr>
        <w:pStyle w:val="ParaNoNdepar-AltN"/>
        <w:rPr>
          <w:rFonts w:cs="Times New Roman"/>
        </w:rPr>
      </w:pPr>
      <w:r w:rsidRPr="00767442">
        <w:rPr>
          <w:rFonts w:cs="Times New Roman"/>
        </w:rPr>
        <w:t xml:space="preserve">Where an application under s. 17 of the </w:t>
      </w:r>
      <w:r w:rsidRPr="00767442">
        <w:rPr>
          <w:rFonts w:cs="Times New Roman"/>
          <w:i/>
        </w:rPr>
        <w:t>Divorce Act</w:t>
      </w:r>
      <w:r w:rsidRPr="00767442">
        <w:rPr>
          <w:rFonts w:cs="Times New Roman"/>
        </w:rPr>
        <w:t xml:space="preserve"> has become necessary because the parties have not recalculated support regularly, courts should consider including a term in the order to obviate the need for future retroactive applications. The court might include an order requiring parties whose income is necessary to determine the amount of support to advise each other promptly of changes in income and to exchange the information listed in s. 21(1) of the </w:t>
      </w:r>
      <w:r w:rsidRPr="00767442">
        <w:rPr>
          <w:rFonts w:cs="Times New Roman"/>
          <w:i/>
        </w:rPr>
        <w:t>Guidelines</w:t>
      </w:r>
      <w:r w:rsidRPr="00767442">
        <w:rPr>
          <w:rFonts w:cs="Times New Roman"/>
        </w:rPr>
        <w:t xml:space="preserve"> on an annual basis (see, e.g., </w:t>
      </w:r>
      <w:r w:rsidRPr="00767442">
        <w:rPr>
          <w:rFonts w:cs="Times New Roman"/>
          <w:i/>
        </w:rPr>
        <w:t>Corcios</w:t>
      </w:r>
      <w:r w:rsidRPr="00767442">
        <w:rPr>
          <w:rFonts w:cs="Times New Roman"/>
        </w:rPr>
        <w:t>,</w:t>
      </w:r>
      <w:r w:rsidRPr="00767442">
        <w:rPr>
          <w:rFonts w:cs="Times New Roman"/>
          <w:i/>
        </w:rPr>
        <w:t xml:space="preserve"> </w:t>
      </w:r>
      <w:r w:rsidRPr="00767442">
        <w:rPr>
          <w:rFonts w:cs="Times New Roman"/>
        </w:rPr>
        <w:t>at para. 76;</w:t>
      </w:r>
      <w:r w:rsidRPr="00767442">
        <w:rPr>
          <w:rFonts w:cs="Times New Roman"/>
          <w:i/>
        </w:rPr>
        <w:t xml:space="preserve"> Burchill</w:t>
      </w:r>
      <w:r w:rsidRPr="00767442">
        <w:rPr>
          <w:rFonts w:cs="Times New Roman"/>
        </w:rPr>
        <w:t>, at para. 64). The court might also consider a term providing that parties are to recalculate support on an annual basis and, if unable to agree, may apply to the court for a determination of the amount payable (</w:t>
      </w:r>
      <w:r w:rsidRPr="00767442">
        <w:rPr>
          <w:rFonts w:cs="Times New Roman"/>
          <w:i/>
        </w:rPr>
        <w:t>D.B.S.</w:t>
      </w:r>
      <w:r w:rsidRPr="00767442">
        <w:rPr>
          <w:rFonts w:cs="Times New Roman"/>
        </w:rPr>
        <w:t xml:space="preserve"> (C.A.), at para. 94; N. Bakht et al., “</w:t>
      </w:r>
      <w:r w:rsidRPr="00767442">
        <w:rPr>
          <w:rFonts w:cs="Times New Roman"/>
          <w:i/>
          <w:iCs/>
        </w:rPr>
        <w:t>D.B.S. v. S.G.R.</w:t>
      </w:r>
      <w:r w:rsidRPr="00767442">
        <w:rPr>
          <w:rFonts w:cs="Times New Roman"/>
        </w:rPr>
        <w:t>: Promoting Women’s Equality through the Automatic Recalculation of Child Support” (2006), 18 </w:t>
      </w:r>
      <w:r w:rsidRPr="00767442">
        <w:rPr>
          <w:rFonts w:cs="Times New Roman"/>
          <w:i/>
          <w:iCs/>
        </w:rPr>
        <w:t>C.J.W.L.</w:t>
      </w:r>
      <w:r w:rsidRPr="00767442">
        <w:rPr>
          <w:rFonts w:cs="Times New Roman"/>
        </w:rPr>
        <w:t> 535, at p. 556).</w:t>
      </w:r>
    </w:p>
    <w:p w14:paraId="4228A4A2" w14:textId="77777777" w:rsidR="004E49A1" w:rsidRPr="00767442" w:rsidRDefault="004E49A1" w:rsidP="004E49A1">
      <w:pPr>
        <w:pStyle w:val="Title4LevelTitre4Niveau"/>
        <w:numPr>
          <w:ilvl w:val="3"/>
          <w:numId w:val="19"/>
        </w:numPr>
        <w:rPr>
          <w:rFonts w:cs="Times New Roman"/>
        </w:rPr>
      </w:pPr>
      <w:bookmarkStart w:id="225" w:name="_Toc67070451"/>
      <w:bookmarkStart w:id="226" w:name="_Toc67332097"/>
      <w:bookmarkStart w:id="227" w:name="_Toc67347380"/>
      <w:bookmarkStart w:id="228" w:name="_Toc71624549"/>
      <w:bookmarkStart w:id="229" w:name="_Toc62935252"/>
      <w:bookmarkStart w:id="230" w:name="_Toc62953624"/>
      <w:bookmarkStart w:id="231" w:name="_Toc62997994"/>
      <w:bookmarkStart w:id="232" w:name="_Toc64104279"/>
      <w:bookmarkStart w:id="233" w:name="_Toc64122516"/>
      <w:bookmarkStart w:id="234" w:name="_Toc64367719"/>
      <w:bookmarkStart w:id="235" w:name="_Toc66736632"/>
      <w:r w:rsidRPr="00767442">
        <w:rPr>
          <w:rFonts w:cs="Times New Roman"/>
        </w:rPr>
        <w:t>Summary</w:t>
      </w:r>
      <w:bookmarkEnd w:id="225"/>
      <w:bookmarkEnd w:id="226"/>
      <w:bookmarkEnd w:id="227"/>
      <w:bookmarkEnd w:id="228"/>
      <w:r w:rsidRPr="00767442">
        <w:rPr>
          <w:rFonts w:cs="Times New Roman"/>
        </w:rPr>
        <w:t xml:space="preserve"> </w:t>
      </w:r>
    </w:p>
    <w:p w14:paraId="2C40B61E"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To summarize, where the payor applies under s. 17 of the </w:t>
      </w:r>
      <w:r w:rsidRPr="00767442">
        <w:rPr>
          <w:rFonts w:cs="Times New Roman"/>
          <w:i/>
        </w:rPr>
        <w:t>Divorce Act</w:t>
      </w:r>
      <w:r w:rsidRPr="00767442">
        <w:rPr>
          <w:rFonts w:cs="Times New Roman"/>
        </w:rPr>
        <w:t xml:space="preserve"> to retroactively decrease child support, the following analysis applies: </w:t>
      </w:r>
    </w:p>
    <w:p w14:paraId="49975984" w14:textId="77777777" w:rsidR="004E49A1" w:rsidRPr="00767442" w:rsidRDefault="004E49A1" w:rsidP="004E49A1">
      <w:pPr>
        <w:pStyle w:val="ParaNoNdepar-AltN"/>
        <w:numPr>
          <w:ilvl w:val="3"/>
          <w:numId w:val="17"/>
        </w:numPr>
        <w:tabs>
          <w:tab w:val="left" w:pos="851"/>
        </w:tabs>
        <w:ind w:left="567" w:hanging="567"/>
        <w:rPr>
          <w:rFonts w:cs="Times New Roman"/>
        </w:rPr>
      </w:pPr>
      <w:r w:rsidRPr="00767442">
        <w:rPr>
          <w:rFonts w:cs="Times New Roman"/>
        </w:rPr>
        <w:t xml:space="preserve">The payor must meet the threshold of establishing a past material change in circumstances. The onus is on the payor to show a material decrease in income that has some degree of continuity, and that is real and not one of choice. </w:t>
      </w:r>
    </w:p>
    <w:p w14:paraId="4E51F4C5" w14:textId="77777777" w:rsidR="004E49A1" w:rsidRPr="00767442" w:rsidRDefault="004E49A1" w:rsidP="004E49A1">
      <w:pPr>
        <w:pStyle w:val="ParaNoNdepar-AltN"/>
        <w:numPr>
          <w:ilvl w:val="3"/>
          <w:numId w:val="17"/>
        </w:numPr>
        <w:tabs>
          <w:tab w:val="left" w:pos="851"/>
        </w:tabs>
        <w:ind w:left="567" w:hanging="567"/>
        <w:rPr>
          <w:rFonts w:cs="Times New Roman"/>
        </w:rPr>
      </w:pPr>
      <w:r w:rsidRPr="00767442">
        <w:rPr>
          <w:rFonts w:cs="Times New Roman"/>
        </w:rPr>
        <w:t xml:space="preserve">Once a material change in circumstances is established, a presumption arises in favour of retroactively decreasing child support to the date the payor gave the recipient effective notice, up to three years before formal notice of the application to vary. In the decrease context, effective notice requires clear communication of the change in circumstances accompanied by the disclosure of any available documentation necessary to substantiate the change and allow the recipient parent to meaningfully assess the situation. </w:t>
      </w:r>
    </w:p>
    <w:p w14:paraId="3927FEE9" w14:textId="77777777" w:rsidR="004E49A1" w:rsidRPr="00767442" w:rsidRDefault="004E49A1" w:rsidP="004E49A1">
      <w:pPr>
        <w:pStyle w:val="ParaNoNdepar-AltN"/>
        <w:numPr>
          <w:ilvl w:val="3"/>
          <w:numId w:val="17"/>
        </w:numPr>
        <w:tabs>
          <w:tab w:val="left" w:pos="851"/>
        </w:tabs>
        <w:ind w:left="567" w:hanging="567"/>
        <w:rPr>
          <w:rFonts w:cs="Times New Roman"/>
        </w:rPr>
      </w:pPr>
      <w:r w:rsidRPr="00767442">
        <w:rPr>
          <w:rFonts w:cs="Times New Roman"/>
        </w:rPr>
        <w:t xml:space="preserve">Where no effective notice is given by the payor parent, child support should generally be varied back to the date of formal notice, or a later date where the payor has delayed making complete disclosure in the course of the proceedings. </w:t>
      </w:r>
    </w:p>
    <w:p w14:paraId="4E6B0636" w14:textId="77777777" w:rsidR="004E49A1" w:rsidRPr="00767442" w:rsidRDefault="004E49A1" w:rsidP="004E49A1">
      <w:pPr>
        <w:pStyle w:val="ParaNoNdepar-AltN"/>
        <w:numPr>
          <w:ilvl w:val="3"/>
          <w:numId w:val="17"/>
        </w:numPr>
        <w:tabs>
          <w:tab w:val="left" w:pos="851"/>
        </w:tabs>
        <w:ind w:left="567" w:hanging="567"/>
        <w:rPr>
          <w:rFonts w:cs="Times New Roman"/>
        </w:rPr>
      </w:pPr>
      <w:r w:rsidRPr="00767442">
        <w:rPr>
          <w:rFonts w:cs="Times New Roman"/>
        </w:rPr>
        <w:t xml:space="preserve">The court retains discretion to depart from the presumptive date of retroactivity where the result would otherwise be unfair. The </w:t>
      </w:r>
      <w:r w:rsidRPr="00767442">
        <w:rPr>
          <w:rFonts w:cs="Times New Roman"/>
          <w:i/>
        </w:rPr>
        <w:t xml:space="preserve">D.B.S. </w:t>
      </w:r>
      <w:r w:rsidRPr="00767442">
        <w:rPr>
          <w:rFonts w:cs="Times New Roman"/>
        </w:rPr>
        <w:t xml:space="preserve">factors (adapted to the decrease context) guide this exercise of discretion. Those factors are: (i) whether the payor had an understandable reason for the delay in seeking a decrease; (ii) the payor’s conduct; (iii) the child’s circumstances; and </w:t>
      </w:r>
      <w:proofErr w:type="gramStart"/>
      <w:r w:rsidRPr="00767442">
        <w:rPr>
          <w:rFonts w:cs="Times New Roman"/>
        </w:rPr>
        <w:t>(iv) hardship</w:t>
      </w:r>
      <w:proofErr w:type="gramEnd"/>
      <w:r w:rsidRPr="00767442">
        <w:rPr>
          <w:rFonts w:cs="Times New Roman"/>
        </w:rPr>
        <w:t xml:space="preserve"> to the payor if support is not decreased (viewed in context of hardship to the child and recipient if support </w:t>
      </w:r>
      <w:r w:rsidRPr="00767442">
        <w:rPr>
          <w:rFonts w:cs="Times New Roman"/>
          <w:i/>
        </w:rPr>
        <w:t>is</w:t>
      </w:r>
      <w:r w:rsidRPr="00767442">
        <w:rPr>
          <w:rFonts w:cs="Times New Roman"/>
        </w:rPr>
        <w:t xml:space="preserve"> decreased). The payor’s efforts to pay what they can and to communicate and disclose income information on an ongoing basis will often be a key consideration under the factor of payor conduct. </w:t>
      </w:r>
    </w:p>
    <w:p w14:paraId="7ADA3016" w14:textId="77777777" w:rsidR="004E49A1" w:rsidRPr="00767442" w:rsidRDefault="004E49A1" w:rsidP="004E49A1">
      <w:pPr>
        <w:pStyle w:val="ParaNoNdepar-AltN"/>
        <w:numPr>
          <w:ilvl w:val="3"/>
          <w:numId w:val="17"/>
        </w:numPr>
        <w:tabs>
          <w:tab w:val="left" w:pos="851"/>
        </w:tabs>
        <w:ind w:left="567" w:hanging="567"/>
        <w:rPr>
          <w:rFonts w:cs="Times New Roman"/>
        </w:rPr>
      </w:pPr>
      <w:r w:rsidRPr="00767442">
        <w:rPr>
          <w:rFonts w:cs="Times New Roman"/>
        </w:rPr>
        <w:t xml:space="preserve">Finally, once the court has determined that support should be retroactively decreased to a particular date, the decrease must be quantified. The proper amount of support for each year since the date of retroactivity must be calculated in accordance with the </w:t>
      </w:r>
      <w:r w:rsidRPr="00767442">
        <w:rPr>
          <w:rFonts w:cs="Times New Roman"/>
          <w:i/>
        </w:rPr>
        <w:t>Guidelines</w:t>
      </w:r>
      <w:r w:rsidRPr="00767442">
        <w:rPr>
          <w:rFonts w:cs="Times New Roman"/>
        </w:rPr>
        <w:t>.</w:t>
      </w:r>
      <w:bookmarkStart w:id="236" w:name="_Toc67070452"/>
    </w:p>
    <w:p w14:paraId="1F73C078"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It is also helpful to summarize the principles which now apply to cases in which the recipient applies under s. 17 to retroactively increase child support: </w:t>
      </w:r>
    </w:p>
    <w:p w14:paraId="36AB7477" w14:textId="77777777" w:rsidR="004E49A1" w:rsidRPr="00767442" w:rsidRDefault="004E49A1" w:rsidP="004E49A1">
      <w:pPr>
        <w:pStyle w:val="ParaNoNdepar-AltN"/>
        <w:numPr>
          <w:ilvl w:val="1"/>
          <w:numId w:val="17"/>
        </w:numPr>
        <w:tabs>
          <w:tab w:val="left" w:pos="851"/>
        </w:tabs>
        <w:ind w:left="709" w:hanging="709"/>
        <w:rPr>
          <w:rFonts w:cs="Times New Roman"/>
        </w:rPr>
      </w:pPr>
      <w:r w:rsidRPr="00767442">
        <w:rPr>
          <w:rFonts w:cs="Times New Roman"/>
        </w:rPr>
        <w:t>The recipient must meet the threshold of establishing a past material change in circumstances. While the onus is on the recipient to show a material increase in income, any failure by the payor to disclose relevant financial information allows the court to impute income, strike pleadings, draw adverse inferences, and award costs. There is no need for the recipient to make multiple court applications for disclosure before a court has these powers.</w:t>
      </w:r>
    </w:p>
    <w:p w14:paraId="6A9FCDE6" w14:textId="77777777" w:rsidR="004E49A1" w:rsidRPr="00767442" w:rsidRDefault="004E49A1" w:rsidP="004E49A1">
      <w:pPr>
        <w:pStyle w:val="ParaNoNdepar-AltN"/>
        <w:numPr>
          <w:ilvl w:val="1"/>
          <w:numId w:val="17"/>
        </w:numPr>
        <w:tabs>
          <w:tab w:val="left" w:pos="851"/>
        </w:tabs>
        <w:ind w:left="709" w:hanging="709"/>
        <w:rPr>
          <w:rFonts w:cs="Times New Roman"/>
        </w:rPr>
      </w:pPr>
      <w:r w:rsidRPr="00767442">
        <w:rPr>
          <w:rFonts w:cs="Times New Roman"/>
        </w:rPr>
        <w:t xml:space="preserve">Once a material change in circumstances is established, a presumption arises in favour of retroactively increasing child support to the date the recipient gave the payor effective notice of the request for an increase, up to three years before formal notice of the application to vary. In the increase context, because of informational asymmetry, effective notice requires only that the recipient broached the subject of an increase with the payor. </w:t>
      </w:r>
    </w:p>
    <w:p w14:paraId="0FAAD423" w14:textId="77777777" w:rsidR="004E49A1" w:rsidRPr="00767442" w:rsidRDefault="004E49A1" w:rsidP="004E49A1">
      <w:pPr>
        <w:pStyle w:val="ParaNoNdepar-AltN"/>
        <w:numPr>
          <w:ilvl w:val="1"/>
          <w:numId w:val="17"/>
        </w:numPr>
        <w:tabs>
          <w:tab w:val="left" w:pos="851"/>
        </w:tabs>
        <w:ind w:left="709" w:hanging="709"/>
        <w:rPr>
          <w:rFonts w:cs="Times New Roman"/>
        </w:rPr>
      </w:pPr>
      <w:r w:rsidRPr="00767442">
        <w:rPr>
          <w:rFonts w:cs="Times New Roman"/>
        </w:rPr>
        <w:t>Where no effective notice is given by the recipient parent, child support should generally be increased back to the date of formal notice.</w:t>
      </w:r>
    </w:p>
    <w:p w14:paraId="2799058D" w14:textId="77777777" w:rsidR="004E49A1" w:rsidRPr="00767442" w:rsidRDefault="004E49A1" w:rsidP="004E49A1">
      <w:pPr>
        <w:pStyle w:val="ParaNoNdepar-AltN"/>
        <w:numPr>
          <w:ilvl w:val="1"/>
          <w:numId w:val="17"/>
        </w:numPr>
        <w:tabs>
          <w:tab w:val="left" w:pos="851"/>
        </w:tabs>
        <w:ind w:left="709" w:hanging="709"/>
        <w:rPr>
          <w:rFonts w:cs="Times New Roman"/>
        </w:rPr>
      </w:pPr>
      <w:r w:rsidRPr="00767442">
        <w:rPr>
          <w:rFonts w:cs="Times New Roman"/>
        </w:rPr>
        <w:t xml:space="preserve">The court retains discretion to depart from the presumptive date of retroactivity where the result would otherwise be unfair. The </w:t>
      </w:r>
      <w:r w:rsidRPr="00767442">
        <w:rPr>
          <w:rFonts w:cs="Times New Roman"/>
          <w:i/>
        </w:rPr>
        <w:t xml:space="preserve">D.B.S. </w:t>
      </w:r>
      <w:r w:rsidRPr="00767442">
        <w:rPr>
          <w:rFonts w:cs="Times New Roman"/>
        </w:rPr>
        <w:t xml:space="preserve">factors continue to guide this exercise of discretion, as described in </w:t>
      </w:r>
      <w:r w:rsidRPr="00767442">
        <w:rPr>
          <w:rFonts w:cs="Times New Roman"/>
          <w:i/>
        </w:rPr>
        <w:t>Michel</w:t>
      </w:r>
      <w:r w:rsidRPr="00767442">
        <w:rPr>
          <w:rFonts w:cs="Times New Roman"/>
        </w:rPr>
        <w:t xml:space="preserve">. If the payor has failed to disclose a material increase in income, that failure qualifies as blameworthy conduct and the date of retroactivity will generally be the date of the increase in income. </w:t>
      </w:r>
    </w:p>
    <w:p w14:paraId="3476CCF6" w14:textId="77777777" w:rsidR="004E49A1" w:rsidRPr="00767442" w:rsidRDefault="004E49A1" w:rsidP="004E49A1">
      <w:pPr>
        <w:pStyle w:val="ParaNoNdepar-AltN"/>
        <w:numPr>
          <w:ilvl w:val="1"/>
          <w:numId w:val="17"/>
        </w:numPr>
        <w:tabs>
          <w:tab w:val="left" w:pos="851"/>
        </w:tabs>
        <w:ind w:left="709" w:hanging="709"/>
        <w:rPr>
          <w:rFonts w:cs="Times New Roman"/>
        </w:rPr>
      </w:pPr>
      <w:r w:rsidRPr="00767442">
        <w:rPr>
          <w:rFonts w:cs="Times New Roman"/>
        </w:rPr>
        <w:t xml:space="preserve">Once the court has determined that support should be retroactively increased to a particular date, the increase must be quantified. The proper amount of support for each year since the date of retroactivity must be calculated in accordance with the </w:t>
      </w:r>
      <w:r w:rsidRPr="00767442">
        <w:rPr>
          <w:rFonts w:cs="Times New Roman"/>
          <w:i/>
        </w:rPr>
        <w:t>Guidelines</w:t>
      </w:r>
      <w:r w:rsidRPr="00767442">
        <w:rPr>
          <w:rFonts w:cs="Times New Roman"/>
        </w:rPr>
        <w:t>.</w:t>
      </w:r>
    </w:p>
    <w:p w14:paraId="4CA1D1EF" w14:textId="77777777" w:rsidR="004E49A1" w:rsidRPr="00767442" w:rsidRDefault="004E49A1" w:rsidP="004E49A1">
      <w:pPr>
        <w:pStyle w:val="Title4LevelTitre4Niveau"/>
        <w:numPr>
          <w:ilvl w:val="3"/>
          <w:numId w:val="19"/>
        </w:numPr>
        <w:jc w:val="both"/>
        <w:rPr>
          <w:rFonts w:cs="Times New Roman"/>
        </w:rPr>
      </w:pPr>
      <w:bookmarkStart w:id="237" w:name="_Toc67332098"/>
      <w:bookmarkStart w:id="238" w:name="_Toc67347381"/>
      <w:bookmarkStart w:id="239" w:name="_Toc71624550"/>
      <w:r w:rsidRPr="00767442">
        <w:rPr>
          <w:rFonts w:cs="Times New Roman"/>
        </w:rPr>
        <w:t>Application to the Present Case</w:t>
      </w:r>
      <w:bookmarkEnd w:id="237"/>
      <w:bookmarkEnd w:id="238"/>
      <w:bookmarkEnd w:id="239"/>
    </w:p>
    <w:bookmarkEnd w:id="229"/>
    <w:bookmarkEnd w:id="230"/>
    <w:bookmarkEnd w:id="231"/>
    <w:bookmarkEnd w:id="232"/>
    <w:bookmarkEnd w:id="233"/>
    <w:bookmarkEnd w:id="234"/>
    <w:bookmarkEnd w:id="235"/>
    <w:bookmarkEnd w:id="236"/>
    <w:p w14:paraId="76FF8C1F"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Support orders attract deference on appeal. Absent an error or an extricable question of law, a palpable and overriding error, or a fundamental mischaracterization or misapprehension of the evidence, an appellate court should not interfere with </w:t>
      </w:r>
      <w:r w:rsidRPr="00767442">
        <w:rPr>
          <w:rFonts w:cs="Times New Roman"/>
          <w:shd w:val="clear" w:color="auto" w:fill="FFFFFF"/>
        </w:rPr>
        <w:t xml:space="preserve">the trial judge’s exercise of discretion </w:t>
      </w:r>
      <w:r w:rsidRPr="00767442">
        <w:rPr>
          <w:rFonts w:cs="Times New Roman"/>
        </w:rPr>
        <w:t>(</w:t>
      </w:r>
      <w:r w:rsidRPr="00767442">
        <w:rPr>
          <w:rFonts w:cs="Times New Roman"/>
          <w:i/>
        </w:rPr>
        <w:t>Brandsema</w:t>
      </w:r>
      <w:r w:rsidRPr="00767442">
        <w:rPr>
          <w:rFonts w:cs="Times New Roman"/>
        </w:rPr>
        <w:t xml:space="preserve">, at para. 30). </w:t>
      </w:r>
    </w:p>
    <w:p w14:paraId="44AF7A59"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In this case, I agree with the Court of Appeal that the motion judge erred in principle. Instead of balancing the payor’s interest in flexibility against the interests of the child and recipient, the motion judge concluded that the coming into force of the </w:t>
      </w:r>
      <w:r w:rsidRPr="00767442">
        <w:rPr>
          <w:rFonts w:cs="Times New Roman"/>
          <w:i/>
        </w:rPr>
        <w:t xml:space="preserve">Guidelines </w:t>
      </w:r>
      <w:r w:rsidRPr="00767442">
        <w:rPr>
          <w:rFonts w:cs="Times New Roman"/>
        </w:rPr>
        <w:t xml:space="preserve">was a change in circumstances that “entitled [Mr. Colucci] </w:t>
      </w:r>
      <w:r w:rsidRPr="00767442">
        <w:rPr>
          <w:rFonts w:cs="Times New Roman"/>
          <w:u w:val="single"/>
        </w:rPr>
        <w:t>as of right</w:t>
      </w:r>
      <w:r w:rsidRPr="00767442">
        <w:rPr>
          <w:rFonts w:cs="Times New Roman"/>
        </w:rPr>
        <w:t xml:space="preserve"> to a variation and a calculation based on table amounts and his drop in income” (reasons of motion judge, at para. 15 (emphasis added)). While the motion judge did not have the benefit of these reasons, that conclusion was inconsistent with the principles underlying the </w:t>
      </w:r>
      <w:r w:rsidRPr="00767442">
        <w:rPr>
          <w:rFonts w:cs="Times New Roman"/>
          <w:i/>
        </w:rPr>
        <w:t xml:space="preserve">Guidelines </w:t>
      </w:r>
      <w:r w:rsidRPr="00767442">
        <w:rPr>
          <w:rFonts w:cs="Times New Roman"/>
        </w:rPr>
        <w:t>and the framework set out above.</w:t>
      </w:r>
    </w:p>
    <w:p w14:paraId="1AF57031"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The motion judge was correct in concluding that the coming into force of the </w:t>
      </w:r>
      <w:r w:rsidRPr="00767442">
        <w:rPr>
          <w:rFonts w:cs="Times New Roman"/>
          <w:i/>
        </w:rPr>
        <w:t xml:space="preserve">Guidelines </w:t>
      </w:r>
      <w:r w:rsidRPr="00767442">
        <w:rPr>
          <w:rFonts w:cs="Times New Roman"/>
        </w:rPr>
        <w:t xml:space="preserve">constituted a change in circumstances under s. 14(c). While this legal change opens the door at the threshold step, it does not obviate the need for evidence of Mr. Colucci’s earnings in the years since the </w:t>
      </w:r>
      <w:r w:rsidRPr="00767442">
        <w:rPr>
          <w:rFonts w:cs="Times New Roman"/>
          <w:i/>
        </w:rPr>
        <w:t xml:space="preserve">Guidelines </w:t>
      </w:r>
      <w:r w:rsidRPr="00767442">
        <w:rPr>
          <w:rFonts w:cs="Times New Roman"/>
        </w:rPr>
        <w:t xml:space="preserve">came into force. Without reliable and complete income information, the court cannot recalculate support for the intervening years in accordance with the </w:t>
      </w:r>
      <w:r w:rsidRPr="00767442">
        <w:rPr>
          <w:rFonts w:cs="Times New Roman"/>
          <w:i/>
        </w:rPr>
        <w:t>Guidelines</w:t>
      </w:r>
      <w:r w:rsidRPr="00767442">
        <w:rPr>
          <w:rFonts w:cs="Times New Roman"/>
        </w:rPr>
        <w:t xml:space="preserve">. </w:t>
      </w:r>
      <w:r w:rsidRPr="00767442">
        <w:rPr>
          <w:rFonts w:cs="Times New Roman"/>
          <w:bCs/>
        </w:rPr>
        <w:t xml:space="preserve">Thus, Mr. Colucci’s failure to adduce adequate evidence of his income since 2000 is fatal to his application. Even if he adduced sufficient evidence of his income from 1997 to 2000, the three-year rule applies, as discussed below. </w:t>
      </w:r>
    </w:p>
    <w:p w14:paraId="54DDC2B2"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Aside from the coming into force of the </w:t>
      </w:r>
      <w:r w:rsidRPr="00767442">
        <w:rPr>
          <w:rFonts w:cs="Times New Roman"/>
          <w:i/>
        </w:rPr>
        <w:t>Guidelines</w:t>
      </w:r>
      <w:r w:rsidRPr="00767442">
        <w:rPr>
          <w:rFonts w:cs="Times New Roman"/>
        </w:rPr>
        <w:t xml:space="preserve">, Mr. Colucci also relied on material decreases in his income after the </w:t>
      </w:r>
      <w:r w:rsidRPr="00767442">
        <w:rPr>
          <w:rFonts w:cs="Times New Roman"/>
          <w:i/>
        </w:rPr>
        <w:t xml:space="preserve">Guidelines </w:t>
      </w:r>
      <w:r w:rsidRPr="00767442">
        <w:rPr>
          <w:rFonts w:cs="Times New Roman"/>
        </w:rPr>
        <w:t>came into force as a justification for retroactively decreasing the amount of support.</w:t>
      </w:r>
      <w:r w:rsidRPr="00767442">
        <w:rPr>
          <w:rFonts w:cs="Times New Roman"/>
          <w:i/>
        </w:rPr>
        <w:t xml:space="preserve"> </w:t>
      </w:r>
      <w:r w:rsidRPr="00767442">
        <w:rPr>
          <w:rFonts w:cs="Times New Roman"/>
        </w:rPr>
        <w:t xml:space="preserve">To the extent he relies on drops in income, however, his deficient communication, inadequate evidence and insufficient disclosure are fatal to his application: not only has he not proven a decrease in income, he can point to no actions which qualify as effective notice. The Court of Appeal properly rejected the submission that his child support obligations should be retroactively varied to April 1998, when he asked Ms. Colucci through counsel for a reduction in the amount of child support payable because of an alleged decrease in his income. </w:t>
      </w:r>
    </w:p>
    <w:p w14:paraId="5A82F7A9"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It is not enough for a payor in Mr. Colucci’s shoes to advise the recipient that their income has fallen without taking any further steps. Following Ms. Colucci’s refusal to vary support in 1998, Mr. Colucci “</w:t>
      </w:r>
      <w:r w:rsidRPr="00767442">
        <w:rPr>
          <w:rFonts w:cs="Times New Roman"/>
          <w:shd w:val="clear" w:color="auto" w:fill="FFFFFF"/>
        </w:rPr>
        <w:t xml:space="preserve">produced no proof of his changed financial circumstances, nor, after his initial request for a reduction in 1998, did he instigate any further negotiations, mediation or court proceedings” (C.A. reasons, at para. 34). Rather, he cut off communication and did nothing until commencing this proceeding in 2016. Since Mr. Colucci did not provide reasonable proof to allow the recipient to meaningfully assess the situation, his request fell short of effective notice. Further, the request in 1998 could not constitute notice of the more dramatic drops in his income after the initial request was made. A payor who experiences this kind of fluctuation in income must continue to communicate subsequent changes with proper disclosure to allow the recipient to plan accordingly. </w:t>
      </w:r>
    </w:p>
    <w:p w14:paraId="6D63F5CB"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As Mr. Colucci gave no effective notice before arrears stopped accumulating in 2012, the presumption set out above leads to the conclusion that he is not entitled to any retroactive decrease in his child support obligations.</w:t>
      </w:r>
      <w:r w:rsidRPr="00767442">
        <w:rPr>
          <w:rFonts w:cs="Times New Roman"/>
          <w:shd w:val="clear" w:color="auto" w:fill="FFFFFF"/>
        </w:rPr>
        <w:t xml:space="preserve"> </w:t>
      </w:r>
      <w:r w:rsidRPr="00767442">
        <w:rPr>
          <w:rFonts w:cs="Times New Roman"/>
        </w:rPr>
        <w:t xml:space="preserve">Even if Mr. Colucci had given effective notice in 1998, the presumptive three-year limit would apply. The application of the three-year rule would preclude any retroactive decrease, given that his children were no longer eligible for child support beginning in 2012 and he gave formal notice in 2016. Nor would the application of the </w:t>
      </w:r>
      <w:r w:rsidRPr="00767442">
        <w:rPr>
          <w:rFonts w:cs="Times New Roman"/>
          <w:i/>
        </w:rPr>
        <w:t xml:space="preserve">D.B.S. </w:t>
      </w:r>
      <w:r w:rsidRPr="00767442">
        <w:rPr>
          <w:rFonts w:cs="Times New Roman"/>
        </w:rPr>
        <w:t>factors support a longer period of retroactivity. Indeed, had it been necessary to decide this point, all factors, particularly that of payor conduct, would support a shorter period of retroactivity. It is not enough for the payor to give notice and then disappear. The Court of Appeal correctly noted that, when the parties were unable to reach an agreement on a reduced amount of support, “it was incumbent on [Mr. Colucci] to initiate proceedings in a timely manner” (para. 34). Instead, he “unreasonably failed to do anything for 18 years” (</w:t>
      </w:r>
      <w:r w:rsidRPr="00767442">
        <w:rPr>
          <w:rFonts w:cs="Times New Roman"/>
          <w:i/>
        </w:rPr>
        <w:t>ibid.</w:t>
      </w:r>
      <w:r w:rsidRPr="00767442">
        <w:rPr>
          <w:rFonts w:cs="Times New Roman"/>
        </w:rPr>
        <w:t>).</w:t>
      </w:r>
    </w:p>
    <w:p w14:paraId="2ED96010"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Mr. Colucci claimed that he did not commence a motion in 1998 because he lacked the financial resources to do so. However, lack of funds cannot justify his failure to produce reasonable proof of the change in income he claimed at the time of his request, or his subsequent failure to communicate, negotiate or seek a change for 18 years. </w:t>
      </w:r>
    </w:p>
    <w:p w14:paraId="64470E44"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Mr. Colucci also made few, if any, voluntary payments during that time and showed no willingness to support the children, who suffered hardship as a result of his failure to fulfill his obligations. His conduct shows bad faith efforts to evade the enforcement of a court order. He did not notify the recipient or the FRO when he left Canada or advise them of his whereabouts or income for the duration of his absence (C.A. reasons, at para. 8). The FRO took a number of steps that failed to spur Mr. Colucci to comply with his obligations voluntarily, including garnishing benefits and suspending his passport and driver’s license. The FRO was only able to collect limited sums through these enforcement mechanisms. Ms. Colucci was thus left to shoulder the financial burden of raising and supporting the children on her own (para. 30). The daughters also incurred considerable debt in pursuing post-secondary education (</w:t>
      </w:r>
      <w:r w:rsidRPr="00767442">
        <w:rPr>
          <w:rFonts w:cs="Times New Roman"/>
          <w:i/>
        </w:rPr>
        <w:t>ibid.</w:t>
      </w:r>
      <w:r w:rsidRPr="00767442">
        <w:rPr>
          <w:rFonts w:cs="Times New Roman"/>
        </w:rPr>
        <w:t xml:space="preserve">). </w:t>
      </w:r>
    </w:p>
    <w:p w14:paraId="14FB3959" w14:textId="7E5C5E8C" w:rsidR="004E49A1" w:rsidRPr="00767442" w:rsidRDefault="004E49A1" w:rsidP="004E49A1">
      <w:pPr>
        <w:pStyle w:val="ParaNoNdepar-AltN"/>
        <w:tabs>
          <w:tab w:val="clear" w:pos="1152"/>
          <w:tab w:val="left" w:pos="1166"/>
        </w:tabs>
        <w:rPr>
          <w:rFonts w:cs="Times New Roman"/>
        </w:rPr>
      </w:pPr>
      <w:r w:rsidRPr="00767442">
        <w:rPr>
          <w:rFonts w:cs="Times New Roman"/>
        </w:rPr>
        <w:t>Mr. Colucci turned his back on his support obligations and a court order when he cut off communication and “absconded without a trace to the United States and Italy” (C.A. reasons, at para. 31). He only came out of hiding when he had returned to Canada and was facing enforcement action by the FRO, including potential garnishment of his wages. Mr. Colucci cannot now seek to avoid the consequences of his actions. To depart from the presumptive date of retroactivity and grant a retroactive decrease in these circumstances would give tacit approval to this kind of conduct, contrary to the best interests of children. As Carey J. stated, Mr. Colucci’s “success at getting to the age of 62 without pa</w:t>
      </w:r>
      <w:r>
        <w:rPr>
          <w:rFonts w:cs="Times New Roman"/>
        </w:rPr>
        <w:t xml:space="preserve">ying a dollar voluntarily </w:t>
      </w:r>
      <w:r w:rsidRPr="00767442">
        <w:rPr>
          <w:rFonts w:cs="Times New Roman"/>
        </w:rPr>
        <w:t>should not be rewarded” (2018 ONSC 4868, at para. 4</w:t>
      </w:r>
      <w:r>
        <w:rPr>
          <w:rFonts w:cs="Times New Roman"/>
        </w:rPr>
        <w:t>, reproduced in R.R., at p. 9;</w:t>
      </w:r>
      <w:r w:rsidRPr="00767442">
        <w:rPr>
          <w:rFonts w:cs="Times New Roman"/>
        </w:rPr>
        <w:t xml:space="preserve"> see also paras. 2</w:t>
      </w:r>
      <w:r w:rsidRPr="00767442">
        <w:rPr>
          <w:rFonts w:cs="Times New Roman"/>
        </w:rPr>
        <w:noBreakHyphen/>
        <w:t>3).</w:t>
      </w:r>
    </w:p>
    <w:p w14:paraId="04D3BB5D"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Moreover, Mr. Colucci has continued to evade his child support obligations by misrepresenting his financial circumstances and breaching his ongoing obligation to make full documentary and financial disclosure, even in the course of these proceedings (C.A. reasons, at para. 32). As such, this case provides an example of the kind of inadequate disclosure that would justify a refusal to vary back to the date of formal notice. Mr. Colucci did not provide his tax returns or any other documentary evidence of income for the years 2000 to 2015, and most of the little disclosure he made was provided well after he commenced the motion to change. Documentation regarding his mother’s estate was not produced until over a year later, and even then, the document was in Italian only. His income information for 2016 and 2017 was not provided until July 2018. In addition, Mr. Colucci redacted his employer’s name from his T4 and filed no tax return in 2017 to avoid garnishment of his wages and tax refund, preferring to forfeit the refund altogether than have it go toward his child support obligations. He also failed to pay Ms. Colucci the €15,000 that he was ordered to pay by the motion judge despite being in receipt of the earmarked funds from his mother’s estate.</w:t>
      </w:r>
    </w:p>
    <w:p w14:paraId="49C7A2D2"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A few words on the recalculation of support and imputation of income. Mr. Colucci argued that the motion judge must have been satisfied with the financial information before him, as he relied on this information in recalculating Mr. Colucci’s support obligation and in concluding that minimum wage should be imputed to Mr. Colucci in certain years due to under-employment.</w:t>
      </w:r>
    </w:p>
    <w:p w14:paraId="0ABE296F"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I agree with Ms. Colucci that it was problematic for the motion judge to rely on Mr. Colucci’s limited financial disclosure to recalculate support and exercise his discretion to impute income. Apart from Mr. Colucci’s own assertions about when he worked and how much he was paid, there was no objective or cogent evidence supporting his alleged income from 2000 to 2015. The motion judge essentially took Mr. Colucci’s word for it, imputing income based on Mr. Colucci’s assertion that he made substantially less than minimum wage in certain years and recalculating support based on the income he claimed to have made in other years.</w:t>
      </w:r>
    </w:p>
    <w:p w14:paraId="3C484451"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This case highlights one of the mischiefs of delayed applications to retroactively decrease support: as the years go by, it becomes more difficult to produce reliable income information, such as tax returns. For example, Mr. Colucci claims he was unable to obtain tax returns from the Internal Revenue Service for the years he worked in the United States. The payor cannot rely on the passage of time as an excuse for incomplete disclosure upon finally seeking retroactive variation. It would be unfair to the recipient and children to bridge gaps in the payor’s disclosure with guesswork that works to their disadvantage. Such an approach would also incentivize payors to provide inadequate disclosure in the hopes that the court will either accept their assertions or impute income that is lower than the income actually earned.</w:t>
      </w:r>
    </w:p>
    <w:p w14:paraId="3B71ABB9"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Vague or incomplete information is also difficult to challenge on cross-examination. As Mr. Colucci had not produced documentation supporting his asserted income from 2000 to 2015, there would have been no documents to cross-examine him on with respect to those years, rendering the exercise futile. Recipients should not be expected to hire forensic accountants or investigators to uncover the financial information needed to effectively cross-examine the payor or challenge the payor’s submission that only minimum wage should be imputed where a finding of under-employment is made. Such an expectation is particularly unrealistic where, as here, the payor has left the country and stopped making payments, leaving the recipient to struggle to care and provide for the children on her own.</w:t>
      </w:r>
    </w:p>
    <w:p w14:paraId="12D598F3"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Payors are reminded that the onus is on them to establish that a retroactive decrease is warranted based on reliable evidence, and that parties to litigation are subject to a general obligation to disclose all information that is relevant and material to the case (</w:t>
      </w:r>
      <w:r w:rsidRPr="00767442">
        <w:rPr>
          <w:rFonts w:cs="Times New Roman"/>
          <w:i/>
        </w:rPr>
        <w:t>Kinsella v. Mills</w:t>
      </w:r>
      <w:r w:rsidRPr="00767442">
        <w:rPr>
          <w:rFonts w:cs="Times New Roman"/>
        </w:rPr>
        <w:t>, 2020 ONSC 4785, 44 R.F.L. (8th) 1, at para. 166). In this case, the obligation to disclose material information was breached and the payor fell short of his burden of proof. Mr. Colucci cannot expect a court to award relief that prejudices the recipient and his children while shielding material information and documentation from the view of the court and recipient.</w:t>
      </w:r>
    </w:p>
    <w:p w14:paraId="2759535B"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Finally, although</w:t>
      </w:r>
      <w:r w:rsidRPr="00767442">
        <w:rPr>
          <w:rFonts w:cs="Times New Roman"/>
          <w:b/>
        </w:rPr>
        <w:t xml:space="preserve"> </w:t>
      </w:r>
      <w:r w:rsidRPr="00767442">
        <w:rPr>
          <w:rFonts w:cs="Times New Roman"/>
        </w:rPr>
        <w:t xml:space="preserve">he did not pursue a claim for reimbursement before the motion judge, Mr. Colucci claimed he overpaid $2,310.90 in child support based on his asserted income and the table amounts. Even if he had supported this calculation with proper disclosure of financial information, the absence of any communication of his alleged changes in circumstances would be a strong factor militating against any claim for reimbursement from Ms. Colucci. </w:t>
      </w:r>
    </w:p>
    <w:p w14:paraId="28DFA2ED"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In conclusion, Mr. Colucci is not entitled to relief on the basis of a decrease in income. He gave no effective notice of his intention to seek a reduction in support, either in 1998 or at any point before his daughters had ceased to be children of the marriage in 2012. Even if he had given effective notice in 1998, the presumptive three-year limit applies. The </w:t>
      </w:r>
      <w:r w:rsidRPr="00767442">
        <w:rPr>
          <w:rFonts w:cs="Times New Roman"/>
          <w:i/>
        </w:rPr>
        <w:t xml:space="preserve">D.B.S. </w:t>
      </w:r>
      <w:r w:rsidRPr="00767442">
        <w:rPr>
          <w:rFonts w:cs="Times New Roman"/>
        </w:rPr>
        <w:t>factors do not support a longer period of retroactivity. Since Mr. Colucci commenced his motion to change in 2016, four years after his support obligation had terminated and arrears stopped accumulating, the application of the three-year limit precludes retroactive variation of the amount of support owing under the prior order.</w:t>
      </w:r>
    </w:p>
    <w:p w14:paraId="267A21E9" w14:textId="77777777" w:rsidR="004E49A1" w:rsidRPr="00767442" w:rsidRDefault="004E49A1" w:rsidP="004E49A1">
      <w:pPr>
        <w:pStyle w:val="ParaNoNdepar-AltN"/>
        <w:tabs>
          <w:tab w:val="clear" w:pos="1152"/>
          <w:tab w:val="left" w:pos="1166"/>
        </w:tabs>
        <w:rPr>
          <w:rFonts w:cs="Times New Roman"/>
        </w:rPr>
      </w:pPr>
      <w:r w:rsidRPr="00767442">
        <w:rPr>
          <w:rFonts w:cs="Times New Roman"/>
        </w:rPr>
        <w:t xml:space="preserve">I will now consider the scenario in which a payor who has fallen behind on payments seeks full or partial rescission of arrears under s. 17 on the basis of a current and ongoing inability to pay. Mr. Colucci relied on inability to pay as an alternative ground of relief in his motion to change, this ground was briefly addressed at the Court of Appeal (at paras. 9, 28 and 31) and it was discussed in Ms. Colucci’s written submissions before this Court. The question of whether the courts have authority under s. 17 to order the rescission of arrears based on present inability to pay, as discussed in </w:t>
      </w:r>
      <w:r w:rsidRPr="00767442">
        <w:rPr>
          <w:rFonts w:cs="Times New Roman"/>
          <w:i/>
        </w:rPr>
        <w:t>Brown</w:t>
      </w:r>
      <w:r w:rsidRPr="00767442">
        <w:rPr>
          <w:rFonts w:cs="Times New Roman"/>
        </w:rPr>
        <w:t xml:space="preserve">, was not raised before us and we will not address it. </w:t>
      </w:r>
    </w:p>
    <w:p w14:paraId="3133AB5F" w14:textId="77777777" w:rsidR="006E72DA" w:rsidRPr="00767442" w:rsidRDefault="006E72DA" w:rsidP="006E72DA">
      <w:pPr>
        <w:pStyle w:val="Title3LevelTitre3Niveau"/>
        <w:jc w:val="both"/>
        <w:rPr>
          <w:rFonts w:cs="Times New Roman"/>
        </w:rPr>
      </w:pPr>
      <w:r w:rsidRPr="00767442">
        <w:rPr>
          <w:rFonts w:cs="Times New Roman"/>
        </w:rPr>
        <w:t>Rescission Of Arrears Where The Prior Order Corresponds With Payor’s Income</w:t>
      </w:r>
      <w:bookmarkEnd w:id="123"/>
      <w:bookmarkEnd w:id="124"/>
      <w:bookmarkEnd w:id="125"/>
      <w:bookmarkEnd w:id="126"/>
      <w:bookmarkEnd w:id="127"/>
      <w:bookmarkEnd w:id="128"/>
      <w:bookmarkEnd w:id="129"/>
      <w:bookmarkEnd w:id="130"/>
    </w:p>
    <w:p w14:paraId="26423B0C" w14:textId="77777777" w:rsidR="006E72DA" w:rsidRPr="00767442" w:rsidRDefault="006E72DA" w:rsidP="006E72DA">
      <w:pPr>
        <w:pStyle w:val="Title4LevelTitre4Niveau"/>
        <w:numPr>
          <w:ilvl w:val="3"/>
          <w:numId w:val="19"/>
        </w:numPr>
        <w:jc w:val="both"/>
        <w:rPr>
          <w:rFonts w:cs="Times New Roman"/>
        </w:rPr>
      </w:pPr>
      <w:bookmarkStart w:id="240" w:name="_Toc64104282"/>
      <w:bookmarkStart w:id="241" w:name="_Toc64122519"/>
      <w:bookmarkStart w:id="242" w:name="_Toc64367722"/>
      <w:bookmarkStart w:id="243" w:name="_Toc66736634"/>
      <w:bookmarkStart w:id="244" w:name="_Toc67070454"/>
      <w:bookmarkStart w:id="245" w:name="_Toc67332100"/>
      <w:bookmarkStart w:id="246" w:name="_Toc67347383"/>
      <w:bookmarkStart w:id="247" w:name="_Toc71624552"/>
      <w:r w:rsidRPr="00767442">
        <w:rPr>
          <w:rFonts w:cs="Times New Roman"/>
        </w:rPr>
        <w:t>The Presumption: No Rescission Unless Payor Shows Current and Future Inability to Pay</w:t>
      </w:r>
      <w:bookmarkEnd w:id="240"/>
      <w:bookmarkEnd w:id="241"/>
      <w:bookmarkEnd w:id="242"/>
      <w:bookmarkEnd w:id="243"/>
      <w:bookmarkEnd w:id="244"/>
      <w:bookmarkEnd w:id="245"/>
      <w:bookmarkEnd w:id="246"/>
      <w:bookmarkEnd w:id="247"/>
      <w:r w:rsidRPr="00767442">
        <w:rPr>
          <w:rFonts w:cs="Times New Roman"/>
        </w:rPr>
        <w:t xml:space="preserve"> </w:t>
      </w:r>
    </w:p>
    <w:p w14:paraId="55E0058A"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Although applications for rescission raise different considerations than those for a retroactive decrease of support based on a change in circumstances, in practice, both will frequently arise together. While a payor may simply ask for accumulated arrears to be forgiven on the basis of a current and ongoing inability to pay without challenging the accuracy of the underlying order, rescission applications will normally arise when the request to retroactively decrease arrears is unsuccessful or results in only a partial reduction of the arrears (see, e.g., </w:t>
      </w:r>
      <w:r w:rsidRPr="00767442">
        <w:rPr>
          <w:rFonts w:cs="Times New Roman"/>
          <w:i/>
        </w:rPr>
        <w:t>Templeton</w:t>
      </w:r>
      <w:r w:rsidRPr="00767442">
        <w:rPr>
          <w:rFonts w:cs="Times New Roman"/>
        </w:rPr>
        <w:t xml:space="preserve">, at para. 39; </w:t>
      </w:r>
      <w:r w:rsidRPr="00767442">
        <w:rPr>
          <w:rFonts w:cs="Times New Roman"/>
          <w:i/>
        </w:rPr>
        <w:t>H.G.S.</w:t>
      </w:r>
      <w:r w:rsidRPr="00767442">
        <w:rPr>
          <w:rFonts w:cs="Times New Roman"/>
        </w:rPr>
        <w:t>,</w:t>
      </w:r>
      <w:r w:rsidRPr="00767442">
        <w:rPr>
          <w:rFonts w:cs="Times New Roman"/>
          <w:i/>
        </w:rPr>
        <w:t xml:space="preserve"> </w:t>
      </w:r>
      <w:r w:rsidRPr="00767442">
        <w:rPr>
          <w:rFonts w:cs="Times New Roman"/>
        </w:rPr>
        <w:t>at para. 113).</w:t>
      </w:r>
    </w:p>
    <w:p w14:paraId="0E41523B"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In this category of cases, the prior child support order or agreement corresponds with the payor’s income. The arrears accurately reflect the amount of support that the payor should have paid under the </w:t>
      </w:r>
      <w:r w:rsidRPr="00767442">
        <w:rPr>
          <w:rFonts w:cs="Times New Roman"/>
          <w:i/>
        </w:rPr>
        <w:t>Guidelines</w:t>
      </w:r>
      <w:r w:rsidRPr="00767442">
        <w:rPr>
          <w:rFonts w:cs="Times New Roman"/>
        </w:rPr>
        <w:t>, after all considerations, including any claim of hardship under s. 10, have been determined. In other words, the arrears represent sums that could have been paid at the time payments came due, but were not. The payor parent’s claim for rescission is thus a form of “hardship” application, in which there has been no past change in circumstances justifying a retroactive decrease in the support obligation (</w:t>
      </w:r>
      <w:r w:rsidRPr="00767442">
        <w:rPr>
          <w:rFonts w:cs="Times New Roman"/>
          <w:i/>
        </w:rPr>
        <w:t>Barber</w:t>
      </w:r>
      <w:r w:rsidRPr="00767442">
        <w:rPr>
          <w:rFonts w:cs="Times New Roman"/>
        </w:rPr>
        <w:t>, at paras. 15</w:t>
      </w:r>
      <w:r w:rsidRPr="00767442">
        <w:rPr>
          <w:rFonts w:cs="Times New Roman"/>
        </w:rPr>
        <w:noBreakHyphen/>
        <w:t xml:space="preserve">16; </w:t>
      </w:r>
      <w:r w:rsidRPr="00767442">
        <w:rPr>
          <w:rFonts w:cs="Times New Roman"/>
          <w:i/>
        </w:rPr>
        <w:t>Brown</w:t>
      </w:r>
      <w:r w:rsidRPr="00767442">
        <w:rPr>
          <w:rFonts w:cs="Times New Roman"/>
        </w:rPr>
        <w:t xml:space="preserve">, at para. 43). </w:t>
      </w:r>
    </w:p>
    <w:p w14:paraId="7AFC65C4"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It follows that, under this third category of cases, the payor’s ongoing financial capacity is the only relevant factor. The payor must therefore provide sufficient reliable evidence to enable the court to assess their current and prospective financial circumstances, including their employment prospects and any assets, pensions, inheritances or other potential sources of future capacity to pay. </w:t>
      </w:r>
    </w:p>
    <w:p w14:paraId="3FD90338"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Courts have taken a highly restrictive approach to the availability of rescission or suspension of child support based solely on current and ongoing inability to pay (see, e.g., </w:t>
      </w:r>
      <w:r w:rsidRPr="00767442">
        <w:rPr>
          <w:rFonts w:cs="Times New Roman"/>
          <w:i/>
          <w:iCs/>
        </w:rPr>
        <w:t>Haisman</w:t>
      </w:r>
      <w:r w:rsidRPr="00767442">
        <w:rPr>
          <w:rFonts w:cs="Times New Roman"/>
        </w:rPr>
        <w:t>, at paras. 26</w:t>
      </w:r>
      <w:r w:rsidRPr="00767442">
        <w:rPr>
          <w:rFonts w:cs="Times New Roman"/>
        </w:rPr>
        <w:noBreakHyphen/>
        <w:t xml:space="preserve">27; </w:t>
      </w:r>
      <w:r w:rsidRPr="00767442">
        <w:rPr>
          <w:rFonts w:cs="Times New Roman"/>
          <w:i/>
          <w:iCs/>
        </w:rPr>
        <w:t>Gray</w:t>
      </w:r>
      <w:r w:rsidRPr="00767442">
        <w:rPr>
          <w:rFonts w:cs="Times New Roman"/>
          <w:iCs/>
        </w:rPr>
        <w:t xml:space="preserve">, at </w:t>
      </w:r>
      <w:r w:rsidRPr="00767442">
        <w:rPr>
          <w:rFonts w:cs="Times New Roman"/>
        </w:rPr>
        <w:t xml:space="preserve">para. 58; </w:t>
      </w:r>
      <w:r w:rsidRPr="00767442">
        <w:rPr>
          <w:rFonts w:cs="Times New Roman"/>
          <w:i/>
          <w:iCs/>
        </w:rPr>
        <w:t>C.L.W. v. S.V.W.</w:t>
      </w:r>
      <w:r w:rsidRPr="00767442">
        <w:rPr>
          <w:rFonts w:cs="Times New Roman"/>
        </w:rPr>
        <w:t xml:space="preserve">, 2017 ABCA 121, at para. 30 (CanLII); </w:t>
      </w:r>
      <w:r w:rsidRPr="00767442">
        <w:rPr>
          <w:rFonts w:cs="Times New Roman"/>
          <w:i/>
          <w:iCs/>
        </w:rPr>
        <w:t>Punzo</w:t>
      </w:r>
      <w:r w:rsidRPr="00767442">
        <w:rPr>
          <w:rFonts w:cs="Times New Roman"/>
        </w:rPr>
        <w:t xml:space="preserve">, at para. 46; </w:t>
      </w:r>
      <w:r w:rsidRPr="00767442">
        <w:rPr>
          <w:rFonts w:cs="Times New Roman"/>
          <w:i/>
        </w:rPr>
        <w:t>Blanchard v. Blanchard</w:t>
      </w:r>
      <w:r w:rsidRPr="00767442">
        <w:rPr>
          <w:rFonts w:cs="Times New Roman"/>
        </w:rPr>
        <w:t xml:space="preserve">, 2019 ABCA 53, at para. 32 (CanLII); </w:t>
      </w:r>
      <w:r w:rsidRPr="00767442">
        <w:rPr>
          <w:rFonts w:cs="Times New Roman"/>
          <w:i/>
        </w:rPr>
        <w:t>S.A.L. v. B.J.L.</w:t>
      </w:r>
      <w:r w:rsidRPr="00767442">
        <w:rPr>
          <w:rFonts w:cs="Times New Roman"/>
        </w:rPr>
        <w:t xml:space="preserve">, 2019 ABCA 350, 31 R.F.L. (8th) 299, at para. 12; </w:t>
      </w:r>
      <w:r w:rsidRPr="00767442">
        <w:rPr>
          <w:rFonts w:cs="Times New Roman"/>
          <w:i/>
        </w:rPr>
        <w:t>Semancik v. Saunders</w:t>
      </w:r>
      <w:r w:rsidRPr="00767442">
        <w:rPr>
          <w:rFonts w:cs="Times New Roman"/>
        </w:rPr>
        <w:t xml:space="preserve">, 2011 BCCA 264, 19 B.C.L.R. (5th) 219, at para. 25; </w:t>
      </w:r>
      <w:r w:rsidRPr="00767442">
        <w:rPr>
          <w:rFonts w:cs="Times New Roman"/>
          <w:i/>
        </w:rPr>
        <w:t>Mayotte v. Salthouse</w:t>
      </w:r>
      <w:r w:rsidRPr="00767442">
        <w:rPr>
          <w:rFonts w:cs="Times New Roman"/>
        </w:rPr>
        <w:t xml:space="preserve"> (1997), 29 R.F.L. (4th) 38 (Alta. C.A.), at para. 2; </w:t>
      </w:r>
      <w:r w:rsidRPr="00767442">
        <w:rPr>
          <w:rFonts w:cs="Times New Roman"/>
          <w:i/>
        </w:rPr>
        <w:t xml:space="preserve">Heiden v. British Columbia (Director of Maintenance Enforcement) </w:t>
      </w:r>
      <w:r w:rsidRPr="00767442">
        <w:rPr>
          <w:rFonts w:cs="Times New Roman"/>
        </w:rPr>
        <w:t>(1995), 16 B.C.L.R. (3d) 48 (C.A.), at paras. 10 and 13). These cases demonstrate that any discretion to grant relief in this context is narrow.</w:t>
      </w:r>
    </w:p>
    <w:p w14:paraId="035D4E4B"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 This strict approach to rescission and suspension of arrears based on current inability to pay is justified. The interests of the recipient and child in certainty and predictability are paramount, as the payor has failed to comply with a court order or agreement without any “excuse for non-payment of support when it came due” (</w:t>
      </w:r>
      <w:r w:rsidRPr="00767442">
        <w:rPr>
          <w:rFonts w:cs="Times New Roman"/>
          <w:i/>
        </w:rPr>
        <w:t>Templeton</w:t>
      </w:r>
      <w:r w:rsidRPr="00767442">
        <w:rPr>
          <w:rFonts w:cs="Times New Roman"/>
        </w:rPr>
        <w:t>, at para. 47). The child’s interest in a fair standard of support is subverted when the payor directs support elsewhere; in such circumstances, “the child effectively subsidizes the payor’s improved standard of living” (</w:t>
      </w:r>
      <w:r w:rsidRPr="00767442">
        <w:rPr>
          <w:rFonts w:cs="Times New Roman"/>
          <w:i/>
        </w:rPr>
        <w:t xml:space="preserve">Walsh v. Walsh </w:t>
      </w:r>
      <w:r w:rsidRPr="00767442">
        <w:rPr>
          <w:rFonts w:cs="Times New Roman"/>
        </w:rPr>
        <w:t>(2004), 69 O.R. (3d) 577 (C.A.), at para. 25, with additional reasons (2004), 6 R.F.L. (6th) 432). The payor parent, on the other hand, “cannot argue that the amounts claimed disrupt his/her interest in certainty and predictability” (</w:t>
      </w:r>
      <w:r w:rsidRPr="00767442">
        <w:rPr>
          <w:rFonts w:cs="Times New Roman"/>
          <w:i/>
        </w:rPr>
        <w:t>D.B.S.</w:t>
      </w:r>
      <w:r w:rsidRPr="00767442">
        <w:rPr>
          <w:rFonts w:cs="Times New Roman"/>
        </w:rPr>
        <w:t>, at para. 98).</w:t>
      </w:r>
    </w:p>
    <w:p w14:paraId="2D9149A5"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Accordingly, in this third category of cases, the payor must overcome a presumption against rescinding any part of the arrears. The presumption will only be rebutted where the payor parent establishes on a balance of probabilities that — even with a flexible payment plan — they cannot and will not ever be able to pay the arrears (</w:t>
      </w:r>
      <w:r w:rsidRPr="00767442">
        <w:rPr>
          <w:rFonts w:cs="Times New Roman"/>
          <w:i/>
        </w:rPr>
        <w:t>Earle</w:t>
      </w:r>
      <w:r w:rsidRPr="00767442">
        <w:rPr>
          <w:rFonts w:cs="Times New Roman"/>
        </w:rPr>
        <w:t xml:space="preserve">, at para. 26; </w:t>
      </w:r>
      <w:r w:rsidRPr="00767442">
        <w:rPr>
          <w:rFonts w:cs="Times New Roman"/>
          <w:i/>
        </w:rPr>
        <w:t>Corcios</w:t>
      </w:r>
      <w:r w:rsidRPr="00767442">
        <w:rPr>
          <w:rFonts w:cs="Times New Roman"/>
        </w:rPr>
        <w:t xml:space="preserve">, at para. 55; </w:t>
      </w:r>
      <w:r w:rsidRPr="00767442">
        <w:rPr>
          <w:rFonts w:cs="Times New Roman"/>
          <w:i/>
        </w:rPr>
        <w:t>Gray</w:t>
      </w:r>
      <w:r w:rsidRPr="00767442">
        <w:rPr>
          <w:rFonts w:cs="Times New Roman"/>
        </w:rPr>
        <w:t>, at para. 58). Present inability to pay does not, in itself, foreclose the prospect of future ability to pay, although it may justify a temporary suspension of arrears (</w:t>
      </w:r>
      <w:r w:rsidRPr="00767442">
        <w:rPr>
          <w:rFonts w:cs="Times New Roman"/>
          <w:i/>
        </w:rPr>
        <w:t>Haisman</w:t>
      </w:r>
      <w:r w:rsidRPr="00767442">
        <w:rPr>
          <w:rFonts w:cs="Times New Roman"/>
        </w:rPr>
        <w:t xml:space="preserve">, at para. 26). This presumption ensures rescission is a last resort available only where suspension or other creative payment options are inadequate to address the prejudice to the payor. It also encourages payors to keep up with their support obligations rather than allowing arrears to accumulate in the hopes that the courts will grant relief if the amount becomes sufficiently large. Arrears are a “valid debt that must be paid, similar to any other financial obligation”, regardless of whether the quantum is significant (Bakht et al., at p. 550).  </w:t>
      </w:r>
    </w:p>
    <w:p w14:paraId="39C313D6"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 xml:space="preserve">While we speak of rescinding arrears, the wording of s. 17 of the </w:t>
      </w:r>
      <w:r w:rsidRPr="00767442">
        <w:rPr>
          <w:rFonts w:cs="Times New Roman"/>
          <w:i/>
        </w:rPr>
        <w:t>Divorce Act</w:t>
      </w:r>
      <w:r w:rsidRPr="00767442">
        <w:rPr>
          <w:rFonts w:cs="Times New Roman"/>
        </w:rPr>
        <w:t xml:space="preserve"> makes clear that what it authorizes is rescission of the underlying court order or a term of the order which gave rise to the unmet obligations. Thus a claim to cancel arrears asks the court to set aside an existing and accurate court order, replace it with another, and forgive what is otherwise a legally enforceable debt. That child support should not attract more leniency than other debts is reinforced by the range of maintenance enforcement regimes which exist across the country to enforce compliance with child support obligations. Governments in each province and territory have established administrative Maintenance Enforcement Programs (“MEPs”) (such as Ontario’s FRO) to administer child support orders and help ensure children receive the support owed to them under court orders, including by taking enforcement action such as garnishing wages and suspending drivers’ licenses (see, e.g., </w:t>
      </w:r>
      <w:r w:rsidRPr="00767442">
        <w:rPr>
          <w:rFonts w:cs="Times New Roman"/>
          <w:i/>
        </w:rPr>
        <w:t>Family Responsibility and Support Arrears Enforcement Act, 1996</w:t>
      </w:r>
      <w:r w:rsidRPr="00767442">
        <w:rPr>
          <w:rFonts w:cs="Times New Roman"/>
        </w:rPr>
        <w:t xml:space="preserve">, S.O. 1996, c. 31). Further, child support arrears are not released by an order of discharge under the </w:t>
      </w:r>
      <w:r w:rsidRPr="00767442">
        <w:rPr>
          <w:rFonts w:cs="Times New Roman"/>
          <w:i/>
        </w:rPr>
        <w:t>Bankruptcy and Insolvency Act</w:t>
      </w:r>
      <w:r w:rsidRPr="00767442">
        <w:rPr>
          <w:rFonts w:cs="Times New Roman"/>
        </w:rPr>
        <w:t xml:space="preserve">, R.S.C. 1985, c. B-3, s. 178(1)(c); these debts are prioritized even where providing a clean slate is a competing policy consideration (see </w:t>
      </w:r>
      <w:r w:rsidRPr="00767442">
        <w:rPr>
          <w:rFonts w:cs="Times New Roman"/>
          <w:i/>
        </w:rPr>
        <w:t>Brown</w:t>
      </w:r>
      <w:r w:rsidRPr="00767442">
        <w:rPr>
          <w:rFonts w:cs="Times New Roman"/>
        </w:rPr>
        <w:t xml:space="preserve">, at para. 42; </w:t>
      </w:r>
      <w:r w:rsidRPr="00767442">
        <w:rPr>
          <w:rFonts w:eastAsia="Times New Roman" w:cs="Times New Roman"/>
          <w:i/>
          <w:lang w:val="en-US"/>
        </w:rPr>
        <w:t>St-Jules v. St-Jules</w:t>
      </w:r>
      <w:r w:rsidRPr="00767442">
        <w:rPr>
          <w:rFonts w:eastAsia="Times New Roman" w:cs="Times New Roman"/>
          <w:lang w:val="en-US"/>
        </w:rPr>
        <w:t xml:space="preserve">, 2012 NSCA 97, 321 N.S.R. (2d) 133, at para. 50). </w:t>
      </w:r>
      <w:r w:rsidRPr="00767442">
        <w:rPr>
          <w:rFonts w:cs="Times New Roman"/>
        </w:rPr>
        <w:t xml:space="preserve">Thus, s. 17 of the </w:t>
      </w:r>
      <w:r w:rsidRPr="00767442">
        <w:rPr>
          <w:rFonts w:cs="Times New Roman"/>
          <w:i/>
        </w:rPr>
        <w:t>Divorce Act</w:t>
      </w:r>
      <w:r w:rsidRPr="00767442">
        <w:rPr>
          <w:rFonts w:cs="Times New Roman"/>
        </w:rPr>
        <w:t xml:space="preserve"> is not to be used to reduce or vacate arrears too readily, as this would undermine the recognition and enforcement of serious legal obligations. </w:t>
      </w:r>
    </w:p>
    <w:p w14:paraId="0BDCCADE"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The court has a range of available options when faced with proven payor hardship. A court’s refusal to rescind arrears does not mean the payor must pay the entire amount immediately (</w:t>
      </w:r>
      <w:r w:rsidRPr="00767442">
        <w:rPr>
          <w:rFonts w:cs="Times New Roman"/>
          <w:i/>
        </w:rPr>
        <w:t>Earle</w:t>
      </w:r>
      <w:r w:rsidRPr="00767442">
        <w:rPr>
          <w:rFonts w:cs="Times New Roman"/>
        </w:rPr>
        <w:t>, at para. 24). If the court concludes that the payor’s financial circumstances will give rise to difficulties paying down arrears, the court ought to first consider whether hardship can be mitigated by ordering a temporary suspension, periodic payments, or other creative payment options (</w:t>
      </w:r>
      <w:r w:rsidRPr="00767442">
        <w:rPr>
          <w:rFonts w:cs="Times New Roman"/>
          <w:i/>
        </w:rPr>
        <w:t>Haisman</w:t>
      </w:r>
      <w:r w:rsidRPr="00767442">
        <w:rPr>
          <w:rFonts w:cs="Times New Roman"/>
        </w:rPr>
        <w:t xml:space="preserve"> </w:t>
      </w:r>
      <w:r w:rsidRPr="00767442">
        <w:rPr>
          <w:rFonts w:cs="Times New Roman"/>
          <w:i/>
          <w:lang w:val="x-none"/>
        </w:rPr>
        <w:t>v. Haisman</w:t>
      </w:r>
      <w:r w:rsidRPr="00767442">
        <w:rPr>
          <w:rFonts w:cs="Times New Roman"/>
          <w:i/>
          <w:lang w:val="en-US"/>
        </w:rPr>
        <w:t xml:space="preserve"> </w:t>
      </w:r>
      <w:r w:rsidRPr="00767442">
        <w:rPr>
          <w:rFonts w:cs="Times New Roman"/>
          <w:lang w:val="en-US"/>
        </w:rPr>
        <w:t>(1993)</w:t>
      </w:r>
      <w:r w:rsidRPr="00767442">
        <w:rPr>
          <w:rFonts w:cs="Times New Roman"/>
          <w:lang w:val="x-none"/>
        </w:rPr>
        <w:t>,</w:t>
      </w:r>
      <w:r w:rsidRPr="00767442">
        <w:rPr>
          <w:rFonts w:cs="Times New Roman"/>
          <w:i/>
          <w:lang w:val="x-none"/>
        </w:rPr>
        <w:t xml:space="preserve"> </w:t>
      </w:r>
      <w:r w:rsidRPr="00767442">
        <w:rPr>
          <w:rFonts w:cs="Times New Roman"/>
        </w:rPr>
        <w:t>7 Alta. L.R. (3d) 157 (Q.B.) (“</w:t>
      </w:r>
      <w:r w:rsidRPr="00767442">
        <w:rPr>
          <w:rFonts w:cs="Times New Roman"/>
          <w:i/>
        </w:rPr>
        <w:t>Haisman</w:t>
      </w:r>
      <w:r w:rsidRPr="00767442">
        <w:rPr>
          <w:rFonts w:cs="Times New Roman"/>
        </w:rPr>
        <w:t xml:space="preserve"> (Q.B.)”), at paras. 32</w:t>
      </w:r>
      <w:r w:rsidRPr="00767442">
        <w:rPr>
          <w:rFonts w:cs="Times New Roman"/>
        </w:rPr>
        <w:noBreakHyphen/>
        <w:t xml:space="preserve">33, rev’d on other grounds (1994), 157 A.R. 47 (C.A.); </w:t>
      </w:r>
      <w:r w:rsidRPr="00767442">
        <w:rPr>
          <w:rFonts w:cs="Times New Roman"/>
          <w:i/>
        </w:rPr>
        <w:t>Templeton</w:t>
      </w:r>
      <w:r w:rsidRPr="00767442">
        <w:rPr>
          <w:rFonts w:cs="Times New Roman"/>
        </w:rPr>
        <w:t xml:space="preserve">, at para. 47; </w:t>
      </w:r>
      <w:r w:rsidRPr="00767442">
        <w:rPr>
          <w:rFonts w:cs="Times New Roman"/>
          <w:i/>
        </w:rPr>
        <w:t>Brown</w:t>
      </w:r>
      <w:r w:rsidRPr="00767442">
        <w:rPr>
          <w:rFonts w:cs="Times New Roman"/>
        </w:rPr>
        <w:t>,</w:t>
      </w:r>
      <w:r w:rsidRPr="00767442">
        <w:rPr>
          <w:rFonts w:cs="Times New Roman"/>
          <w:i/>
        </w:rPr>
        <w:t xml:space="preserve"> </w:t>
      </w:r>
      <w:r w:rsidRPr="00767442">
        <w:rPr>
          <w:rFonts w:cs="Times New Roman"/>
        </w:rPr>
        <w:t xml:space="preserve">at para. 44). </w:t>
      </w:r>
      <w:r w:rsidRPr="00767442">
        <w:rPr>
          <w:rFonts w:cs="Times New Roman"/>
          <w:lang w:val="en-US"/>
        </w:rPr>
        <w:t xml:space="preserve">MEPs may also allow the debtor to enter into a reasonable payment plan where the debtor has fallen into arrears and is struggling to keep up with payments </w:t>
      </w:r>
      <w:r w:rsidRPr="00767442">
        <w:rPr>
          <w:rFonts w:cs="Times New Roman"/>
        </w:rPr>
        <w:t xml:space="preserve">(see, e.g., </w:t>
      </w:r>
      <w:r w:rsidRPr="00767442">
        <w:rPr>
          <w:rFonts w:cs="Times New Roman"/>
          <w:i/>
        </w:rPr>
        <w:t>The Family Maintenance Act</w:t>
      </w:r>
      <w:r w:rsidRPr="00767442">
        <w:rPr>
          <w:rFonts w:cs="Times New Roman"/>
        </w:rPr>
        <w:t>, C.C.S.M., c. F20, s. 56.2(2) and (3);</w:t>
      </w:r>
      <w:r w:rsidRPr="00767442">
        <w:rPr>
          <w:rFonts w:cs="Times New Roman"/>
          <w:szCs w:val="24"/>
        </w:rPr>
        <w:t xml:space="preserve"> </w:t>
      </w:r>
      <w:r w:rsidRPr="00767442">
        <w:rPr>
          <w:rFonts w:eastAsia="Calibri" w:cs="Times New Roman"/>
          <w:szCs w:val="24"/>
          <w:lang w:val="en-US"/>
        </w:rPr>
        <w:t xml:space="preserve">J. D. Payne and M. A. Payne, </w:t>
      </w:r>
      <w:r w:rsidRPr="00767442">
        <w:rPr>
          <w:rFonts w:eastAsia="Calibri" w:cs="Times New Roman"/>
          <w:i/>
          <w:szCs w:val="24"/>
          <w:lang w:val="en-US"/>
        </w:rPr>
        <w:t>Child Support Guidelines in Canada, 2020</w:t>
      </w:r>
      <w:r w:rsidRPr="00767442">
        <w:rPr>
          <w:rFonts w:eastAsia="Calibri" w:cs="Times New Roman"/>
          <w:szCs w:val="24"/>
          <w:lang w:val="en-US"/>
        </w:rPr>
        <w:t xml:space="preserve"> (2020), </w:t>
      </w:r>
      <w:r w:rsidRPr="00767442">
        <w:rPr>
          <w:rFonts w:cs="Times New Roman"/>
          <w:szCs w:val="24"/>
        </w:rPr>
        <w:t>at p. 476</w:t>
      </w:r>
      <w:r w:rsidRPr="00767442">
        <w:rPr>
          <w:rFonts w:cs="Times New Roman"/>
        </w:rPr>
        <w:t>). After all, blood cannot be drawn from a stone — where the payor is truly unable to make payments toward the arrears, “any enforcement options available to the support recipient and the court are of no practical benefit” (</w:t>
      </w:r>
      <w:r w:rsidRPr="00767442">
        <w:rPr>
          <w:rFonts w:cs="Times New Roman"/>
          <w:i/>
        </w:rPr>
        <w:t>Brown</w:t>
      </w:r>
      <w:r w:rsidRPr="00767442">
        <w:rPr>
          <w:rFonts w:cs="Times New Roman"/>
        </w:rPr>
        <w:t xml:space="preserve">, at para. 44). </w:t>
      </w:r>
    </w:p>
    <w:p w14:paraId="305F5D1F" w14:textId="77777777" w:rsidR="006E72DA" w:rsidRPr="00767442" w:rsidRDefault="006E72DA" w:rsidP="006E72DA">
      <w:pPr>
        <w:pStyle w:val="ParaNoNdepar-AltN"/>
        <w:tabs>
          <w:tab w:val="clear" w:pos="1152"/>
          <w:tab w:val="left" w:pos="1166"/>
        </w:tabs>
        <w:rPr>
          <w:rFonts w:cs="Times New Roman"/>
        </w:rPr>
      </w:pPr>
      <w:r w:rsidRPr="00767442">
        <w:rPr>
          <w:rFonts w:cs="Times New Roman"/>
        </w:rPr>
        <w:t>While the presumption in favour of enforcing arrears may be rebutted in “unusual circumstances” (</w:t>
      </w:r>
      <w:r w:rsidRPr="00767442">
        <w:rPr>
          <w:rFonts w:cs="Times New Roman"/>
          <w:i/>
        </w:rPr>
        <w:t>Gray</w:t>
      </w:r>
      <w:r w:rsidRPr="00767442">
        <w:rPr>
          <w:rFonts w:cs="Times New Roman"/>
        </w:rPr>
        <w:t>, at para. 53), the standard should remain a stringent one. Rescission of arrears based solely on current financial incapacity should not be ordered lightly. It is a last resort in exceptional cases, such as where the payor suffers a “catastrophic injury” (</w:t>
      </w:r>
      <w:r w:rsidRPr="00767442">
        <w:rPr>
          <w:rFonts w:cs="Times New Roman"/>
          <w:i/>
        </w:rPr>
        <w:t>Gray</w:t>
      </w:r>
      <w:r w:rsidRPr="00767442">
        <w:rPr>
          <w:rFonts w:cs="Times New Roman"/>
        </w:rPr>
        <w:t>, at para. 53, citing</w:t>
      </w:r>
      <w:r w:rsidRPr="00767442">
        <w:rPr>
          <w:rFonts w:cs="Times New Roman"/>
          <w:i/>
        </w:rPr>
        <w:t xml:space="preserve"> </w:t>
      </w:r>
      <w:r w:rsidRPr="00767442">
        <w:rPr>
          <w:rFonts w:cs="Times New Roman"/>
          <w:i/>
          <w:iCs/>
        </w:rPr>
        <w:t>Tremblay v. Daley</w:t>
      </w:r>
      <w:r w:rsidRPr="00767442">
        <w:rPr>
          <w:rFonts w:cs="Times New Roman"/>
          <w:iCs/>
        </w:rPr>
        <w:t>,</w:t>
      </w:r>
      <w:r w:rsidRPr="00767442">
        <w:rPr>
          <w:rFonts w:cs="Times New Roman"/>
          <w:i/>
          <w:iCs/>
        </w:rPr>
        <w:t xml:space="preserve"> </w:t>
      </w:r>
      <w:r w:rsidRPr="00767442">
        <w:rPr>
          <w:rFonts w:cs="Times New Roman"/>
        </w:rPr>
        <w:t>2012 ONCA 780, 23 R.F.L. (7th) 91).</w:t>
      </w:r>
      <w:r w:rsidRPr="00767442">
        <w:rPr>
          <w:rFonts w:cs="Times New Roman"/>
          <w:i/>
        </w:rPr>
        <w:t xml:space="preserve"> </w:t>
      </w:r>
      <w:r w:rsidRPr="00767442">
        <w:rPr>
          <w:rFonts w:cs="Times New Roman"/>
        </w:rPr>
        <w:t>I agree with Ms. Colucci that the availability of rescission would otherwise become an “open invitation to intentionally avoid one’s legal obligations” (</w:t>
      </w:r>
      <w:r w:rsidRPr="00767442">
        <w:rPr>
          <w:rFonts w:cs="Times New Roman"/>
          <w:i/>
        </w:rPr>
        <w:t>Haisman</w:t>
      </w:r>
      <w:r w:rsidRPr="00767442">
        <w:rPr>
          <w:rFonts w:cs="Times New Roman"/>
        </w:rPr>
        <w:t xml:space="preserve"> (Q.B.),</w:t>
      </w:r>
      <w:r w:rsidRPr="00767442">
        <w:rPr>
          <w:rFonts w:eastAsia="Times New Roman" w:cs="Times New Roman"/>
          <w:i/>
          <w:lang w:val="x-none"/>
        </w:rPr>
        <w:t xml:space="preserve"> </w:t>
      </w:r>
      <w:r w:rsidRPr="00767442">
        <w:rPr>
          <w:rFonts w:eastAsia="Times New Roman" w:cs="Times New Roman"/>
          <w:lang w:val="x-none"/>
        </w:rPr>
        <w:t>at</w:t>
      </w:r>
      <w:r w:rsidRPr="00767442">
        <w:rPr>
          <w:rFonts w:eastAsia="Times New Roman" w:cs="Times New Roman"/>
          <w:lang w:val="en-US"/>
        </w:rPr>
        <w:t xml:space="preserve"> para. 18, citing </w:t>
      </w:r>
      <w:r w:rsidRPr="00767442">
        <w:rPr>
          <w:rFonts w:eastAsia="Times New Roman" w:cs="Times New Roman"/>
          <w:i/>
          <w:lang w:val="en-US"/>
        </w:rPr>
        <w:t>Schmidt v. Schmidt</w:t>
      </w:r>
      <w:r w:rsidRPr="00767442">
        <w:rPr>
          <w:rFonts w:eastAsia="Times New Roman" w:cs="Times New Roman"/>
          <w:lang w:val="en-US"/>
        </w:rPr>
        <w:t xml:space="preserve"> (1985), 46 R.F.L. (2d) 71 (Man. Q.B.), at p. 73; R.F., at para. 57</w:t>
      </w:r>
      <w:r w:rsidRPr="00767442">
        <w:rPr>
          <w:rFonts w:cs="Times New Roman"/>
        </w:rPr>
        <w:t xml:space="preserve">). Simply stated, how many payors would pay in full when the amounts come due if they can expect to pay less </w:t>
      </w:r>
      <w:proofErr w:type="gramStart"/>
      <w:r w:rsidRPr="00767442">
        <w:rPr>
          <w:rFonts w:cs="Times New Roman"/>
        </w:rPr>
        <w:t>later</w:t>
      </w:r>
      <w:proofErr w:type="gramEnd"/>
      <w:r w:rsidRPr="00767442">
        <w:rPr>
          <w:rFonts w:cs="Times New Roman"/>
        </w:rPr>
        <w:t xml:space="preserve">? The rule should not allow or encourage debtors to wait out their obligations or subvert statutory enforcement regimes that recognize child support arrears as debts to be taken seriously. </w:t>
      </w:r>
    </w:p>
    <w:p w14:paraId="55844A1F" w14:textId="77777777" w:rsidR="006E72DA" w:rsidRPr="00767442" w:rsidRDefault="006E72DA" w:rsidP="006E72DA">
      <w:pPr>
        <w:pStyle w:val="Title4LevelTitre4Niveau"/>
        <w:numPr>
          <w:ilvl w:val="3"/>
          <w:numId w:val="19"/>
        </w:numPr>
        <w:rPr>
          <w:rFonts w:cs="Times New Roman"/>
        </w:rPr>
      </w:pPr>
      <w:bookmarkStart w:id="248" w:name="_Toc64104283"/>
      <w:bookmarkStart w:id="249" w:name="_Toc64122520"/>
      <w:bookmarkStart w:id="250" w:name="_Toc64367723"/>
      <w:bookmarkStart w:id="251" w:name="_Toc66736635"/>
      <w:bookmarkStart w:id="252" w:name="_Toc67070455"/>
      <w:bookmarkStart w:id="253" w:name="_Toc67332101"/>
      <w:bookmarkStart w:id="254" w:name="_Toc67347384"/>
      <w:bookmarkStart w:id="255" w:name="_Toc71624553"/>
      <w:r w:rsidRPr="00767442">
        <w:rPr>
          <w:rFonts w:cs="Times New Roman"/>
        </w:rPr>
        <w:t>Application to the Present Case</w:t>
      </w:r>
      <w:bookmarkEnd w:id="248"/>
      <w:bookmarkEnd w:id="249"/>
      <w:bookmarkEnd w:id="250"/>
      <w:bookmarkEnd w:id="251"/>
      <w:bookmarkEnd w:id="252"/>
      <w:bookmarkEnd w:id="253"/>
      <w:bookmarkEnd w:id="254"/>
      <w:bookmarkEnd w:id="255"/>
      <w:r w:rsidRPr="00767442">
        <w:rPr>
          <w:rFonts w:cs="Times New Roman"/>
        </w:rPr>
        <w:t xml:space="preserve"> </w:t>
      </w:r>
    </w:p>
    <w:p w14:paraId="4F1C7BA0" w14:textId="77777777" w:rsidR="006E72DA" w:rsidRPr="00767442" w:rsidRDefault="006E72DA" w:rsidP="006E72DA">
      <w:pPr>
        <w:pStyle w:val="ParaNoNdepar-AltN"/>
        <w:tabs>
          <w:tab w:val="clear" w:pos="1152"/>
          <w:tab w:val="left" w:pos="1166"/>
        </w:tabs>
        <w:rPr>
          <w:rFonts w:cs="Times New Roman"/>
        </w:rPr>
      </w:pPr>
      <w:r w:rsidRPr="00767442">
        <w:rPr>
          <w:rFonts w:eastAsia="Times New Roman" w:cs="Times New Roman"/>
        </w:rPr>
        <w:t xml:space="preserve">To the extent that Mr. Colucci relies on current inability to pay in this case, his failure to adduce adequate evidence of his financial circumstances would be fatal to any application to rescind arrears. </w:t>
      </w:r>
      <w:r w:rsidRPr="00767442">
        <w:rPr>
          <w:rFonts w:cs="Times New Roman"/>
        </w:rPr>
        <w:t>As stated by the Court of Appeal, Mr. Colucci has not provided complete and accurate disclosure of his income and assets and continued to misrepresent his financial circumstances in the course of the proceedings, including with respect to his inheritance from his mother’s estate (paras. 28 and 31</w:t>
      </w:r>
      <w:r w:rsidRPr="00767442">
        <w:rPr>
          <w:rFonts w:cs="Times New Roman"/>
        </w:rPr>
        <w:noBreakHyphen/>
        <w:t xml:space="preserve">32). As such, he has not discharged his onus of showing that he will be unable to pay now or in the future even with a flexible payment plan. </w:t>
      </w:r>
    </w:p>
    <w:p w14:paraId="12BF8657" w14:textId="77777777" w:rsidR="006E72DA" w:rsidRPr="00767442" w:rsidRDefault="006E72DA" w:rsidP="006E72DA">
      <w:pPr>
        <w:pStyle w:val="Title1LevelTitre1Niveau-AltL"/>
        <w:numPr>
          <w:ilvl w:val="0"/>
          <w:numId w:val="19"/>
        </w:numPr>
        <w:jc w:val="both"/>
        <w:rPr>
          <w:rFonts w:cs="Times New Roman"/>
        </w:rPr>
      </w:pPr>
      <w:bookmarkStart w:id="256" w:name="_Toc62935261"/>
      <w:bookmarkStart w:id="257" w:name="_Toc62953633"/>
      <w:bookmarkStart w:id="258" w:name="_Toc62998003"/>
      <w:bookmarkStart w:id="259" w:name="_Toc64122522"/>
      <w:bookmarkStart w:id="260" w:name="_Toc64367725"/>
      <w:bookmarkStart w:id="261" w:name="_Toc66736636"/>
      <w:bookmarkStart w:id="262" w:name="_Toc67070456"/>
      <w:bookmarkStart w:id="263" w:name="_Toc67332102"/>
      <w:bookmarkStart w:id="264" w:name="_Toc67347385"/>
      <w:bookmarkStart w:id="265" w:name="_Toc71624554"/>
      <w:r w:rsidRPr="00767442">
        <w:rPr>
          <w:rFonts w:cs="Times New Roman"/>
        </w:rPr>
        <w:t>Disposition</w:t>
      </w:r>
      <w:bookmarkEnd w:id="256"/>
      <w:bookmarkEnd w:id="257"/>
      <w:bookmarkEnd w:id="258"/>
      <w:bookmarkEnd w:id="259"/>
      <w:bookmarkEnd w:id="260"/>
      <w:bookmarkEnd w:id="261"/>
      <w:bookmarkEnd w:id="262"/>
      <w:bookmarkEnd w:id="263"/>
      <w:bookmarkEnd w:id="264"/>
      <w:bookmarkEnd w:id="265"/>
    </w:p>
    <w:p w14:paraId="3D23228B" w14:textId="4BAF2EBB" w:rsidR="006E72DA" w:rsidRPr="007D6335" w:rsidRDefault="006E72DA" w:rsidP="006E72DA">
      <w:pPr>
        <w:pStyle w:val="ParaNoNdepar-AltN"/>
        <w:tabs>
          <w:tab w:val="clear" w:pos="1152"/>
          <w:tab w:val="left" w:pos="1166"/>
        </w:tabs>
        <w:rPr>
          <w:rFonts w:cs="Times New Roman"/>
        </w:rPr>
      </w:pPr>
      <w:r w:rsidRPr="00767442">
        <w:rPr>
          <w:rFonts w:cs="Times New Roman"/>
        </w:rPr>
        <w:t>For the foregoing reasons, I would dismiss the appeal with costs.</w:t>
      </w:r>
    </w:p>
    <w:p w14:paraId="58DBE257" w14:textId="01620E94" w:rsidR="009B57B3" w:rsidRPr="00D057A2" w:rsidRDefault="009B57B3" w:rsidP="008117DF">
      <w:pPr>
        <w:pStyle w:val="SCCNormalDoubleSpacing"/>
        <w:spacing w:after="480"/>
        <w:rPr>
          <w:rFonts w:cs="Times New Roman"/>
        </w:rPr>
      </w:pPr>
      <w:r w:rsidRPr="00D057A2">
        <w:rPr>
          <w:rFonts w:cs="Times New Roman"/>
        </w:rPr>
        <w:tab/>
      </w:r>
      <w:r w:rsidR="004A7B86" w:rsidRPr="00D057A2">
        <w:rPr>
          <w:rFonts w:cs="Times New Roman"/>
          <w:i/>
        </w:rPr>
        <w:t>Appeal dismissed with costs</w:t>
      </w:r>
      <w:r w:rsidR="003839BE" w:rsidRPr="00D057A2">
        <w:rPr>
          <w:rFonts w:cs="Times New Roman"/>
          <w:i/>
        </w:rPr>
        <w:t>.</w:t>
      </w:r>
    </w:p>
    <w:p w14:paraId="07C0A188" w14:textId="3957804D" w:rsidR="004C245D" w:rsidRPr="00D057A2" w:rsidRDefault="00A565A8" w:rsidP="008117DF">
      <w:pPr>
        <w:pStyle w:val="SCCLawFirm"/>
        <w:spacing w:after="480"/>
        <w:rPr>
          <w:rFonts w:cs="Times New Roman"/>
        </w:rPr>
      </w:pPr>
      <w:r w:rsidRPr="00D057A2">
        <w:rPr>
          <w:rFonts w:cs="Times New Roman"/>
        </w:rPr>
        <w:tab/>
        <w:t>Solicitors for the appellant: </w:t>
      </w:r>
      <w:r w:rsidR="004A15E5" w:rsidRPr="00D057A2">
        <w:rPr>
          <w:rFonts w:cs="Times New Roman"/>
        </w:rPr>
        <w:t>Gordner Law Firm, Windsor.</w:t>
      </w:r>
    </w:p>
    <w:p w14:paraId="4D1807D2" w14:textId="2F3E47A2" w:rsidR="004C245D" w:rsidRPr="00D057A2" w:rsidRDefault="004A15E5" w:rsidP="008117DF">
      <w:pPr>
        <w:pStyle w:val="SCCLawFirm"/>
        <w:spacing w:after="480"/>
        <w:rPr>
          <w:rFonts w:cs="Times New Roman"/>
        </w:rPr>
      </w:pPr>
      <w:r w:rsidRPr="00D057A2">
        <w:rPr>
          <w:rFonts w:cs="Times New Roman"/>
        </w:rPr>
        <w:tab/>
        <w:t>So</w:t>
      </w:r>
      <w:r w:rsidR="00A565A8" w:rsidRPr="00D057A2">
        <w:rPr>
          <w:rFonts w:cs="Times New Roman"/>
        </w:rPr>
        <w:t>licitors for the respondent: </w:t>
      </w:r>
      <w:r w:rsidRPr="00D057A2">
        <w:rPr>
          <w:rFonts w:cs="Times New Roman"/>
        </w:rPr>
        <w:t>Goldhart &amp; Associates, Toronto.</w:t>
      </w:r>
    </w:p>
    <w:p w14:paraId="0FBE65DE" w14:textId="5523E9EA" w:rsidR="004C245D" w:rsidRPr="00D057A2" w:rsidRDefault="00263859" w:rsidP="008117DF">
      <w:pPr>
        <w:pStyle w:val="SCCLawFirm"/>
        <w:spacing w:after="480"/>
        <w:rPr>
          <w:rFonts w:cs="Times New Roman"/>
        </w:rPr>
      </w:pPr>
      <w:r w:rsidRPr="00D057A2">
        <w:rPr>
          <w:rFonts w:cs="Times New Roman"/>
        </w:rPr>
        <w:tab/>
        <w:t>Solicitors</w:t>
      </w:r>
      <w:r w:rsidR="004A15E5" w:rsidRPr="00D057A2">
        <w:rPr>
          <w:rFonts w:cs="Times New Roman"/>
        </w:rPr>
        <w:t xml:space="preserve"> for the intervener</w:t>
      </w:r>
      <w:r w:rsidRPr="00D057A2">
        <w:rPr>
          <w:rFonts w:cs="Times New Roman"/>
        </w:rPr>
        <w:t>s the</w:t>
      </w:r>
      <w:r w:rsidR="004A15E5" w:rsidRPr="00D057A2">
        <w:rPr>
          <w:rFonts w:cs="Times New Roman"/>
        </w:rPr>
        <w:t xml:space="preserve"> West Coast Legal Education and Action Fund Association and </w:t>
      </w:r>
      <w:r w:rsidR="00EC2FC8" w:rsidRPr="00D057A2">
        <w:rPr>
          <w:rFonts w:cs="Times New Roman"/>
        </w:rPr>
        <w:t xml:space="preserve">the </w:t>
      </w:r>
      <w:r w:rsidR="004A15E5" w:rsidRPr="00D057A2">
        <w:rPr>
          <w:rFonts w:cs="Times New Roman"/>
        </w:rPr>
        <w:t>Women</w:t>
      </w:r>
      <w:r w:rsidR="0094699A" w:rsidRPr="00D057A2">
        <w:rPr>
          <w:rFonts w:cs="Times New Roman"/>
        </w:rPr>
        <w:t>’</w:t>
      </w:r>
      <w:r w:rsidR="004A15E5" w:rsidRPr="00D057A2">
        <w:rPr>
          <w:rFonts w:cs="Times New Roman"/>
        </w:rPr>
        <w:t>s Legal Education and Action</w:t>
      </w:r>
      <w:r w:rsidRPr="00D057A2">
        <w:rPr>
          <w:rFonts w:cs="Times New Roman"/>
        </w:rPr>
        <w:t xml:space="preserve"> Fund Inc.:</w:t>
      </w:r>
      <w:r w:rsidR="00945312">
        <w:rPr>
          <w:rFonts w:cs="Times New Roman"/>
        </w:rPr>
        <w:t> </w:t>
      </w:r>
      <w:r w:rsidR="004A15E5" w:rsidRPr="00D057A2">
        <w:rPr>
          <w:rFonts w:cs="Times New Roman"/>
        </w:rPr>
        <w:t>Power Law, Vancouver.</w:t>
      </w:r>
    </w:p>
    <w:p w14:paraId="14445214" w14:textId="4AD331A7" w:rsidR="004C245D" w:rsidRPr="00D057A2" w:rsidRDefault="00263859" w:rsidP="00302174">
      <w:pPr>
        <w:pStyle w:val="SCCNormalDoubleSpacing"/>
        <w:rPr>
          <w:rFonts w:cs="Times New Roman"/>
          <w:i/>
        </w:rPr>
      </w:pPr>
      <w:r w:rsidRPr="00D057A2">
        <w:rPr>
          <w:rFonts w:cs="Times New Roman"/>
        </w:rPr>
        <w:tab/>
      </w:r>
      <w:r w:rsidRPr="00D057A2">
        <w:rPr>
          <w:rFonts w:cs="Times New Roman"/>
          <w:i/>
        </w:rPr>
        <w:t>Solicitors</w:t>
      </w:r>
      <w:r w:rsidR="004A15E5" w:rsidRPr="00D057A2">
        <w:rPr>
          <w:rFonts w:cs="Times New Roman"/>
          <w:i/>
        </w:rPr>
        <w:t xml:space="preserve"> for the int</w:t>
      </w:r>
      <w:r w:rsidRPr="00D057A2">
        <w:rPr>
          <w:rFonts w:cs="Times New Roman"/>
          <w:i/>
        </w:rPr>
        <w:t xml:space="preserve">ervener Canada </w:t>
      </w:r>
      <w:proofErr w:type="gramStart"/>
      <w:r w:rsidRPr="00D057A2">
        <w:rPr>
          <w:rFonts w:cs="Times New Roman"/>
          <w:i/>
        </w:rPr>
        <w:t>Without</w:t>
      </w:r>
      <w:proofErr w:type="gramEnd"/>
      <w:r w:rsidRPr="00D057A2">
        <w:rPr>
          <w:rFonts w:cs="Times New Roman"/>
          <w:i/>
        </w:rPr>
        <w:t xml:space="preserve"> Poverty:</w:t>
      </w:r>
      <w:r w:rsidR="00945312">
        <w:rPr>
          <w:rFonts w:cs="Times New Roman"/>
          <w:i/>
        </w:rPr>
        <w:t> </w:t>
      </w:r>
      <w:r w:rsidR="004A15E5" w:rsidRPr="00D057A2">
        <w:rPr>
          <w:rFonts w:cs="Times New Roman"/>
          <w:i/>
        </w:rPr>
        <w:t>Teshebaeva Henderson, Ottawa.</w:t>
      </w:r>
    </w:p>
    <w:sectPr w:rsidR="004C245D" w:rsidRPr="00D057A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65BF4" w14:textId="77777777" w:rsidR="00841DB2" w:rsidRDefault="00841DB2">
      <w:r>
        <w:separator/>
      </w:r>
    </w:p>
  </w:endnote>
  <w:endnote w:type="continuationSeparator" w:id="0">
    <w:p w14:paraId="66B92D22" w14:textId="77777777" w:rsidR="00841DB2" w:rsidRDefault="0084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0F05" w14:textId="77777777" w:rsidR="00172023" w:rsidRDefault="00172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0EF4" w14:textId="77777777" w:rsidR="00172023" w:rsidRDefault="00172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7655" w14:textId="77777777" w:rsidR="00172023" w:rsidRDefault="00172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42D75" w14:textId="77777777" w:rsidR="00841DB2" w:rsidRDefault="00841DB2">
      <w:r>
        <w:separator/>
      </w:r>
    </w:p>
  </w:footnote>
  <w:footnote w:type="continuationSeparator" w:id="0">
    <w:p w14:paraId="719CEFCF" w14:textId="77777777" w:rsidR="00841DB2" w:rsidRDefault="0084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3077C" w14:textId="77777777" w:rsidR="00172023" w:rsidRDefault="00172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5A96" w14:textId="593EFD6A" w:rsidR="00AF3F92" w:rsidRPr="00AF3F92" w:rsidRDefault="00AF3F92" w:rsidP="00AF3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28F8" w14:textId="77777777" w:rsidR="00172023" w:rsidRDefault="001720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7461A3"/>
    <w:multiLevelType w:val="hybridMultilevel"/>
    <w:tmpl w:val="EFBCB9F6"/>
    <w:lvl w:ilvl="0" w:tplc="7AEE5E9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52E0C"/>
    <w:multiLevelType w:val="hybridMultilevel"/>
    <w:tmpl w:val="EBC45AAA"/>
    <w:lvl w:ilvl="0" w:tplc="E15ACE3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3E099A"/>
    <w:multiLevelType w:val="hybridMultilevel"/>
    <w:tmpl w:val="C39E2D04"/>
    <w:lvl w:ilvl="0" w:tplc="7990F086">
      <w:start w:val="1"/>
      <w:numFmt w:val="lowerLetter"/>
      <w:lvlText w:val="(%1)"/>
      <w:lvlJc w:val="left"/>
      <w:pPr>
        <w:ind w:left="1104" w:hanging="624"/>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3A725B21"/>
    <w:multiLevelType w:val="hybridMultilevel"/>
    <w:tmpl w:val="BCE0666C"/>
    <w:lvl w:ilvl="0" w:tplc="23AE53F2">
      <w:start w:val="1"/>
      <w:numFmt w:val="lowerRoman"/>
      <w:lvlText w:val="(%1)"/>
      <w:lvlJc w:val="left"/>
      <w:pPr>
        <w:ind w:left="1200" w:hanging="72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C7A293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CA5137"/>
    <w:multiLevelType w:val="hybridMultilevel"/>
    <w:tmpl w:val="0972D96A"/>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2" w15:restartNumberingAfterBreak="0">
    <w:nsid w:val="54283EE8"/>
    <w:multiLevelType w:val="multilevel"/>
    <w:tmpl w:val="04F0CAF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8B195F"/>
    <w:multiLevelType w:val="hybridMultilevel"/>
    <w:tmpl w:val="33FE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3D2E1B"/>
    <w:multiLevelType w:val="hybridMultilevel"/>
    <w:tmpl w:val="0676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0"/>
  </w:num>
  <w:num w:numId="4">
    <w:abstractNumId w:val="19"/>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17"/>
  </w:num>
  <w:num w:numId="2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b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1">
    <w:abstractNumId w:val="23"/>
  </w:num>
  <w:num w:numId="22">
    <w:abstractNumId w:val="11"/>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2">
    <w:abstractNumId w:val="1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F23"/>
    <w:rsid w:val="00025198"/>
    <w:rsid w:val="00047990"/>
    <w:rsid w:val="000578A3"/>
    <w:rsid w:val="000648CC"/>
    <w:rsid w:val="0006646D"/>
    <w:rsid w:val="0008004E"/>
    <w:rsid w:val="00090A47"/>
    <w:rsid w:val="000A35F3"/>
    <w:rsid w:val="000A3A62"/>
    <w:rsid w:val="000C02EA"/>
    <w:rsid w:val="000C59B8"/>
    <w:rsid w:val="000C6AF0"/>
    <w:rsid w:val="000D7735"/>
    <w:rsid w:val="000F572F"/>
    <w:rsid w:val="000F6841"/>
    <w:rsid w:val="00104F33"/>
    <w:rsid w:val="00111500"/>
    <w:rsid w:val="00111C8C"/>
    <w:rsid w:val="00111DE2"/>
    <w:rsid w:val="00116B38"/>
    <w:rsid w:val="00123192"/>
    <w:rsid w:val="00135406"/>
    <w:rsid w:val="00135972"/>
    <w:rsid w:val="001426A9"/>
    <w:rsid w:val="00154D7C"/>
    <w:rsid w:val="001570B0"/>
    <w:rsid w:val="0015752C"/>
    <w:rsid w:val="00157737"/>
    <w:rsid w:val="00157B2A"/>
    <w:rsid w:val="00165277"/>
    <w:rsid w:val="0017036A"/>
    <w:rsid w:val="00170592"/>
    <w:rsid w:val="00172023"/>
    <w:rsid w:val="00186351"/>
    <w:rsid w:val="00195D83"/>
    <w:rsid w:val="001A00C1"/>
    <w:rsid w:val="001B33E0"/>
    <w:rsid w:val="001B4573"/>
    <w:rsid w:val="001C779F"/>
    <w:rsid w:val="001D2AC1"/>
    <w:rsid w:val="001D4E88"/>
    <w:rsid w:val="00214994"/>
    <w:rsid w:val="00220FC2"/>
    <w:rsid w:val="00221DEB"/>
    <w:rsid w:val="002222F4"/>
    <w:rsid w:val="0022440E"/>
    <w:rsid w:val="00224FC0"/>
    <w:rsid w:val="00225094"/>
    <w:rsid w:val="00225EA4"/>
    <w:rsid w:val="00226EAF"/>
    <w:rsid w:val="00231F3A"/>
    <w:rsid w:val="00234199"/>
    <w:rsid w:val="002406EE"/>
    <w:rsid w:val="00243EC8"/>
    <w:rsid w:val="002608C7"/>
    <w:rsid w:val="00263859"/>
    <w:rsid w:val="00270D93"/>
    <w:rsid w:val="00273040"/>
    <w:rsid w:val="002745CC"/>
    <w:rsid w:val="0028493C"/>
    <w:rsid w:val="0029601A"/>
    <w:rsid w:val="002B7924"/>
    <w:rsid w:val="002D28C3"/>
    <w:rsid w:val="002D39A4"/>
    <w:rsid w:val="002E6705"/>
    <w:rsid w:val="002F37A1"/>
    <w:rsid w:val="00301D08"/>
    <w:rsid w:val="00302174"/>
    <w:rsid w:val="0030329A"/>
    <w:rsid w:val="00307152"/>
    <w:rsid w:val="0031086F"/>
    <w:rsid w:val="0031414C"/>
    <w:rsid w:val="00314E01"/>
    <w:rsid w:val="0032089D"/>
    <w:rsid w:val="00325941"/>
    <w:rsid w:val="003310DE"/>
    <w:rsid w:val="003323B0"/>
    <w:rsid w:val="00341A77"/>
    <w:rsid w:val="00342EF5"/>
    <w:rsid w:val="0035169A"/>
    <w:rsid w:val="0035259D"/>
    <w:rsid w:val="00361D3F"/>
    <w:rsid w:val="00364A19"/>
    <w:rsid w:val="00364B18"/>
    <w:rsid w:val="003839BE"/>
    <w:rsid w:val="003847D9"/>
    <w:rsid w:val="003A125D"/>
    <w:rsid w:val="003A4C70"/>
    <w:rsid w:val="003B215F"/>
    <w:rsid w:val="003C0A8B"/>
    <w:rsid w:val="003C799C"/>
    <w:rsid w:val="003D0399"/>
    <w:rsid w:val="003E1C71"/>
    <w:rsid w:val="003F30CC"/>
    <w:rsid w:val="003F327B"/>
    <w:rsid w:val="004021F6"/>
    <w:rsid w:val="00406166"/>
    <w:rsid w:val="0040704B"/>
    <w:rsid w:val="00410A55"/>
    <w:rsid w:val="00411300"/>
    <w:rsid w:val="00415417"/>
    <w:rsid w:val="00426659"/>
    <w:rsid w:val="00427607"/>
    <w:rsid w:val="00450352"/>
    <w:rsid w:val="00454BDB"/>
    <w:rsid w:val="00463749"/>
    <w:rsid w:val="00464800"/>
    <w:rsid w:val="00465132"/>
    <w:rsid w:val="00480C90"/>
    <w:rsid w:val="0048396F"/>
    <w:rsid w:val="00487D0E"/>
    <w:rsid w:val="00493C18"/>
    <w:rsid w:val="004A15E5"/>
    <w:rsid w:val="004A600C"/>
    <w:rsid w:val="004A6118"/>
    <w:rsid w:val="004A7B86"/>
    <w:rsid w:val="004C245D"/>
    <w:rsid w:val="004C478D"/>
    <w:rsid w:val="004C4D69"/>
    <w:rsid w:val="004D2E94"/>
    <w:rsid w:val="004D7A08"/>
    <w:rsid w:val="004E2C26"/>
    <w:rsid w:val="004E49A1"/>
    <w:rsid w:val="004F1D7C"/>
    <w:rsid w:val="004F36FF"/>
    <w:rsid w:val="004F5F29"/>
    <w:rsid w:val="005125A8"/>
    <w:rsid w:val="00521AE8"/>
    <w:rsid w:val="00527180"/>
    <w:rsid w:val="00530FEF"/>
    <w:rsid w:val="0054201E"/>
    <w:rsid w:val="005428F1"/>
    <w:rsid w:val="005506F1"/>
    <w:rsid w:val="00555291"/>
    <w:rsid w:val="00560967"/>
    <w:rsid w:val="00566AD1"/>
    <w:rsid w:val="00583EDE"/>
    <w:rsid w:val="00584592"/>
    <w:rsid w:val="005A111E"/>
    <w:rsid w:val="005A6079"/>
    <w:rsid w:val="005E4698"/>
    <w:rsid w:val="005F18E1"/>
    <w:rsid w:val="00610539"/>
    <w:rsid w:val="00613969"/>
    <w:rsid w:val="00625C35"/>
    <w:rsid w:val="00630D3C"/>
    <w:rsid w:val="00655F9B"/>
    <w:rsid w:val="00656313"/>
    <w:rsid w:val="006565F4"/>
    <w:rsid w:val="00676D47"/>
    <w:rsid w:val="00677218"/>
    <w:rsid w:val="00683B72"/>
    <w:rsid w:val="00684EEA"/>
    <w:rsid w:val="006878E6"/>
    <w:rsid w:val="00696545"/>
    <w:rsid w:val="0069689B"/>
    <w:rsid w:val="006A1551"/>
    <w:rsid w:val="006B3E2A"/>
    <w:rsid w:val="006B5FF5"/>
    <w:rsid w:val="006D2DC4"/>
    <w:rsid w:val="006E72DA"/>
    <w:rsid w:val="006F30AF"/>
    <w:rsid w:val="006F5DEF"/>
    <w:rsid w:val="00701759"/>
    <w:rsid w:val="00705C15"/>
    <w:rsid w:val="0071600E"/>
    <w:rsid w:val="007208D1"/>
    <w:rsid w:val="00731CF9"/>
    <w:rsid w:val="00747288"/>
    <w:rsid w:val="00747DD3"/>
    <w:rsid w:val="007549C8"/>
    <w:rsid w:val="00754A0B"/>
    <w:rsid w:val="007562D5"/>
    <w:rsid w:val="00766D14"/>
    <w:rsid w:val="00767A0F"/>
    <w:rsid w:val="007728C5"/>
    <w:rsid w:val="007A05F6"/>
    <w:rsid w:val="007A4297"/>
    <w:rsid w:val="007B6F4A"/>
    <w:rsid w:val="007D21F2"/>
    <w:rsid w:val="007D6335"/>
    <w:rsid w:val="007E1C47"/>
    <w:rsid w:val="007E337A"/>
    <w:rsid w:val="007E5C70"/>
    <w:rsid w:val="007F2FF5"/>
    <w:rsid w:val="007F3F08"/>
    <w:rsid w:val="00804CC6"/>
    <w:rsid w:val="008117DF"/>
    <w:rsid w:val="00817190"/>
    <w:rsid w:val="00820EE5"/>
    <w:rsid w:val="008260E2"/>
    <w:rsid w:val="008322BD"/>
    <w:rsid w:val="00833E0A"/>
    <w:rsid w:val="00834F73"/>
    <w:rsid w:val="00841149"/>
    <w:rsid w:val="00841DB2"/>
    <w:rsid w:val="00864CF8"/>
    <w:rsid w:val="00872819"/>
    <w:rsid w:val="00874914"/>
    <w:rsid w:val="00891422"/>
    <w:rsid w:val="00892E1A"/>
    <w:rsid w:val="0089336E"/>
    <w:rsid w:val="00894B2A"/>
    <w:rsid w:val="008A3F29"/>
    <w:rsid w:val="008B5501"/>
    <w:rsid w:val="008B660A"/>
    <w:rsid w:val="008C01DA"/>
    <w:rsid w:val="008F78E9"/>
    <w:rsid w:val="009064C7"/>
    <w:rsid w:val="0091012C"/>
    <w:rsid w:val="00911989"/>
    <w:rsid w:val="009179F9"/>
    <w:rsid w:val="00930858"/>
    <w:rsid w:val="00933E5E"/>
    <w:rsid w:val="00935218"/>
    <w:rsid w:val="009358DD"/>
    <w:rsid w:val="009403F3"/>
    <w:rsid w:val="00945312"/>
    <w:rsid w:val="0094699A"/>
    <w:rsid w:val="009555B7"/>
    <w:rsid w:val="00955694"/>
    <w:rsid w:val="009567AA"/>
    <w:rsid w:val="00967374"/>
    <w:rsid w:val="009762B1"/>
    <w:rsid w:val="00991D07"/>
    <w:rsid w:val="009A343A"/>
    <w:rsid w:val="009B2F23"/>
    <w:rsid w:val="009B57B3"/>
    <w:rsid w:val="009C24E2"/>
    <w:rsid w:val="009C5B92"/>
    <w:rsid w:val="009D2920"/>
    <w:rsid w:val="009D2B4D"/>
    <w:rsid w:val="009D5AEB"/>
    <w:rsid w:val="009F0E33"/>
    <w:rsid w:val="00A030CE"/>
    <w:rsid w:val="00A0612A"/>
    <w:rsid w:val="00A149DF"/>
    <w:rsid w:val="00A1755C"/>
    <w:rsid w:val="00A20246"/>
    <w:rsid w:val="00A21B90"/>
    <w:rsid w:val="00A21FF0"/>
    <w:rsid w:val="00A41805"/>
    <w:rsid w:val="00A42DCD"/>
    <w:rsid w:val="00A46C80"/>
    <w:rsid w:val="00A52AFB"/>
    <w:rsid w:val="00A548CB"/>
    <w:rsid w:val="00A5521C"/>
    <w:rsid w:val="00A565A8"/>
    <w:rsid w:val="00A643E7"/>
    <w:rsid w:val="00A73C38"/>
    <w:rsid w:val="00A97EC0"/>
    <w:rsid w:val="00AA3382"/>
    <w:rsid w:val="00AA48EC"/>
    <w:rsid w:val="00AB60DA"/>
    <w:rsid w:val="00AB670D"/>
    <w:rsid w:val="00AC18CE"/>
    <w:rsid w:val="00AD6DE5"/>
    <w:rsid w:val="00AE0536"/>
    <w:rsid w:val="00AE3F03"/>
    <w:rsid w:val="00AE4535"/>
    <w:rsid w:val="00AF03C5"/>
    <w:rsid w:val="00AF3F92"/>
    <w:rsid w:val="00B000D8"/>
    <w:rsid w:val="00B00F75"/>
    <w:rsid w:val="00B10BD0"/>
    <w:rsid w:val="00B145B6"/>
    <w:rsid w:val="00B279EB"/>
    <w:rsid w:val="00B312E0"/>
    <w:rsid w:val="00B345AA"/>
    <w:rsid w:val="00B50C81"/>
    <w:rsid w:val="00B5398F"/>
    <w:rsid w:val="00B557F8"/>
    <w:rsid w:val="00B75D18"/>
    <w:rsid w:val="00B815FC"/>
    <w:rsid w:val="00B91081"/>
    <w:rsid w:val="00B93FBC"/>
    <w:rsid w:val="00B9582D"/>
    <w:rsid w:val="00BA7DA0"/>
    <w:rsid w:val="00BB2EE4"/>
    <w:rsid w:val="00BB60D3"/>
    <w:rsid w:val="00BC2108"/>
    <w:rsid w:val="00BC7B06"/>
    <w:rsid w:val="00BD0E9E"/>
    <w:rsid w:val="00BD1BEC"/>
    <w:rsid w:val="00BD32FF"/>
    <w:rsid w:val="00C02092"/>
    <w:rsid w:val="00C23966"/>
    <w:rsid w:val="00C24D91"/>
    <w:rsid w:val="00C267D0"/>
    <w:rsid w:val="00C53F14"/>
    <w:rsid w:val="00C600CF"/>
    <w:rsid w:val="00C6084F"/>
    <w:rsid w:val="00C62A66"/>
    <w:rsid w:val="00C71458"/>
    <w:rsid w:val="00C75626"/>
    <w:rsid w:val="00C77613"/>
    <w:rsid w:val="00C828E7"/>
    <w:rsid w:val="00C84D90"/>
    <w:rsid w:val="00C86719"/>
    <w:rsid w:val="00C921DD"/>
    <w:rsid w:val="00C96805"/>
    <w:rsid w:val="00C96C78"/>
    <w:rsid w:val="00CA1066"/>
    <w:rsid w:val="00CA6391"/>
    <w:rsid w:val="00CC34BD"/>
    <w:rsid w:val="00CD1DDF"/>
    <w:rsid w:val="00CE161A"/>
    <w:rsid w:val="00CE3171"/>
    <w:rsid w:val="00CF08B4"/>
    <w:rsid w:val="00CF1601"/>
    <w:rsid w:val="00D0172F"/>
    <w:rsid w:val="00D057A2"/>
    <w:rsid w:val="00D060FF"/>
    <w:rsid w:val="00D068A7"/>
    <w:rsid w:val="00D0716F"/>
    <w:rsid w:val="00D17476"/>
    <w:rsid w:val="00D32086"/>
    <w:rsid w:val="00D3280C"/>
    <w:rsid w:val="00D37A3F"/>
    <w:rsid w:val="00D4431D"/>
    <w:rsid w:val="00D4667A"/>
    <w:rsid w:val="00D63A1C"/>
    <w:rsid w:val="00D7516F"/>
    <w:rsid w:val="00D8579F"/>
    <w:rsid w:val="00D95F8E"/>
    <w:rsid w:val="00DA0590"/>
    <w:rsid w:val="00DB03DB"/>
    <w:rsid w:val="00DB2D12"/>
    <w:rsid w:val="00DB7BEA"/>
    <w:rsid w:val="00DC1739"/>
    <w:rsid w:val="00DC1788"/>
    <w:rsid w:val="00DE319C"/>
    <w:rsid w:val="00DE4275"/>
    <w:rsid w:val="00DE6356"/>
    <w:rsid w:val="00DF0CA8"/>
    <w:rsid w:val="00DF2B48"/>
    <w:rsid w:val="00DF49A7"/>
    <w:rsid w:val="00E07EE2"/>
    <w:rsid w:val="00E07FD1"/>
    <w:rsid w:val="00E176D8"/>
    <w:rsid w:val="00E24573"/>
    <w:rsid w:val="00E25E1E"/>
    <w:rsid w:val="00E27EE7"/>
    <w:rsid w:val="00E30764"/>
    <w:rsid w:val="00E35404"/>
    <w:rsid w:val="00E45109"/>
    <w:rsid w:val="00E47B7A"/>
    <w:rsid w:val="00E5493C"/>
    <w:rsid w:val="00E56A44"/>
    <w:rsid w:val="00E60269"/>
    <w:rsid w:val="00E62A12"/>
    <w:rsid w:val="00E77932"/>
    <w:rsid w:val="00E97830"/>
    <w:rsid w:val="00EA1987"/>
    <w:rsid w:val="00EC2FC8"/>
    <w:rsid w:val="00EE643C"/>
    <w:rsid w:val="00EF0683"/>
    <w:rsid w:val="00EF2600"/>
    <w:rsid w:val="00EF69D2"/>
    <w:rsid w:val="00EF766E"/>
    <w:rsid w:val="00EF7762"/>
    <w:rsid w:val="00F006C8"/>
    <w:rsid w:val="00F0070C"/>
    <w:rsid w:val="00F00EB7"/>
    <w:rsid w:val="00F20089"/>
    <w:rsid w:val="00F36AB6"/>
    <w:rsid w:val="00F37A09"/>
    <w:rsid w:val="00F409CE"/>
    <w:rsid w:val="00F4379D"/>
    <w:rsid w:val="00F50D2D"/>
    <w:rsid w:val="00F56C8B"/>
    <w:rsid w:val="00F60AB3"/>
    <w:rsid w:val="00F66810"/>
    <w:rsid w:val="00F846D9"/>
    <w:rsid w:val="00F84DF4"/>
    <w:rsid w:val="00F85C97"/>
    <w:rsid w:val="00F94A28"/>
    <w:rsid w:val="00FA2254"/>
    <w:rsid w:val="00FB37D2"/>
    <w:rsid w:val="00FC4EFB"/>
    <w:rsid w:val="00FD068D"/>
    <w:rsid w:val="00FD4F28"/>
    <w:rsid w:val="00FE6784"/>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C9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3F30CC"/>
    <w:rPr>
      <w:rFonts w:eastAsiaTheme="minorHAnsi" w:cstheme="minorBidi"/>
      <w:sz w:val="24"/>
      <w:szCs w:val="22"/>
      <w:lang w:val="en-US" w:eastAsia="en-US" w:bidi="en-US"/>
    </w:rPr>
  </w:style>
  <w:style w:type="paragraph" w:styleId="Heading1">
    <w:name w:val="heading 1"/>
    <w:basedOn w:val="Normal"/>
    <w:next w:val="Normal"/>
    <w:link w:val="Heading1Char"/>
    <w:uiPriority w:val="9"/>
    <w:rsid w:val="003F3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30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30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F30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30C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F30C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F30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30C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F30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30CC"/>
    <w:rPr>
      <w:rFonts w:asciiTheme="majorHAnsi" w:eastAsiaTheme="majorEastAsia" w:hAnsiTheme="majorHAnsi" w:cstheme="majorBidi"/>
      <w:b/>
      <w:bCs/>
      <w:color w:val="4F81BD" w:themeColor="accent1"/>
      <w:sz w:val="26"/>
      <w:szCs w:val="26"/>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rsid w:val="003F30CC"/>
    <w:rPr>
      <w:b/>
      <w:bCs/>
    </w:rPr>
  </w:style>
  <w:style w:type="paragraph" w:styleId="Quote">
    <w:name w:val="Quote"/>
    <w:basedOn w:val="Normal"/>
    <w:next w:val="Normal"/>
    <w:link w:val="QuoteChar"/>
    <w:uiPriority w:val="29"/>
    <w:rsid w:val="003F30CC"/>
    <w:rPr>
      <w:i/>
      <w:iCs/>
      <w:color w:val="000000" w:themeColor="text1"/>
    </w:rPr>
  </w:style>
  <w:style w:type="character" w:customStyle="1" w:styleId="QuoteChar">
    <w:name w:val="Quote Char"/>
    <w:basedOn w:val="DefaultParagraphFont"/>
    <w:link w:val="Quote"/>
    <w:uiPriority w:val="29"/>
    <w:rsid w:val="003F30CC"/>
    <w:rPr>
      <w:rFonts w:eastAsiaTheme="minorHAnsi" w:cstheme="minorBidi"/>
      <w:i/>
      <w:iCs/>
      <w:color w:val="000000" w:themeColor="text1"/>
      <w:sz w:val="24"/>
      <w:szCs w:val="22"/>
      <w:lang w:val="en-US" w:eastAsia="en-US" w:bidi="en-US"/>
    </w:rPr>
  </w:style>
  <w:style w:type="character" w:styleId="PlaceholderText">
    <w:name w:val="Placeholder Text"/>
    <w:basedOn w:val="DefaultParagraphFont"/>
    <w:uiPriority w:val="99"/>
    <w:semiHidden/>
    <w:rsid w:val="003F30CC"/>
    <w:rPr>
      <w:color w:val="808080"/>
    </w:rPr>
  </w:style>
  <w:style w:type="paragraph" w:styleId="BalloonText">
    <w:name w:val="Balloon Text"/>
    <w:basedOn w:val="Normal"/>
    <w:link w:val="BalloonTextChar"/>
    <w:uiPriority w:val="99"/>
    <w:semiHidden/>
    <w:unhideWhenUsed/>
    <w:rsid w:val="003F30CC"/>
    <w:rPr>
      <w:rFonts w:cs="Tahoma"/>
      <w:sz w:val="28"/>
      <w:szCs w:val="16"/>
    </w:rPr>
  </w:style>
  <w:style w:type="character" w:customStyle="1" w:styleId="BalloonTextChar">
    <w:name w:val="Balloon Text Char"/>
    <w:basedOn w:val="DefaultParagraphFont"/>
    <w:link w:val="BalloonText"/>
    <w:uiPriority w:val="99"/>
    <w:semiHidden/>
    <w:rsid w:val="003F30CC"/>
    <w:rPr>
      <w:rFonts w:eastAsiaTheme="minorHAnsi" w:cs="Tahoma"/>
      <w:sz w:val="28"/>
      <w:szCs w:val="16"/>
      <w:lang w:val="en-US" w:eastAsia="en-US" w:bidi="en-US"/>
    </w:rPr>
  </w:style>
  <w:style w:type="paragraph" w:styleId="Header">
    <w:name w:val="header"/>
    <w:basedOn w:val="Normal"/>
    <w:link w:val="HeaderChar"/>
    <w:uiPriority w:val="99"/>
    <w:unhideWhenUsed/>
    <w:rsid w:val="003F30CC"/>
    <w:pPr>
      <w:tabs>
        <w:tab w:val="center" w:pos="4680"/>
        <w:tab w:val="right" w:pos="9360"/>
      </w:tabs>
    </w:pPr>
  </w:style>
  <w:style w:type="character" w:customStyle="1" w:styleId="HeaderChar">
    <w:name w:val="Header Char"/>
    <w:basedOn w:val="DefaultParagraphFont"/>
    <w:link w:val="Header"/>
    <w:uiPriority w:val="99"/>
    <w:rsid w:val="003F30CC"/>
    <w:rPr>
      <w:rFonts w:eastAsiaTheme="minorHAnsi" w:cstheme="minorBidi"/>
      <w:sz w:val="24"/>
      <w:szCs w:val="22"/>
      <w:lang w:val="en-US" w:eastAsia="en-US" w:bidi="en-US"/>
    </w:rPr>
  </w:style>
  <w:style w:type="paragraph" w:styleId="Footer">
    <w:name w:val="footer"/>
    <w:basedOn w:val="Normal"/>
    <w:link w:val="FooterChar"/>
    <w:uiPriority w:val="99"/>
    <w:unhideWhenUsed/>
    <w:rsid w:val="003F30CC"/>
    <w:pPr>
      <w:tabs>
        <w:tab w:val="center" w:pos="4680"/>
        <w:tab w:val="right" w:pos="9360"/>
      </w:tabs>
    </w:pPr>
  </w:style>
  <w:style w:type="character" w:customStyle="1" w:styleId="FooterChar">
    <w:name w:val="Footer Char"/>
    <w:basedOn w:val="DefaultParagraphFont"/>
    <w:link w:val="Footer"/>
    <w:uiPriority w:val="99"/>
    <w:rsid w:val="003F30CC"/>
    <w:rPr>
      <w:rFonts w:eastAsiaTheme="minorHAnsi" w:cstheme="minorBidi"/>
      <w:sz w:val="24"/>
      <w:szCs w:val="22"/>
      <w:lang w:val="en-US" w:eastAsia="en-US" w:bidi="en-US"/>
    </w:rPr>
  </w:style>
  <w:style w:type="paragraph" w:customStyle="1" w:styleId="SCCLsocParty">
    <w:name w:val="SCC.Lsoc.Party"/>
    <w:basedOn w:val="Normal"/>
    <w:next w:val="Normal"/>
    <w:link w:val="SCCLsocPartyChar"/>
    <w:rsid w:val="003F30CC"/>
    <w:pPr>
      <w:spacing w:after="480"/>
      <w:jc w:val="both"/>
    </w:pPr>
  </w:style>
  <w:style w:type="character" w:customStyle="1" w:styleId="SCCLsocPartyChar">
    <w:name w:val="SCC.Lsoc.Party Char"/>
    <w:basedOn w:val="DefaultParagraphFont"/>
    <w:link w:val="SCCLsocParty"/>
    <w:rsid w:val="003F30CC"/>
    <w:rPr>
      <w:rFonts w:eastAsiaTheme="minorHAnsi" w:cstheme="minorBidi"/>
      <w:sz w:val="24"/>
      <w:szCs w:val="22"/>
      <w:lang w:val="en-US" w:eastAsia="en-US" w:bidi="en-US"/>
    </w:rPr>
  </w:style>
  <w:style w:type="paragraph" w:customStyle="1" w:styleId="SCCLsocVersus">
    <w:name w:val="SCC.Lsoc.Versus"/>
    <w:basedOn w:val="Normal"/>
    <w:next w:val="Normal"/>
    <w:link w:val="SCCLsocVersusChar"/>
    <w:rsid w:val="003F30CC"/>
    <w:pPr>
      <w:spacing w:after="480"/>
    </w:pPr>
  </w:style>
  <w:style w:type="character" w:customStyle="1" w:styleId="SCCLsocVersusChar">
    <w:name w:val="SCC.Lsoc.Versus Char"/>
    <w:basedOn w:val="DefaultParagraphFont"/>
    <w:link w:val="SCCLsocVersus"/>
    <w:rsid w:val="003F30CC"/>
    <w:rPr>
      <w:rFonts w:eastAsiaTheme="minorHAnsi" w:cstheme="minorBidi"/>
      <w:sz w:val="24"/>
      <w:szCs w:val="22"/>
      <w:lang w:val="en-US" w:eastAsia="en-US" w:bidi="en-US"/>
    </w:rPr>
  </w:style>
  <w:style w:type="character" w:customStyle="1" w:styleId="SCCLsocPartyRole">
    <w:name w:val="SCC.Lsoc.PartyRole"/>
    <w:basedOn w:val="SCCLsocLastPartyInRoleChar"/>
    <w:uiPriority w:val="1"/>
    <w:rsid w:val="00B279EB"/>
    <w:rPr>
      <w:rFonts w:eastAsiaTheme="minorHAnsi" w:cstheme="minorBidi"/>
      <w:b w:val="0"/>
      <w:i/>
      <w:sz w:val="24"/>
      <w:szCs w:val="22"/>
      <w:lang w:val="en-US" w:eastAsia="en-US" w:bidi="en-US"/>
    </w:rPr>
  </w:style>
  <w:style w:type="paragraph" w:customStyle="1" w:styleId="SCCLsocSubfileSeparator">
    <w:name w:val="SCC.Lsoc.SubfileSeparator"/>
    <w:basedOn w:val="Normal"/>
    <w:next w:val="Normal"/>
    <w:link w:val="SCCLsocSubfileSeparatorChar"/>
    <w:rsid w:val="003F30CC"/>
    <w:pPr>
      <w:spacing w:after="480"/>
    </w:pPr>
  </w:style>
  <w:style w:type="character" w:customStyle="1" w:styleId="SCCLsocSubfileSeparatorChar">
    <w:name w:val="SCC.Lsoc.SubfileSeparator Char"/>
    <w:basedOn w:val="DefaultParagraphFont"/>
    <w:link w:val="SCCLsocSubfileSeparator"/>
    <w:rsid w:val="003F30CC"/>
    <w:rPr>
      <w:rFonts w:eastAsiaTheme="minorHAnsi" w:cstheme="minorBidi"/>
      <w:sz w:val="24"/>
      <w:szCs w:val="22"/>
      <w:lang w:val="en-US" w:eastAsia="en-US" w:bidi="en-US"/>
    </w:rPr>
  </w:style>
  <w:style w:type="paragraph" w:customStyle="1" w:styleId="SCCLsocOtherPartySeparator">
    <w:name w:val="SCC.Lsoc.OtherPartySeparator"/>
    <w:basedOn w:val="Normal"/>
    <w:next w:val="Normal"/>
    <w:link w:val="SCCLsocOtherPartySeparatorChar"/>
    <w:rsid w:val="003F30CC"/>
    <w:pPr>
      <w:spacing w:after="480"/>
    </w:pPr>
  </w:style>
  <w:style w:type="character" w:customStyle="1" w:styleId="SCCLsocOtherPartySeparatorChar">
    <w:name w:val="SCC.Lsoc.OtherPartySeparator Char"/>
    <w:basedOn w:val="DefaultParagraphFont"/>
    <w:link w:val="SCCLsocOtherPartySeparator"/>
    <w:rsid w:val="003F30CC"/>
    <w:rPr>
      <w:rFonts w:eastAsiaTheme="minorHAnsi" w:cstheme="minorBidi"/>
      <w:sz w:val="24"/>
      <w:szCs w:val="22"/>
      <w:lang w:val="en-US" w:eastAsia="en-US" w:bidi="en-US"/>
    </w:rPr>
  </w:style>
  <w:style w:type="character" w:customStyle="1" w:styleId="Heading1Char">
    <w:name w:val="Heading 1 Char"/>
    <w:basedOn w:val="DefaultParagraphFont"/>
    <w:link w:val="Heading1"/>
    <w:uiPriority w:val="9"/>
    <w:rsid w:val="003F30CC"/>
    <w:rPr>
      <w:rFonts w:asciiTheme="majorHAnsi" w:eastAsiaTheme="majorEastAsia" w:hAnsiTheme="majorHAnsi" w:cstheme="majorBidi"/>
      <w:b/>
      <w:bCs/>
      <w:color w:val="365F91" w:themeColor="accent1" w:themeShade="BF"/>
      <w:sz w:val="28"/>
      <w:szCs w:val="28"/>
      <w:lang w:val="en-US" w:eastAsia="en-US" w:bidi="en-US"/>
    </w:rPr>
  </w:style>
  <w:style w:type="paragraph" w:customStyle="1" w:styleId="SCCBanSummary">
    <w:name w:val="SCC.BanSummary"/>
    <w:basedOn w:val="Normal"/>
    <w:next w:val="Normal"/>
    <w:link w:val="SCCBanSummaryChar"/>
    <w:rsid w:val="003F30CC"/>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rFonts w:eastAsiaTheme="minorHAnsi" w:cstheme="minorBidi"/>
      <w:b w:val="0"/>
      <w:sz w:val="24"/>
      <w:szCs w:val="22"/>
      <w:lang w:val="en-US" w:eastAsia="en-US" w:bidi="en-US"/>
    </w:rPr>
  </w:style>
  <w:style w:type="character" w:styleId="CommentReference">
    <w:name w:val="annotation reference"/>
    <w:basedOn w:val="DefaultParagraphFont"/>
    <w:uiPriority w:val="99"/>
    <w:semiHidden/>
    <w:unhideWhenUsed/>
    <w:rsid w:val="003F30CC"/>
    <w:rPr>
      <w:sz w:val="16"/>
      <w:szCs w:val="16"/>
    </w:rPr>
  </w:style>
  <w:style w:type="paragraph" w:styleId="CommentText">
    <w:name w:val="annotation text"/>
    <w:basedOn w:val="Normal"/>
    <w:link w:val="CommentTextChar"/>
    <w:uiPriority w:val="99"/>
    <w:semiHidden/>
    <w:unhideWhenUsed/>
    <w:rsid w:val="003F30CC"/>
    <w:rPr>
      <w:sz w:val="20"/>
    </w:rPr>
  </w:style>
  <w:style w:type="character" w:customStyle="1" w:styleId="CommentTextChar">
    <w:name w:val="Comment Text Char"/>
    <w:basedOn w:val="DefaultParagraphFont"/>
    <w:link w:val="CommentText"/>
    <w:uiPriority w:val="99"/>
    <w:semiHidden/>
    <w:rsid w:val="003F30C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3F30CC"/>
    <w:rPr>
      <w:b/>
      <w:bCs/>
    </w:rPr>
  </w:style>
  <w:style w:type="character" w:customStyle="1" w:styleId="CommentSubjectChar">
    <w:name w:val="Comment Subject Char"/>
    <w:basedOn w:val="CommentTextChar"/>
    <w:link w:val="CommentSubject"/>
    <w:uiPriority w:val="99"/>
    <w:semiHidden/>
    <w:rsid w:val="003F30CC"/>
    <w:rPr>
      <w:rFonts w:eastAsiaTheme="minorHAnsi" w:cstheme="minorBidi"/>
      <w:b/>
      <w:bCs/>
      <w:szCs w:val="22"/>
      <w:lang w:val="en-US" w:eastAsia="en-US" w:bidi="en-US"/>
    </w:rPr>
  </w:style>
  <w:style w:type="character" w:customStyle="1" w:styleId="Heading3Char">
    <w:name w:val="Heading 3 Char"/>
    <w:basedOn w:val="DefaultParagraphFont"/>
    <w:link w:val="Heading3"/>
    <w:uiPriority w:val="9"/>
    <w:semiHidden/>
    <w:rsid w:val="003F30C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F30C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F30C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F30C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F30C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F30C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F30C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3F30CC"/>
    <w:pPr>
      <w:spacing w:after="480"/>
    </w:pPr>
  </w:style>
  <w:style w:type="paragraph" w:customStyle="1" w:styleId="SCCCoram">
    <w:name w:val="SCC.Coram"/>
    <w:basedOn w:val="Normal"/>
    <w:next w:val="Normal"/>
    <w:link w:val="SCCCoramChar"/>
    <w:rsid w:val="003F30CC"/>
    <w:pPr>
      <w:pBdr>
        <w:bottom w:val="single" w:sz="4" w:space="1" w:color="auto"/>
      </w:pBdr>
    </w:pPr>
  </w:style>
  <w:style w:type="character" w:customStyle="1" w:styleId="SCCCoramChar">
    <w:name w:val="SCC.Coram Char"/>
    <w:basedOn w:val="DefaultParagraphFont"/>
    <w:link w:val="SCCCoram"/>
    <w:rsid w:val="003F30C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3F30C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3F30CC"/>
    <w:rPr>
      <w:rFonts w:eastAsiaTheme="minorEastAsia" w:cstheme="minorBidi"/>
      <w:b/>
      <w:sz w:val="24"/>
      <w:szCs w:val="24"/>
      <w:lang w:val="en-US" w:eastAsia="en-US" w:bidi="en-US"/>
    </w:rPr>
  </w:style>
  <w:style w:type="table" w:styleId="TableGrid">
    <w:name w:val="Table Grid"/>
    <w:basedOn w:val="TableNormal"/>
    <w:uiPriority w:val="59"/>
    <w:rsid w:val="003F30C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udgeJuge">
    <w:name w:val="Judge / Juge"/>
    <w:link w:val="JudgeJugeChar"/>
    <w:uiPriority w:val="3"/>
    <w:rsid w:val="003F30CC"/>
    <w:pPr>
      <w:tabs>
        <w:tab w:val="left" w:pos="1260"/>
      </w:tabs>
      <w:spacing w:after="480" w:line="480" w:lineRule="auto"/>
    </w:pPr>
    <w:rPr>
      <w:smallCaps/>
      <w:sz w:val="24"/>
    </w:rPr>
  </w:style>
  <w:style w:type="paragraph" w:customStyle="1" w:styleId="Citation-AltC">
    <w:name w:val="Citation - Alt C"/>
    <w:uiPriority w:val="2"/>
    <w:qFormat/>
    <w:rsid w:val="003F30C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F30CC"/>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link w:val="ParaNoNdepar-AltNChar"/>
    <w:qFormat/>
    <w:rsid w:val="003F30CC"/>
    <w:pPr>
      <w:numPr>
        <w:numId w:val="17"/>
      </w:numPr>
      <w:spacing w:before="480" w:after="480" w:line="480" w:lineRule="auto"/>
      <w:jc w:val="both"/>
    </w:pPr>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3F30CC"/>
    <w:rPr>
      <w:smallCaps/>
      <w:sz w:val="24"/>
    </w:rPr>
  </w:style>
  <w:style w:type="paragraph" w:customStyle="1" w:styleId="Title1LevelTitre1Niveau-AltL">
    <w:name w:val="Title 1 Level / Titre 1 Niveau - Alt L"/>
    <w:next w:val="ParaNoNdepar-AltN"/>
    <w:uiPriority w:val="4"/>
    <w:qFormat/>
    <w:rsid w:val="003F30CC"/>
    <w:pPr>
      <w:numPr>
        <w:numId w:val="20"/>
      </w:numPr>
      <w:spacing w:before="480" w:after="720"/>
      <w:outlineLvl w:val="0"/>
    </w:pPr>
    <w:rPr>
      <w:rFonts w:eastAsiaTheme="minorHAnsi" w:cstheme="minorBidi"/>
      <w:sz w:val="24"/>
      <w:szCs w:val="22"/>
      <w:u w:val="single"/>
      <w:lang w:eastAsia="en-US"/>
    </w:rPr>
  </w:style>
  <w:style w:type="paragraph" w:styleId="NoSpacing">
    <w:name w:val="No Spacing"/>
    <w:uiPriority w:val="1"/>
    <w:rsid w:val="003F30CC"/>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3F30CC"/>
    <w:pPr>
      <w:outlineLvl w:val="9"/>
    </w:pPr>
  </w:style>
  <w:style w:type="paragraph" w:styleId="Caption">
    <w:name w:val="caption"/>
    <w:basedOn w:val="Normal"/>
    <w:next w:val="Normal"/>
    <w:uiPriority w:val="35"/>
    <w:semiHidden/>
    <w:unhideWhenUsed/>
    <w:qFormat/>
    <w:rsid w:val="003F30CC"/>
    <w:rPr>
      <w:b/>
      <w:bCs/>
      <w:color w:val="4F81BD" w:themeColor="accent1"/>
      <w:sz w:val="18"/>
      <w:szCs w:val="18"/>
    </w:rPr>
  </w:style>
  <w:style w:type="paragraph" w:styleId="Title">
    <w:name w:val="Title"/>
    <w:basedOn w:val="Normal"/>
    <w:next w:val="Normal"/>
    <w:link w:val="TitleChar"/>
    <w:uiPriority w:val="10"/>
    <w:rsid w:val="003F30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30C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F30C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F30C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F30CC"/>
    <w:rPr>
      <w:i/>
      <w:iCs/>
    </w:rPr>
  </w:style>
  <w:style w:type="paragraph" w:styleId="ListParagraph">
    <w:name w:val="List Paragraph"/>
    <w:basedOn w:val="Normal"/>
    <w:uiPriority w:val="34"/>
    <w:qFormat/>
    <w:rsid w:val="003F30CC"/>
    <w:pPr>
      <w:ind w:left="720"/>
      <w:contextualSpacing/>
    </w:pPr>
  </w:style>
  <w:style w:type="paragraph" w:styleId="IntenseQuote">
    <w:name w:val="Intense Quote"/>
    <w:basedOn w:val="Normal"/>
    <w:next w:val="Normal"/>
    <w:link w:val="IntenseQuoteChar"/>
    <w:uiPriority w:val="30"/>
    <w:rsid w:val="003F30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30C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F30CC"/>
    <w:rPr>
      <w:i/>
      <w:iCs/>
      <w:color w:val="808080" w:themeColor="text1" w:themeTint="7F"/>
    </w:rPr>
  </w:style>
  <w:style w:type="character" w:styleId="IntenseEmphasis">
    <w:name w:val="Intense Emphasis"/>
    <w:basedOn w:val="DefaultParagraphFont"/>
    <w:uiPriority w:val="21"/>
    <w:rsid w:val="003F30CC"/>
    <w:rPr>
      <w:b/>
      <w:bCs/>
      <w:i/>
      <w:iCs/>
      <w:color w:val="4F81BD" w:themeColor="accent1"/>
    </w:rPr>
  </w:style>
  <w:style w:type="character" w:styleId="SubtleReference">
    <w:name w:val="Subtle Reference"/>
    <w:basedOn w:val="DefaultParagraphFont"/>
    <w:uiPriority w:val="31"/>
    <w:rsid w:val="003F30CC"/>
    <w:rPr>
      <w:smallCaps/>
      <w:color w:val="C0504D" w:themeColor="accent2"/>
      <w:u w:val="single"/>
    </w:rPr>
  </w:style>
  <w:style w:type="character" w:styleId="IntenseReference">
    <w:name w:val="Intense Reference"/>
    <w:basedOn w:val="DefaultParagraphFont"/>
    <w:uiPriority w:val="32"/>
    <w:rsid w:val="003F30CC"/>
    <w:rPr>
      <w:b/>
      <w:bCs/>
      <w:smallCaps/>
      <w:color w:val="C0504D" w:themeColor="accent2"/>
      <w:spacing w:val="5"/>
      <w:u w:val="single"/>
    </w:rPr>
  </w:style>
  <w:style w:type="character" w:styleId="BookTitle">
    <w:name w:val="Book Title"/>
    <w:basedOn w:val="DefaultParagraphFont"/>
    <w:uiPriority w:val="33"/>
    <w:rsid w:val="003F30CC"/>
    <w:rPr>
      <w:b/>
      <w:bCs/>
      <w:smallCaps/>
      <w:spacing w:val="5"/>
    </w:rPr>
  </w:style>
  <w:style w:type="paragraph" w:styleId="Revision">
    <w:name w:val="Revision"/>
    <w:hidden/>
    <w:uiPriority w:val="99"/>
    <w:semiHidden/>
    <w:rsid w:val="003F30CC"/>
    <w:rPr>
      <w:rFonts w:eastAsiaTheme="minorHAnsi" w:cstheme="minorBidi"/>
      <w:sz w:val="24"/>
      <w:szCs w:val="22"/>
      <w:lang w:val="en-US" w:eastAsia="en-US" w:bidi="en-US"/>
    </w:rPr>
  </w:style>
  <w:style w:type="character" w:styleId="Hyperlink">
    <w:name w:val="Hyperlink"/>
    <w:basedOn w:val="DefaultParagraphFont"/>
    <w:uiPriority w:val="99"/>
    <w:unhideWhenUsed/>
    <w:rsid w:val="003F30CC"/>
    <w:rPr>
      <w:color w:val="0000FF" w:themeColor="hyperlink"/>
      <w:u w:val="single"/>
    </w:rPr>
  </w:style>
  <w:style w:type="paragraph" w:customStyle="1" w:styleId="Title2LevelTitre2Niveau">
    <w:name w:val="Title 2 Level / Titre 2 Niveau"/>
    <w:basedOn w:val="Title1LevelTitre1Niveau-AltL"/>
    <w:next w:val="ParaNoNdepar-AltN"/>
    <w:uiPriority w:val="4"/>
    <w:qFormat/>
    <w:rsid w:val="003F30C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F30CC"/>
    <w:pPr>
      <w:numPr>
        <w:ilvl w:val="2"/>
      </w:numPr>
      <w:outlineLvl w:val="2"/>
    </w:pPr>
  </w:style>
  <w:style w:type="paragraph" w:customStyle="1" w:styleId="Title4LevelTitre4Niveau">
    <w:name w:val="Title 4 Level / Titre 4 Niveau"/>
    <w:basedOn w:val="Title3LevelTitre3Niveau"/>
    <w:next w:val="ParaNoNdepar-AltN"/>
    <w:uiPriority w:val="4"/>
    <w:qFormat/>
    <w:rsid w:val="003F30CC"/>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F30CC"/>
    <w:pPr>
      <w:numPr>
        <w:ilvl w:val="4"/>
      </w:numPr>
      <w:tabs>
        <w:tab w:val="clear" w:pos="1728"/>
        <w:tab w:val="num" w:pos="1440"/>
      </w:tabs>
      <w:outlineLvl w:val="4"/>
    </w:pPr>
  </w:style>
  <w:style w:type="paragraph" w:customStyle="1" w:styleId="TitleTitre-AltT">
    <w:name w:val="Title / Titre - Alt T"/>
    <w:next w:val="ParaNoNdepar-AltN"/>
    <w:uiPriority w:val="3"/>
    <w:qFormat/>
    <w:rsid w:val="003F30CC"/>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3F30CC"/>
    <w:pPr>
      <w:tabs>
        <w:tab w:val="left" w:pos="180"/>
      </w:tabs>
      <w:ind w:left="187" w:hanging="187"/>
      <w:jc w:val="both"/>
    </w:pPr>
    <w:rPr>
      <w:rFonts w:eastAsia="Times New Roman" w:cs="Times New Roman"/>
      <w:sz w:val="20"/>
      <w:szCs w:val="20"/>
      <w:lang w:val="en-CA" w:eastAsia="en-CA" w:bidi="ar-SA"/>
    </w:rPr>
  </w:style>
  <w:style w:type="character" w:customStyle="1" w:styleId="FootnoteTextChar">
    <w:name w:val="Footnote Text Char"/>
    <w:basedOn w:val="DefaultParagraphFont"/>
    <w:link w:val="FootnoteText"/>
    <w:uiPriority w:val="99"/>
    <w:rsid w:val="003F30CC"/>
  </w:style>
  <w:style w:type="paragraph" w:customStyle="1" w:styleId="Title6LevelTitre6Niveau">
    <w:name w:val="Title 6 Level / Titre 6 Niveau"/>
    <w:basedOn w:val="Title5LevelTitre5Niveau"/>
    <w:next w:val="ParaNoNdepar-AltN"/>
    <w:uiPriority w:val="4"/>
    <w:qFormat/>
    <w:rsid w:val="003F30CC"/>
    <w:pPr>
      <w:numPr>
        <w:ilvl w:val="5"/>
      </w:numPr>
      <w:jc w:val="both"/>
      <w:outlineLvl w:val="5"/>
    </w:pPr>
    <w:rPr>
      <w:i/>
      <w:u w:val="none"/>
    </w:rPr>
  </w:style>
  <w:style w:type="paragraph" w:styleId="TOC1">
    <w:name w:val="toc 1"/>
    <w:basedOn w:val="Normal"/>
    <w:next w:val="Normal"/>
    <w:autoRedefine/>
    <w:uiPriority w:val="39"/>
    <w:unhideWhenUsed/>
    <w:rsid w:val="006E72DA"/>
    <w:pPr>
      <w:tabs>
        <w:tab w:val="left" w:pos="360"/>
        <w:tab w:val="right" w:leader="dot" w:pos="8270"/>
      </w:tabs>
      <w:spacing w:before="120" w:after="120"/>
    </w:pPr>
    <w:rPr>
      <w:rFonts w:eastAsia="Times New Roman" w:cs="Times New Roman"/>
      <w:noProof/>
      <w:szCs w:val="20"/>
      <w:u w:val="single"/>
      <w:lang w:val="en-CA" w:eastAsia="en-CA" w:bidi="ar-SA"/>
    </w:rPr>
  </w:style>
  <w:style w:type="paragraph" w:styleId="TOC2">
    <w:name w:val="toc 2"/>
    <w:basedOn w:val="Normal"/>
    <w:next w:val="Normal"/>
    <w:autoRedefine/>
    <w:uiPriority w:val="39"/>
    <w:unhideWhenUsed/>
    <w:rsid w:val="006E72DA"/>
    <w:pPr>
      <w:tabs>
        <w:tab w:val="left" w:pos="720"/>
        <w:tab w:val="right" w:leader="dot" w:pos="8270"/>
      </w:tabs>
      <w:spacing w:before="120" w:after="120"/>
      <w:ind w:left="432" w:hanging="432"/>
    </w:pPr>
    <w:rPr>
      <w:rFonts w:eastAsia="Times New Roman" w:cs="Times New Roman"/>
      <w:i/>
      <w:szCs w:val="24"/>
      <w:lang w:val="en-CA" w:eastAsia="en-CA" w:bidi="ar-SA"/>
    </w:rPr>
  </w:style>
  <w:style w:type="paragraph" w:styleId="TOC3">
    <w:name w:val="toc 3"/>
    <w:basedOn w:val="Normal"/>
    <w:next w:val="Normal"/>
    <w:autoRedefine/>
    <w:uiPriority w:val="39"/>
    <w:unhideWhenUsed/>
    <w:rsid w:val="006E72DA"/>
    <w:pPr>
      <w:tabs>
        <w:tab w:val="left" w:pos="1080"/>
        <w:tab w:val="right" w:leader="dot" w:pos="8270"/>
      </w:tabs>
      <w:spacing w:before="120" w:after="120"/>
      <w:ind w:left="864" w:hanging="432"/>
    </w:pPr>
    <w:rPr>
      <w:rFonts w:eastAsia="Times New Roman" w:cs="Times New Roman"/>
      <w:noProof/>
      <w:szCs w:val="20"/>
      <w:u w:val="single"/>
      <w:lang w:val="en-CA" w:eastAsia="en-CA" w:bidi="ar-SA"/>
    </w:rPr>
  </w:style>
  <w:style w:type="paragraph" w:styleId="TOC4">
    <w:name w:val="toc 4"/>
    <w:basedOn w:val="Normal"/>
    <w:next w:val="Normal"/>
    <w:autoRedefine/>
    <w:uiPriority w:val="39"/>
    <w:unhideWhenUsed/>
    <w:rsid w:val="006E72DA"/>
    <w:pPr>
      <w:tabs>
        <w:tab w:val="left" w:pos="900"/>
        <w:tab w:val="right" w:leader="dot" w:pos="8270"/>
      </w:tabs>
      <w:spacing w:before="120" w:after="120"/>
      <w:ind w:left="900" w:hanging="450"/>
    </w:pPr>
    <w:rPr>
      <w:rFonts w:eastAsiaTheme="minorEastAsia"/>
      <w:i/>
      <w:noProof/>
      <w:lang w:val="en-CA" w:eastAsia="en-CA" w:bidi="ar-SA"/>
    </w:rPr>
  </w:style>
  <w:style w:type="paragraph" w:styleId="TOC5">
    <w:name w:val="toc 5"/>
    <w:basedOn w:val="Normal"/>
    <w:next w:val="Normal"/>
    <w:autoRedefine/>
    <w:uiPriority w:val="39"/>
    <w:unhideWhenUsed/>
    <w:rsid w:val="006E72DA"/>
    <w:pPr>
      <w:tabs>
        <w:tab w:val="left" w:pos="1440"/>
        <w:tab w:val="right" w:leader="dot" w:pos="8270"/>
      </w:tabs>
      <w:spacing w:before="120" w:after="120"/>
      <w:ind w:left="1454" w:hanging="547"/>
    </w:pPr>
    <w:rPr>
      <w:rFonts w:eastAsia="Times New Roman" w:cs="Times New Roman"/>
      <w:noProof/>
      <w:szCs w:val="20"/>
      <w:u w:val="single"/>
      <w:lang w:val="en-CA" w:eastAsia="en-CA" w:bidi="ar-SA"/>
    </w:rPr>
  </w:style>
  <w:style w:type="paragraph" w:styleId="TOC6">
    <w:name w:val="toc 6"/>
    <w:basedOn w:val="Normal"/>
    <w:next w:val="Normal"/>
    <w:autoRedefine/>
    <w:uiPriority w:val="39"/>
    <w:unhideWhenUsed/>
    <w:rsid w:val="006E72DA"/>
    <w:pPr>
      <w:tabs>
        <w:tab w:val="left" w:pos="2160"/>
        <w:tab w:val="right" w:leader="dot" w:pos="8270"/>
      </w:tabs>
      <w:spacing w:after="100"/>
      <w:ind w:left="1800"/>
    </w:pPr>
    <w:rPr>
      <w:rFonts w:eastAsia="Times New Roman" w:cs="Times New Roman"/>
      <w:noProof/>
      <w:szCs w:val="20"/>
      <w:lang w:val="en-CA" w:eastAsia="en-CA" w:bidi="ar-SA"/>
    </w:rPr>
  </w:style>
  <w:style w:type="table" w:customStyle="1" w:styleId="TableGrid1">
    <w:name w:val="Table Grid1"/>
    <w:basedOn w:val="TableNormal"/>
    <w:uiPriority w:val="59"/>
    <w:rsid w:val="006E72D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unhideWhenUsed/>
    <w:rsid w:val="006E72DA"/>
    <w:rPr>
      <w:vertAlign w:val="superscript"/>
    </w:rPr>
  </w:style>
  <w:style w:type="character" w:customStyle="1" w:styleId="ParaNoNdepar-AltNChar">
    <w:name w:val="Para. No. / Nº de par. - Alt N Char"/>
    <w:basedOn w:val="DefaultParagraphFont"/>
    <w:link w:val="ParaNoNdepar-AltN"/>
    <w:rsid w:val="006E72DA"/>
    <w:rPr>
      <w:rFonts w:eastAsiaTheme="minorEastAsia" w:cstheme="minorBidi"/>
      <w:sz w:val="24"/>
      <w:szCs w:val="22"/>
      <w:lang w:eastAsia="en-US"/>
    </w:rPr>
  </w:style>
  <w:style w:type="character" w:customStyle="1" w:styleId="reflex2-link">
    <w:name w:val="reflex2-link"/>
    <w:basedOn w:val="DefaultParagraphFont"/>
    <w:rsid w:val="006E72DA"/>
  </w:style>
  <w:style w:type="character" w:customStyle="1" w:styleId="reflex3-block">
    <w:name w:val="reflex3-block"/>
    <w:basedOn w:val="DefaultParagraphFont"/>
    <w:rsid w:val="006E72DA"/>
  </w:style>
  <w:style w:type="character" w:customStyle="1" w:styleId="reflex3-alt">
    <w:name w:val="reflex3-alt"/>
    <w:basedOn w:val="DefaultParagraphFont"/>
    <w:rsid w:val="006E72DA"/>
  </w:style>
  <w:style w:type="paragraph" w:customStyle="1" w:styleId="aparanumbering">
    <w:name w:val="aparanumbering"/>
    <w:basedOn w:val="Normal"/>
    <w:rsid w:val="006E72DA"/>
    <w:pPr>
      <w:spacing w:before="100" w:beforeAutospacing="1" w:after="100" w:afterAutospacing="1"/>
    </w:pPr>
    <w:rPr>
      <w:rFonts w:eastAsia="Times New Roman" w:cs="Times New Roman"/>
      <w:szCs w:val="24"/>
      <w:lang w:bidi="ar-SA"/>
    </w:rPr>
  </w:style>
  <w:style w:type="table" w:customStyle="1" w:styleId="TableGrid11">
    <w:name w:val="Table Grid11"/>
    <w:basedOn w:val="TableNormal"/>
    <w:next w:val="TableGrid"/>
    <w:uiPriority w:val="59"/>
    <w:rsid w:val="006E72DA"/>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72D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2D8BA-3068-4D5A-B265-F7BB46D7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21278</Words>
  <Characters>109172</Characters>
  <Application>Microsoft Office Word</Application>
  <DocSecurity>0</DocSecurity>
  <Lines>4198</Lines>
  <Paragraphs>2006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2021-06-03T23:11:00Z</dcterms:created>
  <dcterms:modified xsi:type="dcterms:W3CDTF">2024-02-24T18:25:00Z</dcterms:modified>
</cp:coreProperties>
</file>