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1"/>
        <w:gridCol w:w="1273"/>
        <w:gridCol w:w="3490"/>
      </w:tblGrid>
      <w:tr w:rsidR="00524A77" w:rsidRPr="00524A77" w14:paraId="3177BCA8" w14:textId="77777777" w:rsidTr="00186E94">
        <w:trPr>
          <w:trHeight w:val="2103"/>
        </w:trPr>
        <w:tc>
          <w:tcPr>
            <w:tcW w:w="5000" w:type="pct"/>
            <w:gridSpan w:val="4"/>
          </w:tcPr>
          <w:p w14:paraId="4E0CB43E" w14:textId="77777777" w:rsidR="00524A77" w:rsidRPr="00524A77" w:rsidRDefault="00524A77" w:rsidP="00524A77">
            <w:pPr>
              <w:jc w:val="center"/>
              <w:rPr>
                <w:b/>
              </w:rPr>
            </w:pPr>
            <w:r w:rsidRPr="00524A77">
              <w:rPr>
                <w:b/>
                <w:noProof/>
              </w:rPr>
              <w:drawing>
                <wp:inline distT="0" distB="0" distL="0" distR="0" wp14:anchorId="1D745888" wp14:editId="13752370">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586B8FC7" w14:textId="77777777" w:rsidR="00524A77" w:rsidRPr="00524A77" w:rsidRDefault="00524A77" w:rsidP="00524A77">
            <w:pPr>
              <w:spacing w:before="120" w:after="100" w:afterAutospacing="1"/>
              <w:jc w:val="center"/>
            </w:pPr>
            <w:r w:rsidRPr="00524A77">
              <w:rPr>
                <w:b/>
              </w:rPr>
              <w:t>SUPREME COURT OF CANADA</w:t>
            </w:r>
          </w:p>
        </w:tc>
      </w:tr>
      <w:tr w:rsidR="00524A77" w:rsidRPr="00524A77" w14:paraId="68563526" w14:textId="77777777" w:rsidTr="00186E94">
        <w:tblPrEx>
          <w:tblCellMar>
            <w:top w:w="58" w:type="dxa"/>
            <w:left w:w="58" w:type="dxa"/>
            <w:bottom w:w="58" w:type="dxa"/>
            <w:right w:w="58" w:type="dxa"/>
          </w:tblCellMar>
        </w:tblPrEx>
        <w:trPr>
          <w:cantSplit/>
        </w:trPr>
        <w:tc>
          <w:tcPr>
            <w:tcW w:w="2078" w:type="pct"/>
            <w:gridSpan w:val="2"/>
          </w:tcPr>
          <w:p w14:paraId="598D3A11" w14:textId="77777777" w:rsidR="00524A77" w:rsidRPr="00524A77" w:rsidRDefault="00524A77" w:rsidP="00524A77">
            <w:pPr>
              <w:rPr>
                <w:b/>
                <w:smallCaps/>
              </w:rPr>
            </w:pPr>
          </w:p>
          <w:p w14:paraId="19F9917E" w14:textId="77777777" w:rsidR="00524A77" w:rsidRPr="00524A77" w:rsidRDefault="00524A77" w:rsidP="00524A77">
            <w:pPr>
              <w:rPr>
                <w:b/>
                <w:smallCaps/>
              </w:rPr>
            </w:pPr>
            <w:r w:rsidRPr="00524A77">
              <w:rPr>
                <w:b/>
                <w:smallCaps/>
              </w:rPr>
              <w:t>Citation:</w:t>
            </w:r>
            <w:r w:rsidRPr="00524A77">
              <w:t xml:space="preserve"> Grant Thornton LLP </w:t>
            </w:r>
            <w:r w:rsidRPr="00524A77">
              <w:rPr>
                <w:i/>
              </w:rPr>
              <w:t>v.</w:t>
            </w:r>
            <w:r w:rsidRPr="00524A77">
              <w:t xml:space="preserve"> New Brunswick, 2021 SCC 31</w:t>
            </w:r>
          </w:p>
        </w:tc>
        <w:tc>
          <w:tcPr>
            <w:tcW w:w="781" w:type="pct"/>
          </w:tcPr>
          <w:p w14:paraId="164F5728" w14:textId="77777777" w:rsidR="00524A77" w:rsidRPr="00524A77" w:rsidRDefault="00524A77" w:rsidP="00524A77"/>
        </w:tc>
        <w:tc>
          <w:tcPr>
            <w:tcW w:w="2141" w:type="pct"/>
          </w:tcPr>
          <w:p w14:paraId="7CCF5ED6" w14:textId="77777777" w:rsidR="00524A77" w:rsidRPr="00524A77" w:rsidRDefault="00524A77" w:rsidP="00524A77">
            <w:pPr>
              <w:rPr>
                <w:b/>
                <w:smallCaps/>
              </w:rPr>
            </w:pPr>
          </w:p>
          <w:p w14:paraId="3A76389F" w14:textId="0EF9B450" w:rsidR="00524A77" w:rsidRPr="00524A77" w:rsidRDefault="00524A77" w:rsidP="00524A77">
            <w:pPr>
              <w:jc w:val="both"/>
            </w:pPr>
            <w:r w:rsidRPr="00524A77">
              <w:rPr>
                <w:b/>
                <w:smallCaps/>
              </w:rPr>
              <w:t>Appeal</w:t>
            </w:r>
            <w:r w:rsidR="006E27EF">
              <w:rPr>
                <w:b/>
                <w:smallCaps/>
              </w:rPr>
              <w:t>s</w:t>
            </w:r>
            <w:bookmarkStart w:id="0" w:name="_GoBack"/>
            <w:bookmarkEnd w:id="0"/>
            <w:r w:rsidRPr="00524A77">
              <w:rPr>
                <w:b/>
                <w:smallCaps/>
              </w:rPr>
              <w:t xml:space="preserve"> Heard:</w:t>
            </w:r>
            <w:r w:rsidRPr="00524A77">
              <w:t xml:space="preserve"> March 24, 2021</w:t>
            </w:r>
          </w:p>
          <w:p w14:paraId="6466EF6C" w14:textId="77777777" w:rsidR="00524A77" w:rsidRPr="00524A77" w:rsidRDefault="00524A77" w:rsidP="00524A77">
            <w:r w:rsidRPr="00524A77">
              <w:rPr>
                <w:b/>
                <w:smallCaps/>
              </w:rPr>
              <w:t>Judgment Rendered:</w:t>
            </w:r>
            <w:r w:rsidRPr="00524A77">
              <w:t xml:space="preserve"> July 29, 2021</w:t>
            </w:r>
          </w:p>
          <w:p w14:paraId="5BFBDCE5" w14:textId="77777777" w:rsidR="00524A77" w:rsidRPr="00524A77" w:rsidRDefault="00524A77" w:rsidP="00524A77">
            <w:r w:rsidRPr="00524A77">
              <w:rPr>
                <w:b/>
                <w:smallCaps/>
              </w:rPr>
              <w:t>Docket:</w:t>
            </w:r>
            <w:r w:rsidRPr="00524A77">
              <w:t xml:space="preserve"> 39182</w:t>
            </w:r>
          </w:p>
        </w:tc>
      </w:tr>
      <w:tr w:rsidR="00524A77" w:rsidRPr="00524A77" w14:paraId="6329E531" w14:textId="77777777" w:rsidTr="00186E94">
        <w:tblPrEx>
          <w:tblCellMar>
            <w:top w:w="58" w:type="dxa"/>
            <w:left w:w="58" w:type="dxa"/>
            <w:bottom w:w="58" w:type="dxa"/>
            <w:right w:w="58" w:type="dxa"/>
          </w:tblCellMar>
        </w:tblPrEx>
        <w:trPr>
          <w:cantSplit/>
        </w:trPr>
        <w:tc>
          <w:tcPr>
            <w:tcW w:w="5000" w:type="pct"/>
            <w:gridSpan w:val="4"/>
          </w:tcPr>
          <w:p w14:paraId="4E41EB97" w14:textId="77777777" w:rsidR="00524A77" w:rsidRPr="00524A77" w:rsidRDefault="00524A77" w:rsidP="00524A77"/>
          <w:p w14:paraId="51F7D233" w14:textId="77777777" w:rsidR="00524A77" w:rsidRPr="00524A77" w:rsidRDefault="00524A77" w:rsidP="00524A77">
            <w:pPr>
              <w:rPr>
                <w:b/>
                <w:smallCaps/>
              </w:rPr>
            </w:pPr>
            <w:r w:rsidRPr="00524A77">
              <w:rPr>
                <w:b/>
                <w:smallCaps/>
              </w:rPr>
              <w:t>Between:</w:t>
            </w:r>
          </w:p>
          <w:p w14:paraId="2B47E045" w14:textId="77777777" w:rsidR="00524A77" w:rsidRPr="00524A77" w:rsidRDefault="00524A77" w:rsidP="00524A77">
            <w:pPr>
              <w:jc w:val="center"/>
              <w:rPr>
                <w:b/>
              </w:rPr>
            </w:pPr>
            <w:r w:rsidRPr="00524A77">
              <w:rPr>
                <w:b/>
              </w:rPr>
              <w:t>Grant Thornton LLP and Kent M. Ostridge</w:t>
            </w:r>
          </w:p>
          <w:p w14:paraId="7F738690" w14:textId="77777777" w:rsidR="00524A77" w:rsidRPr="00524A77" w:rsidRDefault="00524A77" w:rsidP="00524A77">
            <w:pPr>
              <w:jc w:val="center"/>
            </w:pPr>
            <w:r w:rsidRPr="00524A77">
              <w:t>Appellants</w:t>
            </w:r>
          </w:p>
          <w:p w14:paraId="0DFE37CE" w14:textId="77777777" w:rsidR="00524A77" w:rsidRPr="00524A77" w:rsidRDefault="00524A77" w:rsidP="00524A77"/>
          <w:p w14:paraId="6CAF861E" w14:textId="77777777" w:rsidR="00524A77" w:rsidRPr="00524A77" w:rsidRDefault="00524A77" w:rsidP="00524A77">
            <w:pPr>
              <w:jc w:val="center"/>
            </w:pPr>
            <w:r w:rsidRPr="00524A77">
              <w:t>and</w:t>
            </w:r>
          </w:p>
          <w:p w14:paraId="24B91427" w14:textId="77777777" w:rsidR="00524A77" w:rsidRPr="00524A77" w:rsidRDefault="00524A77" w:rsidP="00524A77"/>
          <w:p w14:paraId="6B46DB55" w14:textId="77777777" w:rsidR="00524A77" w:rsidRPr="00524A77" w:rsidRDefault="00524A77" w:rsidP="00524A77">
            <w:pPr>
              <w:jc w:val="center"/>
              <w:rPr>
                <w:b/>
              </w:rPr>
            </w:pPr>
            <w:r w:rsidRPr="00524A77">
              <w:rPr>
                <w:b/>
              </w:rPr>
              <w:t>Province of New Brunswick</w:t>
            </w:r>
          </w:p>
          <w:p w14:paraId="18592A71" w14:textId="77777777" w:rsidR="00524A77" w:rsidRPr="00524A77" w:rsidRDefault="00524A77" w:rsidP="00524A77">
            <w:pPr>
              <w:jc w:val="center"/>
            </w:pPr>
            <w:r w:rsidRPr="00524A77">
              <w:t>Respondent</w:t>
            </w:r>
          </w:p>
          <w:p w14:paraId="2FBDED85" w14:textId="77777777" w:rsidR="00524A77" w:rsidRPr="00524A77" w:rsidRDefault="00524A77" w:rsidP="00524A77"/>
          <w:p w14:paraId="244DD133" w14:textId="77777777" w:rsidR="00524A77" w:rsidRPr="00524A77" w:rsidRDefault="00524A77" w:rsidP="00524A77">
            <w:pPr>
              <w:rPr>
                <w:b/>
                <w:smallCaps/>
              </w:rPr>
            </w:pPr>
            <w:r w:rsidRPr="00524A77">
              <w:rPr>
                <w:b/>
                <w:smallCaps/>
              </w:rPr>
              <w:t>And Between:</w:t>
            </w:r>
          </w:p>
          <w:p w14:paraId="585F48C0" w14:textId="77777777" w:rsidR="00524A77" w:rsidRPr="00524A77" w:rsidRDefault="00524A77" w:rsidP="00524A77">
            <w:pPr>
              <w:jc w:val="center"/>
              <w:rPr>
                <w:b/>
              </w:rPr>
            </w:pPr>
            <w:r w:rsidRPr="00524A77">
              <w:rPr>
                <w:b/>
              </w:rPr>
              <w:t>Grant Thornton International Ltd.</w:t>
            </w:r>
          </w:p>
          <w:p w14:paraId="5A76C291" w14:textId="77777777" w:rsidR="00524A77" w:rsidRPr="00524A77" w:rsidRDefault="00524A77" w:rsidP="00524A77">
            <w:pPr>
              <w:jc w:val="center"/>
            </w:pPr>
            <w:r w:rsidRPr="00524A77">
              <w:t>Appellant</w:t>
            </w:r>
          </w:p>
          <w:p w14:paraId="19132632" w14:textId="77777777" w:rsidR="00524A77" w:rsidRPr="00524A77" w:rsidRDefault="00524A77" w:rsidP="00524A77"/>
          <w:p w14:paraId="0EAD06C3" w14:textId="77777777" w:rsidR="00524A77" w:rsidRPr="00524A77" w:rsidRDefault="00524A77" w:rsidP="00524A77">
            <w:pPr>
              <w:jc w:val="center"/>
            </w:pPr>
            <w:r w:rsidRPr="00524A77">
              <w:t>and</w:t>
            </w:r>
          </w:p>
          <w:p w14:paraId="1EE91BF7" w14:textId="77777777" w:rsidR="00524A77" w:rsidRPr="00524A77" w:rsidRDefault="00524A77" w:rsidP="00524A77"/>
          <w:p w14:paraId="6FE2A440" w14:textId="77777777" w:rsidR="00524A77" w:rsidRPr="00524A77" w:rsidRDefault="00524A77" w:rsidP="00524A77">
            <w:pPr>
              <w:jc w:val="center"/>
              <w:rPr>
                <w:b/>
              </w:rPr>
            </w:pPr>
            <w:r w:rsidRPr="00524A77">
              <w:rPr>
                <w:b/>
              </w:rPr>
              <w:t>Province of New Brunswick</w:t>
            </w:r>
          </w:p>
          <w:p w14:paraId="64C41D10" w14:textId="77777777" w:rsidR="00524A77" w:rsidRPr="00524A77" w:rsidRDefault="00524A77" w:rsidP="00524A77">
            <w:pPr>
              <w:jc w:val="center"/>
            </w:pPr>
            <w:r w:rsidRPr="00524A77">
              <w:t>Respondent</w:t>
            </w:r>
          </w:p>
          <w:p w14:paraId="529BEBB8" w14:textId="77777777" w:rsidR="00524A77" w:rsidRPr="00524A77" w:rsidRDefault="00524A77" w:rsidP="00524A77"/>
          <w:p w14:paraId="42AEC3D1" w14:textId="77777777" w:rsidR="00524A77" w:rsidRPr="00524A77" w:rsidRDefault="00524A77" w:rsidP="00524A77">
            <w:pPr>
              <w:jc w:val="center"/>
            </w:pPr>
            <w:r w:rsidRPr="00524A77">
              <w:t>- and -</w:t>
            </w:r>
          </w:p>
          <w:p w14:paraId="459AF7D3" w14:textId="77777777" w:rsidR="00524A77" w:rsidRPr="00524A77" w:rsidRDefault="00524A77" w:rsidP="00524A77"/>
          <w:p w14:paraId="65223DC1" w14:textId="77777777" w:rsidR="00524A77" w:rsidRPr="00524A77" w:rsidRDefault="00524A77" w:rsidP="00524A77">
            <w:pPr>
              <w:jc w:val="center"/>
              <w:rPr>
                <w:b/>
              </w:rPr>
            </w:pPr>
            <w:r w:rsidRPr="00524A77">
              <w:rPr>
                <w:b/>
              </w:rPr>
              <w:t>Chartered Professional Accountants of Canada</w:t>
            </w:r>
          </w:p>
          <w:p w14:paraId="6DA808BA" w14:textId="77777777" w:rsidR="00524A77" w:rsidRPr="00524A77" w:rsidRDefault="00524A77" w:rsidP="00524A77">
            <w:pPr>
              <w:jc w:val="center"/>
            </w:pPr>
            <w:r w:rsidRPr="00524A77">
              <w:t>Intervener</w:t>
            </w:r>
          </w:p>
          <w:p w14:paraId="6263ABD3" w14:textId="77777777" w:rsidR="00524A77" w:rsidRPr="00524A77" w:rsidRDefault="00524A77" w:rsidP="00524A77"/>
          <w:p w14:paraId="24C398FE" w14:textId="77777777" w:rsidR="00524A77" w:rsidRPr="00524A77" w:rsidRDefault="00524A77" w:rsidP="00524A77"/>
          <w:p w14:paraId="7ED10BDB" w14:textId="77777777" w:rsidR="00524A77" w:rsidRPr="00524A77" w:rsidRDefault="00524A77" w:rsidP="00524A77">
            <w:r w:rsidRPr="00524A77">
              <w:rPr>
                <w:b/>
                <w:smallCaps/>
              </w:rPr>
              <w:t>Coram:</w:t>
            </w:r>
            <w:r w:rsidRPr="00524A77">
              <w:t xml:space="preserve"> Moldaver, Karakatsanis, Côté, Brown, Rowe, Martin and Kasirer JJ.</w:t>
            </w:r>
          </w:p>
          <w:p w14:paraId="34C0CA9E" w14:textId="77777777" w:rsidR="00524A77" w:rsidRPr="00524A77" w:rsidRDefault="00524A77" w:rsidP="00524A77">
            <w:pPr>
              <w:rPr>
                <w:b/>
                <w:smallCaps/>
              </w:rPr>
            </w:pPr>
          </w:p>
        </w:tc>
      </w:tr>
      <w:tr w:rsidR="00524A77" w:rsidRPr="00524A77" w14:paraId="0A95D694" w14:textId="77777777" w:rsidTr="00186E94">
        <w:tblPrEx>
          <w:tblCellMar>
            <w:top w:w="58" w:type="dxa"/>
            <w:left w:w="58" w:type="dxa"/>
            <w:bottom w:w="58" w:type="dxa"/>
            <w:right w:w="58" w:type="dxa"/>
          </w:tblCellMar>
        </w:tblPrEx>
        <w:trPr>
          <w:cantSplit/>
        </w:trPr>
        <w:tc>
          <w:tcPr>
            <w:tcW w:w="1231" w:type="pct"/>
          </w:tcPr>
          <w:p w14:paraId="594A61D0" w14:textId="77777777" w:rsidR="00524A77" w:rsidRPr="00524A77" w:rsidRDefault="00524A77" w:rsidP="00524A77">
            <w:r w:rsidRPr="00524A77">
              <w:rPr>
                <w:b/>
                <w:smallCaps/>
              </w:rPr>
              <w:lastRenderedPageBreak/>
              <w:t>Reasons for Judgment:</w:t>
            </w:r>
            <w:r w:rsidRPr="00524A77">
              <w:t xml:space="preserve"> </w:t>
            </w:r>
          </w:p>
          <w:p w14:paraId="159760AD" w14:textId="77777777" w:rsidR="00524A77" w:rsidRPr="00524A77" w:rsidRDefault="00524A77" w:rsidP="00524A77">
            <w:r w:rsidRPr="00524A77">
              <w:t>(paras. 1 to 64)</w:t>
            </w:r>
          </w:p>
        </w:tc>
        <w:tc>
          <w:tcPr>
            <w:tcW w:w="3769" w:type="pct"/>
            <w:gridSpan w:val="3"/>
          </w:tcPr>
          <w:p w14:paraId="6B6486D7" w14:textId="77777777" w:rsidR="00524A77" w:rsidRPr="00524A77" w:rsidRDefault="00524A77" w:rsidP="00524A77">
            <w:r w:rsidRPr="00524A77">
              <w:t>Moldaver J. (Karakatsanis, Côté, Brown, Rowe, Martin and Kasirer JJ. concurring)</w:t>
            </w:r>
          </w:p>
        </w:tc>
      </w:tr>
    </w:tbl>
    <w:p w14:paraId="3155919B" w14:textId="77777777" w:rsidR="00524A77" w:rsidRPr="00524A77" w:rsidRDefault="00524A77" w:rsidP="00524A77">
      <w:pPr>
        <w:rPr>
          <w:rFonts w:eastAsiaTheme="minorHAnsi" w:cstheme="minorBidi"/>
          <w:szCs w:val="24"/>
          <w:lang w:eastAsia="en-US"/>
        </w:rPr>
      </w:pPr>
    </w:p>
    <w:p w14:paraId="3ABFB6BC" w14:textId="77777777" w:rsidR="00524A77" w:rsidRPr="00524A77" w:rsidRDefault="00524A77" w:rsidP="00524A77">
      <w:pPr>
        <w:rPr>
          <w:rFonts w:eastAsiaTheme="minorHAnsi" w:cstheme="minorBidi"/>
          <w:szCs w:val="24"/>
          <w:lang w:eastAsia="en-US"/>
        </w:rPr>
      </w:pPr>
    </w:p>
    <w:p w14:paraId="67D21273" w14:textId="77777777" w:rsidR="00524A77" w:rsidRPr="00524A77" w:rsidRDefault="00524A77" w:rsidP="00524A77">
      <w:pPr>
        <w:rPr>
          <w:rFonts w:eastAsiaTheme="minorHAnsi" w:cstheme="minorBidi"/>
          <w:szCs w:val="24"/>
          <w:lang w:eastAsia="en-US"/>
        </w:rPr>
      </w:pPr>
    </w:p>
    <w:p w14:paraId="011AC2E9" w14:textId="77777777" w:rsidR="00524A77" w:rsidRPr="00524A77" w:rsidRDefault="00524A77" w:rsidP="00524A77">
      <w:pPr>
        <w:rPr>
          <w:rFonts w:eastAsiaTheme="minorHAnsi" w:cstheme="minorBidi"/>
          <w:szCs w:val="24"/>
          <w:lang w:eastAsia="en-US"/>
        </w:rPr>
      </w:pPr>
    </w:p>
    <w:p w14:paraId="7AB42528" w14:textId="77777777" w:rsidR="00524A77" w:rsidRPr="00524A77" w:rsidRDefault="00524A77" w:rsidP="00524A77">
      <w:pPr>
        <w:rPr>
          <w:rFonts w:eastAsiaTheme="minorHAnsi" w:cstheme="minorBidi"/>
          <w:szCs w:val="24"/>
          <w:lang w:eastAsia="en-US"/>
        </w:rPr>
      </w:pPr>
    </w:p>
    <w:p w14:paraId="6C02586E" w14:textId="77777777" w:rsidR="00524A77" w:rsidRPr="00524A77" w:rsidRDefault="00524A77" w:rsidP="00524A77">
      <w:pPr>
        <w:rPr>
          <w:rFonts w:eastAsiaTheme="minorHAnsi" w:cstheme="minorBidi"/>
          <w:szCs w:val="24"/>
          <w:lang w:eastAsia="en-US"/>
        </w:rPr>
      </w:pPr>
      <w:r w:rsidRPr="00524A77">
        <w:rPr>
          <w:rFonts w:eastAsiaTheme="minorHAnsi" w:cstheme="minorBidi"/>
          <w:b/>
          <w:smallCaps/>
          <w:szCs w:val="24"/>
          <w:lang w:eastAsia="en-US"/>
        </w:rPr>
        <w:t>Note:</w:t>
      </w:r>
      <w:r w:rsidRPr="00524A77">
        <w:rPr>
          <w:rFonts w:eastAsiaTheme="minorHAnsi" w:cstheme="minorBidi"/>
          <w:b/>
          <w:szCs w:val="24"/>
          <w:lang w:eastAsia="en-US"/>
        </w:rPr>
        <w:t xml:space="preserve"> </w:t>
      </w:r>
      <w:r w:rsidRPr="00524A77">
        <w:rPr>
          <w:rFonts w:eastAsiaTheme="minorHAnsi" w:cstheme="minorBidi"/>
          <w:szCs w:val="24"/>
          <w:lang w:eastAsia="en-US"/>
        </w:rPr>
        <w:t xml:space="preserve">This document is subject to editorial revision before its reproduction in final form in the </w:t>
      </w:r>
      <w:r w:rsidRPr="00524A77">
        <w:rPr>
          <w:rFonts w:eastAsiaTheme="minorHAnsi" w:cstheme="minorBidi"/>
          <w:i/>
          <w:szCs w:val="24"/>
          <w:lang w:eastAsia="en-US"/>
        </w:rPr>
        <w:t>Canada Supreme Court Reports</w:t>
      </w:r>
      <w:r w:rsidRPr="00524A77">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524A77" w:rsidRPr="00524A77" w14:paraId="1B8F308B" w14:textId="77777777" w:rsidTr="00186E94">
        <w:tc>
          <w:tcPr>
            <w:tcW w:w="1500" w:type="pct"/>
            <w:tcMar>
              <w:top w:w="284" w:type="dxa"/>
            </w:tcMar>
          </w:tcPr>
          <w:p w14:paraId="310764BB" w14:textId="77777777" w:rsidR="00524A77" w:rsidRPr="00524A77" w:rsidRDefault="00524A77" w:rsidP="00524A77"/>
        </w:tc>
        <w:tc>
          <w:tcPr>
            <w:tcW w:w="2000" w:type="pct"/>
            <w:tcBorders>
              <w:bottom w:val="single" w:sz="4" w:space="0" w:color="auto"/>
            </w:tcBorders>
            <w:tcMar>
              <w:top w:w="284" w:type="dxa"/>
            </w:tcMar>
          </w:tcPr>
          <w:p w14:paraId="03B01BA6" w14:textId="77777777" w:rsidR="00524A77" w:rsidRPr="00524A77" w:rsidRDefault="00524A77" w:rsidP="00524A77"/>
        </w:tc>
        <w:tc>
          <w:tcPr>
            <w:tcW w:w="1500" w:type="pct"/>
            <w:tcMar>
              <w:top w:w="284" w:type="dxa"/>
            </w:tcMar>
          </w:tcPr>
          <w:p w14:paraId="16216E3F" w14:textId="77777777" w:rsidR="00524A77" w:rsidRPr="00524A77" w:rsidRDefault="00524A77" w:rsidP="00524A77"/>
        </w:tc>
      </w:tr>
    </w:tbl>
    <w:p w14:paraId="5F460D2D" w14:textId="77777777" w:rsidR="00524A77" w:rsidRPr="00524A77" w:rsidRDefault="00524A77" w:rsidP="00524A77">
      <w:pPr>
        <w:rPr>
          <w:rFonts w:eastAsiaTheme="minorHAnsi" w:cstheme="minorBidi"/>
          <w:szCs w:val="24"/>
          <w:lang w:eastAsia="en-US"/>
        </w:rPr>
      </w:pPr>
    </w:p>
    <w:p w14:paraId="0F976486" w14:textId="77777777" w:rsidR="00524A77" w:rsidRDefault="00524A77">
      <w:pPr>
        <w:rPr>
          <w:rStyle w:val="SCCAppellantForRunningHeadChar"/>
        </w:rPr>
      </w:pPr>
      <w:r>
        <w:rPr>
          <w:rStyle w:val="SCCAppellantForRunningHeadChar"/>
        </w:rPr>
        <w:br w:type="page"/>
      </w:r>
    </w:p>
    <w:p w14:paraId="68FC2971" w14:textId="4D56A226" w:rsidR="008322BD" w:rsidRPr="008572BD" w:rsidRDefault="00C92E17" w:rsidP="00EF4191">
      <w:pPr>
        <w:spacing w:after="720"/>
        <w:jc w:val="both"/>
      </w:pPr>
      <w:r w:rsidRPr="008572BD">
        <w:rPr>
          <w:rStyle w:val="SCCAppellantForRunningHeadChar"/>
        </w:rPr>
        <w:t>grant thornton</w:t>
      </w:r>
      <w:r w:rsidR="00715BE4" w:rsidRPr="008572BD">
        <w:rPr>
          <w:rStyle w:val="SCCAppellantForRunningHeadChar"/>
        </w:rPr>
        <w:t xml:space="preserve"> llp</w:t>
      </w:r>
      <w:r w:rsidRPr="008572BD">
        <w:rPr>
          <w:rStyle w:val="SCCAppellantForRunningHeadChar"/>
        </w:rPr>
        <w:t xml:space="preserve"> </w:t>
      </w:r>
      <w:r w:rsidRPr="008572BD">
        <w:rPr>
          <w:i/>
        </w:rPr>
        <w:t>v.</w:t>
      </w:r>
      <w:r w:rsidRPr="008572BD">
        <w:t xml:space="preserve"> </w:t>
      </w:r>
      <w:r w:rsidRPr="008572BD">
        <w:rPr>
          <w:rStyle w:val="SCCRespondentForRunningHeadChar"/>
        </w:rPr>
        <w:t>new brunswick</w:t>
      </w:r>
    </w:p>
    <w:p w14:paraId="22096670" w14:textId="77777777" w:rsidR="00D34A6E" w:rsidRPr="008572BD" w:rsidRDefault="00C92E17">
      <w:pPr>
        <w:pStyle w:val="SCCLsocParty"/>
      </w:pPr>
      <w:r w:rsidRPr="008572BD">
        <w:t>Grant Thornton LLP and</w:t>
      </w:r>
    </w:p>
    <w:p w14:paraId="5DABA656" w14:textId="77777777" w:rsidR="00D34A6E" w:rsidRPr="008572BD" w:rsidRDefault="00E13204" w:rsidP="00EF4191">
      <w:pPr>
        <w:pStyle w:val="SCCLsocLastPartyInRole"/>
      </w:pPr>
      <w:r w:rsidRPr="008572BD">
        <w:t>Kent M. Ostridge</w:t>
      </w:r>
      <w:r w:rsidRPr="008572BD">
        <w:rPr>
          <w:rStyle w:val="SCCLsocPartyRole"/>
        </w:rPr>
        <w:tab/>
        <w:t>Appellants</w:t>
      </w:r>
    </w:p>
    <w:p w14:paraId="1D190E4E" w14:textId="77777777" w:rsidR="00D34A6E" w:rsidRPr="008572BD" w:rsidRDefault="00E13204" w:rsidP="00EF4191">
      <w:pPr>
        <w:pStyle w:val="SCCLsocVersus"/>
      </w:pPr>
      <w:r w:rsidRPr="008572BD">
        <w:t>v.</w:t>
      </w:r>
    </w:p>
    <w:p w14:paraId="654690BD" w14:textId="77777777" w:rsidR="00D34A6E" w:rsidRPr="008572BD" w:rsidRDefault="00E13204" w:rsidP="00EF4191">
      <w:pPr>
        <w:pStyle w:val="SCCLsocLastPartyInRole"/>
      </w:pPr>
      <w:r w:rsidRPr="008572BD">
        <w:t>Province of New Brunswick</w:t>
      </w:r>
      <w:r w:rsidRPr="008572BD">
        <w:rPr>
          <w:rStyle w:val="SCCLsocPartyRole"/>
        </w:rPr>
        <w:tab/>
        <w:t>Respondent</w:t>
      </w:r>
    </w:p>
    <w:p w14:paraId="5F2B8AA9" w14:textId="53A9EA8F" w:rsidR="00D34A6E" w:rsidRPr="008572BD" w:rsidRDefault="008572BD" w:rsidP="00EF4191">
      <w:pPr>
        <w:pStyle w:val="SCCLsocSubfileSeparator"/>
      </w:pPr>
      <w:r w:rsidRPr="008572BD">
        <w:noBreakHyphen/>
      </w:r>
      <w:r w:rsidR="00E13204" w:rsidRPr="008572BD">
        <w:t xml:space="preserve"> and </w:t>
      </w:r>
      <w:r w:rsidRPr="008572BD">
        <w:noBreakHyphen/>
      </w:r>
    </w:p>
    <w:p w14:paraId="247353BB" w14:textId="77777777" w:rsidR="00D34A6E" w:rsidRPr="008572BD" w:rsidRDefault="00E13204" w:rsidP="00EF4191">
      <w:pPr>
        <w:pStyle w:val="SCCLsocLastPartyInRole"/>
      </w:pPr>
      <w:r w:rsidRPr="008572BD">
        <w:t>Grant Thornton International Ltd.</w:t>
      </w:r>
      <w:r w:rsidRPr="008572BD">
        <w:rPr>
          <w:rStyle w:val="SCCLsocPartyRole"/>
        </w:rPr>
        <w:tab/>
        <w:t>Appellant</w:t>
      </w:r>
    </w:p>
    <w:p w14:paraId="775FFAB5" w14:textId="77777777" w:rsidR="00D34A6E" w:rsidRPr="008572BD" w:rsidRDefault="00E13204" w:rsidP="00EF4191">
      <w:pPr>
        <w:pStyle w:val="SCCLsocVersus"/>
      </w:pPr>
      <w:r w:rsidRPr="008572BD">
        <w:t>v.</w:t>
      </w:r>
    </w:p>
    <w:p w14:paraId="3821E06C" w14:textId="77777777" w:rsidR="00D34A6E" w:rsidRPr="008572BD" w:rsidRDefault="00E13204" w:rsidP="00EF4191">
      <w:pPr>
        <w:pStyle w:val="SCCLsocLastPartyInRole"/>
      </w:pPr>
      <w:r w:rsidRPr="008572BD">
        <w:t>Province of New Brunswick</w:t>
      </w:r>
      <w:r w:rsidRPr="008572BD">
        <w:rPr>
          <w:rStyle w:val="SCCLsocPartyRole"/>
        </w:rPr>
        <w:tab/>
        <w:t>Respondent</w:t>
      </w:r>
    </w:p>
    <w:p w14:paraId="06AB7404" w14:textId="77777777" w:rsidR="00D34A6E" w:rsidRPr="008572BD" w:rsidRDefault="00E13204" w:rsidP="00EF4191">
      <w:pPr>
        <w:pStyle w:val="SCCLsocOtherPartySeparator"/>
      </w:pPr>
      <w:r w:rsidRPr="008572BD">
        <w:t>and</w:t>
      </w:r>
    </w:p>
    <w:p w14:paraId="7A8E7CB0" w14:textId="77777777" w:rsidR="00D34A6E" w:rsidRPr="008572BD" w:rsidRDefault="00E13204" w:rsidP="00EF4191">
      <w:pPr>
        <w:pStyle w:val="SCCLsocLastPartyInRole"/>
      </w:pPr>
      <w:r w:rsidRPr="008572BD">
        <w:t>Chartered Professional Accountants of Canada</w:t>
      </w:r>
      <w:r w:rsidRPr="008572BD">
        <w:rPr>
          <w:rStyle w:val="SCCLsocPartyRole"/>
        </w:rPr>
        <w:tab/>
        <w:t>Intervener</w:t>
      </w:r>
    </w:p>
    <w:p w14:paraId="61B8C1D3" w14:textId="77777777" w:rsidR="00426659" w:rsidRPr="008572BD" w:rsidRDefault="00426659" w:rsidP="00EF4191">
      <w:pPr>
        <w:spacing w:after="720"/>
        <w:jc w:val="both"/>
        <w:rPr>
          <w:b/>
          <w:lang w:val="en-US"/>
        </w:rPr>
      </w:pPr>
      <w:r w:rsidRPr="008572BD">
        <w:rPr>
          <w:b/>
        </w:rPr>
        <w:t>Indexed as:</w:t>
      </w:r>
      <w:r w:rsidR="00715BE4" w:rsidRPr="008572BD">
        <w:rPr>
          <w:b/>
        </w:rPr>
        <w:t xml:space="preserve"> </w:t>
      </w:r>
      <w:r w:rsidRPr="008572BD">
        <w:rPr>
          <w:rStyle w:val="SCCAppellantForIndexChar"/>
        </w:rPr>
        <w:t xml:space="preserve">Grant Thornton LLP </w:t>
      </w:r>
      <w:r w:rsidRPr="008572BD">
        <w:rPr>
          <w:b/>
          <w:i/>
        </w:rPr>
        <w:t>v.</w:t>
      </w:r>
      <w:r w:rsidRPr="008572BD">
        <w:rPr>
          <w:b/>
        </w:rPr>
        <w:t xml:space="preserve"> </w:t>
      </w:r>
      <w:r w:rsidR="00715BE4" w:rsidRPr="008572BD">
        <w:rPr>
          <w:rStyle w:val="SCCRespondentForIndexChar"/>
        </w:rPr>
        <w:t>New Brunswick</w:t>
      </w:r>
    </w:p>
    <w:p w14:paraId="31B44885" w14:textId="095C7D0A" w:rsidR="00426659" w:rsidRPr="008572BD" w:rsidRDefault="00AE4535" w:rsidP="00EF4191">
      <w:pPr>
        <w:pStyle w:val="SCCSystemYear"/>
        <w:spacing w:after="720"/>
        <w:jc w:val="both"/>
      </w:pPr>
      <w:r w:rsidRPr="008572BD">
        <w:t>2021</w:t>
      </w:r>
      <w:r w:rsidR="003D0399" w:rsidRPr="008572BD">
        <w:t xml:space="preserve"> </w:t>
      </w:r>
      <w:r w:rsidR="00426659" w:rsidRPr="008572BD">
        <w:t>SCC </w:t>
      </w:r>
      <w:r w:rsidR="0099091B" w:rsidRPr="008572BD">
        <w:t>31</w:t>
      </w:r>
    </w:p>
    <w:p w14:paraId="0CEBA6EE" w14:textId="77777777" w:rsidR="008322BD" w:rsidRPr="008572BD" w:rsidRDefault="00C92E17" w:rsidP="00EF4191">
      <w:pPr>
        <w:spacing w:after="720"/>
        <w:jc w:val="both"/>
      </w:pPr>
      <w:r w:rsidRPr="008572BD">
        <w:t xml:space="preserve">File No.: </w:t>
      </w:r>
      <w:r w:rsidR="009B57B3" w:rsidRPr="008572BD">
        <w:t>39182.</w:t>
      </w:r>
    </w:p>
    <w:p w14:paraId="3FD1D4D1" w14:textId="685BAD45" w:rsidR="008322BD" w:rsidRPr="008572BD" w:rsidRDefault="009816C6" w:rsidP="00EF4191">
      <w:pPr>
        <w:spacing w:after="720"/>
        <w:jc w:val="both"/>
      </w:pPr>
      <w:r>
        <w:t>2021: March </w:t>
      </w:r>
      <w:r w:rsidR="00AE4535" w:rsidRPr="008572BD">
        <w:t>24</w:t>
      </w:r>
      <w:r w:rsidR="009B57B3" w:rsidRPr="008572BD">
        <w:t xml:space="preserve">; </w:t>
      </w:r>
      <w:r>
        <w:t>2021: July </w:t>
      </w:r>
      <w:r w:rsidR="005D224D" w:rsidRPr="008572BD">
        <w:t>29</w:t>
      </w:r>
      <w:r w:rsidR="009B57B3" w:rsidRPr="008572BD">
        <w:t>.</w:t>
      </w:r>
    </w:p>
    <w:p w14:paraId="3BBF832B" w14:textId="77777777" w:rsidR="008322BD" w:rsidRPr="008572BD" w:rsidRDefault="00C92E17" w:rsidP="00EF4191">
      <w:pPr>
        <w:spacing w:after="720"/>
        <w:jc w:val="both"/>
      </w:pPr>
      <w:r w:rsidRPr="008572BD">
        <w:t xml:space="preserve">Present: </w:t>
      </w:r>
      <w:r w:rsidR="009B57B3" w:rsidRPr="008572BD">
        <w:t>Moldaver, Karakatsanis, Côté, Brown, Rowe, Martin and Kasirer JJ.</w:t>
      </w:r>
    </w:p>
    <w:p w14:paraId="4CF458FA" w14:textId="77777777" w:rsidR="008322BD" w:rsidRPr="008572BD" w:rsidRDefault="00656313" w:rsidP="00EF4191">
      <w:pPr>
        <w:pStyle w:val="SCCLowerCourtNameLowercase"/>
        <w:spacing w:after="720" w:line="240" w:lineRule="auto"/>
      </w:pPr>
      <w:r w:rsidRPr="008572BD">
        <w:t>o</w:t>
      </w:r>
      <w:r w:rsidR="00170592" w:rsidRPr="008572BD">
        <w:t>n</w:t>
      </w:r>
      <w:r w:rsidR="00224FC0" w:rsidRPr="008572BD">
        <w:t xml:space="preserve"> </w:t>
      </w:r>
      <w:r w:rsidRPr="008572BD">
        <w:t>a</w:t>
      </w:r>
      <w:r w:rsidR="00170592" w:rsidRPr="008572BD">
        <w:t>ppeal</w:t>
      </w:r>
      <w:r w:rsidR="00224FC0" w:rsidRPr="008572BD">
        <w:t xml:space="preserve"> </w:t>
      </w:r>
      <w:r w:rsidR="00170592" w:rsidRPr="008572BD">
        <w:t>from</w:t>
      </w:r>
      <w:r w:rsidR="009567AA" w:rsidRPr="008572BD">
        <w:t xml:space="preserve"> the</w:t>
      </w:r>
      <w:r w:rsidR="00224FC0" w:rsidRPr="008572BD">
        <w:t xml:space="preserve"> </w:t>
      </w:r>
      <w:r w:rsidR="009B57B3" w:rsidRPr="008572BD">
        <w:t xml:space="preserve">court of appeal </w:t>
      </w:r>
      <w:r w:rsidR="00C92E17" w:rsidRPr="008572BD">
        <w:t>for</w:t>
      </w:r>
      <w:r w:rsidR="009B57B3" w:rsidRPr="008572BD">
        <w:t xml:space="preserve"> new brunswick</w:t>
      </w:r>
    </w:p>
    <w:p w14:paraId="6CED6F43" w14:textId="76311F50" w:rsidR="008322BD" w:rsidRPr="008572BD" w:rsidRDefault="00E52EED" w:rsidP="00EF4191">
      <w:pPr>
        <w:pStyle w:val="SCCNormalDoubleSpacing"/>
        <w:spacing w:after="480"/>
      </w:pPr>
      <w:r w:rsidRPr="008572BD">
        <w:tab/>
      </w:r>
      <w:r w:rsidRPr="008572BD">
        <w:rPr>
          <w:i/>
        </w:rPr>
        <w:t>Limitation of actions — Discoverability — Requisite degree of knowledge to discover claim — Negligence — Province delivering loan guarantees to company based on auditor’s report — Company running out of working capital months after receiving loan from bank — Province paying out guarantees — Province commencing negligence claim against auditor — Auditor seeking summary judgment on basis that claim commenced after two</w:t>
      </w:r>
      <w:r w:rsidR="008572BD" w:rsidRPr="008572BD">
        <w:rPr>
          <w:i/>
        </w:rPr>
        <w:noBreakHyphen/>
      </w:r>
      <w:r w:rsidRPr="008572BD">
        <w:rPr>
          <w:i/>
        </w:rPr>
        <w:t>year statutory limitation period — Standard to be applied in determining whether plaintiff has requisite degree of knowledge to discover claim — Whether province discovered negligence claim against auditor — Whether claim statute</w:t>
      </w:r>
      <w:r w:rsidR="008572BD" w:rsidRPr="008572BD">
        <w:rPr>
          <w:i/>
        </w:rPr>
        <w:noBreakHyphen/>
      </w:r>
      <w:r w:rsidRPr="008572BD">
        <w:rPr>
          <w:i/>
        </w:rPr>
        <w:t xml:space="preserve">barred — Limitation </w:t>
      </w:r>
      <w:r w:rsidR="006F2DAD">
        <w:rPr>
          <w:i/>
        </w:rPr>
        <w:t>of Actions Act, S.N.B. 2009, c. </w:t>
      </w:r>
      <w:r w:rsidRPr="008572BD">
        <w:rPr>
          <w:i/>
        </w:rPr>
        <w:t>L</w:t>
      </w:r>
      <w:r w:rsidR="008572BD" w:rsidRPr="008572BD">
        <w:rPr>
          <w:i/>
        </w:rPr>
        <w:noBreakHyphen/>
      </w:r>
      <w:r w:rsidRPr="008572BD">
        <w:rPr>
          <w:i/>
        </w:rPr>
        <w:t>8.5, s. 5(1)(a), (2).</w:t>
      </w:r>
    </w:p>
    <w:p w14:paraId="3B5A146B" w14:textId="110FC49A" w:rsidR="00E52EED" w:rsidRPr="008572BD" w:rsidRDefault="00E52EED" w:rsidP="00EF4191">
      <w:pPr>
        <w:pStyle w:val="SCCNormalDoubleSpacing"/>
        <w:spacing w:after="480"/>
      </w:pPr>
      <w:r w:rsidRPr="008572BD">
        <w:tab/>
        <w:t>In 2008, a New Brunswick</w:t>
      </w:r>
      <w:r w:rsidR="008572BD" w:rsidRPr="008572BD">
        <w:noBreakHyphen/>
      </w:r>
      <w:r w:rsidRPr="008572BD">
        <w:t>based company sought loans from a bank, but it needed loa</w:t>
      </w:r>
      <w:r w:rsidR="00C9419B" w:rsidRPr="008572BD">
        <w:t>n guarantees from the province.</w:t>
      </w:r>
      <w:r w:rsidRPr="008572BD">
        <w:t xml:space="preserve"> The province agreed to</w:t>
      </w:r>
      <w:r w:rsidR="006F2DAD">
        <w:t xml:space="preserve"> </w:t>
      </w:r>
      <w:r w:rsidR="008572BD" w:rsidRPr="008572BD">
        <w:t>$</w:t>
      </w:r>
      <w:r w:rsidRPr="008572BD">
        <w:t>50 million in loan guarantees, conditional upon the company subjecting itself to an external review of its assets by its</w:t>
      </w:r>
      <w:r w:rsidR="00C9419B" w:rsidRPr="008572BD">
        <w:t xml:space="preserve"> auditor.</w:t>
      </w:r>
      <w:r w:rsidRPr="008572BD">
        <w:t xml:space="preserve"> The auditor opined in a report that the company’s financial statements presented fairly, in all material respects, the company’s financial position in accordance with generally </w:t>
      </w:r>
      <w:r w:rsidR="00C9419B" w:rsidRPr="008572BD">
        <w:t>accepted accounting principles.</w:t>
      </w:r>
      <w:r w:rsidRPr="008572BD">
        <w:t xml:space="preserve"> Relying upon that report, the province executed and delivered the loan guarantees, which, in turn, enabled the company</w:t>
      </w:r>
      <w:r w:rsidR="00C9419B" w:rsidRPr="008572BD">
        <w:t xml:space="preserve"> to borrow funds from the bank.</w:t>
      </w:r>
      <w:r w:rsidRPr="008572BD">
        <w:t xml:space="preserve"> When the company ran out of working capital four months after receiving the loa</w:t>
      </w:r>
      <w:r w:rsidR="00C9419B" w:rsidRPr="008572BD">
        <w:t>n guarantees from the province,</w:t>
      </w:r>
      <w:r w:rsidRPr="008572BD">
        <w:t xml:space="preserve"> the bank called on the province to pay out the loan guarantees, which it</w:t>
      </w:r>
      <w:r w:rsidR="006F2DAD">
        <w:t xml:space="preserve"> did on March </w:t>
      </w:r>
      <w:r w:rsidR="00C9419B" w:rsidRPr="008572BD">
        <w:t>18, 2010.</w:t>
      </w:r>
      <w:r w:rsidRPr="008572BD">
        <w:t xml:space="preserve"> The province then retained another accounting and auditing firm to review the company’s</w:t>
      </w:r>
      <w:r w:rsidR="00C9419B" w:rsidRPr="008572BD">
        <w:t xml:space="preserve"> financial position.</w:t>
      </w:r>
      <w:r w:rsidRPr="008572BD">
        <w:t xml:space="preserve"> The other firm’s report was issued in</w:t>
      </w:r>
      <w:r w:rsidR="006F2DAD">
        <w:t xml:space="preserve"> draft on February </w:t>
      </w:r>
      <w:r w:rsidR="00C9419B" w:rsidRPr="008572BD">
        <w:t>4, 2011, and</w:t>
      </w:r>
      <w:r w:rsidRPr="008572BD">
        <w:t xml:space="preserve"> opined that the company’s financial statements had not, in fact, been prepared in conformity with generally a</w:t>
      </w:r>
      <w:r w:rsidR="00C9419B" w:rsidRPr="008572BD">
        <w:t>ccepted accounting principles.</w:t>
      </w:r>
      <w:r w:rsidRPr="008572BD">
        <w:t xml:space="preserve"> Specifically, the other firm estimated that the company’s assets and net earnings were o</w:t>
      </w:r>
      <w:r w:rsidR="00C9419B" w:rsidRPr="008572BD">
        <w:t>verstated by a material amount.</w:t>
      </w:r>
      <w:r w:rsidRPr="008572BD">
        <w:t xml:space="preserve"> Those misstatements had not been identified by the auditor in its report.</w:t>
      </w:r>
    </w:p>
    <w:p w14:paraId="4384F33D" w14:textId="5275E480" w:rsidR="00E52EED" w:rsidRPr="008572BD" w:rsidRDefault="009B57B3" w:rsidP="00EF4191">
      <w:pPr>
        <w:pStyle w:val="SCCNormalDoubleSpacing"/>
        <w:spacing w:after="480"/>
      </w:pPr>
      <w:r w:rsidRPr="008572BD">
        <w:tab/>
      </w:r>
      <w:r w:rsidR="006F2DAD">
        <w:t>On June </w:t>
      </w:r>
      <w:r w:rsidR="00E52EED" w:rsidRPr="008572BD">
        <w:t>23, 2014, the province commenced a claim against the auditor</w:t>
      </w:r>
      <w:r w:rsidR="00C9419B" w:rsidRPr="008572BD">
        <w:t>, alleging negligence.</w:t>
      </w:r>
      <w:r w:rsidR="00E52EED" w:rsidRPr="008572BD">
        <w:t xml:space="preserve"> The auditor moved for summary judgment to have the claim dismissed as statute</w:t>
      </w:r>
      <w:r w:rsidR="008572BD" w:rsidRPr="008572BD">
        <w:noBreakHyphen/>
      </w:r>
      <w:r w:rsidR="00E52EED" w:rsidRPr="008572BD">
        <w:t>barred by virtue of</w:t>
      </w:r>
      <w:r w:rsidR="006F2DAD">
        <w:t xml:space="preserve"> the limitation period under s. </w:t>
      </w:r>
      <w:r w:rsidR="00E52EED" w:rsidRPr="008572BD">
        <w:t xml:space="preserve">5(1)(a) of the provincial </w:t>
      </w:r>
      <w:r w:rsidR="00E52EED" w:rsidRPr="008572BD">
        <w:rPr>
          <w:i/>
        </w:rPr>
        <w:t>Limitation of Actions Act</w:t>
      </w:r>
      <w:r w:rsidR="00E52EED" w:rsidRPr="008572BD">
        <w:t xml:space="preserve"> (“</w:t>
      </w:r>
      <w:r w:rsidR="00E52EED" w:rsidRPr="008572BD">
        <w:rPr>
          <w:i/>
        </w:rPr>
        <w:t>LAA</w:t>
      </w:r>
      <w:r w:rsidR="00E52EED" w:rsidRPr="008572BD">
        <w:t xml:space="preserve">”), which provides that no claim shall be brought after two years from the day on </w:t>
      </w:r>
      <w:r w:rsidR="00C9419B" w:rsidRPr="008572BD">
        <w:t>which the claim was discovered.</w:t>
      </w:r>
      <w:r w:rsidR="00E52EED" w:rsidRPr="008572BD">
        <w:t xml:space="preserve"> The motions judge held</w:t>
      </w:r>
      <w:r w:rsidR="006F2DAD">
        <w:t xml:space="preserve"> that, properly interpreted, s. </w:t>
      </w:r>
      <w:r w:rsidR="00E52EED" w:rsidRPr="008572BD">
        <w:t xml:space="preserve">5(2) of the </w:t>
      </w:r>
      <w:r w:rsidR="00E52EED" w:rsidRPr="008572BD">
        <w:rPr>
          <w:i/>
        </w:rPr>
        <w:t>LAA</w:t>
      </w:r>
      <w:r w:rsidR="00E52EED" w:rsidRPr="008572BD">
        <w:t xml:space="preserve">, which sets out when a claim is discovered, required that the province knew or ought to have known that it had </w:t>
      </w:r>
      <w:r w:rsidR="00E52EED" w:rsidRPr="008572BD">
        <w:rPr>
          <w:i/>
        </w:rPr>
        <w:t>prima facie</w:t>
      </w:r>
      <w:r w:rsidR="00E52EED" w:rsidRPr="008572BD">
        <w:t xml:space="preserve"> grounds to infer that it had a potential cause of action against the auditor</w:t>
      </w:r>
      <w:r w:rsidR="00C9419B" w:rsidRPr="008572BD">
        <w:t>.</w:t>
      </w:r>
      <w:r w:rsidR="00E52EED" w:rsidRPr="008572BD">
        <w:t xml:space="preserve"> He granted summary judgment and struck the province’s action, finding that the province had t</w:t>
      </w:r>
      <w:r w:rsidR="006F2DAD">
        <w:t>he requisite knowledge by March </w:t>
      </w:r>
      <w:r w:rsidR="00E52EED" w:rsidRPr="008572BD">
        <w:t>18, 2010, more than two years b</w:t>
      </w:r>
      <w:r w:rsidR="00976149">
        <w:t xml:space="preserve">efore it commenced its claim. </w:t>
      </w:r>
      <w:r w:rsidR="00E52EED" w:rsidRPr="008572BD">
        <w:t>The Court of Appeal allowed the province’s appeal and set aside the motion judge’s judgment</w:t>
      </w:r>
      <w:r w:rsidR="00C9419B" w:rsidRPr="008572BD">
        <w:t>.</w:t>
      </w:r>
      <w:r w:rsidR="00E52EED" w:rsidRPr="008572BD">
        <w:t xml:space="preserve"> It rejected the standard used by the motions judge and held that the governing standard was whether a plaintiff knows or ought reasonably to have known facts that confer a legally enforceable right to a remedy, which the court found can only exist if the plaintiff has knowledge of each constitue</w:t>
      </w:r>
      <w:r w:rsidR="00C9419B" w:rsidRPr="008572BD">
        <w:t>nt element of the claim.</w:t>
      </w:r>
      <w:r w:rsidR="00E52EED" w:rsidRPr="008572BD">
        <w:t xml:space="preserve"> Applying that standard, it found that the limitation period had not been triggered because the province had not yet discovered its claim.</w:t>
      </w:r>
    </w:p>
    <w:p w14:paraId="2E9FC400" w14:textId="19A5D4BB" w:rsidR="008322BD" w:rsidRPr="008572BD" w:rsidRDefault="00E52EED" w:rsidP="00EF4191">
      <w:pPr>
        <w:pStyle w:val="SCCNormalDoubleSpacing"/>
        <w:spacing w:after="480"/>
      </w:pPr>
      <w:r w:rsidRPr="008572BD">
        <w:tab/>
      </w:r>
      <w:r w:rsidRPr="008572BD">
        <w:rPr>
          <w:rStyle w:val="QuoteChar"/>
          <w:color w:val="auto"/>
          <w:lang w:val="en-CA"/>
        </w:rPr>
        <w:t>Held</w:t>
      </w:r>
      <w:r w:rsidRPr="008572BD">
        <w:rPr>
          <w:rStyle w:val="QuoteChar"/>
          <w:i w:val="0"/>
          <w:color w:val="auto"/>
          <w:lang w:val="en-CA"/>
        </w:rPr>
        <w:t>:</w:t>
      </w:r>
      <w:r w:rsidRPr="008572BD">
        <w:t xml:space="preserve"> The appeals should be al</w:t>
      </w:r>
      <w:r w:rsidR="00976149">
        <w:t>lowed</w:t>
      </w:r>
      <w:r w:rsidRPr="008572BD">
        <w:t xml:space="preserve"> and the motions judge’s judgment restored.</w:t>
      </w:r>
    </w:p>
    <w:p w14:paraId="725B09A0" w14:textId="667F482F" w:rsidR="00E52EED" w:rsidRPr="008572BD" w:rsidRDefault="00E52EED" w:rsidP="00EF4191">
      <w:pPr>
        <w:pStyle w:val="SCCNormalDoubleSpacing"/>
        <w:spacing w:after="480"/>
      </w:pPr>
      <w:r w:rsidRPr="008572BD">
        <w:tab/>
        <w:t>The standard to be applied in determining whether a plaintiff has the requisite degree of knowledge to discover a claim under</w:t>
      </w:r>
      <w:r w:rsidR="006F2DAD">
        <w:t xml:space="preserve"> s. </w:t>
      </w:r>
      <w:r w:rsidRPr="008572BD">
        <w:t xml:space="preserve">5(2) of the </w:t>
      </w:r>
      <w:r w:rsidRPr="008572BD">
        <w:rPr>
          <w:i/>
        </w:rPr>
        <w:t>LAA</w:t>
      </w:r>
      <w:r w:rsidRPr="008572BD">
        <w:t>, thereby triggering the two</w:t>
      </w:r>
      <w:r w:rsidR="008572BD" w:rsidRPr="008572BD">
        <w:noBreakHyphen/>
      </w:r>
      <w:r w:rsidRPr="008572BD">
        <w:t>year limitation period in s.</w:t>
      </w:r>
      <w:r w:rsidR="006F2DAD">
        <w:t> </w:t>
      </w:r>
      <w:r w:rsidRPr="008572BD">
        <w:t>5(1)(a), is whether the plaintiff has knowledge, actual or constructive, of the material facts upon which a plausible inference of liability on the defendant’s part can be drawn</w:t>
      </w:r>
      <w:r w:rsidR="00C9419B" w:rsidRPr="008572BD">
        <w:t>. Applying this standard</w:t>
      </w:r>
      <w:r w:rsidRPr="008572BD">
        <w:t xml:space="preserve"> in the present case, the province discovered its claim </w:t>
      </w:r>
      <w:r w:rsidR="006F2DAD">
        <w:t>against the auditor on February </w:t>
      </w:r>
      <w:r w:rsidRPr="008572BD">
        <w:t>4, 20</w:t>
      </w:r>
      <w:r w:rsidR="00C9419B" w:rsidRPr="008572BD">
        <w:t>11.</w:t>
      </w:r>
      <w:r w:rsidRPr="008572BD">
        <w:t xml:space="preserve"> By then, it knew or ought to have known that a loss occurred and that the loss was caused in whole or in part by conduct which the auditor had been retained to detect</w:t>
      </w:r>
      <w:r w:rsidR="00C9419B" w:rsidRPr="008572BD">
        <w:t>.</w:t>
      </w:r>
      <w:r w:rsidRPr="008572BD">
        <w:t xml:space="preserve"> This was sufficient to draw a plausible inference that the auditor had been negligent. Since the province did not bring its claim until June</w:t>
      </w:r>
      <w:r w:rsidR="006F2DAD">
        <w:t> </w:t>
      </w:r>
      <w:r w:rsidRPr="008572BD">
        <w:t>23, 2014, more than two years later, its claim is therefore statute</w:t>
      </w:r>
      <w:r w:rsidR="008572BD" w:rsidRPr="008572BD">
        <w:noBreakHyphen/>
      </w:r>
      <w:r w:rsidRPr="008572BD">
        <w:t xml:space="preserve">barred. </w:t>
      </w:r>
    </w:p>
    <w:p w14:paraId="2B8102BA" w14:textId="59E5E216" w:rsidR="00E52EED" w:rsidRPr="008572BD" w:rsidRDefault="00E52EED" w:rsidP="00EF4191">
      <w:pPr>
        <w:pStyle w:val="SCCNormalDoubleSpacing"/>
        <w:spacing w:after="480"/>
      </w:pPr>
      <w:r w:rsidRPr="008572BD">
        <w:tab/>
        <w:t>In order to properly set the standard,</w:t>
      </w:r>
      <w:r w:rsidRPr="008572BD">
        <w:rPr>
          <w:i/>
          <w:iCs/>
        </w:rPr>
        <w:t xml:space="preserve"> </w:t>
      </w:r>
      <w:r w:rsidRPr="008572BD">
        <w:t>two d</w:t>
      </w:r>
      <w:r w:rsidR="00C9419B" w:rsidRPr="008572BD">
        <w:t>istinct inquiries are required.</w:t>
      </w:r>
      <w:r w:rsidRPr="008572BD">
        <w:t xml:space="preserve"> The first inquiry asks whether, in determining if a statutory limitation period has been triggered, the plaintiff’s state of knowledge is to be assessed in the same manner as the common law rule of discoverability</w:t>
      </w:r>
      <w:r w:rsidR="006F2DAD">
        <w:t xml:space="preserve">. </w:t>
      </w:r>
      <w:r w:rsidRPr="008572BD">
        <w:t>Under that rule, a cause of action arises for purposes of a limitation period when the material facts on which it is based have been discovered or ought to have been discovered by the plaintiff by the ex</w:t>
      </w:r>
      <w:r w:rsidR="00C9419B" w:rsidRPr="008572BD">
        <w:t>ercise of reasonable diligence.</w:t>
      </w:r>
      <w:r w:rsidRPr="008572BD">
        <w:t xml:space="preserve"> The common law rule of discoverability does not apply to every statutory limitation period</w:t>
      </w:r>
      <w:r w:rsidR="00C9419B" w:rsidRPr="008572BD">
        <w:t>.</w:t>
      </w:r>
      <w:r w:rsidRPr="008572BD">
        <w:t xml:space="preserve"> Rather, it is an interpretive tool for construing limitations statutes and, as such, it can be ousted by clear legislative language</w:t>
      </w:r>
      <w:r w:rsidR="00C9419B" w:rsidRPr="008572BD">
        <w:t>.</w:t>
      </w:r>
      <w:r w:rsidRPr="008572BD">
        <w:t xml:space="preserve"> Assessing whether a legislature has codified, limited or ousted the common law rule is a matter of statutory interpretation</w:t>
      </w:r>
      <w:r w:rsidR="00C9419B" w:rsidRPr="008572BD">
        <w:t>.</w:t>
      </w:r>
      <w:r w:rsidRPr="008572BD">
        <w:t xml:space="preserve"> Section 5(1)(a) and (2) of the </w:t>
      </w:r>
      <w:r w:rsidRPr="008572BD">
        <w:rPr>
          <w:i/>
        </w:rPr>
        <w:t xml:space="preserve">LAA </w:t>
      </w:r>
      <w:r w:rsidRPr="008572BD">
        <w:t>does not contain any language ousting or limiting the common law rule; rather, it codifies it. This interpretation is supported by the words of s.</w:t>
      </w:r>
      <w:r w:rsidR="006F2DAD">
        <w:t> </w:t>
      </w:r>
      <w:r w:rsidRPr="008572BD">
        <w:t xml:space="preserve">5, read in their entire context and in their grammatical and ordinary sense harmoniously with the </w:t>
      </w:r>
      <w:r w:rsidRPr="008572BD">
        <w:rPr>
          <w:i/>
        </w:rPr>
        <w:t>LAA</w:t>
      </w:r>
      <w:r w:rsidRPr="008572BD">
        <w:t>’s scheme and object, and the intention of the legislatur</w:t>
      </w:r>
      <w:r w:rsidR="00C9419B" w:rsidRPr="008572BD">
        <w:t>e.</w:t>
      </w:r>
      <w:r w:rsidRPr="008572BD">
        <w:t xml:space="preserve"> Accordingly, as established by the rule of discoverability and the </w:t>
      </w:r>
      <w:r w:rsidRPr="008572BD">
        <w:rPr>
          <w:i/>
        </w:rPr>
        <w:t>LAA</w:t>
      </w:r>
      <w:r w:rsidRPr="008572BD">
        <w:t xml:space="preserve">, the limitation period is triggered when the plaintiff discovers or ought to have discovered, through the exercise of reasonable diligence, the material facts on which the claim is based. </w:t>
      </w:r>
    </w:p>
    <w:p w14:paraId="69982F83" w14:textId="43928103" w:rsidR="00E52EED" w:rsidRPr="008572BD" w:rsidRDefault="00E52EED" w:rsidP="00EF4191">
      <w:pPr>
        <w:pStyle w:val="SCCNormalDoubleSpacing"/>
        <w:spacing w:after="480"/>
      </w:pPr>
      <w:r w:rsidRPr="008572BD">
        <w:tab/>
        <w:t>The second inquiry relates to the particular degree of knowledge required to discover a claim</w:t>
      </w:r>
      <w:r w:rsidR="00C9419B" w:rsidRPr="008572BD">
        <w:t>.</w:t>
      </w:r>
      <w:r w:rsidRPr="008572BD">
        <w:t xml:space="preserve"> A claim is discovered when a plaintiff has knowledge, actual or constructive, of the material facts upon which a plausible inference of liability on the</w:t>
      </w:r>
      <w:r w:rsidR="00C9419B" w:rsidRPr="008572BD">
        <w:t xml:space="preserve"> defendant’s part can be drawn.</w:t>
      </w:r>
      <w:r w:rsidRPr="008572BD">
        <w:t xml:space="preserve"> This approach remains faithful to the comm</w:t>
      </w:r>
      <w:r w:rsidR="00C9419B" w:rsidRPr="008572BD">
        <w:t>on law rule of discoverability,</w:t>
      </w:r>
      <w:r w:rsidRPr="008572BD">
        <w:t xml:space="preserve"> which recognizes that it is unfair to deprive a plaintiff from bringing a claim before it can reasonably be expected to know the claim exists.</w:t>
      </w:r>
      <w:r w:rsidR="006F2DAD">
        <w:t xml:space="preserve"> It also accords with s. </w:t>
      </w:r>
      <w:r w:rsidRPr="008572BD">
        <w:t xml:space="preserve">5 of the </w:t>
      </w:r>
      <w:r w:rsidRPr="008572BD">
        <w:rPr>
          <w:i/>
        </w:rPr>
        <w:t>LAA</w:t>
      </w:r>
      <w:r w:rsidR="00C9419B" w:rsidRPr="008572BD">
        <w:t>,</w:t>
      </w:r>
      <w:r w:rsidRPr="008572BD">
        <w:t xml:space="preserve"> promotes consistency and ensures that the degree of knowledge needed to discover a claim is more than mere suspicion or speculation</w:t>
      </w:r>
      <w:r w:rsidR="00C9419B" w:rsidRPr="008572BD">
        <w:t>.</w:t>
      </w:r>
      <w:r w:rsidRPr="008572BD">
        <w:t xml:space="preserve"> At the same time, it ensures the standard does not rise so high as to require certainty of liability or per</w:t>
      </w:r>
      <w:r w:rsidR="00C9419B" w:rsidRPr="008572BD">
        <w:t>fect knowledge.</w:t>
      </w:r>
      <w:r w:rsidRPr="008572BD">
        <w:t xml:space="preserve"> A plausible inference of liability is enough; it strikes the equitable balance of interests that the common law rule of discoverability seeks to achieve. </w:t>
      </w:r>
    </w:p>
    <w:p w14:paraId="1FB75CF7" w14:textId="06654281" w:rsidR="00E52EED" w:rsidRPr="008572BD" w:rsidRDefault="00E52EED" w:rsidP="00EF4191">
      <w:pPr>
        <w:pStyle w:val="SCCNormalDoubleSpacing"/>
        <w:spacing w:after="480"/>
      </w:pPr>
      <w:r w:rsidRPr="008572BD">
        <w:tab/>
        <w:t>The material facts that must be actually or constructively known are generally set out in the li</w:t>
      </w:r>
      <w:r w:rsidR="00C9419B" w:rsidRPr="008572BD">
        <w:t>mitation statute.</w:t>
      </w:r>
      <w:r w:rsidRPr="008572BD">
        <w:t xml:space="preserve"> In the </w:t>
      </w:r>
      <w:r w:rsidRPr="008572BD">
        <w:rPr>
          <w:i/>
        </w:rPr>
        <w:t>LAA</w:t>
      </w:r>
      <w:r w:rsidRPr="008572BD">
        <w:t>, they are listed in s. </w:t>
      </w:r>
      <w:r w:rsidR="00C9419B" w:rsidRPr="008572BD">
        <w:t>5(2)(a) to (c).</w:t>
      </w:r>
      <w:r w:rsidRPr="008572BD">
        <w:t xml:space="preserve"> A claim is discovered when the plaintiff has actual or c</w:t>
      </w:r>
      <w:r w:rsidR="006F2DAD">
        <w:t>onstructive knowledge that: (a) </w:t>
      </w:r>
      <w:r w:rsidRPr="008572BD">
        <w:t>the injur</w:t>
      </w:r>
      <w:r w:rsidR="006F2DAD">
        <w:t>y, loss or damage occurred; (b) </w:t>
      </w:r>
      <w:r w:rsidRPr="008572BD">
        <w:t>the injury loss or damage was caused by or contributed to</w:t>
      </w:r>
      <w:r w:rsidR="006F2DAD">
        <w:t xml:space="preserve"> by an act or omission; and (c) </w:t>
      </w:r>
      <w:r w:rsidRPr="008572BD">
        <w:t>the act or omission was that of the def</w:t>
      </w:r>
      <w:r w:rsidR="00C9419B" w:rsidRPr="008572BD">
        <w:t>endant.</w:t>
      </w:r>
      <w:r w:rsidRPr="008572BD">
        <w:t xml:space="preserve"> This list is cumulative. In assessing the plaintiff’s state of knowledge, both direct and circu</w:t>
      </w:r>
      <w:r w:rsidR="00C9419B" w:rsidRPr="008572BD">
        <w:t>mstantial evidence can be used.</w:t>
      </w:r>
      <w:r w:rsidRPr="008572BD">
        <w:t xml:space="preserve"> A plaintiff will have constructive knowledge when the evidence shows that the plaintiff ought to have discovered the material facts by exercising reasonable diligence. Finally, the governing standard requires the plaintiff to be able to draw a plausible inference of liability on the part of the defendant from the material facts that are actually or constr</w:t>
      </w:r>
      <w:r w:rsidR="00C9419B" w:rsidRPr="008572BD">
        <w:t>uctively known.</w:t>
      </w:r>
      <w:r w:rsidRPr="008572BD">
        <w:t xml:space="preserve"> This means that in a negligence claim, a plaintiff does not need knowledge that the defendant owed it a duty of care or that the defendant’s act or omission breached t</w:t>
      </w:r>
      <w:r w:rsidR="00C9419B" w:rsidRPr="008572BD">
        <w:t>he applicable standard of care.</w:t>
      </w:r>
      <w:r w:rsidRPr="008572BD">
        <w:t xml:space="preserve"> All that is required is actual or constructive knowledge of the material facts from which a plausible inference can be made that the defendant acted negligently.</w:t>
      </w:r>
    </w:p>
    <w:p w14:paraId="4C30A060" w14:textId="7F35E8BC" w:rsidR="00E52EED" w:rsidRPr="008572BD" w:rsidRDefault="00E52EED" w:rsidP="00EF4191">
      <w:pPr>
        <w:pStyle w:val="SCCNormalDoubleSpacing"/>
        <w:spacing w:after="480"/>
      </w:pPr>
      <w:r w:rsidRPr="008572BD">
        <w:tab/>
        <w:t>In the instant case</w:t>
      </w:r>
      <w:r w:rsidR="00C9419B" w:rsidRPr="008572BD">
        <w:t>,</w:t>
      </w:r>
      <w:r w:rsidRPr="008572BD">
        <w:t xml:space="preserve"> the province had actual or constructive knowledge of the material facts — namely, that a loss occurred and that the loss was caused or contributed to by an act or omission of the auditor — when it received the draft report from the other firm</w:t>
      </w:r>
      <w:r w:rsidR="006F2DAD">
        <w:t xml:space="preserve"> on February </w:t>
      </w:r>
      <w:r w:rsidR="00C9419B" w:rsidRPr="008572BD">
        <w:t>4, 2011.</w:t>
      </w:r>
      <w:r w:rsidRPr="008572BD">
        <w:t xml:space="preserve"> The auditor’s act or omission was issuing its report with respect to the company’s financial statements, despite those statements not being prepared in accordance with generally accepted accounting principles and not fairly representing, in all material respects, the company’s financial position</w:t>
      </w:r>
      <w:r w:rsidR="00C9419B" w:rsidRPr="008572BD">
        <w:t>.</w:t>
      </w:r>
      <w:r w:rsidRPr="008572BD">
        <w:t xml:space="preserve"> This act or omission caused or contributed to the province’s loss because the province executed the</w:t>
      </w:r>
      <w:r w:rsidR="006F2DAD">
        <w:t xml:space="preserve"> </w:t>
      </w:r>
      <w:r w:rsidR="008572BD" w:rsidRPr="008572BD">
        <w:t>$</w:t>
      </w:r>
      <w:r w:rsidRPr="008572BD">
        <w:t>50 million in loan guarantees in reliance on the auditor’s</w:t>
      </w:r>
      <w:r w:rsidR="00C9419B" w:rsidRPr="008572BD">
        <w:t xml:space="preserve"> representations.</w:t>
      </w:r>
      <w:r w:rsidRPr="008572BD">
        <w:t xml:space="preserve"> Nothing more was needed to draw a plausible inference of negligence. The province’s claim is therefore statute</w:t>
      </w:r>
      <w:r w:rsidR="008572BD" w:rsidRPr="008572BD">
        <w:noBreakHyphen/>
      </w:r>
      <w:r w:rsidR="006F2DAD">
        <w:t>barred by s. </w:t>
      </w:r>
      <w:r w:rsidRPr="008572BD">
        <w:t xml:space="preserve">5(1)(a) of the </w:t>
      </w:r>
      <w:r w:rsidRPr="008572BD">
        <w:rPr>
          <w:i/>
        </w:rPr>
        <w:t>LAA</w:t>
      </w:r>
      <w:r w:rsidRPr="008572BD">
        <w:t>.</w:t>
      </w:r>
    </w:p>
    <w:p w14:paraId="19C5AD64" w14:textId="77777777" w:rsidR="007E1C47" w:rsidRPr="008572BD" w:rsidRDefault="002E6705" w:rsidP="00EF4191">
      <w:pPr>
        <w:pStyle w:val="SCCNormalDoubleSpacing"/>
        <w:spacing w:after="720" w:line="240" w:lineRule="auto"/>
        <w:rPr>
          <w:b/>
        </w:rPr>
      </w:pPr>
      <w:r w:rsidRPr="008572BD">
        <w:rPr>
          <w:b/>
        </w:rPr>
        <w:t>Cases Cited</w:t>
      </w:r>
    </w:p>
    <w:p w14:paraId="532D1576" w14:textId="6CC32736" w:rsidR="004E2C26" w:rsidRPr="008572BD" w:rsidRDefault="002E6705" w:rsidP="00EF4191">
      <w:pPr>
        <w:pStyle w:val="SCCNormalDoubleSpacing"/>
        <w:spacing w:after="480"/>
      </w:pPr>
      <w:r w:rsidRPr="008572BD">
        <w:tab/>
      </w:r>
      <w:r w:rsidRPr="008572BD">
        <w:rPr>
          <w:b/>
        </w:rPr>
        <w:t>Referred to:</w:t>
      </w:r>
      <w:r w:rsidR="00BD0E9E" w:rsidRPr="008572BD">
        <w:t xml:space="preserve"> </w:t>
      </w:r>
      <w:r w:rsidR="00464271" w:rsidRPr="008572BD">
        <w:rPr>
          <w:i/>
        </w:rPr>
        <w:t>Central Trust Co. v. Rafuse</w:t>
      </w:r>
      <w:r w:rsidR="00464271" w:rsidRPr="008572BD">
        <w:t xml:space="preserve">, [1986] 2 S.C.R. 147; </w:t>
      </w:r>
      <w:r w:rsidR="002F62C6" w:rsidRPr="008572BD">
        <w:rPr>
          <w:i/>
        </w:rPr>
        <w:t>Kamloops (City of) v. Nielsen</w:t>
      </w:r>
      <w:r w:rsidR="002F62C6" w:rsidRPr="008572BD">
        <w:t>,</w:t>
      </w:r>
      <w:r w:rsidR="002F62C6" w:rsidRPr="008572BD">
        <w:rPr>
          <w:i/>
        </w:rPr>
        <w:t xml:space="preserve"> </w:t>
      </w:r>
      <w:r w:rsidR="002F62C6" w:rsidRPr="008572BD">
        <w:t xml:space="preserve">[1984] 2 S.C.R. 2; </w:t>
      </w:r>
      <w:r w:rsidR="00A9542E" w:rsidRPr="008572BD">
        <w:rPr>
          <w:i/>
        </w:rPr>
        <w:t>Ryan v. Moore</w:t>
      </w:r>
      <w:r w:rsidR="00A9542E" w:rsidRPr="008572BD">
        <w:t>,</w:t>
      </w:r>
      <w:r w:rsidR="00A9542E" w:rsidRPr="008572BD">
        <w:rPr>
          <w:i/>
        </w:rPr>
        <w:t xml:space="preserve"> </w:t>
      </w:r>
      <w:r w:rsidR="00A9542E" w:rsidRPr="008572BD">
        <w:t xml:space="preserve">2005 SCC 38, [2005] 2 S.C.R. 53; </w:t>
      </w:r>
      <w:r w:rsidR="000268FB" w:rsidRPr="008572BD">
        <w:rPr>
          <w:i/>
        </w:rPr>
        <w:t>M. (K.) v. M. (H.)</w:t>
      </w:r>
      <w:r w:rsidR="000268FB" w:rsidRPr="008572BD">
        <w:t xml:space="preserve">, [1992] 3 S.C.R. 6; </w:t>
      </w:r>
      <w:r w:rsidR="00EA141B" w:rsidRPr="008572BD">
        <w:rPr>
          <w:i/>
        </w:rPr>
        <w:t>Peixeiro v. Haberman</w:t>
      </w:r>
      <w:r w:rsidR="00EA141B" w:rsidRPr="008572BD">
        <w:t>,</w:t>
      </w:r>
      <w:r w:rsidR="00EA141B" w:rsidRPr="008572BD">
        <w:rPr>
          <w:i/>
        </w:rPr>
        <w:t xml:space="preserve"> </w:t>
      </w:r>
      <w:r w:rsidR="00EA141B" w:rsidRPr="008572BD">
        <w:t xml:space="preserve">[1997] 3 S.C.R. 549; </w:t>
      </w:r>
      <w:r w:rsidR="000E1304" w:rsidRPr="008572BD">
        <w:rPr>
          <w:i/>
        </w:rPr>
        <w:t>Pioneer Cor</w:t>
      </w:r>
      <w:r w:rsidR="008572BD" w:rsidRPr="008572BD">
        <w:rPr>
          <w:i/>
        </w:rPr>
        <w:t>p. </w:t>
      </w:r>
      <w:r w:rsidR="000E1304" w:rsidRPr="008572BD">
        <w:rPr>
          <w:i/>
        </w:rPr>
        <w:t>v. Godfrey</w:t>
      </w:r>
      <w:r w:rsidR="000E1304" w:rsidRPr="008572BD">
        <w:t>,</w:t>
      </w:r>
      <w:r w:rsidR="000E1304" w:rsidRPr="008572BD">
        <w:rPr>
          <w:i/>
        </w:rPr>
        <w:t xml:space="preserve"> </w:t>
      </w:r>
      <w:r w:rsidR="000E1304" w:rsidRPr="008572BD">
        <w:t xml:space="preserve">2019 SCC 42; </w:t>
      </w:r>
      <w:r w:rsidR="003C0DD2" w:rsidRPr="008572BD">
        <w:rPr>
          <w:i/>
        </w:rPr>
        <w:t>Rizzo &amp; Rizzo Shoes Ltd. (Re)</w:t>
      </w:r>
      <w:r w:rsidR="003C0DD2" w:rsidRPr="008572BD">
        <w:t>,</w:t>
      </w:r>
      <w:r w:rsidR="003C0DD2" w:rsidRPr="008572BD">
        <w:rPr>
          <w:i/>
        </w:rPr>
        <w:t xml:space="preserve"> </w:t>
      </w:r>
      <w:r w:rsidR="003C0DD2" w:rsidRPr="008572BD">
        <w:t>[1998] 1 S.C.R. 27;</w:t>
      </w:r>
      <w:r w:rsidR="00142445" w:rsidRPr="008572BD">
        <w:t xml:space="preserve"> </w:t>
      </w:r>
      <w:r w:rsidR="00D37FC4" w:rsidRPr="008572BD">
        <w:rPr>
          <w:i/>
        </w:rPr>
        <w:t>Galota v. Festival Hall Developments Ltd.</w:t>
      </w:r>
      <w:r w:rsidR="00D37FC4" w:rsidRPr="008572BD">
        <w:t>,</w:t>
      </w:r>
      <w:r w:rsidR="00D37FC4" w:rsidRPr="008572BD">
        <w:rPr>
          <w:i/>
        </w:rPr>
        <w:t xml:space="preserve"> </w:t>
      </w:r>
      <w:r w:rsidR="00D37FC4" w:rsidRPr="008572BD">
        <w:t xml:space="preserve">2016 ONCA 585, 133 O.R. (3d) 35; </w:t>
      </w:r>
      <w:r w:rsidR="003151AC" w:rsidRPr="008572BD">
        <w:rPr>
          <w:i/>
        </w:rPr>
        <w:t>De Shazo v. Nations Energy Co.</w:t>
      </w:r>
      <w:r w:rsidR="003151AC" w:rsidRPr="008572BD">
        <w:t xml:space="preserve">, 2005 ABCA 241, 48 Alta. L.R. (4th) 25; </w:t>
      </w:r>
      <w:r w:rsidR="00A4650C" w:rsidRPr="008572BD">
        <w:rPr>
          <w:i/>
        </w:rPr>
        <w:t>Jardine v. Saskatoon Police Service</w:t>
      </w:r>
      <w:r w:rsidR="00A4650C" w:rsidRPr="008572BD">
        <w:t xml:space="preserve">, 2017 SKQB 217; </w:t>
      </w:r>
      <w:r w:rsidR="00516DBE" w:rsidRPr="008572BD">
        <w:rPr>
          <w:i/>
          <w:shd w:val="clear" w:color="auto" w:fill="FFFFFF"/>
        </w:rPr>
        <w:t>Crombie Property Holdings Ltd. v. McColl</w:t>
      </w:r>
      <w:r w:rsidR="008572BD" w:rsidRPr="008572BD">
        <w:rPr>
          <w:i/>
          <w:shd w:val="clear" w:color="auto" w:fill="FFFFFF"/>
        </w:rPr>
        <w:noBreakHyphen/>
      </w:r>
      <w:r w:rsidR="00516DBE" w:rsidRPr="008572BD">
        <w:rPr>
          <w:i/>
          <w:shd w:val="clear" w:color="auto" w:fill="FFFFFF"/>
        </w:rPr>
        <w:t>Frontenac Inc.</w:t>
      </w:r>
      <w:r w:rsidR="00516DBE" w:rsidRPr="008572BD">
        <w:rPr>
          <w:shd w:val="clear" w:color="auto" w:fill="FFFFFF"/>
        </w:rPr>
        <w:t xml:space="preserve">, 2017 ONCA 16, 406 D.L.R. (4th) 252; </w:t>
      </w:r>
      <w:r w:rsidR="005D4026" w:rsidRPr="008572BD">
        <w:rPr>
          <w:i/>
          <w:szCs w:val="24"/>
        </w:rPr>
        <w:t>Brown v. Wahl</w:t>
      </w:r>
      <w:r w:rsidR="005D4026" w:rsidRPr="008572BD">
        <w:rPr>
          <w:szCs w:val="24"/>
        </w:rPr>
        <w:t>,</w:t>
      </w:r>
      <w:r w:rsidR="005D4026" w:rsidRPr="008572BD">
        <w:rPr>
          <w:i/>
          <w:szCs w:val="24"/>
        </w:rPr>
        <w:t xml:space="preserve"> </w:t>
      </w:r>
      <w:r w:rsidR="005D4026" w:rsidRPr="008572BD">
        <w:rPr>
          <w:szCs w:val="24"/>
        </w:rPr>
        <w:t xml:space="preserve">2015 ONCA 778, 128 O.R. (3d) 583; </w:t>
      </w:r>
      <w:r w:rsidR="00C43815" w:rsidRPr="008572BD">
        <w:rPr>
          <w:i/>
          <w:szCs w:val="24"/>
        </w:rPr>
        <w:t>Lawless v. Anderson</w:t>
      </w:r>
      <w:r w:rsidR="00C43815" w:rsidRPr="008572BD">
        <w:rPr>
          <w:szCs w:val="24"/>
        </w:rPr>
        <w:t xml:space="preserve">, 2011 ONCA 102, 276 O.A.C. 75; </w:t>
      </w:r>
      <w:r w:rsidR="007D546E" w:rsidRPr="008572BD">
        <w:rPr>
          <w:bCs/>
          <w:i/>
          <w:szCs w:val="24"/>
        </w:rPr>
        <w:t>Insurance Corporation of British Columbia v. Mehat</w:t>
      </w:r>
      <w:r w:rsidR="007D546E" w:rsidRPr="008572BD">
        <w:rPr>
          <w:szCs w:val="24"/>
        </w:rPr>
        <w:t xml:space="preserve">, 2018 BCCA 242, 11 B.C.L.R. (6th) 217; </w:t>
      </w:r>
      <w:r w:rsidR="000F4643" w:rsidRPr="008572BD">
        <w:rPr>
          <w:rStyle w:val="ParaNoNdepar-AltNChar"/>
          <w:rFonts w:cs="Times New Roman"/>
          <w:i/>
        </w:rPr>
        <w:t>Kowal v. Shyiak</w:t>
      </w:r>
      <w:r w:rsidR="000F4643" w:rsidRPr="008572BD">
        <w:rPr>
          <w:rStyle w:val="ParaNoNdepar-AltNChar"/>
          <w:rFonts w:cs="Times New Roman"/>
        </w:rPr>
        <w:t xml:space="preserve">, 2012 ONCA 512, 296 O.A.C. 352; </w:t>
      </w:r>
      <w:r w:rsidR="00E81032" w:rsidRPr="008572BD">
        <w:rPr>
          <w:rStyle w:val="ParaNoNdepar-AltNChar"/>
          <w:rFonts w:cs="Times New Roman"/>
          <w:i/>
        </w:rPr>
        <w:t xml:space="preserve">Hill v. South Alberta Land Registration District </w:t>
      </w:r>
      <w:r w:rsidR="00E81032" w:rsidRPr="008572BD">
        <w:rPr>
          <w:rStyle w:val="ParaNoNdepar-AltNChar"/>
          <w:rFonts w:cs="Times New Roman"/>
        </w:rPr>
        <w:t xml:space="preserve">(1993), 8 Alta. L.R. (3d) 379; </w:t>
      </w:r>
      <w:r w:rsidR="00253686" w:rsidRPr="008572BD">
        <w:rPr>
          <w:rStyle w:val="ParaNoNdepar-AltNChar"/>
          <w:rFonts w:cs="Times New Roman"/>
          <w:i/>
        </w:rPr>
        <w:t>HOOPP Realty Inc. v. Emery Jamieson LLP</w:t>
      </w:r>
      <w:r w:rsidR="00253686" w:rsidRPr="008572BD">
        <w:rPr>
          <w:rStyle w:val="ParaNoNdepar-AltNChar"/>
          <w:rFonts w:cs="Times New Roman"/>
        </w:rPr>
        <w:t>, 2018 ABQB 276, 27 C.P.C. (8th) 83</w:t>
      </w:r>
      <w:r w:rsidR="000B6699" w:rsidRPr="008572BD">
        <w:rPr>
          <w:rStyle w:val="ParaNoNdepar-AltNChar"/>
          <w:rFonts w:cs="Times New Roman"/>
        </w:rPr>
        <w:t xml:space="preserve">; </w:t>
      </w:r>
      <w:r w:rsidR="000B6699" w:rsidRPr="008572BD">
        <w:rPr>
          <w:i/>
        </w:rPr>
        <w:t>K.L.B. v. British Columbia</w:t>
      </w:r>
      <w:r w:rsidR="000B6699" w:rsidRPr="008572BD">
        <w:t>,</w:t>
      </w:r>
      <w:r w:rsidR="000B6699" w:rsidRPr="008572BD">
        <w:rPr>
          <w:i/>
        </w:rPr>
        <w:t xml:space="preserve"> </w:t>
      </w:r>
      <w:r w:rsidR="000B6699" w:rsidRPr="008572BD">
        <w:t>2003 SCC 51, [2003] 2 S.C.R. 403</w:t>
      </w:r>
      <w:r w:rsidR="00D378B2" w:rsidRPr="008572BD">
        <w:rPr>
          <w:rStyle w:val="ParaNoNdepar-AltNChar"/>
          <w:rFonts w:cs="Times New Roman"/>
        </w:rPr>
        <w:t>.</w:t>
      </w:r>
    </w:p>
    <w:p w14:paraId="3EA0BE93" w14:textId="77777777" w:rsidR="003B215F" w:rsidRPr="008572BD" w:rsidRDefault="002E6705" w:rsidP="00EF4191">
      <w:pPr>
        <w:pStyle w:val="SCCNormalDoubleSpacing"/>
        <w:spacing w:after="720" w:line="240" w:lineRule="auto"/>
      </w:pPr>
      <w:r w:rsidRPr="008572BD">
        <w:rPr>
          <w:b/>
        </w:rPr>
        <w:t>Statutes and Regulations Cite</w:t>
      </w:r>
      <w:r w:rsidR="00A41805" w:rsidRPr="008572BD">
        <w:rPr>
          <w:b/>
        </w:rPr>
        <w:t>d</w:t>
      </w:r>
    </w:p>
    <w:p w14:paraId="3D3BB75D" w14:textId="7BC4C867" w:rsidR="003276EE" w:rsidRPr="008572BD" w:rsidRDefault="003276EE" w:rsidP="00EF4191">
      <w:pPr>
        <w:pStyle w:val="SCCNormalDoubleSpacing"/>
        <w:spacing w:after="240" w:line="240" w:lineRule="auto"/>
        <w:ind w:left="539" w:hanging="539"/>
      </w:pPr>
      <w:r w:rsidRPr="008572BD">
        <w:rPr>
          <w:i/>
        </w:rPr>
        <w:t>Bankruptcy and Insolvency Act</w:t>
      </w:r>
      <w:r w:rsidRPr="008572BD">
        <w:t>,</w:t>
      </w:r>
      <w:r w:rsidRPr="008572BD">
        <w:rPr>
          <w:i/>
        </w:rPr>
        <w:t xml:space="preserve"> </w:t>
      </w:r>
      <w:r w:rsidRPr="008572BD">
        <w:t>R.S.C. 1985, c. B</w:t>
      </w:r>
      <w:r w:rsidR="008572BD" w:rsidRPr="008572BD">
        <w:noBreakHyphen/>
      </w:r>
      <w:r w:rsidRPr="008572BD">
        <w:t>3.</w:t>
      </w:r>
    </w:p>
    <w:p w14:paraId="1D580678" w14:textId="584495B7" w:rsidR="003276EE" w:rsidRPr="008572BD" w:rsidRDefault="003276EE" w:rsidP="00EF4191">
      <w:pPr>
        <w:pStyle w:val="SCCNormalDoubleSpacing"/>
        <w:spacing w:after="240" w:line="240" w:lineRule="auto"/>
        <w:ind w:left="539" w:hanging="539"/>
      </w:pPr>
      <w:r w:rsidRPr="008572BD">
        <w:rPr>
          <w:i/>
        </w:rPr>
        <w:t>Companies’ Creditors Arrangement Act</w:t>
      </w:r>
      <w:r w:rsidRPr="008572BD">
        <w:t>,</w:t>
      </w:r>
      <w:r w:rsidRPr="008572BD">
        <w:rPr>
          <w:i/>
        </w:rPr>
        <w:t xml:space="preserve"> </w:t>
      </w:r>
      <w:r w:rsidRPr="008572BD">
        <w:t>R.S.C. 1985, c. C</w:t>
      </w:r>
      <w:r w:rsidR="008572BD" w:rsidRPr="008572BD">
        <w:noBreakHyphen/>
      </w:r>
      <w:r w:rsidRPr="008572BD">
        <w:t>36.</w:t>
      </w:r>
    </w:p>
    <w:p w14:paraId="0457E61A" w14:textId="1752C53B" w:rsidR="00A149DF" w:rsidRPr="008572BD" w:rsidRDefault="00F30922" w:rsidP="00EF4191">
      <w:pPr>
        <w:pStyle w:val="SCCNormalDoubleSpacing"/>
        <w:spacing w:after="720" w:line="240" w:lineRule="auto"/>
        <w:ind w:left="540" w:hanging="540"/>
      </w:pPr>
      <w:r w:rsidRPr="008572BD">
        <w:rPr>
          <w:i/>
        </w:rPr>
        <w:t>Limitation of Actions Act</w:t>
      </w:r>
      <w:r w:rsidR="009816C6">
        <w:t>, S.N.B. 2009, c. </w:t>
      </w:r>
      <w:r w:rsidRPr="008572BD">
        <w:t>L</w:t>
      </w:r>
      <w:r w:rsidR="008572BD" w:rsidRPr="008572BD">
        <w:noBreakHyphen/>
      </w:r>
      <w:r w:rsidRPr="008572BD">
        <w:t xml:space="preserve">8.5, </w:t>
      </w:r>
      <w:r w:rsidR="008572BD" w:rsidRPr="008572BD">
        <w:t>ss. </w:t>
      </w:r>
      <w:r w:rsidR="00441D93" w:rsidRPr="008572BD">
        <w:t>1(1) “</w:t>
      </w:r>
      <w:r w:rsidR="005260D6" w:rsidRPr="008572BD">
        <w:t>claim</w:t>
      </w:r>
      <w:r w:rsidR="00441D93" w:rsidRPr="008572BD">
        <w:t xml:space="preserve">”, </w:t>
      </w:r>
      <w:r w:rsidRPr="008572BD">
        <w:t>5.</w:t>
      </w:r>
    </w:p>
    <w:p w14:paraId="4F0ED81A" w14:textId="77777777" w:rsidR="002E6705" w:rsidRPr="008572BD" w:rsidRDefault="002E6705" w:rsidP="00EF4191">
      <w:pPr>
        <w:pStyle w:val="SCCNormalDoubleSpacing"/>
        <w:spacing w:before="240" w:after="720" w:line="240" w:lineRule="auto"/>
        <w:rPr>
          <w:b/>
        </w:rPr>
      </w:pPr>
      <w:r w:rsidRPr="008572BD">
        <w:rPr>
          <w:b/>
        </w:rPr>
        <w:t>Authors Cited</w:t>
      </w:r>
    </w:p>
    <w:p w14:paraId="3FF9C630" w14:textId="310E6912" w:rsidR="004A1496" w:rsidRPr="008572BD" w:rsidRDefault="009816C6" w:rsidP="00EF4191">
      <w:pPr>
        <w:pStyle w:val="SCCNormalDoubleSpacing"/>
        <w:spacing w:after="240" w:line="240" w:lineRule="auto"/>
        <w:ind w:left="539" w:hanging="539"/>
      </w:pPr>
      <w:r>
        <w:t xml:space="preserve">New </w:t>
      </w:r>
      <w:r w:rsidR="004A1496" w:rsidRPr="008572BD">
        <w:t xml:space="preserve">Brunswick. Legislative Assembly. </w:t>
      </w:r>
      <w:r w:rsidR="004A1496" w:rsidRPr="008572BD">
        <w:rPr>
          <w:i/>
        </w:rPr>
        <w:t>Journal of Debates (Hansard)</w:t>
      </w:r>
      <w:r w:rsidR="004A1496" w:rsidRPr="008572BD">
        <w:t xml:space="preserve">, </w:t>
      </w:r>
      <w:r w:rsidR="008F2DFE" w:rsidRPr="008572BD">
        <w:t>3rd Sess., 56th Assem</w:t>
      </w:r>
      <w:r>
        <w:t>., June </w:t>
      </w:r>
      <w:r w:rsidR="004A1496" w:rsidRPr="008572BD">
        <w:t xml:space="preserve">17, 2009, </w:t>
      </w:r>
      <w:r w:rsidR="008572BD" w:rsidRPr="008572BD">
        <w:t>p. </w:t>
      </w:r>
      <w:r w:rsidR="004A1496" w:rsidRPr="008572BD">
        <w:t>50.</w:t>
      </w:r>
    </w:p>
    <w:p w14:paraId="20023686" w14:textId="10071D43" w:rsidR="00A149DF" w:rsidRPr="008572BD" w:rsidRDefault="009816C6" w:rsidP="00EF4191">
      <w:pPr>
        <w:pStyle w:val="SCCNormalDoubleSpacing"/>
        <w:spacing w:before="240" w:after="720" w:line="240" w:lineRule="auto"/>
        <w:ind w:left="540" w:hanging="540"/>
      </w:pPr>
      <w:r>
        <w:t xml:space="preserve">New </w:t>
      </w:r>
      <w:r w:rsidR="006F2DAD">
        <w:t>Brunswick. Office of the Attorney General.</w:t>
      </w:r>
      <w:r w:rsidR="006F2DAD" w:rsidRPr="00FA5EA3">
        <w:t xml:space="preserve"> </w:t>
      </w:r>
      <w:r w:rsidR="006F2DAD" w:rsidRPr="00FA5EA3">
        <w:rPr>
          <w:i/>
        </w:rPr>
        <w:t>Commentary on Bill 28</w:t>
      </w:r>
      <w:r w:rsidR="006F2DAD">
        <w:rPr>
          <w:i/>
        </w:rPr>
        <w:t>: Limitation of Actions Act</w:t>
      </w:r>
      <w:r w:rsidR="006F2DAD" w:rsidRPr="00E77E45">
        <w:t>,</w:t>
      </w:r>
      <w:r w:rsidR="006F2DAD" w:rsidRPr="00FA5EA3">
        <w:rPr>
          <w:i/>
        </w:rPr>
        <w:t xml:space="preserve"> </w:t>
      </w:r>
      <w:r w:rsidR="006F2DAD">
        <w:t xml:space="preserve">January 2009 (online: </w:t>
      </w:r>
      <w:r w:rsidR="006F2DAD" w:rsidRPr="00A71E56">
        <w:t>https://www.gnb.ca/legis/bill/pdf/56/3/Limitations-e.pdf</w:t>
      </w:r>
      <w:r w:rsidR="006F2DAD">
        <w:t xml:space="preserve">; </w:t>
      </w:r>
      <w:r w:rsidR="006F2DAD">
        <w:rPr>
          <w:color w:val="000000"/>
          <w:shd w:val="clear" w:color="auto" w:fill="FFFFFF"/>
        </w:rPr>
        <w:t>archived version: </w:t>
      </w:r>
      <w:hyperlink r:id="rId9" w:history="1">
        <w:r w:rsidR="006F2DAD" w:rsidRPr="00F41FC6">
          <w:rPr>
            <w:rStyle w:val="Hyperlink"/>
            <w:rFonts w:eastAsiaTheme="majorEastAsia"/>
          </w:rPr>
          <w:t>https://www.scc-csc.ca/cso-dce/2021SCC-CSC31_1_eng.pdf</w:t>
        </w:r>
      </w:hyperlink>
      <w:r w:rsidR="006F2DAD">
        <w:rPr>
          <w:rFonts w:eastAsiaTheme="majorEastAsia"/>
        </w:rPr>
        <w:t>).</w:t>
      </w:r>
    </w:p>
    <w:p w14:paraId="664504A7" w14:textId="2AC9D98B" w:rsidR="00656313" w:rsidRPr="008572BD" w:rsidRDefault="009B57B3" w:rsidP="00EF4191">
      <w:pPr>
        <w:pStyle w:val="SCCNormalDoubleSpacing"/>
        <w:spacing w:before="240" w:after="480"/>
      </w:pPr>
      <w:r w:rsidRPr="008572BD">
        <w:tab/>
        <w:t>APPEAL</w:t>
      </w:r>
      <w:r w:rsidR="0038183E" w:rsidRPr="008572BD">
        <w:t>S</w:t>
      </w:r>
      <w:r w:rsidRPr="008572BD">
        <w:t xml:space="preserve"> from a judgment of the </w:t>
      </w:r>
      <w:r w:rsidR="00C92E17" w:rsidRPr="008572BD">
        <w:t>New Brunswick Court of Appeal</w:t>
      </w:r>
      <w:r w:rsidR="003233DE" w:rsidRPr="008572BD">
        <w:t xml:space="preserve"> (Drapeau, Quigg and Green JJ.A.), 2020 NBCA 18, 54 C.P.C. (8th) 271, </w:t>
      </w:r>
      <w:r w:rsidR="00E13204" w:rsidRPr="008572BD">
        <w:t xml:space="preserve">[2020] N.B.J. </w:t>
      </w:r>
      <w:r w:rsidR="008572BD" w:rsidRPr="008572BD">
        <w:t>No. </w:t>
      </w:r>
      <w:r w:rsidR="00E13204" w:rsidRPr="008572BD">
        <w:t xml:space="preserve">70 (QL), 2020 CarswellNB 140 (WL Can.), setting aside </w:t>
      </w:r>
      <w:r w:rsidR="00976149">
        <w:t xml:space="preserve">a </w:t>
      </w:r>
      <w:r w:rsidR="00E13204" w:rsidRPr="008572BD">
        <w:t>decision</w:t>
      </w:r>
      <w:r w:rsidR="00C509B9" w:rsidRPr="008572BD">
        <w:t xml:space="preserve"> of Grant </w:t>
      </w:r>
      <w:r w:rsidR="00E13204" w:rsidRPr="008572BD">
        <w:t xml:space="preserve">J., 2019 NBQB 36, [2019] N.B.J. </w:t>
      </w:r>
      <w:r w:rsidR="008572BD" w:rsidRPr="008572BD">
        <w:t>No. </w:t>
      </w:r>
      <w:r w:rsidR="00E13204" w:rsidRPr="008572BD">
        <w:t>76 (QL), 2019 CarswellNB 151</w:t>
      </w:r>
      <w:r w:rsidR="00C61B08" w:rsidRPr="008572BD">
        <w:t xml:space="preserve"> </w:t>
      </w:r>
      <w:r w:rsidR="00C61B08" w:rsidRPr="008572BD">
        <w:rPr>
          <w:lang w:val="en-US"/>
        </w:rPr>
        <w:t>(WL Can.)</w:t>
      </w:r>
      <w:r w:rsidR="00E13204" w:rsidRPr="008572BD">
        <w:t>. Appeal</w:t>
      </w:r>
      <w:r w:rsidR="00F9301B" w:rsidRPr="008572BD">
        <w:t>s</w:t>
      </w:r>
      <w:r w:rsidR="00E13204" w:rsidRPr="008572BD">
        <w:t xml:space="preserve"> </w:t>
      </w:r>
      <w:r w:rsidR="001E631D" w:rsidRPr="008572BD">
        <w:rPr>
          <w:lang w:val="en-US"/>
        </w:rPr>
        <w:t>allowed</w:t>
      </w:r>
      <w:r w:rsidR="00E13204" w:rsidRPr="008572BD">
        <w:t>.</w:t>
      </w:r>
    </w:p>
    <w:p w14:paraId="5457E49D" w14:textId="5BB30A2A" w:rsidR="00D34A6E" w:rsidRPr="008572BD" w:rsidRDefault="00E13204" w:rsidP="00EF4191">
      <w:pPr>
        <w:pStyle w:val="SCCNormalDoubleSpacing"/>
        <w:spacing w:after="480"/>
      </w:pPr>
      <w:r w:rsidRPr="008572BD">
        <w:rPr>
          <w:rStyle w:val="SCCCounselNameChar"/>
        </w:rPr>
        <w:tab/>
        <w:t>Peter Griffin</w:t>
      </w:r>
      <w:r w:rsidR="00CA2DB8" w:rsidRPr="008572BD">
        <w:rPr>
          <w:rStyle w:val="SCCCounselSeparatorChar"/>
        </w:rPr>
        <w:t xml:space="preserve"> and</w:t>
      </w:r>
      <w:r w:rsidRPr="008572BD">
        <w:rPr>
          <w:rStyle w:val="SCCCounselSeparatorChar"/>
        </w:rPr>
        <w:t xml:space="preserve"> </w:t>
      </w:r>
      <w:r w:rsidR="00EF4191" w:rsidRPr="008572BD">
        <w:rPr>
          <w:rStyle w:val="SCCCounselNameChar"/>
        </w:rPr>
        <w:t>Anthony </w:t>
      </w:r>
      <w:r w:rsidRPr="008572BD">
        <w:rPr>
          <w:rStyle w:val="SCCCounselNameChar"/>
        </w:rPr>
        <w:t>S. Richardson</w:t>
      </w:r>
      <w:r w:rsidRPr="008572BD">
        <w:rPr>
          <w:rStyle w:val="SCCCounselPartyRoleChar"/>
        </w:rPr>
        <w:t>, for the appellant</w:t>
      </w:r>
      <w:r w:rsidR="00CA2DB8" w:rsidRPr="008572BD">
        <w:rPr>
          <w:rStyle w:val="SCCCounselPartyRoleChar"/>
        </w:rPr>
        <w:t xml:space="preserve">s </w:t>
      </w:r>
      <w:r w:rsidR="00CA2DB8" w:rsidRPr="008572BD">
        <w:t>Grant Thornton LLP and</w:t>
      </w:r>
      <w:r w:rsidR="00CA2DB8" w:rsidRPr="008572BD">
        <w:rPr>
          <w:b/>
        </w:rPr>
        <w:t xml:space="preserve"> </w:t>
      </w:r>
      <w:r w:rsidR="00EF4191" w:rsidRPr="008572BD">
        <w:t>Kent </w:t>
      </w:r>
      <w:r w:rsidR="00CA2DB8" w:rsidRPr="008572BD">
        <w:t>M. Ostridge</w:t>
      </w:r>
      <w:r w:rsidRPr="008572BD">
        <w:rPr>
          <w:rStyle w:val="SCCCounselPartyRoleChar"/>
        </w:rPr>
        <w:t>.</w:t>
      </w:r>
    </w:p>
    <w:p w14:paraId="14BC40DE" w14:textId="19CE8E8B" w:rsidR="00D34A6E" w:rsidRPr="008572BD" w:rsidRDefault="00EF4191" w:rsidP="00EF4191">
      <w:pPr>
        <w:pStyle w:val="SCCNormalDoubleSpacing"/>
        <w:spacing w:after="480"/>
      </w:pPr>
      <w:r w:rsidRPr="008572BD">
        <w:rPr>
          <w:rStyle w:val="SCCCounselNameChar"/>
        </w:rPr>
        <w:tab/>
        <w:t>Steven </w:t>
      </w:r>
      <w:r w:rsidR="00E13204" w:rsidRPr="008572BD">
        <w:rPr>
          <w:rStyle w:val="SCCCounselNameChar"/>
        </w:rPr>
        <w:t>R. Barnett</w:t>
      </w:r>
      <w:r w:rsidR="00E13204" w:rsidRPr="008572BD">
        <w:rPr>
          <w:rStyle w:val="SCCCounselNameChar"/>
          <w:i w:val="0"/>
        </w:rPr>
        <w:t>,</w:t>
      </w:r>
      <w:r w:rsidR="00E13204" w:rsidRPr="008572BD">
        <w:rPr>
          <w:rStyle w:val="SCCCounselNameChar"/>
        </w:rPr>
        <w:t xml:space="preserve"> Q.C.</w:t>
      </w:r>
      <w:r w:rsidR="00CA2DB8" w:rsidRPr="008572BD">
        <w:rPr>
          <w:rStyle w:val="SCCCounselNameChar"/>
          <w:i w:val="0"/>
        </w:rPr>
        <w:t>,</w:t>
      </w:r>
      <w:r w:rsidR="00E13204" w:rsidRPr="008572BD">
        <w:rPr>
          <w:rStyle w:val="SCCCounselSeparatorChar"/>
        </w:rPr>
        <w:t xml:space="preserve"> and </w:t>
      </w:r>
      <w:r w:rsidRPr="008572BD">
        <w:rPr>
          <w:rStyle w:val="SCCCounselNameChar"/>
        </w:rPr>
        <w:t>J. </w:t>
      </w:r>
      <w:r w:rsidR="00CA2DB8" w:rsidRPr="008572BD">
        <w:rPr>
          <w:rStyle w:val="SCCCounselNameChar"/>
        </w:rPr>
        <w:t>Charles Foster</w:t>
      </w:r>
      <w:r w:rsidR="00CA2DB8" w:rsidRPr="008572BD">
        <w:rPr>
          <w:rStyle w:val="SCCCounselNameChar"/>
          <w:i w:val="0"/>
        </w:rPr>
        <w:t>,</w:t>
      </w:r>
      <w:r w:rsidR="00CA2DB8" w:rsidRPr="008572BD">
        <w:rPr>
          <w:rStyle w:val="SCCCounselNameChar"/>
        </w:rPr>
        <w:t xml:space="preserve"> Q.C.</w:t>
      </w:r>
      <w:r w:rsidR="00CA2DB8" w:rsidRPr="008572BD">
        <w:rPr>
          <w:rStyle w:val="SCCCounselSeparatorChar"/>
        </w:rPr>
        <w:t xml:space="preserve">, </w:t>
      </w:r>
      <w:r w:rsidR="00E13204" w:rsidRPr="008572BD">
        <w:rPr>
          <w:rStyle w:val="SCCCounselPartyRoleChar"/>
        </w:rPr>
        <w:t>for the appellant</w:t>
      </w:r>
      <w:r w:rsidR="00CA2DB8" w:rsidRPr="008572BD">
        <w:t xml:space="preserve"> Grant Thornton International Ltd.</w:t>
      </w:r>
    </w:p>
    <w:p w14:paraId="54ADC6BD" w14:textId="1DC5861B" w:rsidR="00D34A6E" w:rsidRPr="008572BD" w:rsidRDefault="00E13204" w:rsidP="00EF4191">
      <w:pPr>
        <w:pStyle w:val="SCCNormalDoubleSpacing"/>
        <w:spacing w:after="480"/>
      </w:pPr>
      <w:r w:rsidRPr="008572BD">
        <w:rPr>
          <w:rStyle w:val="SCCCounselNameChar"/>
        </w:rPr>
        <w:tab/>
      </w:r>
      <w:r w:rsidR="00EF4191" w:rsidRPr="008572BD">
        <w:rPr>
          <w:rStyle w:val="SCCCounselNameChar"/>
        </w:rPr>
        <w:t>Josie </w:t>
      </w:r>
      <w:r w:rsidR="00CA2DB8" w:rsidRPr="008572BD">
        <w:rPr>
          <w:rStyle w:val="SCCCounselNameChar"/>
        </w:rPr>
        <w:t xml:space="preserve">H. Marks </w:t>
      </w:r>
      <w:r w:rsidR="00CA2DB8" w:rsidRPr="008572BD">
        <w:rPr>
          <w:rStyle w:val="SCCCounselNameChar"/>
          <w:i w:val="0"/>
        </w:rPr>
        <w:t xml:space="preserve">and </w:t>
      </w:r>
      <w:r w:rsidRPr="008572BD">
        <w:rPr>
          <w:rStyle w:val="SCCCounselNameChar"/>
        </w:rPr>
        <w:t>Frederi</w:t>
      </w:r>
      <w:r w:rsidR="00EF4191" w:rsidRPr="008572BD">
        <w:rPr>
          <w:rStyle w:val="SCCCounselNameChar"/>
        </w:rPr>
        <w:t>ck </w:t>
      </w:r>
      <w:r w:rsidRPr="008572BD">
        <w:rPr>
          <w:rStyle w:val="SCCCounselNameChar"/>
        </w:rPr>
        <w:t>C. McElman</w:t>
      </w:r>
      <w:r w:rsidRPr="008572BD">
        <w:rPr>
          <w:rStyle w:val="SCCCounselNameChar"/>
          <w:i w:val="0"/>
        </w:rPr>
        <w:t>,</w:t>
      </w:r>
      <w:r w:rsidRPr="008572BD">
        <w:rPr>
          <w:rStyle w:val="SCCCounselNameChar"/>
        </w:rPr>
        <w:t xml:space="preserve"> Q.C.</w:t>
      </w:r>
      <w:r w:rsidRPr="008572BD">
        <w:rPr>
          <w:rStyle w:val="SCCCounselSeparatorChar"/>
        </w:rPr>
        <w:t xml:space="preserve">, </w:t>
      </w:r>
      <w:r w:rsidRPr="008572BD">
        <w:rPr>
          <w:rStyle w:val="SCCCounselPartyRoleChar"/>
        </w:rPr>
        <w:t>for the respondent.</w:t>
      </w:r>
    </w:p>
    <w:p w14:paraId="392218ED" w14:textId="75F97446" w:rsidR="006F2DAD" w:rsidRDefault="00EF4191" w:rsidP="00524A77">
      <w:pPr>
        <w:pStyle w:val="SCCNormalDoubleSpacing"/>
        <w:spacing w:after="480"/>
      </w:pPr>
      <w:r w:rsidRPr="008572BD">
        <w:rPr>
          <w:rStyle w:val="SCCCounselNameChar"/>
        </w:rPr>
        <w:tab/>
        <w:t>Guy </w:t>
      </w:r>
      <w:r w:rsidR="00E13204" w:rsidRPr="008572BD">
        <w:rPr>
          <w:rStyle w:val="SCCCounselNameChar"/>
        </w:rPr>
        <w:t>J. Pratte</w:t>
      </w:r>
      <w:r w:rsidR="00E13204" w:rsidRPr="008572BD">
        <w:rPr>
          <w:rStyle w:val="SCCCounselPartyRoleChar"/>
        </w:rPr>
        <w:t>, for the intervener.</w:t>
      </w:r>
      <w:r w:rsidR="006F2DAD" w:rsidRPr="006F2DAD">
        <w:t xml:space="preserve"> </w:t>
      </w:r>
    </w:p>
    <w:p w14:paraId="2F47C3BA" w14:textId="77777777" w:rsidR="00524A77" w:rsidRDefault="00524A77" w:rsidP="00524A77">
      <w:pPr>
        <w:pStyle w:val="SCCNormalDoubleSpacing"/>
        <w:spacing w:after="480"/>
      </w:pPr>
    </w:p>
    <w:p w14:paraId="0E45E05E" w14:textId="77777777" w:rsidR="00524A77" w:rsidRDefault="00524A77" w:rsidP="00524A77">
      <w:pPr>
        <w:jc w:val="both"/>
        <w:rPr>
          <w:szCs w:val="24"/>
        </w:rPr>
      </w:pPr>
      <w:r>
        <w:t xml:space="preserve">The judgment of the Court </w:t>
      </w:r>
      <w:r>
        <w:rPr>
          <w:szCs w:val="24"/>
        </w:rPr>
        <w:t>was delivered by</w:t>
      </w:r>
    </w:p>
    <w:p w14:paraId="29BD3F21" w14:textId="77777777" w:rsidR="00524A77" w:rsidRDefault="00524A77" w:rsidP="00524A77">
      <w:pPr>
        <w:jc w:val="both"/>
        <w:rPr>
          <w:szCs w:val="24"/>
        </w:rPr>
      </w:pPr>
    </w:p>
    <w:p w14:paraId="70AB3E3A" w14:textId="77777777" w:rsidR="00524A77" w:rsidRPr="00FA5EA3" w:rsidRDefault="00524A77" w:rsidP="00524A77">
      <w:pPr>
        <w:pStyle w:val="JudgeJuge"/>
      </w:pPr>
      <w:r w:rsidRPr="00FA5EA3">
        <w:tab/>
        <w:t xml:space="preserve">Moldaver J. — </w:t>
      </w:r>
    </w:p>
    <w:p w14:paraId="747F3D1D" w14:textId="77777777" w:rsidR="00524A77" w:rsidRPr="00FA5EA3" w:rsidRDefault="00524A77" w:rsidP="00524A77">
      <w:pPr>
        <w:pStyle w:val="Title1LevelTitre1Niveau-AltL"/>
        <w:rPr>
          <w:rFonts w:cs="Times New Roman"/>
        </w:rPr>
      </w:pPr>
      <w:r w:rsidRPr="00FA5EA3">
        <w:rPr>
          <w:rFonts w:cs="Times New Roman"/>
        </w:rPr>
        <w:t xml:space="preserve">Overview </w:t>
      </w:r>
    </w:p>
    <w:p w14:paraId="50588017" w14:textId="77777777" w:rsidR="00524A77" w:rsidRPr="00FA5EA3" w:rsidRDefault="00524A77" w:rsidP="00524A77">
      <w:pPr>
        <w:pStyle w:val="ParaNoNdepar-AltN"/>
        <w:rPr>
          <w:rFonts w:cs="Times New Roman"/>
        </w:rPr>
      </w:pPr>
      <w:r w:rsidRPr="00FA5EA3">
        <w:rPr>
          <w:rFonts w:cs="Times New Roman"/>
        </w:rPr>
        <w:t>On June 23, 2014, the</w:t>
      </w:r>
      <w:r>
        <w:rPr>
          <w:rFonts w:cs="Times New Roman"/>
        </w:rPr>
        <w:t xml:space="preserve"> Province of New Brunswick (</w:t>
      </w:r>
      <w:r w:rsidRPr="00FA5EA3">
        <w:rPr>
          <w:rFonts w:cs="Times New Roman"/>
        </w:rPr>
        <w:t>“Province”) filed a statement of claim against Grant Thornton LLP, Kent M. Ostridge and Grant Thornton International Ltd. (collectively, “Grant Thornton”), seeking damages for negligence. In response, Grant Thornton brought summary judgment motion</w:t>
      </w:r>
      <w:r>
        <w:rPr>
          <w:rFonts w:cs="Times New Roman"/>
        </w:rPr>
        <w:t>s</w:t>
      </w:r>
      <w:r w:rsidRPr="00FA5EA3">
        <w:rPr>
          <w:rFonts w:cs="Times New Roman"/>
        </w:rPr>
        <w:t xml:space="preserve"> to have the Province’s claim dismissed as statute-barred by virtue of the </w:t>
      </w:r>
      <w:r>
        <w:rPr>
          <w:rFonts w:cs="Times New Roman"/>
        </w:rPr>
        <w:t>two</w:t>
      </w:r>
      <w:r w:rsidRPr="00FA5EA3">
        <w:rPr>
          <w:rFonts w:cs="Times New Roman"/>
        </w:rPr>
        <w:t xml:space="preserve">-year limitation period under s. 5(1)(a) of the </w:t>
      </w:r>
      <w:r w:rsidRPr="00FA5EA3">
        <w:rPr>
          <w:rFonts w:cs="Times New Roman"/>
          <w:i/>
        </w:rPr>
        <w:t>Limitation of Actions Act</w:t>
      </w:r>
      <w:r w:rsidRPr="00FA5EA3">
        <w:rPr>
          <w:rFonts w:cs="Times New Roman"/>
        </w:rPr>
        <w:t xml:space="preserve">, S.N.B. 2009, c. L-8.5 </w:t>
      </w:r>
      <w:r w:rsidRPr="006976F2">
        <w:rPr>
          <w:rFonts w:cs="Times New Roman"/>
        </w:rPr>
        <w:t>(“</w:t>
      </w:r>
      <w:r w:rsidRPr="00FA5EA3">
        <w:rPr>
          <w:rFonts w:cs="Times New Roman"/>
          <w:i/>
        </w:rPr>
        <w:t>LAA</w:t>
      </w:r>
      <w:r w:rsidRPr="006976F2">
        <w:rPr>
          <w:rFonts w:cs="Times New Roman"/>
        </w:rPr>
        <w:t>”</w:t>
      </w:r>
      <w:r w:rsidRPr="00FA5EA3">
        <w:rPr>
          <w:rFonts w:cs="Times New Roman"/>
        </w:rPr>
        <w:t xml:space="preserve">). </w:t>
      </w:r>
    </w:p>
    <w:p w14:paraId="6E36C440" w14:textId="77777777" w:rsidR="00524A77" w:rsidRPr="00FA5EA3" w:rsidRDefault="00524A77" w:rsidP="00524A77">
      <w:pPr>
        <w:pStyle w:val="ParaNoNdepar-AltN"/>
        <w:rPr>
          <w:rFonts w:cs="Times New Roman"/>
        </w:rPr>
      </w:pPr>
      <w:r w:rsidRPr="00FA5EA3">
        <w:rPr>
          <w:rFonts w:cs="Times New Roman"/>
        </w:rPr>
        <w:t>The motion</w:t>
      </w:r>
      <w:r>
        <w:rPr>
          <w:rFonts w:cs="Times New Roman"/>
        </w:rPr>
        <w:t>s</w:t>
      </w:r>
      <w:r w:rsidRPr="00FA5EA3">
        <w:rPr>
          <w:rFonts w:cs="Times New Roman"/>
        </w:rPr>
        <w:t xml:space="preserve"> judge granted summary judgment in favour of Grant Thornton. He found that s. 5(1)(a) barred the claim because the Province </w:t>
      </w:r>
      <w:r w:rsidRPr="00FA5EA3">
        <w:rPr>
          <w:rFonts w:cs="Times New Roman"/>
          <w:shd w:val="clear" w:color="auto" w:fill="FFFFFF"/>
        </w:rPr>
        <w:t>knew or ought to have known that it had </w:t>
      </w:r>
      <w:r w:rsidRPr="00FA5EA3">
        <w:rPr>
          <w:rFonts w:cs="Times New Roman"/>
          <w:i/>
          <w:iCs/>
          <w:shd w:val="clear" w:color="auto" w:fill="FFFFFF"/>
        </w:rPr>
        <w:t>prima facie</w:t>
      </w:r>
      <w:r w:rsidRPr="00FA5EA3">
        <w:rPr>
          <w:rFonts w:cs="Times New Roman"/>
          <w:shd w:val="clear" w:color="auto" w:fill="FFFFFF"/>
        </w:rPr>
        <w:t xml:space="preserve"> grounds to infer that it had a potential claim against Grant Thornton </w:t>
      </w:r>
      <w:r w:rsidRPr="00FA5EA3">
        <w:rPr>
          <w:rFonts w:cs="Times New Roman"/>
        </w:rPr>
        <w:t>more than two years before commencing its claim. The Court of Appeal overturned that decision. It rejected the “</w:t>
      </w:r>
      <w:r w:rsidRPr="00FA5EA3">
        <w:rPr>
          <w:rFonts w:cs="Times New Roman"/>
          <w:i/>
        </w:rPr>
        <w:t xml:space="preserve">prima facie </w:t>
      </w:r>
      <w:r w:rsidRPr="00FA5EA3">
        <w:rPr>
          <w:rFonts w:cs="Times New Roman"/>
        </w:rPr>
        <w:t>grounds” standard used by the motion</w:t>
      </w:r>
      <w:r>
        <w:rPr>
          <w:rFonts w:cs="Times New Roman"/>
        </w:rPr>
        <w:t>s</w:t>
      </w:r>
      <w:r w:rsidRPr="00FA5EA3">
        <w:rPr>
          <w:rFonts w:cs="Times New Roman"/>
        </w:rPr>
        <w:t xml:space="preserve"> judge and held instead that the governing standard is whether a plaintiff knows or ought reasonably to have known facts that confer a legally enforceable right to a remedy. That right, the </w:t>
      </w:r>
      <w:r>
        <w:rPr>
          <w:rFonts w:cs="Times New Roman"/>
        </w:rPr>
        <w:t>c</w:t>
      </w:r>
      <w:r w:rsidRPr="00FA5EA3">
        <w:rPr>
          <w:rFonts w:cs="Times New Roman"/>
        </w:rPr>
        <w:t xml:space="preserve">ourt explained, only exists if the plaintiff has knowledge of each constituent element of the claim. Applying this standard, the </w:t>
      </w:r>
      <w:r>
        <w:rPr>
          <w:rFonts w:cs="Times New Roman"/>
        </w:rPr>
        <w:t>c</w:t>
      </w:r>
      <w:r w:rsidRPr="00FA5EA3">
        <w:rPr>
          <w:rFonts w:cs="Times New Roman"/>
        </w:rPr>
        <w:t xml:space="preserve">ourt held that the </w:t>
      </w:r>
      <w:r>
        <w:rPr>
          <w:rFonts w:cs="Times New Roman"/>
        </w:rPr>
        <w:t>two</w:t>
      </w:r>
      <w:r w:rsidRPr="00FA5EA3">
        <w:rPr>
          <w:rFonts w:cs="Times New Roman"/>
        </w:rPr>
        <w:t>-year limitation period in s. 5(1)(a) had not been triggered because the Province had not yet discovered its claim (even though the Province had issued a</w:t>
      </w:r>
      <w:r>
        <w:rPr>
          <w:rFonts w:cs="Times New Roman"/>
        </w:rPr>
        <w:t xml:space="preserve"> </w:t>
      </w:r>
      <w:r w:rsidRPr="00FA5EA3">
        <w:rPr>
          <w:rFonts w:cs="Times New Roman"/>
        </w:rPr>
        <w:t>106</w:t>
      </w:r>
      <w:r>
        <w:rPr>
          <w:rFonts w:cs="Times New Roman"/>
        </w:rPr>
        <w:t>-</w:t>
      </w:r>
      <w:r w:rsidRPr="00FA5EA3">
        <w:rPr>
          <w:rFonts w:cs="Times New Roman"/>
        </w:rPr>
        <w:t xml:space="preserve">paragraph statement of claim almost six years before receiving the reasons of the Court of Appeal). Grant Thornton now appeals to this Court. </w:t>
      </w:r>
    </w:p>
    <w:p w14:paraId="4613B98B" w14:textId="77777777" w:rsidR="00524A77" w:rsidRPr="00FA5EA3" w:rsidRDefault="00524A77" w:rsidP="00524A77">
      <w:pPr>
        <w:pStyle w:val="ParaNoNdepar-AltN"/>
        <w:rPr>
          <w:rFonts w:cs="Times New Roman"/>
        </w:rPr>
      </w:pPr>
      <w:r w:rsidRPr="00FA5EA3">
        <w:rPr>
          <w:rFonts w:cs="Times New Roman"/>
        </w:rPr>
        <w:t xml:space="preserve">This </w:t>
      </w:r>
      <w:r>
        <w:rPr>
          <w:rFonts w:cs="Times New Roman"/>
        </w:rPr>
        <w:t>case</w:t>
      </w:r>
      <w:r w:rsidRPr="00FA5EA3">
        <w:rPr>
          <w:rFonts w:cs="Times New Roman"/>
        </w:rPr>
        <w:t xml:space="preserve"> turns on the standard to be applied in determining whether a plaintiff has the requisite degree of knowledge to discover a claim under s. 5(2), thereby triggering the </w:t>
      </w:r>
      <w:r>
        <w:rPr>
          <w:rFonts w:cs="Times New Roman"/>
        </w:rPr>
        <w:t>two</w:t>
      </w:r>
      <w:r w:rsidRPr="00FA5EA3">
        <w:rPr>
          <w:rFonts w:cs="Times New Roman"/>
        </w:rPr>
        <w:t xml:space="preserve">-year limitation period in s. 5(1)(a). Respectfully, the Court of Appeal adopted too high a standard. In my view, a claim is discovered when the plaintiff has knowledge, actual or constructive, of the material facts upon which a plausible inference of liability on the defendant’s part can be drawn. It follows from this standard that a plaintiff does not need knowledge of all the constituent elements of a claim to discover that claim. </w:t>
      </w:r>
    </w:p>
    <w:p w14:paraId="7DC1F1B8" w14:textId="77777777" w:rsidR="00524A77" w:rsidRPr="00FA5EA3" w:rsidRDefault="00524A77" w:rsidP="00524A77">
      <w:pPr>
        <w:pStyle w:val="ParaNoNdepar-AltN"/>
      </w:pPr>
      <w:r w:rsidRPr="00FA5EA3">
        <w:t xml:space="preserve">In the present case, I am satisfied that the Province discovered its claim against Grant Thornton on February 4, 2011. By then, the Province knew or ought to have known that a loss occurred and that the loss was caused in whole or in part by conduct which Grant Thornton had been retained to detect. This was sufficient to draw a plausible inference that Grant Thornton had been negligent. Although the Province had this knowledge by February 4, 2011, it did not bring its claim until June 23, 2014, more than two years later. The claim is therefore statute-barred by s. 5(1)(a) of the </w:t>
      </w:r>
      <w:r w:rsidRPr="00FA5EA3">
        <w:rPr>
          <w:i/>
        </w:rPr>
        <w:t>LAA</w:t>
      </w:r>
      <w:r w:rsidRPr="000020F6">
        <w:t>.</w:t>
      </w:r>
      <w:r w:rsidRPr="00FA5EA3">
        <w:rPr>
          <w:i/>
        </w:rPr>
        <w:t xml:space="preserve"> </w:t>
      </w:r>
      <w:r w:rsidRPr="00FA5EA3">
        <w:t>I would accordingly allow the appeal</w:t>
      </w:r>
      <w:r w:rsidRPr="00F037AD">
        <w:rPr>
          <w:rFonts w:cs="Times New Roman"/>
        </w:rPr>
        <w:t xml:space="preserve"> brought by Grant Thornton LLP and Kent M. Ostridge and the appeal brought by Grant Thornton International Ltd</w:t>
      </w:r>
      <w:r w:rsidRPr="00FA5EA3">
        <w:t>.</w:t>
      </w:r>
      <w:r>
        <w:t>, set aside the Court of Appeal’s judgment, and restore the motions judge’s judgment.</w:t>
      </w:r>
      <w:r w:rsidRPr="00FA5EA3">
        <w:t xml:space="preserve"> </w:t>
      </w:r>
    </w:p>
    <w:p w14:paraId="14631316" w14:textId="77777777" w:rsidR="00524A77" w:rsidRPr="00FA5EA3" w:rsidRDefault="00524A77" w:rsidP="00524A77">
      <w:pPr>
        <w:pStyle w:val="Title1LevelTitre1Niveau-AltL"/>
        <w:rPr>
          <w:rFonts w:cs="Times New Roman"/>
        </w:rPr>
      </w:pPr>
      <w:r w:rsidRPr="00FA5EA3">
        <w:rPr>
          <w:rFonts w:cs="Times New Roman"/>
        </w:rPr>
        <w:t>Statement of Facts</w:t>
      </w:r>
    </w:p>
    <w:p w14:paraId="37DFF48E" w14:textId="77777777" w:rsidR="00524A77" w:rsidRPr="00FA5EA3" w:rsidRDefault="00524A77" w:rsidP="00524A77">
      <w:pPr>
        <w:pStyle w:val="ParaNoNdepar-AltN"/>
      </w:pPr>
      <w:r w:rsidRPr="00FA5EA3">
        <w:t xml:space="preserve">In the fall of 2008, the Atcon Group of Companies (“Atcon”) </w:t>
      </w:r>
      <w:r w:rsidRPr="000020F6">
        <w:rPr>
          <w:rFonts w:cs="Times New Roman"/>
        </w:rPr>
        <w:t>—</w:t>
      </w:r>
      <w:r w:rsidRPr="00FA5EA3">
        <w:t xml:space="preserve"> a New</w:t>
      </w:r>
      <w:r>
        <w:t> </w:t>
      </w:r>
      <w:r w:rsidRPr="00FA5EA3">
        <w:t xml:space="preserve">Brunswick-based provider of construction, energy, industrial and waste management services </w:t>
      </w:r>
      <w:r w:rsidRPr="000020F6">
        <w:t>—</w:t>
      </w:r>
      <w:r w:rsidRPr="00FA5EA3">
        <w:t xml:space="preserve"> was having difficulties meeting its financial obligations. The company sought loans from the Bank of Nova Scotia, but it needed loan guarantees from the Province to obtain them. </w:t>
      </w:r>
    </w:p>
    <w:p w14:paraId="25B5C2F4" w14:textId="77777777" w:rsidR="00524A77" w:rsidRPr="00FA5EA3" w:rsidRDefault="00524A77" w:rsidP="00524A77">
      <w:pPr>
        <w:pStyle w:val="ParaNoNdepar-AltN"/>
        <w:rPr>
          <w:rFonts w:cs="Times New Roman"/>
        </w:rPr>
      </w:pPr>
      <w:r w:rsidRPr="00FA5EA3">
        <w:rPr>
          <w:rFonts w:cs="Times New Roman"/>
        </w:rPr>
        <w:t xml:space="preserve">On April 24, 2009, the Province agreed to a total of $50 million in loan guarantees, conditional upon Atcon subjecting itself to an external review of its assets by an auditing firm. The Province agreed that Atcon’s auditor, Grant Thornton, could perform the external review. </w:t>
      </w:r>
    </w:p>
    <w:p w14:paraId="4904DC89" w14:textId="77777777" w:rsidR="00524A77" w:rsidRPr="00FA5EA3" w:rsidRDefault="00524A77" w:rsidP="00524A77">
      <w:pPr>
        <w:pStyle w:val="ParaNoNdepar-AltN"/>
        <w:rPr>
          <w:rFonts w:cs="Times New Roman"/>
        </w:rPr>
      </w:pPr>
      <w:r w:rsidRPr="00FA5EA3">
        <w:rPr>
          <w:rFonts w:cs="Times New Roman"/>
        </w:rPr>
        <w:t>A month later, on May 19, 2009, Grant Thornton delivered a letter to the Province (“Opinion Letter”) detailing the work it had done in performing its audit of Atcon’s consolidated financial statements for the fiscal year ending January 31, 2009 (“F2009”). In the letter, Grant Thornton stated that it was carrying out its audit in accordance with Generally Accepted Auditing Standards and that it had some outstanding matters to complete before issuing its audit report (“Unqualified Auditors’ Report”).</w:t>
      </w:r>
    </w:p>
    <w:p w14:paraId="5A8D6210" w14:textId="77777777" w:rsidR="00524A77" w:rsidRPr="00FA5EA3" w:rsidRDefault="00524A77" w:rsidP="00524A77">
      <w:pPr>
        <w:pStyle w:val="ParaNoNdepar-AltN"/>
        <w:rPr>
          <w:rFonts w:cs="Times New Roman"/>
        </w:rPr>
      </w:pPr>
      <w:r w:rsidRPr="00FA5EA3">
        <w:rPr>
          <w:rFonts w:cs="Times New Roman"/>
        </w:rPr>
        <w:t>The Unqualified Auditors’ Report was delivered to the Province on June 18, 2009. In it, Grant Thornton confirmed that it had reviewed Atcon’s financial statements for F2009 in accordance with Generally Accepted Auditing Standards, which among other things, required it to “plan and perform [the] audit to obtain reasonable assurance whether the financial statements [were] free of material misstat</w:t>
      </w:r>
      <w:r>
        <w:rPr>
          <w:rFonts w:cs="Times New Roman"/>
        </w:rPr>
        <w:t>ement</w:t>
      </w:r>
      <w:r w:rsidRPr="00FA5EA3">
        <w:rPr>
          <w:rFonts w:cs="Times New Roman"/>
        </w:rPr>
        <w:t xml:space="preserve">” </w:t>
      </w:r>
      <w:r>
        <w:rPr>
          <w:rFonts w:cs="Times New Roman"/>
        </w:rPr>
        <w:t>(R</w:t>
      </w:r>
      <w:r w:rsidRPr="00FA5EA3">
        <w:rPr>
          <w:rFonts w:cs="Times New Roman"/>
        </w:rPr>
        <w:t>.R., at p. </w:t>
      </w:r>
      <w:r>
        <w:rPr>
          <w:rFonts w:cs="Times New Roman"/>
        </w:rPr>
        <w:t>26)</w:t>
      </w:r>
      <w:r w:rsidRPr="00FA5EA3">
        <w:rPr>
          <w:rFonts w:cs="Times New Roman"/>
        </w:rPr>
        <w:t>. Having done so, Grant Thornton opined that Atcon’s statements presented “fairly, in all material respects, the financial position of</w:t>
      </w:r>
      <w:r>
        <w:rPr>
          <w:rFonts w:cs="Times New Roman"/>
        </w:rPr>
        <w:t xml:space="preserve"> [Atcon] as at January 31, 2009</w:t>
      </w:r>
      <w:r w:rsidRPr="00FA5EA3">
        <w:rPr>
          <w:rFonts w:cs="Times New Roman"/>
        </w:rPr>
        <w:t xml:space="preserve"> and the results of its operations and its cash flows for the year then ended in accordance with Canadian</w:t>
      </w:r>
      <w:r w:rsidRPr="00FA5EA3">
        <w:rPr>
          <w:rFonts w:cs="Times New Roman"/>
          <w:shd w:val="clear" w:color="auto" w:fill="FFFFFF"/>
        </w:rPr>
        <w:t xml:space="preserve"> </w:t>
      </w:r>
      <w:r>
        <w:rPr>
          <w:rFonts w:cs="Times New Roman"/>
          <w:shd w:val="clear" w:color="auto" w:fill="FFFFFF"/>
        </w:rPr>
        <w:t>g</w:t>
      </w:r>
      <w:r w:rsidRPr="00FA5EA3">
        <w:rPr>
          <w:rFonts w:cs="Times New Roman"/>
          <w:shd w:val="clear" w:color="auto" w:fill="FFFFFF"/>
        </w:rPr>
        <w:t xml:space="preserve">enerally </w:t>
      </w:r>
      <w:r>
        <w:rPr>
          <w:rFonts w:cs="Times New Roman"/>
          <w:shd w:val="clear" w:color="auto" w:fill="FFFFFF"/>
        </w:rPr>
        <w:t>a</w:t>
      </w:r>
      <w:r w:rsidRPr="00FA5EA3">
        <w:rPr>
          <w:rFonts w:cs="Times New Roman"/>
          <w:shd w:val="clear" w:color="auto" w:fill="FFFFFF"/>
        </w:rPr>
        <w:t xml:space="preserve">ccepted </w:t>
      </w:r>
      <w:r>
        <w:rPr>
          <w:rFonts w:cs="Times New Roman"/>
          <w:shd w:val="clear" w:color="auto" w:fill="FFFFFF"/>
        </w:rPr>
        <w:t>a</w:t>
      </w:r>
      <w:r w:rsidRPr="00FA5EA3">
        <w:rPr>
          <w:rFonts w:cs="Times New Roman"/>
          <w:shd w:val="clear" w:color="auto" w:fill="FFFFFF"/>
        </w:rPr>
        <w:t xml:space="preserve">ccounting </w:t>
      </w:r>
      <w:r>
        <w:rPr>
          <w:rFonts w:cs="Times New Roman"/>
          <w:shd w:val="clear" w:color="auto" w:fill="FFFFFF"/>
        </w:rPr>
        <w:t>p</w:t>
      </w:r>
      <w:r w:rsidRPr="00FA5EA3">
        <w:rPr>
          <w:rFonts w:cs="Times New Roman"/>
          <w:shd w:val="clear" w:color="auto" w:fill="FFFFFF"/>
        </w:rPr>
        <w:t>rinciples”</w:t>
      </w:r>
      <w:r>
        <w:rPr>
          <w:rFonts w:cs="Times New Roman"/>
          <w:shd w:val="clear" w:color="auto" w:fill="FFFFFF"/>
        </w:rPr>
        <w:t xml:space="preserve"> (</w:t>
      </w:r>
      <w:r w:rsidRPr="007A2DA7">
        <w:rPr>
          <w:rFonts w:cs="Times New Roman"/>
          <w:i/>
          <w:shd w:val="clear" w:color="auto" w:fill="FFFFFF"/>
        </w:rPr>
        <w:t>ibid</w:t>
      </w:r>
      <w:r>
        <w:rPr>
          <w:rFonts w:cs="Times New Roman"/>
          <w:shd w:val="clear" w:color="auto" w:fill="FFFFFF"/>
        </w:rPr>
        <w:t>.)</w:t>
      </w:r>
      <w:r w:rsidRPr="00FA5EA3">
        <w:rPr>
          <w:rFonts w:cs="Times New Roman"/>
          <w:shd w:val="clear" w:color="auto" w:fill="FFFFFF"/>
        </w:rPr>
        <w:t xml:space="preserve">. Grant Thornton attached Atcon’s audited financial statements for F2009 to the report. </w:t>
      </w:r>
    </w:p>
    <w:p w14:paraId="7CF7E809" w14:textId="77777777" w:rsidR="00524A77" w:rsidRPr="00FA5EA3" w:rsidRDefault="00524A77" w:rsidP="00524A77">
      <w:pPr>
        <w:pStyle w:val="ParaNoNdepar-AltN"/>
        <w:rPr>
          <w:rFonts w:cs="Times New Roman"/>
        </w:rPr>
      </w:pPr>
      <w:r w:rsidRPr="00FA5EA3">
        <w:rPr>
          <w:rFonts w:cs="Times New Roman"/>
        </w:rPr>
        <w:t>That satisfied the Province. On June 30, 2009, relying upon the Opinion Letter, the Unqualified Auditor</w:t>
      </w:r>
      <w:r>
        <w:rPr>
          <w:rFonts w:cs="Times New Roman"/>
        </w:rPr>
        <w:t>s</w:t>
      </w:r>
      <w:r w:rsidRPr="00FA5EA3">
        <w:rPr>
          <w:rFonts w:cs="Times New Roman"/>
        </w:rPr>
        <w:t>’ Report and the audited financial statements for F2009, the Province executed and delivered the</w:t>
      </w:r>
      <w:r>
        <w:rPr>
          <w:rFonts w:cs="Times New Roman"/>
        </w:rPr>
        <w:t xml:space="preserve"> loan guarantees in the amount of</w:t>
      </w:r>
      <w:r w:rsidRPr="00FA5EA3">
        <w:rPr>
          <w:rFonts w:cs="Times New Roman"/>
        </w:rPr>
        <w:t xml:space="preserve"> $50</w:t>
      </w:r>
      <w:r>
        <w:rPr>
          <w:rFonts w:cs="Times New Roman"/>
        </w:rPr>
        <w:t> </w:t>
      </w:r>
      <w:r w:rsidRPr="00FA5EA3">
        <w:rPr>
          <w:rFonts w:cs="Times New Roman"/>
        </w:rPr>
        <w:t>million to Atcon, which</w:t>
      </w:r>
      <w:r>
        <w:rPr>
          <w:rFonts w:cs="Times New Roman"/>
        </w:rPr>
        <w:t>,</w:t>
      </w:r>
      <w:r w:rsidRPr="00FA5EA3">
        <w:rPr>
          <w:rFonts w:cs="Times New Roman"/>
        </w:rPr>
        <w:t xml:space="preserve"> in turn, enabled the company to borrow funds from the Bank of Nova Scotia. </w:t>
      </w:r>
    </w:p>
    <w:p w14:paraId="4D8D9482" w14:textId="77777777" w:rsidR="00524A77" w:rsidRPr="00FA5EA3" w:rsidRDefault="00524A77" w:rsidP="00524A77">
      <w:pPr>
        <w:pStyle w:val="ParaNoNdepar-AltN"/>
      </w:pPr>
      <w:r w:rsidRPr="00FA5EA3">
        <w:t xml:space="preserve">Atcon’s financial difficulties persisted. Operating losses and the shutdown of the company’s Western Canada operations resulted in Atcon running out of working capital by October 2009 </w:t>
      </w:r>
      <w:r w:rsidRPr="000020F6">
        <w:rPr>
          <w:rFonts w:cs="Times New Roman"/>
        </w:rPr>
        <w:t>—</w:t>
      </w:r>
      <w:r w:rsidRPr="00FA5EA3">
        <w:t xml:space="preserve"> a mere four months after receiving the loan guarantees from the Province. </w:t>
      </w:r>
    </w:p>
    <w:p w14:paraId="4B872727" w14:textId="77777777" w:rsidR="00524A77" w:rsidRPr="00FA5EA3" w:rsidRDefault="00524A77" w:rsidP="00524A77">
      <w:pPr>
        <w:pStyle w:val="ParaNoNdepar-AltN"/>
      </w:pPr>
      <w:r w:rsidRPr="00FA5EA3">
        <w:t xml:space="preserve">Shortly thereafter, the Bank of Nova Scotia applied for a receivership order with respect to Atcon under the </w:t>
      </w:r>
      <w:r w:rsidRPr="00FA5EA3">
        <w:rPr>
          <w:i/>
        </w:rPr>
        <w:t>Bankruptcy and Insolvency Act</w:t>
      </w:r>
      <w:r w:rsidRPr="005A3F84">
        <w:t>,</w:t>
      </w:r>
      <w:r w:rsidRPr="00FA5EA3">
        <w:rPr>
          <w:i/>
        </w:rPr>
        <w:t xml:space="preserve"> </w:t>
      </w:r>
      <w:r w:rsidRPr="00FA5EA3">
        <w:t xml:space="preserve">R.S.C. 1985, c. B-3, and sought relief under the </w:t>
      </w:r>
      <w:r w:rsidRPr="00FA5EA3">
        <w:rPr>
          <w:i/>
        </w:rPr>
        <w:t>Companies’ Creditors Arrangement Act</w:t>
      </w:r>
      <w:r w:rsidRPr="00DF7237">
        <w:t>,</w:t>
      </w:r>
      <w:r w:rsidRPr="00FA5EA3">
        <w:rPr>
          <w:i/>
        </w:rPr>
        <w:t xml:space="preserve"> </w:t>
      </w:r>
      <w:r w:rsidRPr="00FA5EA3">
        <w:t>R.S.C. 1985, c. C</w:t>
      </w:r>
      <w:r w:rsidRPr="00FA5EA3">
        <w:noBreakHyphen/>
        <w:t xml:space="preserve">36. On March 1, 2010, the </w:t>
      </w:r>
      <w:r>
        <w:t xml:space="preserve">New Brunswick </w:t>
      </w:r>
      <w:r w:rsidRPr="00FA5EA3">
        <w:t>Court</w:t>
      </w:r>
      <w:r>
        <w:t xml:space="preserve"> of Queen’s Bench</w:t>
      </w:r>
      <w:r w:rsidRPr="00FA5EA3">
        <w:t xml:space="preserve"> granted the Bank’s applications. </w:t>
      </w:r>
      <w:r>
        <w:t>A few days</w:t>
      </w:r>
      <w:r w:rsidRPr="00FA5EA3">
        <w:t xml:space="preserve"> later, the Bank called on the Province to pay out the loan guarantees. On March 18, 2010, the Province did </w:t>
      </w:r>
      <w:r w:rsidRPr="000020F6">
        <w:rPr>
          <w:rFonts w:cs="Times New Roman"/>
        </w:rPr>
        <w:t>—</w:t>
      </w:r>
      <w:r w:rsidRPr="00FA5EA3">
        <w:t xml:space="preserve"> all $50 million.</w:t>
      </w:r>
    </w:p>
    <w:p w14:paraId="1AF5DA89" w14:textId="77777777" w:rsidR="00524A77" w:rsidRPr="00FA5EA3" w:rsidRDefault="00524A77" w:rsidP="00524A77">
      <w:pPr>
        <w:pStyle w:val="ParaNoNdepar-AltN"/>
        <w:rPr>
          <w:rFonts w:cs="Times New Roman"/>
        </w:rPr>
      </w:pPr>
      <w:r w:rsidRPr="00FA5EA3">
        <w:rPr>
          <w:rFonts w:cs="Times New Roman"/>
        </w:rPr>
        <w:t xml:space="preserve">The proceedings against Atcon and the Bank’s call on the loan guarantees concerned the Province. Accordingly, in June 2010, it retained RSM Richter Inc. (“Richter”), an accounting and auditing firm, to review Atcon’s financial position for </w:t>
      </w:r>
      <w:r>
        <w:rPr>
          <w:rFonts w:cs="Times New Roman"/>
        </w:rPr>
        <w:t>F2009</w:t>
      </w:r>
      <w:r w:rsidRPr="00FA5EA3">
        <w:rPr>
          <w:rFonts w:cs="Times New Roman"/>
        </w:rPr>
        <w:t xml:space="preserve">, and to issue a report on its findings (“Richter Report”). </w:t>
      </w:r>
    </w:p>
    <w:p w14:paraId="64CD8BAA" w14:textId="77777777" w:rsidR="00524A77" w:rsidRPr="00FA5EA3" w:rsidRDefault="00524A77" w:rsidP="00524A77">
      <w:pPr>
        <w:pStyle w:val="ParaNoNdepar-AltN"/>
        <w:rPr>
          <w:rFonts w:cs="Times New Roman"/>
        </w:rPr>
      </w:pPr>
      <w:r w:rsidRPr="00FA5EA3">
        <w:rPr>
          <w:rFonts w:cs="Times New Roman"/>
        </w:rPr>
        <w:t>The Richter Report was issued in draft on February 4, 2011</w:t>
      </w:r>
      <w:r>
        <w:rPr>
          <w:rFonts w:cs="Times New Roman"/>
        </w:rPr>
        <w:t>,</w:t>
      </w:r>
      <w:r w:rsidRPr="00FA5EA3">
        <w:rPr>
          <w:rFonts w:cs="Times New Roman"/>
        </w:rPr>
        <w:t xml:space="preserve"> and finalized on November 30, 2012. </w:t>
      </w:r>
      <w:r w:rsidRPr="00FA5EA3">
        <w:rPr>
          <w:rFonts w:cs="Times New Roman"/>
          <w:shd w:val="clear" w:color="auto" w:fill="FFFFFF"/>
        </w:rPr>
        <w:t xml:space="preserve">Save for some grammatical corrections, the final report was identical to the draft report. </w:t>
      </w:r>
    </w:p>
    <w:p w14:paraId="3C73E70E" w14:textId="77777777" w:rsidR="00524A77" w:rsidRPr="00FA5EA3" w:rsidRDefault="00524A77" w:rsidP="00524A77">
      <w:pPr>
        <w:pStyle w:val="ParaNoNdepar-AltN"/>
        <w:rPr>
          <w:rFonts w:cs="Times New Roman"/>
        </w:rPr>
      </w:pPr>
      <w:r w:rsidRPr="00FA5EA3">
        <w:rPr>
          <w:rFonts w:cs="Times New Roman"/>
          <w:shd w:val="clear" w:color="auto" w:fill="FFFFFF"/>
        </w:rPr>
        <w:t>The findings in the Richter Report differed from those in the</w:t>
      </w:r>
      <w:r w:rsidRPr="00FA5EA3">
        <w:rPr>
          <w:rFonts w:cs="Times New Roman"/>
        </w:rPr>
        <w:t xml:space="preserve"> Unqualified Auditors’ Report produced by Grant Thornton. Importantly, unlike Grant Thornton, Richter opined that Atcon’s financial statements for F2009 had not, in fact, been prepared in conformity with Generally Accepted A</w:t>
      </w:r>
      <w:r>
        <w:rPr>
          <w:rFonts w:cs="Times New Roman"/>
        </w:rPr>
        <w:t>ccounting</w:t>
      </w:r>
      <w:r w:rsidRPr="00FA5EA3">
        <w:rPr>
          <w:rFonts w:cs="Times New Roman"/>
        </w:rPr>
        <w:t xml:space="preserve"> </w:t>
      </w:r>
      <w:r>
        <w:rPr>
          <w:rFonts w:cs="Times New Roman"/>
        </w:rPr>
        <w:t>Principles</w:t>
      </w:r>
      <w:r w:rsidRPr="00FA5EA3">
        <w:rPr>
          <w:rFonts w:cs="Times New Roman"/>
        </w:rPr>
        <w:t>. Richter formed this opinion based on what it described to be a “systematic approach” by Atcon’s management to “overstate assets, revenues and profits, [and] understate liabilit</w:t>
      </w:r>
      <w:r>
        <w:rPr>
          <w:rFonts w:cs="Times New Roman"/>
        </w:rPr>
        <w:t>ies</w:t>
      </w:r>
      <w:r w:rsidRPr="00FA5EA3">
        <w:rPr>
          <w:rFonts w:cs="Times New Roman"/>
        </w:rPr>
        <w:t xml:space="preserve">, expenses and losses” </w:t>
      </w:r>
      <w:r>
        <w:rPr>
          <w:rFonts w:cs="Times New Roman"/>
        </w:rPr>
        <w:t>(</w:t>
      </w:r>
      <w:r w:rsidRPr="00FA5EA3">
        <w:rPr>
          <w:rFonts w:cs="Times New Roman"/>
        </w:rPr>
        <w:t xml:space="preserve">A.R., </w:t>
      </w:r>
      <w:r>
        <w:rPr>
          <w:rFonts w:cs="Times New Roman"/>
        </w:rPr>
        <w:t>v</w:t>
      </w:r>
      <w:r w:rsidRPr="00FA5EA3">
        <w:rPr>
          <w:rFonts w:cs="Times New Roman"/>
        </w:rPr>
        <w:t>ol. II, at p. 207</w:t>
      </w:r>
      <w:r>
        <w:rPr>
          <w:rFonts w:cs="Times New Roman"/>
        </w:rPr>
        <w:t>)</w:t>
      </w:r>
      <w:r w:rsidRPr="00FA5EA3">
        <w:rPr>
          <w:rFonts w:cs="Times New Roman"/>
        </w:rPr>
        <w:t>. Specifically, the report identified various errors in the financial statements, which were considered to be “material” because it is “probable” that the errors would have influenced the decision of the person relying on the financial</w:t>
      </w:r>
      <w:r>
        <w:rPr>
          <w:rFonts w:cs="Times New Roman"/>
        </w:rPr>
        <w:t xml:space="preserve"> statements (</w:t>
      </w:r>
      <w:r w:rsidRPr="007A2DA7">
        <w:rPr>
          <w:rFonts w:cs="Times New Roman"/>
          <w:i/>
        </w:rPr>
        <w:t>ibid</w:t>
      </w:r>
      <w:r>
        <w:rPr>
          <w:rFonts w:cs="Times New Roman"/>
        </w:rPr>
        <w:t xml:space="preserve">., at </w:t>
      </w:r>
      <w:r w:rsidRPr="00FA5EA3">
        <w:rPr>
          <w:rFonts w:cs="Times New Roman"/>
        </w:rPr>
        <w:t>p. 136</w:t>
      </w:r>
      <w:r>
        <w:rPr>
          <w:rFonts w:cs="Times New Roman"/>
        </w:rPr>
        <w:t xml:space="preserve"> (emphasis deleted))</w:t>
      </w:r>
      <w:r w:rsidRPr="00FA5EA3">
        <w:rPr>
          <w:rFonts w:cs="Times New Roman"/>
        </w:rPr>
        <w:t>. In that regard, Richter estimated that Atcon’s F2009 assets and net earnings were overstated by a material amount, ranging between $28.3 million and $35</w:t>
      </w:r>
      <w:r>
        <w:rPr>
          <w:rFonts w:cs="Times New Roman"/>
        </w:rPr>
        <w:t>.4 million</w:t>
      </w:r>
      <w:r w:rsidRPr="00FA5EA3">
        <w:rPr>
          <w:rFonts w:cs="Times New Roman"/>
        </w:rPr>
        <w:t>. Notably, in Grant Thornton’s audit of Atcon, materiality was set at $1</w:t>
      </w:r>
      <w:r>
        <w:rPr>
          <w:rFonts w:cs="Times New Roman"/>
        </w:rPr>
        <w:t>.2 million</w:t>
      </w:r>
      <w:r w:rsidRPr="00FA5EA3">
        <w:rPr>
          <w:rFonts w:cs="Times New Roman"/>
        </w:rPr>
        <w:t>, which placed the misstatements identified by Richter far in excess of the materiality set by Grant Thornton for its audit. Those misstatements, however, had not been identified by Grant Thornton in the Unqualified Auditors’ Report.</w:t>
      </w:r>
    </w:p>
    <w:p w14:paraId="4573C5F3" w14:textId="77777777" w:rsidR="00524A77" w:rsidRPr="00FA5EA3" w:rsidRDefault="00524A77" w:rsidP="00524A77">
      <w:pPr>
        <w:pStyle w:val="ParaNoNdepar-AltN"/>
        <w:rPr>
          <w:rFonts w:cs="Times New Roman"/>
        </w:rPr>
      </w:pPr>
      <w:r w:rsidRPr="00FA5EA3">
        <w:rPr>
          <w:rFonts w:cs="Times New Roman"/>
        </w:rPr>
        <w:t>This information triggered a response from the Deputy Minister of Economic Development. In a letter to the New Brunswick Institute of Chartered Account</w:t>
      </w:r>
      <w:r>
        <w:rPr>
          <w:rFonts w:cs="Times New Roman"/>
        </w:rPr>
        <w:t>ants</w:t>
      </w:r>
      <w:r w:rsidRPr="00FA5EA3">
        <w:rPr>
          <w:rFonts w:cs="Times New Roman"/>
        </w:rPr>
        <w:t xml:space="preserve"> dated December 21, 2012, the Deputy Minister advised the Institute that the Province was proceeding with a formal complaint against Grant Thornton. A copy of the Richter Report was attached.</w:t>
      </w:r>
    </w:p>
    <w:p w14:paraId="057DC828" w14:textId="77777777" w:rsidR="00524A77" w:rsidRPr="00FA5EA3" w:rsidRDefault="00524A77" w:rsidP="00524A77">
      <w:pPr>
        <w:pStyle w:val="ParaNoNdepar-AltN"/>
        <w:rPr>
          <w:rFonts w:cs="Times New Roman"/>
        </w:rPr>
      </w:pPr>
      <w:r w:rsidRPr="00FA5EA3">
        <w:rPr>
          <w:rFonts w:cs="Times New Roman"/>
        </w:rPr>
        <w:t xml:space="preserve">A year and a half later, on June 23, 2014, the Province commenced its claim alleging negligence against Grant Thornton. In its defence, Grant Thornton denied the allegations. Further, it moved to have the Province’s claim summarily dismissed on the basis that it was barred by the </w:t>
      </w:r>
      <w:r>
        <w:rPr>
          <w:rFonts w:cs="Times New Roman"/>
        </w:rPr>
        <w:t>two</w:t>
      </w:r>
      <w:r w:rsidRPr="00FA5EA3">
        <w:rPr>
          <w:rFonts w:cs="Times New Roman"/>
        </w:rPr>
        <w:t xml:space="preserve">-year limitation period under s. 5(1)(a) of the </w:t>
      </w:r>
      <w:r w:rsidRPr="00FA5EA3">
        <w:rPr>
          <w:rFonts w:cs="Times New Roman"/>
          <w:i/>
        </w:rPr>
        <w:t>LAA</w:t>
      </w:r>
      <w:r w:rsidRPr="00FA5EA3">
        <w:rPr>
          <w:rFonts w:cs="Times New Roman"/>
        </w:rPr>
        <w:t xml:space="preserve">. </w:t>
      </w:r>
    </w:p>
    <w:p w14:paraId="457467F2" w14:textId="77777777" w:rsidR="00524A77" w:rsidRPr="00FA5EA3" w:rsidRDefault="00524A77" w:rsidP="00524A77">
      <w:pPr>
        <w:pStyle w:val="Title1LevelTitre1Niveau-AltL"/>
        <w:rPr>
          <w:rFonts w:cs="Times New Roman"/>
        </w:rPr>
      </w:pPr>
      <w:r w:rsidRPr="00FA5EA3">
        <w:rPr>
          <w:rFonts w:cs="Times New Roman"/>
        </w:rPr>
        <w:t xml:space="preserve">Relevant Statutory Provisions </w:t>
      </w:r>
    </w:p>
    <w:p w14:paraId="1DC47859" w14:textId="77777777" w:rsidR="00524A77" w:rsidRPr="00FA5EA3" w:rsidRDefault="00524A77" w:rsidP="00524A77">
      <w:pPr>
        <w:pStyle w:val="ParaNoNdepar-AltN"/>
        <w:rPr>
          <w:rFonts w:eastAsia="Times New Roman" w:cs="Times New Roman"/>
        </w:rPr>
      </w:pPr>
      <w:r w:rsidRPr="00FA5EA3">
        <w:rPr>
          <w:rFonts w:eastAsia="Times New Roman" w:cs="Times New Roman"/>
        </w:rPr>
        <w:t xml:space="preserve">The relevant provisions of the </w:t>
      </w:r>
      <w:r w:rsidRPr="00FA5EA3">
        <w:rPr>
          <w:rFonts w:eastAsia="Times New Roman" w:cs="Times New Roman"/>
          <w:i/>
        </w:rPr>
        <w:t xml:space="preserve">LAA </w:t>
      </w:r>
      <w:r w:rsidRPr="00FA5EA3">
        <w:rPr>
          <w:rFonts w:eastAsia="Times New Roman" w:cs="Times New Roman"/>
        </w:rPr>
        <w:t xml:space="preserve">are: </w:t>
      </w:r>
    </w:p>
    <w:p w14:paraId="1549A21C" w14:textId="77777777" w:rsidR="00524A77" w:rsidRPr="00FA5EA3" w:rsidRDefault="00524A77" w:rsidP="00524A77">
      <w:pPr>
        <w:pStyle w:val="Citation-AltC"/>
        <w:rPr>
          <w:b/>
        </w:rPr>
      </w:pPr>
      <w:r w:rsidRPr="00FA5EA3">
        <w:rPr>
          <w:b/>
        </w:rPr>
        <w:t>Definitions and interpretation</w:t>
      </w:r>
    </w:p>
    <w:p w14:paraId="44DCD35B" w14:textId="77777777" w:rsidR="00524A77" w:rsidRPr="00FA5EA3" w:rsidRDefault="00524A77" w:rsidP="00524A77">
      <w:pPr>
        <w:pStyle w:val="Citation-AltC"/>
        <w:rPr>
          <w:sz w:val="22"/>
        </w:rPr>
      </w:pPr>
    </w:p>
    <w:p w14:paraId="66A512F6" w14:textId="77777777" w:rsidR="00524A77" w:rsidRPr="00FA5EA3" w:rsidRDefault="00524A77" w:rsidP="00524A77">
      <w:pPr>
        <w:pStyle w:val="Citation-AltC"/>
        <w:rPr>
          <w:sz w:val="22"/>
        </w:rPr>
      </w:pPr>
      <w:r w:rsidRPr="00FA5EA3">
        <w:rPr>
          <w:b/>
          <w:bCs/>
        </w:rPr>
        <w:t>1</w:t>
      </w:r>
      <w:r w:rsidRPr="00FA5EA3">
        <w:t>(1) The following definitions apply in this Act.</w:t>
      </w:r>
    </w:p>
    <w:p w14:paraId="65D55D74" w14:textId="77777777" w:rsidR="00524A77" w:rsidRPr="00FA5EA3" w:rsidRDefault="00524A77" w:rsidP="00524A77">
      <w:pPr>
        <w:pStyle w:val="Citation-AltC"/>
        <w:ind w:firstLine="274"/>
      </w:pPr>
    </w:p>
    <w:p w14:paraId="456F0F2B" w14:textId="77777777" w:rsidR="00524A77" w:rsidRDefault="00524A77" w:rsidP="00524A77">
      <w:pPr>
        <w:pStyle w:val="Citation-AltC"/>
      </w:pPr>
      <w:r w:rsidRPr="00FA5EA3">
        <w:t>“claim” means a claim to remedy the injury, loss or damage that occurred as a result of an act or omission.</w:t>
      </w:r>
    </w:p>
    <w:p w14:paraId="50A5D144" w14:textId="77777777" w:rsidR="00524A77" w:rsidRDefault="00524A77" w:rsidP="00524A77">
      <w:pPr>
        <w:pStyle w:val="Citation-AltC"/>
      </w:pPr>
    </w:p>
    <w:p w14:paraId="045A0615" w14:textId="77777777" w:rsidR="00524A77" w:rsidRPr="00FA5EA3" w:rsidRDefault="00524A77" w:rsidP="00524A77">
      <w:pPr>
        <w:pStyle w:val="Citation-AltC"/>
        <w:jc w:val="center"/>
        <w:rPr>
          <w:sz w:val="22"/>
        </w:rPr>
      </w:pPr>
      <w:r w:rsidRPr="00FA5EA3">
        <w:rPr>
          <w:sz w:val="22"/>
        </w:rPr>
        <w:t>.</w:t>
      </w:r>
      <w:r>
        <w:rPr>
          <w:sz w:val="22"/>
        </w:rPr>
        <w:t> </w:t>
      </w:r>
      <w:r w:rsidRPr="00FA5EA3">
        <w:rPr>
          <w:sz w:val="22"/>
        </w:rPr>
        <w:t>.</w:t>
      </w:r>
      <w:r>
        <w:rPr>
          <w:sz w:val="22"/>
        </w:rPr>
        <w:t> </w:t>
      </w:r>
      <w:r w:rsidRPr="00FA5EA3">
        <w:rPr>
          <w:sz w:val="22"/>
        </w:rPr>
        <w:t>.</w:t>
      </w:r>
    </w:p>
    <w:p w14:paraId="0CA80815" w14:textId="77777777" w:rsidR="00524A77" w:rsidRPr="00FA5EA3" w:rsidRDefault="00524A77" w:rsidP="00524A77">
      <w:pPr>
        <w:pStyle w:val="Citation-AltC"/>
        <w:ind w:left="0"/>
        <w:rPr>
          <w:bCs/>
        </w:rPr>
      </w:pPr>
    </w:p>
    <w:p w14:paraId="254AC6CD" w14:textId="77777777" w:rsidR="00524A77" w:rsidRPr="00FA5EA3" w:rsidRDefault="00524A77" w:rsidP="00524A77">
      <w:pPr>
        <w:pStyle w:val="Citation-AltC"/>
        <w:rPr>
          <w:b/>
          <w:sz w:val="22"/>
        </w:rPr>
      </w:pPr>
      <w:r w:rsidRPr="00FA5EA3">
        <w:rPr>
          <w:b/>
          <w:bCs/>
        </w:rPr>
        <w:t>General limitation periods</w:t>
      </w:r>
    </w:p>
    <w:p w14:paraId="40B970A7" w14:textId="77777777" w:rsidR="00524A77" w:rsidRPr="00FA5EA3" w:rsidRDefault="00524A77" w:rsidP="00524A77">
      <w:pPr>
        <w:pStyle w:val="Citation-AltC"/>
        <w:rPr>
          <w:sz w:val="22"/>
        </w:rPr>
      </w:pPr>
    </w:p>
    <w:p w14:paraId="252389C4" w14:textId="77777777" w:rsidR="00524A77" w:rsidRDefault="00524A77" w:rsidP="00524A77">
      <w:pPr>
        <w:pStyle w:val="Citation-AltC"/>
      </w:pPr>
      <w:r w:rsidRPr="00FA5EA3">
        <w:rPr>
          <w:b/>
          <w:bCs/>
        </w:rPr>
        <w:t>5</w:t>
      </w:r>
      <w:r w:rsidRPr="00FA5EA3">
        <w:t>(1) Unless otherwise provided in this Act, no claim shall be brought after the earlier of</w:t>
      </w:r>
    </w:p>
    <w:p w14:paraId="5F68E889" w14:textId="77777777" w:rsidR="00524A77" w:rsidRPr="00FA5EA3" w:rsidRDefault="00524A77" w:rsidP="00524A77">
      <w:pPr>
        <w:pStyle w:val="Citation-AltC"/>
      </w:pPr>
    </w:p>
    <w:p w14:paraId="56ADC2C9" w14:textId="77777777" w:rsidR="00524A77" w:rsidRDefault="00524A77" w:rsidP="00524A77">
      <w:pPr>
        <w:pStyle w:val="Citation-AltC"/>
        <w:numPr>
          <w:ilvl w:val="4"/>
          <w:numId w:val="18"/>
        </w:numPr>
      </w:pPr>
      <w:r w:rsidRPr="00FA5EA3">
        <w:t>two years from the day on which the claim is discovered, and</w:t>
      </w:r>
    </w:p>
    <w:p w14:paraId="63166BE3" w14:textId="77777777" w:rsidR="00524A77" w:rsidRDefault="00524A77" w:rsidP="00524A77">
      <w:pPr>
        <w:pStyle w:val="Citation-AltC"/>
        <w:ind w:left="1440"/>
      </w:pPr>
    </w:p>
    <w:p w14:paraId="6E35DF9E" w14:textId="77777777" w:rsidR="00524A77" w:rsidRDefault="00524A77" w:rsidP="00524A77">
      <w:pPr>
        <w:pStyle w:val="Citation-AltC"/>
        <w:numPr>
          <w:ilvl w:val="4"/>
          <w:numId w:val="18"/>
        </w:numPr>
      </w:pPr>
      <w:r w:rsidRPr="00FA5EA3">
        <w:t>fifteen years from the day on which the act or omission on which the claim is based occurred.</w:t>
      </w:r>
    </w:p>
    <w:p w14:paraId="23D0AFC7" w14:textId="77777777" w:rsidR="00524A77" w:rsidRPr="00FA5EA3" w:rsidRDefault="00524A77" w:rsidP="00524A77">
      <w:pPr>
        <w:pStyle w:val="Citation-AltC"/>
        <w:rPr>
          <w:sz w:val="22"/>
        </w:rPr>
      </w:pPr>
    </w:p>
    <w:p w14:paraId="17F4370B" w14:textId="77777777" w:rsidR="00524A77" w:rsidRDefault="00524A77" w:rsidP="00524A77">
      <w:pPr>
        <w:pStyle w:val="Citation-AltC"/>
      </w:pPr>
      <w:r w:rsidRPr="00FA5EA3">
        <w:rPr>
          <w:b/>
          <w:bCs/>
        </w:rPr>
        <w:t>5</w:t>
      </w:r>
      <w:r w:rsidRPr="006207EC">
        <w:t>(</w:t>
      </w:r>
      <w:r w:rsidRPr="00FA5EA3">
        <w:t>2) A claim is discovered on the day on which the claimant first knew or ought reasonably to have known</w:t>
      </w:r>
    </w:p>
    <w:p w14:paraId="0EF05AFE" w14:textId="77777777" w:rsidR="00524A77" w:rsidRPr="00FA5EA3" w:rsidRDefault="00524A77" w:rsidP="00524A77">
      <w:pPr>
        <w:pStyle w:val="Citation-AltC"/>
        <w:rPr>
          <w:sz w:val="22"/>
        </w:rPr>
      </w:pPr>
    </w:p>
    <w:p w14:paraId="35DF8C61" w14:textId="77777777" w:rsidR="00524A77" w:rsidRDefault="00524A77" w:rsidP="00524A77">
      <w:pPr>
        <w:pStyle w:val="Citation-AltC"/>
        <w:numPr>
          <w:ilvl w:val="4"/>
          <w:numId w:val="20"/>
        </w:numPr>
      </w:pPr>
      <w:r w:rsidRPr="00FA5EA3">
        <w:t>that the injury, loss or damage had occurred,</w:t>
      </w:r>
    </w:p>
    <w:p w14:paraId="5C19315D" w14:textId="77777777" w:rsidR="00524A77" w:rsidRDefault="00524A77" w:rsidP="00524A77">
      <w:pPr>
        <w:pStyle w:val="Citation-AltC"/>
        <w:ind w:left="1440"/>
      </w:pPr>
    </w:p>
    <w:p w14:paraId="4D87AB9B" w14:textId="77777777" w:rsidR="00524A77" w:rsidRDefault="00524A77" w:rsidP="00524A77">
      <w:pPr>
        <w:pStyle w:val="Citation-AltC"/>
        <w:numPr>
          <w:ilvl w:val="4"/>
          <w:numId w:val="20"/>
        </w:numPr>
      </w:pPr>
      <w:r w:rsidRPr="00FA5EA3">
        <w:t>that the injury, loss or damage was caused by or contributed to by an act or omission, and</w:t>
      </w:r>
    </w:p>
    <w:p w14:paraId="68CF2595" w14:textId="77777777" w:rsidR="00524A77" w:rsidRPr="0035088C" w:rsidRDefault="00524A77" w:rsidP="00524A77">
      <w:pPr>
        <w:pStyle w:val="Citation-AltC"/>
        <w:numPr>
          <w:ilvl w:val="4"/>
          <w:numId w:val="20"/>
        </w:numPr>
      </w:pPr>
      <w:r w:rsidRPr="0035088C">
        <w:t>that the act or omission was that of the defendant.</w:t>
      </w:r>
    </w:p>
    <w:p w14:paraId="6DE1C1E2" w14:textId="77777777" w:rsidR="00524A77" w:rsidRPr="00FA5EA3" w:rsidRDefault="00524A77" w:rsidP="00524A77">
      <w:pPr>
        <w:pStyle w:val="Title1LevelTitre1Niveau-AltL"/>
        <w:rPr>
          <w:rFonts w:cs="Times New Roman"/>
        </w:rPr>
      </w:pPr>
      <w:r w:rsidRPr="00FA5EA3">
        <w:rPr>
          <w:rFonts w:cs="Times New Roman"/>
        </w:rPr>
        <w:t>Proceedings Below</w:t>
      </w:r>
    </w:p>
    <w:p w14:paraId="08D7E581" w14:textId="77777777" w:rsidR="00524A77" w:rsidRPr="00FA5EA3" w:rsidRDefault="00524A77" w:rsidP="00524A77">
      <w:pPr>
        <w:pStyle w:val="Title2LevelTitre2Niveau"/>
        <w:rPr>
          <w:rFonts w:cs="Times New Roman"/>
        </w:rPr>
      </w:pPr>
      <w:r w:rsidRPr="00FA5EA3">
        <w:rPr>
          <w:rFonts w:cs="Times New Roman"/>
        </w:rPr>
        <w:t>Court of Queen’s Bench of New Brunswick</w:t>
      </w:r>
      <w:r>
        <w:rPr>
          <w:rFonts w:cs="Times New Roman"/>
        </w:rPr>
        <w:t>, 2019 NBQB 36</w:t>
      </w:r>
      <w:r w:rsidRPr="00FA5EA3">
        <w:rPr>
          <w:rFonts w:cs="Times New Roman"/>
        </w:rPr>
        <w:t xml:space="preserve"> (Grant J.)</w:t>
      </w:r>
    </w:p>
    <w:p w14:paraId="5D8C36A4" w14:textId="77777777" w:rsidR="00524A77" w:rsidRPr="00FA5EA3" w:rsidRDefault="00524A77" w:rsidP="00524A77">
      <w:pPr>
        <w:pStyle w:val="ParaNoNdepar-AltN"/>
        <w:rPr>
          <w:rFonts w:cs="Times New Roman"/>
        </w:rPr>
      </w:pPr>
      <w:r w:rsidRPr="00FA5EA3">
        <w:rPr>
          <w:rFonts w:cs="Times New Roman"/>
        </w:rPr>
        <w:t>The main issue before the motion</w:t>
      </w:r>
      <w:r>
        <w:rPr>
          <w:rFonts w:cs="Times New Roman"/>
        </w:rPr>
        <w:t>s</w:t>
      </w:r>
      <w:r w:rsidRPr="00FA5EA3">
        <w:rPr>
          <w:rFonts w:cs="Times New Roman"/>
        </w:rPr>
        <w:t xml:space="preserve"> judge was when, if ever, the Province discovered its claim against Grant Thornton under s. 5 of the </w:t>
      </w:r>
      <w:r w:rsidRPr="00FA5EA3">
        <w:rPr>
          <w:rFonts w:cs="Times New Roman"/>
          <w:i/>
        </w:rPr>
        <w:t>LAA</w:t>
      </w:r>
      <w:r w:rsidRPr="00FA5EA3">
        <w:rPr>
          <w:rFonts w:cs="Times New Roman"/>
        </w:rPr>
        <w:t xml:space="preserve">. The answer, in his view, lay in the proper interpretation of s. 5(2). </w:t>
      </w:r>
    </w:p>
    <w:p w14:paraId="671914EE" w14:textId="77777777" w:rsidR="00524A77" w:rsidRPr="00FA5EA3" w:rsidRDefault="00524A77" w:rsidP="00524A77">
      <w:pPr>
        <w:pStyle w:val="ParaNoNdepar-AltN"/>
        <w:rPr>
          <w:rFonts w:cs="Times New Roman"/>
        </w:rPr>
      </w:pPr>
      <w:r w:rsidRPr="00FA5EA3">
        <w:rPr>
          <w:rFonts w:cs="Times New Roman"/>
        </w:rPr>
        <w:t>Under s. 5(2), the question, as he saw it, was whether the Province “</w:t>
      </w:r>
      <w:r w:rsidRPr="00FA5EA3">
        <w:rPr>
          <w:rFonts w:cs="Times New Roman"/>
          <w:shd w:val="clear" w:color="auto" w:fill="FFFFFF"/>
        </w:rPr>
        <w:t>knew or ought to have known that it had </w:t>
      </w:r>
      <w:r w:rsidRPr="00FA5EA3">
        <w:rPr>
          <w:rFonts w:cs="Times New Roman"/>
          <w:i/>
          <w:iCs/>
          <w:shd w:val="clear" w:color="auto" w:fill="FFFFFF"/>
        </w:rPr>
        <w:t>prima facie</w:t>
      </w:r>
      <w:r w:rsidRPr="00FA5EA3">
        <w:rPr>
          <w:rFonts w:cs="Times New Roman"/>
          <w:shd w:val="clear" w:color="auto" w:fill="FFFFFF"/>
        </w:rPr>
        <w:t xml:space="preserve"> grounds to infer that it had a potential cause of action against the defendants” </w:t>
      </w:r>
      <w:r>
        <w:rPr>
          <w:rFonts w:cs="Times New Roman"/>
          <w:shd w:val="clear" w:color="auto" w:fill="FFFFFF"/>
        </w:rPr>
        <w:t>(para. </w:t>
      </w:r>
      <w:r w:rsidRPr="00FA5EA3">
        <w:rPr>
          <w:rFonts w:cs="Times New Roman"/>
          <w:shd w:val="clear" w:color="auto" w:fill="FFFFFF"/>
        </w:rPr>
        <w:t>108</w:t>
      </w:r>
      <w:r>
        <w:rPr>
          <w:rFonts w:cs="Times New Roman"/>
          <w:shd w:val="clear" w:color="auto" w:fill="FFFFFF"/>
        </w:rPr>
        <w:t xml:space="preserve"> (CanLII))</w:t>
      </w:r>
      <w:r w:rsidRPr="00FA5EA3">
        <w:rPr>
          <w:rFonts w:cs="Times New Roman"/>
          <w:shd w:val="clear" w:color="auto" w:fill="FFFFFF"/>
        </w:rPr>
        <w:t xml:space="preserve">. </w:t>
      </w:r>
      <w:r w:rsidRPr="00FA5EA3">
        <w:rPr>
          <w:rFonts w:cs="Times New Roman"/>
        </w:rPr>
        <w:t xml:space="preserve">If the Province had this knowledge more than two years before commencing its claim on June 23, 2014, then the claim was statute-barred by operation of the </w:t>
      </w:r>
      <w:r>
        <w:rPr>
          <w:rFonts w:cs="Times New Roman"/>
        </w:rPr>
        <w:t>two</w:t>
      </w:r>
      <w:r w:rsidRPr="00FA5EA3">
        <w:rPr>
          <w:rFonts w:cs="Times New Roman"/>
        </w:rPr>
        <w:t xml:space="preserve">-year limitation period applicable under s. 5(1)(a). </w:t>
      </w:r>
    </w:p>
    <w:p w14:paraId="4844E91E" w14:textId="77777777" w:rsidR="00524A77" w:rsidRPr="00FA5EA3" w:rsidRDefault="00524A77" w:rsidP="00524A77">
      <w:pPr>
        <w:pStyle w:val="ParaNoNdepar-AltN"/>
        <w:rPr>
          <w:rFonts w:cs="Times New Roman"/>
        </w:rPr>
      </w:pPr>
      <w:r w:rsidRPr="00FA5EA3">
        <w:rPr>
          <w:rFonts w:cs="Times New Roman"/>
        </w:rPr>
        <w:t>In the opinion of the motion</w:t>
      </w:r>
      <w:r>
        <w:rPr>
          <w:rFonts w:cs="Times New Roman"/>
        </w:rPr>
        <w:t>s</w:t>
      </w:r>
      <w:r w:rsidRPr="00FA5EA3">
        <w:rPr>
          <w:rFonts w:cs="Times New Roman"/>
        </w:rPr>
        <w:t xml:space="preserve"> judge, the Province had the requisite knowledge by March 18, 2010. By then, it had suffered a loss by paying $50 million to the Bank of Nova Scotia and it could reasonably have inferred that Grant Thornton caused or contributed to the act or omission giving rise to this loss. This, in the motion</w:t>
      </w:r>
      <w:r>
        <w:rPr>
          <w:rFonts w:cs="Times New Roman"/>
        </w:rPr>
        <w:t>s</w:t>
      </w:r>
      <w:r w:rsidRPr="00FA5EA3">
        <w:rPr>
          <w:rFonts w:cs="Times New Roman"/>
        </w:rPr>
        <w:t xml:space="preserve"> judge’s view, gave the Province </w:t>
      </w:r>
      <w:r w:rsidRPr="00FA5EA3">
        <w:rPr>
          <w:rFonts w:cs="Times New Roman"/>
          <w:i/>
        </w:rPr>
        <w:t xml:space="preserve">prima facie </w:t>
      </w:r>
      <w:r w:rsidRPr="00FA5EA3">
        <w:rPr>
          <w:rFonts w:cs="Times New Roman"/>
        </w:rPr>
        <w:t xml:space="preserve">grounds to infer the existence of a potential claim against Grant Thornton. In the alternative, he found that the Province had the requisite knowledge after it received the draft Richter Report on February 4, 2011. Either way, he concluded that the Province had failed to commence its claim </w:t>
      </w:r>
      <w:r w:rsidRPr="00FA5EA3">
        <w:rPr>
          <w:rFonts w:cs="Times New Roman"/>
          <w:shd w:val="clear" w:color="auto" w:fill="FFFFFF"/>
        </w:rPr>
        <w:t xml:space="preserve">within the </w:t>
      </w:r>
      <w:r>
        <w:rPr>
          <w:rFonts w:cs="Times New Roman"/>
          <w:shd w:val="clear" w:color="auto" w:fill="FFFFFF"/>
        </w:rPr>
        <w:t>two</w:t>
      </w:r>
      <w:r w:rsidRPr="00FA5EA3">
        <w:rPr>
          <w:rFonts w:cs="Times New Roman"/>
          <w:shd w:val="clear" w:color="auto" w:fill="FFFFFF"/>
        </w:rPr>
        <w:t xml:space="preserve">-year limitation period applicable under s. 5(1)(a). </w:t>
      </w:r>
      <w:r w:rsidRPr="00FA5EA3">
        <w:rPr>
          <w:rFonts w:cs="Times New Roman"/>
        </w:rPr>
        <w:t xml:space="preserve">Hence, the claim was statute-barred. </w:t>
      </w:r>
    </w:p>
    <w:p w14:paraId="16B00B01" w14:textId="77777777" w:rsidR="00524A77" w:rsidRPr="00FA5EA3" w:rsidRDefault="00524A77" w:rsidP="00524A77">
      <w:pPr>
        <w:pStyle w:val="ParaNoNdepar-AltN"/>
        <w:rPr>
          <w:rFonts w:cs="Times New Roman"/>
        </w:rPr>
      </w:pPr>
      <w:r w:rsidRPr="00FA5EA3">
        <w:rPr>
          <w:rFonts w:cs="Times New Roman"/>
        </w:rPr>
        <w:t>In the result, the motion</w:t>
      </w:r>
      <w:r>
        <w:rPr>
          <w:rFonts w:cs="Times New Roman"/>
        </w:rPr>
        <w:t>s</w:t>
      </w:r>
      <w:r w:rsidRPr="00FA5EA3">
        <w:rPr>
          <w:rFonts w:cs="Times New Roman"/>
        </w:rPr>
        <w:t xml:space="preserve"> judge granted summary judgment in favour of Grant Thornton and dismissed the Province’s claim.</w:t>
      </w:r>
    </w:p>
    <w:p w14:paraId="7AA2D670" w14:textId="77777777" w:rsidR="00524A77" w:rsidRPr="00FA5EA3" w:rsidRDefault="00524A77" w:rsidP="00524A77">
      <w:pPr>
        <w:pStyle w:val="Title2LevelTitre2Niveau"/>
        <w:rPr>
          <w:rFonts w:cs="Times New Roman"/>
        </w:rPr>
      </w:pPr>
      <w:r w:rsidRPr="00FA5EA3">
        <w:rPr>
          <w:rFonts w:cs="Times New Roman"/>
        </w:rPr>
        <w:t>Court of Appeal of New Brunswick</w:t>
      </w:r>
      <w:r>
        <w:rPr>
          <w:rFonts w:cs="Times New Roman"/>
        </w:rPr>
        <w:t>, 2020 NBCA 18, 54 C.P.C. (8</w:t>
      </w:r>
      <w:r w:rsidRPr="00D7140E">
        <w:rPr>
          <w:rFonts w:cs="Times New Roman"/>
        </w:rPr>
        <w:t>th</w:t>
      </w:r>
      <w:r>
        <w:rPr>
          <w:rFonts w:cs="Times New Roman"/>
        </w:rPr>
        <w:t>) 271</w:t>
      </w:r>
      <w:r w:rsidRPr="00FA5EA3">
        <w:rPr>
          <w:rFonts w:cs="Times New Roman"/>
        </w:rPr>
        <w:t xml:space="preserve"> (Drapeau, Quigg and Green JJ.A.</w:t>
      </w:r>
      <w:r>
        <w:rPr>
          <w:rFonts w:cs="Times New Roman"/>
        </w:rPr>
        <w:t>)</w:t>
      </w:r>
    </w:p>
    <w:p w14:paraId="540985EA" w14:textId="77777777" w:rsidR="00524A77" w:rsidRPr="00FA5EA3" w:rsidRDefault="00524A77" w:rsidP="00524A77">
      <w:pPr>
        <w:pStyle w:val="ParaNoNdepar-AltN"/>
        <w:rPr>
          <w:rFonts w:cs="Times New Roman"/>
        </w:rPr>
      </w:pPr>
      <w:r w:rsidRPr="00FA5EA3">
        <w:rPr>
          <w:rFonts w:cs="Times New Roman"/>
        </w:rPr>
        <w:t>The Court of Appeal unanimously allowed the appeal. It held that the motion</w:t>
      </w:r>
      <w:r>
        <w:rPr>
          <w:rFonts w:cs="Times New Roman"/>
        </w:rPr>
        <w:t>s</w:t>
      </w:r>
      <w:r w:rsidRPr="00FA5EA3">
        <w:rPr>
          <w:rFonts w:cs="Times New Roman"/>
        </w:rPr>
        <w:t xml:space="preserve"> judge “applied the wrong legal test for s. </w:t>
      </w:r>
      <w:r>
        <w:rPr>
          <w:rFonts w:cs="Times New Roman"/>
        </w:rPr>
        <w:t>5(1)(a) purposes”</w:t>
      </w:r>
      <w:r w:rsidRPr="00FA5EA3">
        <w:rPr>
          <w:rFonts w:cs="Times New Roman"/>
        </w:rPr>
        <w:t xml:space="preserve"> and “made a palpable and overriding error in</w:t>
      </w:r>
      <w:r w:rsidRPr="00FA5EA3">
        <w:rPr>
          <w:rFonts w:cs="Times New Roman"/>
          <w:shd w:val="clear" w:color="auto" w:fill="FFFFFF"/>
        </w:rPr>
        <w:t xml:space="preserve"> finding the Province discovered its claim more than two years befo</w:t>
      </w:r>
      <w:r>
        <w:rPr>
          <w:rFonts w:cs="Times New Roman"/>
          <w:shd w:val="clear" w:color="auto" w:fill="FFFFFF"/>
        </w:rPr>
        <w:t>re proceedings were commenced” (paras. 81 and 127)</w:t>
      </w:r>
      <w:r w:rsidRPr="00FA5EA3">
        <w:rPr>
          <w:rFonts w:cs="Times New Roman"/>
          <w:shd w:val="clear" w:color="auto" w:fill="FFFFFF"/>
        </w:rPr>
        <w:t>.</w:t>
      </w:r>
    </w:p>
    <w:p w14:paraId="0C634C56" w14:textId="77777777" w:rsidR="00524A77" w:rsidRPr="00FA5EA3" w:rsidRDefault="00524A77" w:rsidP="00524A77">
      <w:pPr>
        <w:pStyle w:val="ParaNoNdepar-AltN"/>
        <w:spacing w:before="0"/>
      </w:pPr>
      <w:r w:rsidRPr="00FA5EA3">
        <w:t>Regarding the legal test, the court rejected the motion</w:t>
      </w:r>
      <w:r>
        <w:t>s</w:t>
      </w:r>
      <w:r w:rsidRPr="00FA5EA3">
        <w:t xml:space="preserve"> judge’s test </w:t>
      </w:r>
      <w:r w:rsidRPr="000020F6">
        <w:rPr>
          <w:rFonts w:cs="Times New Roman"/>
        </w:rPr>
        <w:t>—</w:t>
      </w:r>
      <w:r w:rsidRPr="00FA5EA3">
        <w:t xml:space="preserve"> “</w:t>
      </w:r>
      <w:r w:rsidRPr="00FA5EA3">
        <w:rPr>
          <w:i/>
        </w:rPr>
        <w:t xml:space="preserve">prima facie </w:t>
      </w:r>
      <w:r w:rsidRPr="00FA5EA3">
        <w:t>grounds to infer</w:t>
      </w:r>
      <w:r>
        <w:t xml:space="preserve"> . . .</w:t>
      </w:r>
      <w:r w:rsidRPr="00FA5EA3">
        <w:t xml:space="preserve"> a potential </w:t>
      </w:r>
      <w:r>
        <w:t>cause of action</w:t>
      </w:r>
      <w:r w:rsidRPr="00FA5EA3">
        <w:t xml:space="preserve">” </w:t>
      </w:r>
      <w:r w:rsidRPr="000020F6">
        <w:t>—</w:t>
      </w:r>
      <w:r w:rsidRPr="00FA5EA3">
        <w:t xml:space="preserve"> on the basis that it was not stringent enough </w:t>
      </w:r>
      <w:r>
        <w:t>(paras. </w:t>
      </w:r>
      <w:r w:rsidRPr="00FA5EA3">
        <w:t>6-7</w:t>
      </w:r>
      <w:r>
        <w:t xml:space="preserve"> (emphasis deleted), quoting trial reasons, at para</w:t>
      </w:r>
      <w:r w:rsidRPr="00FA5EA3">
        <w:t>.</w:t>
      </w:r>
      <w:r>
        <w:t> 108).</w:t>
      </w:r>
      <w:r w:rsidRPr="00FA5EA3">
        <w:t xml:space="preserve"> Instead, the court set out what it believed to be the correct and “more exacting” test, namely that “</w:t>
      </w:r>
      <w:r w:rsidRPr="00FA5EA3">
        <w:rPr>
          <w:shd w:val="clear" w:color="auto" w:fill="FFFFFF"/>
        </w:rPr>
        <w:t xml:space="preserve">the two-year limitation period begins to run the day after the plaintiff knows or ought reasonably to have known facts that confer a legally enforceable right to a remedy” </w:t>
      </w:r>
      <w:r>
        <w:rPr>
          <w:shd w:val="clear" w:color="auto" w:fill="FFFFFF"/>
        </w:rPr>
        <w:t>(para. 7)</w:t>
      </w:r>
      <w:r w:rsidRPr="00FA5EA3">
        <w:rPr>
          <w:shd w:val="clear" w:color="auto" w:fill="FFFFFF"/>
        </w:rPr>
        <w:t xml:space="preserve">. In claims for negligence, the court explained, “that right only exists if the defendant was under a relevant duty of care and its loss-causing act or omission fell below the applicable standard of care” </w:t>
      </w:r>
      <w:r>
        <w:rPr>
          <w:shd w:val="clear" w:color="auto" w:fill="FFFFFF"/>
        </w:rPr>
        <w:t>(para. 7)</w:t>
      </w:r>
      <w:r w:rsidRPr="00FA5EA3">
        <w:rPr>
          <w:shd w:val="clear" w:color="auto" w:fill="FFFFFF"/>
        </w:rPr>
        <w:t xml:space="preserve">. </w:t>
      </w:r>
    </w:p>
    <w:p w14:paraId="5874290D" w14:textId="77777777" w:rsidR="00524A77" w:rsidRPr="00FA5EA3" w:rsidRDefault="00524A77" w:rsidP="00524A77">
      <w:pPr>
        <w:pStyle w:val="ParaNoNdepar-AltN"/>
      </w:pPr>
      <w:r w:rsidRPr="00FA5EA3">
        <w:t xml:space="preserve">Applying that test, the court found that the </w:t>
      </w:r>
      <w:r>
        <w:t>two</w:t>
      </w:r>
      <w:r w:rsidRPr="00FA5EA3">
        <w:t xml:space="preserve">-year limitation period under s. 5(1)(a) had not been triggered because the Province had not yet discovered its claim. Specifically, the Province could not know whether Grant Thornton’s audit of Atcon’s financial statements for F2009 fell below the applicable standard of care by failing to comply with Generally Accepted Auditing Standards. According to the court, this essential component of the Province’s negligence claim could not be known unless and until Grant Thornton produced its audit-related files for the Province’s inspection </w:t>
      </w:r>
      <w:r w:rsidRPr="000020F6">
        <w:rPr>
          <w:rFonts w:cs="Times New Roman"/>
        </w:rPr>
        <w:t>—</w:t>
      </w:r>
      <w:r w:rsidRPr="00FA5EA3">
        <w:t xml:space="preserve"> something it had consistently refused to do. Without those files, “the Province may suspect and allege, but it does not know, actually or constructively, the F2009 audit was non-compliant with Generally Accepted Auditing </w:t>
      </w:r>
      <w:r>
        <w:t>Standards” (para. 8)</w:t>
      </w:r>
      <w:r w:rsidRPr="00FA5EA3">
        <w:t>. The motion</w:t>
      </w:r>
      <w:r>
        <w:t>s</w:t>
      </w:r>
      <w:r w:rsidRPr="00FA5EA3">
        <w:t xml:space="preserve"> judge’s failure to consider the absence of evidence on that issue constituted a “palpable and overriding error in the assessment of the evidential record” </w:t>
      </w:r>
      <w:r>
        <w:t>(</w:t>
      </w:r>
      <w:r w:rsidRPr="000D6962">
        <w:rPr>
          <w:i/>
        </w:rPr>
        <w:t>ibid</w:t>
      </w:r>
      <w:r>
        <w:t>.)</w:t>
      </w:r>
      <w:r w:rsidRPr="00FA5EA3">
        <w:t>. This accounted for his erroneous finding that the Province discovered its claim on either March 18, 2010, or Febru</w:t>
      </w:r>
      <w:r>
        <w:t>ary 4, 2011</w:t>
      </w:r>
      <w:r w:rsidRPr="00FA5EA3">
        <w:t xml:space="preserve">. </w:t>
      </w:r>
    </w:p>
    <w:p w14:paraId="7B57BF32" w14:textId="77777777" w:rsidR="00524A77" w:rsidRPr="00FA5EA3" w:rsidRDefault="00524A77" w:rsidP="00524A77">
      <w:pPr>
        <w:pStyle w:val="ParaNoNdepar-AltN"/>
        <w:rPr>
          <w:rFonts w:cs="Times New Roman"/>
        </w:rPr>
      </w:pPr>
      <w:r w:rsidRPr="00FA5EA3">
        <w:rPr>
          <w:rFonts w:cs="Times New Roman"/>
        </w:rPr>
        <w:t xml:space="preserve">On this basis, the court allowed the appeal and set aside the summary judgment order. </w:t>
      </w:r>
    </w:p>
    <w:p w14:paraId="704EDB72" w14:textId="77777777" w:rsidR="00524A77" w:rsidRPr="00FA5EA3" w:rsidRDefault="00524A77" w:rsidP="00524A77">
      <w:pPr>
        <w:pStyle w:val="Title1LevelTitre1Niveau-AltL"/>
        <w:rPr>
          <w:rFonts w:cs="Times New Roman"/>
        </w:rPr>
      </w:pPr>
      <w:r w:rsidRPr="00FA5EA3">
        <w:rPr>
          <w:rFonts w:cs="Times New Roman"/>
        </w:rPr>
        <w:t xml:space="preserve">Issues </w:t>
      </w:r>
    </w:p>
    <w:p w14:paraId="1C458F0A" w14:textId="77777777" w:rsidR="00524A77" w:rsidRPr="00FA5EA3" w:rsidRDefault="00524A77" w:rsidP="00524A77">
      <w:pPr>
        <w:pStyle w:val="ParaNoNdepar-AltN"/>
        <w:rPr>
          <w:rFonts w:cs="Times New Roman"/>
        </w:rPr>
      </w:pPr>
      <w:r w:rsidRPr="00FA5EA3">
        <w:rPr>
          <w:rFonts w:cs="Times New Roman"/>
        </w:rPr>
        <w:t xml:space="preserve">I would state the main issues in this </w:t>
      </w:r>
      <w:r>
        <w:rPr>
          <w:rFonts w:cs="Times New Roman"/>
        </w:rPr>
        <w:t>case</w:t>
      </w:r>
      <w:r w:rsidRPr="00FA5EA3">
        <w:rPr>
          <w:rFonts w:cs="Times New Roman"/>
        </w:rPr>
        <w:t xml:space="preserve"> as follows: </w:t>
      </w:r>
    </w:p>
    <w:p w14:paraId="338D3864" w14:textId="77777777" w:rsidR="00524A77" w:rsidRPr="00FA5EA3" w:rsidRDefault="00524A77" w:rsidP="00524A77">
      <w:pPr>
        <w:pStyle w:val="ParaNoNdepar-AltN"/>
        <w:numPr>
          <w:ilvl w:val="3"/>
          <w:numId w:val="1"/>
        </w:numPr>
        <w:ind w:left="1530"/>
        <w:rPr>
          <w:rFonts w:cs="Times New Roman"/>
        </w:rPr>
      </w:pPr>
      <w:r w:rsidRPr="00FA5EA3">
        <w:rPr>
          <w:rFonts w:cs="Times New Roman"/>
        </w:rPr>
        <w:t>What is the standard to be applied in determining whether a plaintiff has the requisite degree of knowledge to discover a claim under s. 5(2), so as to trigger the limitation period in s. 5(1)(a)?</w:t>
      </w:r>
    </w:p>
    <w:p w14:paraId="4BB9324A" w14:textId="77777777" w:rsidR="00524A77" w:rsidRPr="00FA5EA3" w:rsidRDefault="00524A77" w:rsidP="00524A77">
      <w:pPr>
        <w:pStyle w:val="ParaNoNdepar-AltN"/>
        <w:numPr>
          <w:ilvl w:val="3"/>
          <w:numId w:val="1"/>
        </w:numPr>
        <w:ind w:left="1530"/>
        <w:rPr>
          <w:rFonts w:cs="Times New Roman"/>
        </w:rPr>
      </w:pPr>
      <w:r w:rsidRPr="00FA5EA3">
        <w:rPr>
          <w:rFonts w:cs="Times New Roman"/>
        </w:rPr>
        <w:t xml:space="preserve">When, if ever, did the Province discover its negligence claim against Grant Thornton? </w:t>
      </w:r>
    </w:p>
    <w:p w14:paraId="1ACB122F" w14:textId="77777777" w:rsidR="00524A77" w:rsidRPr="00FA5EA3" w:rsidRDefault="00524A77" w:rsidP="00524A77">
      <w:pPr>
        <w:pStyle w:val="Title1LevelTitre1Niveau-AltL"/>
        <w:rPr>
          <w:rFonts w:cs="Times New Roman"/>
        </w:rPr>
      </w:pPr>
      <w:r w:rsidRPr="00FA5EA3">
        <w:rPr>
          <w:rFonts w:cs="Times New Roman"/>
        </w:rPr>
        <w:t xml:space="preserve">Analysis </w:t>
      </w:r>
    </w:p>
    <w:p w14:paraId="7B854B9E" w14:textId="77777777" w:rsidR="00524A77" w:rsidRPr="00FA5EA3" w:rsidRDefault="00524A77" w:rsidP="00524A77">
      <w:pPr>
        <w:pStyle w:val="Title2LevelTitre2Niveau"/>
        <w:rPr>
          <w:rFonts w:cs="Times New Roman"/>
        </w:rPr>
      </w:pPr>
      <w:r w:rsidRPr="00FA5EA3">
        <w:rPr>
          <w:rFonts w:cs="Times New Roman"/>
        </w:rPr>
        <w:t xml:space="preserve">The Applicable Standard </w:t>
      </w:r>
    </w:p>
    <w:p w14:paraId="43B2F598" w14:textId="77777777" w:rsidR="00524A77" w:rsidRPr="00FA5EA3" w:rsidRDefault="00524A77" w:rsidP="00524A77">
      <w:pPr>
        <w:pStyle w:val="ParaNoNdepar-AltN"/>
        <w:rPr>
          <w:rFonts w:cs="Times New Roman"/>
        </w:rPr>
      </w:pPr>
      <w:r w:rsidRPr="00FA5EA3">
        <w:rPr>
          <w:rFonts w:cs="Times New Roman"/>
        </w:rPr>
        <w:t xml:space="preserve">Section 5(1)(a) of the </w:t>
      </w:r>
      <w:r w:rsidRPr="00FA5EA3">
        <w:rPr>
          <w:rFonts w:cs="Times New Roman"/>
          <w:i/>
          <w:iCs/>
        </w:rPr>
        <w:t>LAA</w:t>
      </w:r>
      <w:r w:rsidRPr="00FA5EA3">
        <w:rPr>
          <w:rFonts w:cs="Times New Roman"/>
        </w:rPr>
        <w:t xml:space="preserve"> sets out the limitation period that controls this </w:t>
      </w:r>
      <w:r>
        <w:rPr>
          <w:rFonts w:cs="Times New Roman"/>
        </w:rPr>
        <w:t>case</w:t>
      </w:r>
      <w:r w:rsidRPr="00FA5EA3">
        <w:rPr>
          <w:rFonts w:cs="Times New Roman"/>
        </w:rPr>
        <w:t xml:space="preserve">: a claim must be commenced two years from the day on which the claim is discovered. As the text of s. 5(2) makes plain, a claim is discovered when a plaintiff knows or ought reasonably to have known that an injury, loss or damage occurred, which was caused or contributed to by an act or omission of the defendant. </w:t>
      </w:r>
    </w:p>
    <w:p w14:paraId="4384922C" w14:textId="77777777" w:rsidR="00524A77" w:rsidRPr="00FA5EA3" w:rsidRDefault="00524A77" w:rsidP="00524A77">
      <w:pPr>
        <w:pStyle w:val="ParaNoNdepar-AltN"/>
        <w:rPr>
          <w:rFonts w:cs="Times New Roman"/>
        </w:rPr>
      </w:pPr>
      <w:r w:rsidRPr="00FA5EA3">
        <w:rPr>
          <w:rFonts w:cs="Times New Roman"/>
        </w:rPr>
        <w:t xml:space="preserve">This case turns on the standard to be applied in determining whether and when a plaintiff has the requisite degree of knowledge to discover a claim under s. 5(2), thereby triggering the </w:t>
      </w:r>
      <w:r>
        <w:rPr>
          <w:rFonts w:cs="Times New Roman"/>
        </w:rPr>
        <w:t>two</w:t>
      </w:r>
      <w:r w:rsidRPr="00FA5EA3">
        <w:rPr>
          <w:rFonts w:cs="Times New Roman"/>
        </w:rPr>
        <w:t>-year limitation period under s. 5(1)(a). In order to properly set the standard,</w:t>
      </w:r>
      <w:r w:rsidRPr="00FA5EA3">
        <w:rPr>
          <w:rFonts w:cs="Times New Roman"/>
          <w:i/>
          <w:iCs/>
        </w:rPr>
        <w:t xml:space="preserve"> </w:t>
      </w:r>
      <w:r w:rsidRPr="00FA5EA3">
        <w:rPr>
          <w:rFonts w:cs="Times New Roman"/>
        </w:rPr>
        <w:t xml:space="preserve">two distinct inquiries are required. First, in assessing if the limitation period in s. 5(1)(a) has been triggered, is the plaintiff’s state of knowledge to be assessed in the same manner as the common law rule of discoverability? Second, what is the particular degree of knowledge required to discover a claim under s. 5(2)? </w:t>
      </w:r>
    </w:p>
    <w:p w14:paraId="4FE8868A" w14:textId="77777777" w:rsidR="00524A77" w:rsidRPr="00FA5EA3" w:rsidRDefault="00524A77" w:rsidP="00524A77">
      <w:pPr>
        <w:pStyle w:val="Title3LevelTitre3Niveau"/>
        <w:rPr>
          <w:rFonts w:cs="Times New Roman"/>
        </w:rPr>
      </w:pPr>
      <w:r w:rsidRPr="00FA5EA3">
        <w:rPr>
          <w:rFonts w:cs="Times New Roman"/>
        </w:rPr>
        <w:t>Codification of the Common Law Rule of Discoverability</w:t>
      </w:r>
    </w:p>
    <w:p w14:paraId="267E2CD5" w14:textId="77777777" w:rsidR="00524A77" w:rsidRPr="00FA5EA3" w:rsidRDefault="00524A77" w:rsidP="00524A77">
      <w:pPr>
        <w:pStyle w:val="ParaNoNdepar-AltN"/>
      </w:pPr>
      <w:r w:rsidRPr="00FA5EA3">
        <w:t xml:space="preserve">Section 5 </w:t>
      </w:r>
      <w:r>
        <w:t xml:space="preserve">of the </w:t>
      </w:r>
      <w:r w:rsidRPr="00502AC8">
        <w:rPr>
          <w:i/>
        </w:rPr>
        <w:t>LAA</w:t>
      </w:r>
      <w:r>
        <w:t xml:space="preserve"> </w:t>
      </w:r>
      <w:r w:rsidRPr="00FA5EA3">
        <w:t xml:space="preserve">operates against the backdrop of a common law discoverability rule that is well-established. Under that rule, </w:t>
      </w:r>
      <w:r w:rsidRPr="00FA5EA3">
        <w:rPr>
          <w:rFonts w:eastAsia="Times New Roman"/>
        </w:rPr>
        <w:t>“a cause of action arises for purposes of a limitation period when the material facts on which it is based have been discovered or ought to have been discovered by the plaintiff by the exercise of reasonable diligence” (</w:t>
      </w:r>
      <w:r w:rsidRPr="00FA5EA3">
        <w:rPr>
          <w:i/>
        </w:rPr>
        <w:t>Central Trust Co. v. Rafuse</w:t>
      </w:r>
      <w:r w:rsidRPr="00FA5EA3">
        <w:t xml:space="preserve">, [1986] 2 S.C.R. 147, at p. 224, citing </w:t>
      </w:r>
      <w:r w:rsidRPr="00FA5EA3">
        <w:rPr>
          <w:i/>
        </w:rPr>
        <w:t>Kamloops (City of) v. Nielsen</w:t>
      </w:r>
      <w:r w:rsidRPr="00DE60D5">
        <w:t>,</w:t>
      </w:r>
      <w:r w:rsidRPr="00FA5EA3">
        <w:rPr>
          <w:i/>
        </w:rPr>
        <w:t xml:space="preserve"> </w:t>
      </w:r>
      <w:r w:rsidRPr="00FA5EA3">
        <w:t xml:space="preserve">[1984] 2 S.C.R. 2; </w:t>
      </w:r>
      <w:r>
        <w:t xml:space="preserve">see also </w:t>
      </w:r>
      <w:r w:rsidRPr="00FA5EA3">
        <w:rPr>
          <w:i/>
        </w:rPr>
        <w:t>Ryan v. Moore</w:t>
      </w:r>
      <w:r w:rsidRPr="00DE60D5">
        <w:t>,</w:t>
      </w:r>
      <w:r w:rsidRPr="00FA5EA3">
        <w:rPr>
          <w:i/>
        </w:rPr>
        <w:t xml:space="preserve"> </w:t>
      </w:r>
      <w:r w:rsidRPr="00FA5EA3">
        <w:t>2005 SCC 38, [2005] 2 S.C.R. 53,</w:t>
      </w:r>
      <w:r w:rsidRPr="00FA5EA3">
        <w:rPr>
          <w:i/>
        </w:rPr>
        <w:t xml:space="preserve"> </w:t>
      </w:r>
      <w:r w:rsidRPr="00FA5EA3">
        <w:t>at paras. 2 and 22</w:t>
      </w:r>
      <w:r w:rsidRPr="00FA5EA3">
        <w:rPr>
          <w:rFonts w:eastAsia="Times New Roman"/>
        </w:rPr>
        <w:t>). This rule has its origins in equity. In particular, it seeks to balance the three rationales for imposing limitation periods</w:t>
      </w:r>
      <w:r>
        <w:rPr>
          <w:rFonts w:eastAsia="Times New Roman"/>
        </w:rPr>
        <w:t xml:space="preserve"> </w:t>
      </w:r>
      <w:r w:rsidRPr="000020F6">
        <w:rPr>
          <w:rFonts w:eastAsia="Times New Roman" w:cs="Times New Roman"/>
        </w:rPr>
        <w:t>—</w:t>
      </w:r>
      <w:r>
        <w:rPr>
          <w:rFonts w:eastAsia="Times New Roman" w:cs="Times New Roman"/>
        </w:rPr>
        <w:t xml:space="preserve"> </w:t>
      </w:r>
      <w:r w:rsidRPr="00FA5EA3">
        <w:rPr>
          <w:rFonts w:eastAsia="Times New Roman"/>
        </w:rPr>
        <w:t xml:space="preserve">the guarantee of repose, the desire to foreclose claims based on stale evidence and the expectation that a plaintiff will start a claim in a timely manner </w:t>
      </w:r>
      <w:r w:rsidRPr="00FA5EA3">
        <w:t>(</w:t>
      </w:r>
      <w:r w:rsidRPr="00FA5EA3">
        <w:rPr>
          <w:i/>
        </w:rPr>
        <w:t>M.</w:t>
      </w:r>
      <w:r>
        <w:rPr>
          <w:i/>
        </w:rPr>
        <w:t> </w:t>
      </w:r>
      <w:r w:rsidRPr="00FA5EA3">
        <w:rPr>
          <w:i/>
        </w:rPr>
        <w:t>(K.) v. M.</w:t>
      </w:r>
      <w:r>
        <w:rPr>
          <w:i/>
        </w:rPr>
        <w:t> </w:t>
      </w:r>
      <w:r w:rsidRPr="00FA5EA3">
        <w:rPr>
          <w:i/>
        </w:rPr>
        <w:t>(H.)</w:t>
      </w:r>
      <w:r w:rsidRPr="00FA5EA3">
        <w:t xml:space="preserve">, [1992] 3 S.C.R. 6, at pp. 29-30) </w:t>
      </w:r>
      <w:r w:rsidRPr="000020F6">
        <w:t>—</w:t>
      </w:r>
      <w:r w:rsidRPr="00FA5EA3">
        <w:t xml:space="preserve"> </w:t>
      </w:r>
      <w:r w:rsidRPr="00FA5EA3">
        <w:rPr>
          <w:rFonts w:eastAsia="Times New Roman"/>
        </w:rPr>
        <w:t>with the need to avoid the injustice of precluding a claim before the plaintiff even has knowledge of its existence (</w:t>
      </w:r>
      <w:r w:rsidRPr="00FA5EA3">
        <w:rPr>
          <w:rFonts w:eastAsia="Times New Roman"/>
          <w:i/>
        </w:rPr>
        <w:t xml:space="preserve">Peixeiro v. Haberman, </w:t>
      </w:r>
      <w:r w:rsidRPr="00FA5EA3">
        <w:rPr>
          <w:rFonts w:eastAsia="Times New Roman"/>
        </w:rPr>
        <w:t xml:space="preserve">[1997] 3 S.C.R. 549, at para. 36). </w:t>
      </w:r>
    </w:p>
    <w:p w14:paraId="518AB2E8" w14:textId="77777777" w:rsidR="00524A77" w:rsidRPr="00FA5EA3" w:rsidRDefault="00524A77" w:rsidP="00524A77">
      <w:pPr>
        <w:pStyle w:val="ParaNoNdepar-AltN"/>
        <w:tabs>
          <w:tab w:val="clear" w:pos="1152"/>
          <w:tab w:val="left" w:pos="1166"/>
        </w:tabs>
        <w:rPr>
          <w:rFonts w:cs="Times New Roman"/>
        </w:rPr>
      </w:pPr>
      <w:r w:rsidRPr="00FA5EA3">
        <w:rPr>
          <w:rFonts w:eastAsia="Times New Roman" w:cs="Times New Roman"/>
        </w:rPr>
        <w:t>Though a “general rule”, the common law rule does not apply to every statutory limitation period (</w:t>
      </w:r>
      <w:r w:rsidRPr="00FA5EA3">
        <w:rPr>
          <w:rFonts w:eastAsia="Times New Roman" w:cs="Times New Roman"/>
          <w:i/>
        </w:rPr>
        <w:t>Ryan</w:t>
      </w:r>
      <w:r w:rsidRPr="00DE60D5">
        <w:rPr>
          <w:rFonts w:eastAsia="Times New Roman" w:cs="Times New Roman"/>
        </w:rPr>
        <w:t>,</w:t>
      </w:r>
      <w:r w:rsidRPr="00FA5EA3">
        <w:rPr>
          <w:rFonts w:eastAsia="Times New Roman" w:cs="Times New Roman"/>
          <w:i/>
        </w:rPr>
        <w:t xml:space="preserve"> </w:t>
      </w:r>
      <w:r w:rsidRPr="00FA5EA3">
        <w:rPr>
          <w:rFonts w:eastAsia="Times New Roman" w:cs="Times New Roman"/>
        </w:rPr>
        <w:t>at para. 23</w:t>
      </w:r>
      <w:r>
        <w:rPr>
          <w:rFonts w:eastAsia="Times New Roman" w:cs="Times New Roman"/>
        </w:rPr>
        <w:t xml:space="preserve">, quoting </w:t>
      </w:r>
      <w:r w:rsidRPr="00EA2DEC">
        <w:rPr>
          <w:rFonts w:eastAsia="Times New Roman" w:cs="Times New Roman"/>
          <w:i/>
        </w:rPr>
        <w:t>Rafuse</w:t>
      </w:r>
      <w:r>
        <w:rPr>
          <w:rFonts w:eastAsia="Times New Roman" w:cs="Times New Roman"/>
        </w:rPr>
        <w:t>, at p. 224</w:t>
      </w:r>
      <w:r w:rsidRPr="00FA5EA3">
        <w:rPr>
          <w:rFonts w:eastAsia="Times New Roman" w:cs="Times New Roman"/>
        </w:rPr>
        <w:t>). Rather, it is an interpretive tool for construing limitations statutes and, as such, it can be ousted by clear legislative language (</w:t>
      </w:r>
      <w:r w:rsidRPr="00FA5EA3">
        <w:rPr>
          <w:rFonts w:eastAsia="Times New Roman" w:cs="Times New Roman"/>
          <w:i/>
        </w:rPr>
        <w:t>Pioneer Corp. v. Godfrey</w:t>
      </w:r>
      <w:r w:rsidRPr="00DE60D5">
        <w:rPr>
          <w:rFonts w:eastAsia="Times New Roman" w:cs="Times New Roman"/>
        </w:rPr>
        <w:t>,</w:t>
      </w:r>
      <w:r w:rsidRPr="00FA5EA3">
        <w:rPr>
          <w:rFonts w:eastAsia="Times New Roman" w:cs="Times New Roman"/>
          <w:i/>
        </w:rPr>
        <w:t xml:space="preserve"> </w:t>
      </w:r>
      <w:r w:rsidRPr="00FA5EA3">
        <w:rPr>
          <w:rFonts w:eastAsia="Times New Roman" w:cs="Times New Roman"/>
        </w:rPr>
        <w:t>2019 SCC 42, at para.</w:t>
      </w:r>
      <w:r w:rsidRPr="00FA5EA3">
        <w:rPr>
          <w:rFonts w:cs="Times New Roman"/>
        </w:rPr>
        <w:t> </w:t>
      </w:r>
      <w:r w:rsidRPr="00FA5EA3">
        <w:rPr>
          <w:rFonts w:eastAsia="Times New Roman" w:cs="Times New Roman"/>
        </w:rPr>
        <w:t>32). In that regard, “many provincial legislatures have chosen to enact statutory limitation periods that codify, limit or oust entirely discoverability’s application” (</w:t>
      </w:r>
      <w:r>
        <w:rPr>
          <w:rFonts w:eastAsia="Times New Roman" w:cs="Times New Roman"/>
          <w:i/>
        </w:rPr>
        <w:t>i</w:t>
      </w:r>
      <w:r w:rsidRPr="00FA5EA3">
        <w:rPr>
          <w:rFonts w:eastAsia="Times New Roman" w:cs="Times New Roman"/>
          <w:i/>
        </w:rPr>
        <w:t>bid.</w:t>
      </w:r>
      <w:r w:rsidRPr="00FA5EA3">
        <w:rPr>
          <w:rFonts w:eastAsia="Times New Roman" w:cs="Times New Roman"/>
        </w:rPr>
        <w:t>). Assessing whether a provincial legislature has codified, limited or ousted the common law rule is a matter of statutory interpretation (</w:t>
      </w:r>
      <w:r>
        <w:rPr>
          <w:rFonts w:eastAsia="Times New Roman" w:cs="Times New Roman"/>
          <w:i/>
        </w:rPr>
        <w:t>i</w:t>
      </w:r>
      <w:r w:rsidRPr="00FA5EA3">
        <w:rPr>
          <w:rFonts w:eastAsia="Times New Roman" w:cs="Times New Roman"/>
          <w:i/>
        </w:rPr>
        <w:t>bid.</w:t>
      </w:r>
      <w:r w:rsidRPr="00DE60D5">
        <w:rPr>
          <w:rFonts w:eastAsia="Times New Roman" w:cs="Times New Roman"/>
        </w:rPr>
        <w:t>,</w:t>
      </w:r>
      <w:r w:rsidRPr="00FA5EA3">
        <w:rPr>
          <w:rFonts w:eastAsia="Times New Roman" w:cs="Times New Roman"/>
          <w:i/>
        </w:rPr>
        <w:t xml:space="preserve"> </w:t>
      </w:r>
      <w:r w:rsidRPr="00FA5EA3">
        <w:rPr>
          <w:rFonts w:eastAsia="Times New Roman" w:cs="Times New Roman"/>
        </w:rPr>
        <w:t xml:space="preserve">at para. 42, citing </w:t>
      </w:r>
      <w:r w:rsidRPr="00FA5EA3">
        <w:rPr>
          <w:rFonts w:eastAsia="Times New Roman" w:cs="Times New Roman"/>
          <w:i/>
        </w:rPr>
        <w:t>Rizzo &amp; Rizzo Shoes Ltd. (Re)</w:t>
      </w:r>
      <w:r w:rsidRPr="00DE60D5">
        <w:rPr>
          <w:rFonts w:eastAsia="Times New Roman" w:cs="Times New Roman"/>
        </w:rPr>
        <w:t>,</w:t>
      </w:r>
      <w:r w:rsidRPr="00FA5EA3">
        <w:rPr>
          <w:rFonts w:eastAsia="Times New Roman" w:cs="Times New Roman"/>
          <w:i/>
        </w:rPr>
        <w:t xml:space="preserve"> </w:t>
      </w:r>
      <w:r w:rsidRPr="00FA5EA3">
        <w:rPr>
          <w:rFonts w:eastAsia="Times New Roman" w:cs="Times New Roman"/>
        </w:rPr>
        <w:t>[1998</w:t>
      </w:r>
      <w:r w:rsidRPr="00FA5EA3">
        <w:rPr>
          <w:rFonts w:cs="Times New Roman"/>
        </w:rPr>
        <w:t xml:space="preserve">] 1 S.C.R. 27, at para. 21). </w:t>
      </w:r>
    </w:p>
    <w:p w14:paraId="50FE4BB7" w14:textId="77777777" w:rsidR="00524A77" w:rsidRPr="00FA5EA3" w:rsidRDefault="00524A77" w:rsidP="00524A77">
      <w:pPr>
        <w:pStyle w:val="ParaNoNdepar-AltN"/>
        <w:rPr>
          <w:rFonts w:cs="Times New Roman"/>
        </w:rPr>
      </w:pPr>
      <w:r w:rsidRPr="00FA5EA3">
        <w:rPr>
          <w:rFonts w:eastAsia="Times New Roman" w:cs="Times New Roman"/>
        </w:rPr>
        <w:t xml:space="preserve">In this </w:t>
      </w:r>
      <w:r>
        <w:rPr>
          <w:rFonts w:eastAsia="Times New Roman" w:cs="Times New Roman"/>
        </w:rPr>
        <w:t>case</w:t>
      </w:r>
      <w:r w:rsidRPr="00FA5EA3">
        <w:rPr>
          <w:rFonts w:eastAsia="Times New Roman" w:cs="Times New Roman"/>
        </w:rPr>
        <w:t>, Grant Thornton argues that s. 5(1)(a) and (2) oust</w:t>
      </w:r>
      <w:r>
        <w:rPr>
          <w:rFonts w:eastAsia="Times New Roman" w:cs="Times New Roman"/>
        </w:rPr>
        <w:t>s</w:t>
      </w:r>
      <w:r w:rsidRPr="00FA5EA3">
        <w:rPr>
          <w:rFonts w:eastAsia="Times New Roman" w:cs="Times New Roman"/>
        </w:rPr>
        <w:t xml:space="preserve"> or, at least, limit</w:t>
      </w:r>
      <w:r>
        <w:rPr>
          <w:rFonts w:eastAsia="Times New Roman" w:cs="Times New Roman"/>
        </w:rPr>
        <w:t>s</w:t>
      </w:r>
      <w:r w:rsidRPr="00FA5EA3">
        <w:rPr>
          <w:rFonts w:eastAsia="Times New Roman" w:cs="Times New Roman"/>
        </w:rPr>
        <w:t xml:space="preserve"> the common law discoverability rule. In its view, the New Brunswick legislature provided for the limitation period set out in s. 5(1)(a) to begin running when a plaintiff has a lower degree of knowledge than the common law rule requires, namely “a sufficient basis, including by making reasonable inferences based on their knowledge of having suffered a loss, to plead an action against the defendant and start the civil litigation process” </w:t>
      </w:r>
      <w:r>
        <w:rPr>
          <w:rFonts w:eastAsia="Times New Roman" w:cs="Times New Roman"/>
        </w:rPr>
        <w:t>(</w:t>
      </w:r>
      <w:r w:rsidRPr="00FA5EA3">
        <w:rPr>
          <w:rFonts w:eastAsia="Times New Roman" w:cs="Times New Roman"/>
        </w:rPr>
        <w:t>A.F.,</w:t>
      </w:r>
      <w:r>
        <w:rPr>
          <w:rFonts w:eastAsia="Times New Roman" w:cs="Times New Roman"/>
        </w:rPr>
        <w:t xml:space="preserve"> Grant Thornton LLP and Kent M. Ostridge,</w:t>
      </w:r>
      <w:r w:rsidRPr="00FA5EA3">
        <w:rPr>
          <w:rFonts w:eastAsia="Times New Roman" w:cs="Times New Roman"/>
        </w:rPr>
        <w:t xml:space="preserve"> at para. </w:t>
      </w:r>
      <w:r>
        <w:rPr>
          <w:rFonts w:eastAsia="Times New Roman" w:cs="Times New Roman"/>
        </w:rPr>
        <w:t>87)</w:t>
      </w:r>
      <w:r w:rsidRPr="00FA5EA3">
        <w:rPr>
          <w:rFonts w:eastAsia="Times New Roman" w:cs="Times New Roman"/>
        </w:rPr>
        <w:t xml:space="preserve">.  </w:t>
      </w:r>
    </w:p>
    <w:p w14:paraId="46AB98BA" w14:textId="77777777" w:rsidR="00524A77" w:rsidRPr="00FA5EA3" w:rsidRDefault="00524A77" w:rsidP="00524A77">
      <w:pPr>
        <w:pStyle w:val="ParaNoNdepar-AltN"/>
        <w:tabs>
          <w:tab w:val="clear" w:pos="1152"/>
          <w:tab w:val="left" w:pos="1166"/>
        </w:tabs>
        <w:rPr>
          <w:rFonts w:cs="Times New Roman"/>
        </w:rPr>
      </w:pPr>
      <w:r w:rsidRPr="00FA5EA3">
        <w:rPr>
          <w:rFonts w:eastAsia="Times New Roman" w:cs="Times New Roman"/>
        </w:rPr>
        <w:t>With respect, I disagree. In my view, the New Brunswick legislature chose to codify the common law rule</w:t>
      </w:r>
      <w:r>
        <w:rPr>
          <w:rFonts w:eastAsia="Times New Roman" w:cs="Times New Roman"/>
        </w:rPr>
        <w:t xml:space="preserve"> in </w:t>
      </w:r>
      <w:r w:rsidRPr="00FA5EA3">
        <w:rPr>
          <w:rFonts w:eastAsia="Times New Roman" w:cs="Times New Roman"/>
        </w:rPr>
        <w:t xml:space="preserve">s. 5(1)(a) and (2) of the </w:t>
      </w:r>
      <w:r w:rsidRPr="00FA5EA3">
        <w:rPr>
          <w:rFonts w:eastAsia="Times New Roman" w:cs="Times New Roman"/>
          <w:i/>
        </w:rPr>
        <w:t>LAA</w:t>
      </w:r>
      <w:r w:rsidRPr="00FA5EA3">
        <w:rPr>
          <w:rFonts w:eastAsia="Times New Roman" w:cs="Times New Roman"/>
        </w:rPr>
        <w:t xml:space="preserve">. This interpretation is supported by the words of s. 5, </w:t>
      </w:r>
      <w:r w:rsidRPr="00FA5EA3">
        <w:rPr>
          <w:rFonts w:cs="Times New Roman"/>
        </w:rPr>
        <w:t xml:space="preserve">read in their entire context and in their grammatical and ordinary sense harmoniously with the scheme of the </w:t>
      </w:r>
      <w:r w:rsidRPr="00FA5EA3">
        <w:rPr>
          <w:rFonts w:cs="Times New Roman"/>
          <w:i/>
        </w:rPr>
        <w:t>LAA</w:t>
      </w:r>
      <w:r w:rsidRPr="00DE60D5">
        <w:rPr>
          <w:rFonts w:cs="Times New Roman"/>
        </w:rPr>
        <w:t>,</w:t>
      </w:r>
      <w:r w:rsidRPr="00FA5EA3">
        <w:rPr>
          <w:rFonts w:cs="Times New Roman"/>
        </w:rPr>
        <w:t xml:space="preserve"> the object of the </w:t>
      </w:r>
      <w:r w:rsidRPr="00FA5EA3">
        <w:rPr>
          <w:rFonts w:cs="Times New Roman"/>
          <w:i/>
        </w:rPr>
        <w:t>LAA</w:t>
      </w:r>
      <w:r w:rsidRPr="00FA5EA3">
        <w:rPr>
          <w:rFonts w:cs="Times New Roman"/>
        </w:rPr>
        <w:t xml:space="preserve">, and the intention of the legislature (see </w:t>
      </w:r>
      <w:r w:rsidRPr="00FA5EA3">
        <w:rPr>
          <w:rFonts w:cs="Times New Roman"/>
          <w:i/>
        </w:rPr>
        <w:t>Rizzo &amp; Rizzo</w:t>
      </w:r>
      <w:r w:rsidRPr="00DE60D5">
        <w:rPr>
          <w:rFonts w:cs="Times New Roman"/>
        </w:rPr>
        <w:t>,</w:t>
      </w:r>
      <w:r w:rsidRPr="00FA5EA3">
        <w:rPr>
          <w:rFonts w:cs="Times New Roman"/>
          <w:i/>
        </w:rPr>
        <w:t xml:space="preserve"> </w:t>
      </w:r>
      <w:r w:rsidRPr="00FA5EA3">
        <w:rPr>
          <w:rFonts w:cs="Times New Roman"/>
        </w:rPr>
        <w:t xml:space="preserve">at para. 21). </w:t>
      </w:r>
    </w:p>
    <w:p w14:paraId="400EEAF7" w14:textId="77777777" w:rsidR="00524A77" w:rsidRPr="00FA5EA3" w:rsidRDefault="00524A77" w:rsidP="00524A77">
      <w:pPr>
        <w:pStyle w:val="ParaNoNdepar-AltN"/>
        <w:rPr>
          <w:rFonts w:cs="Times New Roman"/>
        </w:rPr>
      </w:pPr>
      <w:r w:rsidRPr="00FE6138">
        <w:rPr>
          <w:rFonts w:eastAsia="Times New Roman" w:cs="Times New Roman"/>
        </w:rPr>
        <w:t>As set out at para.</w:t>
      </w:r>
      <w:r>
        <w:rPr>
          <w:rFonts w:eastAsia="Times New Roman" w:cs="Times New Roman"/>
        </w:rPr>
        <w:t> </w:t>
      </w:r>
      <w:r w:rsidRPr="00FE6138">
        <w:rPr>
          <w:rFonts w:eastAsia="Times New Roman" w:cs="Times New Roman"/>
        </w:rPr>
        <w:t>17 above, the text of s.</w:t>
      </w:r>
      <w:r>
        <w:rPr>
          <w:rFonts w:eastAsia="Times New Roman" w:cs="Times New Roman"/>
        </w:rPr>
        <w:t> </w:t>
      </w:r>
      <w:r w:rsidRPr="00FE6138">
        <w:rPr>
          <w:rFonts w:eastAsia="Times New Roman" w:cs="Times New Roman"/>
        </w:rPr>
        <w:t xml:space="preserve">5 of the </w:t>
      </w:r>
      <w:r w:rsidRPr="00502AC8">
        <w:rPr>
          <w:rFonts w:eastAsia="Times New Roman" w:cs="Times New Roman"/>
          <w:i/>
        </w:rPr>
        <w:t>LAA</w:t>
      </w:r>
      <w:r w:rsidRPr="00FE6138">
        <w:rPr>
          <w:rFonts w:eastAsia="Times New Roman" w:cs="Times New Roman"/>
        </w:rPr>
        <w:t xml:space="preserve"> reads as follows</w:t>
      </w:r>
      <w:r w:rsidRPr="00FE6138" w:rsidDel="00FE6138">
        <w:rPr>
          <w:rFonts w:eastAsia="Times New Roman" w:cs="Times New Roman"/>
        </w:rPr>
        <w:t xml:space="preserve"> </w:t>
      </w:r>
      <w:r w:rsidRPr="00FA5EA3">
        <w:rPr>
          <w:rFonts w:eastAsia="Times New Roman" w:cs="Times New Roman"/>
        </w:rPr>
        <w:t xml:space="preserve">: </w:t>
      </w:r>
    </w:p>
    <w:p w14:paraId="1758E5F1" w14:textId="77777777" w:rsidR="00524A77" w:rsidRPr="00DE60D5" w:rsidRDefault="00524A77" w:rsidP="00524A77">
      <w:pPr>
        <w:pStyle w:val="Citation-AltC"/>
        <w:rPr>
          <w:b/>
        </w:rPr>
      </w:pPr>
      <w:r w:rsidRPr="00DE60D5">
        <w:rPr>
          <w:b/>
        </w:rPr>
        <w:t xml:space="preserve">General limitation periods </w:t>
      </w:r>
    </w:p>
    <w:p w14:paraId="487A0AB8" w14:textId="77777777" w:rsidR="00524A77" w:rsidRPr="00DE60D5" w:rsidRDefault="00524A77" w:rsidP="00524A77">
      <w:pPr>
        <w:pStyle w:val="Citation-AltC"/>
        <w:ind w:left="0"/>
        <w:rPr>
          <w:b/>
        </w:rPr>
      </w:pPr>
    </w:p>
    <w:p w14:paraId="0CFA0937" w14:textId="77777777" w:rsidR="00524A77" w:rsidRDefault="00524A77" w:rsidP="00524A77">
      <w:pPr>
        <w:pStyle w:val="Citation-AltC"/>
      </w:pPr>
      <w:r w:rsidRPr="00DE60D5">
        <w:rPr>
          <w:b/>
        </w:rPr>
        <w:t>5</w:t>
      </w:r>
      <w:r w:rsidRPr="00DE60D5">
        <w:t xml:space="preserve">(1) Unless otherwise provided in this Act, no claim shall be brought after the earlier of </w:t>
      </w:r>
    </w:p>
    <w:p w14:paraId="6F404AAF" w14:textId="77777777" w:rsidR="00524A77" w:rsidRPr="00DE60D5" w:rsidRDefault="00524A77" w:rsidP="00524A77">
      <w:pPr>
        <w:pStyle w:val="Citation-AltC"/>
      </w:pPr>
    </w:p>
    <w:p w14:paraId="107E1543" w14:textId="77777777" w:rsidR="00524A77" w:rsidRDefault="00524A77" w:rsidP="00524A77">
      <w:pPr>
        <w:pStyle w:val="Citation-AltC"/>
        <w:ind w:firstLine="274"/>
      </w:pPr>
      <w:r w:rsidRPr="00DE60D5">
        <w:t xml:space="preserve">(a) two years from the day on which the claim is discovered, and </w:t>
      </w:r>
    </w:p>
    <w:p w14:paraId="50025E37" w14:textId="77777777" w:rsidR="00524A77" w:rsidRPr="00DE60D5" w:rsidRDefault="00524A77" w:rsidP="00524A77">
      <w:pPr>
        <w:pStyle w:val="Citation-AltC"/>
        <w:ind w:firstLine="274"/>
      </w:pPr>
    </w:p>
    <w:p w14:paraId="05E54AA3" w14:textId="77777777" w:rsidR="00524A77" w:rsidRPr="00DE60D5" w:rsidRDefault="00524A77" w:rsidP="00524A77">
      <w:pPr>
        <w:pStyle w:val="Citation-AltC"/>
        <w:spacing w:after="480"/>
        <w:ind w:left="1440"/>
      </w:pPr>
      <w:r w:rsidRPr="00DE60D5">
        <w:t xml:space="preserve">(b) fifteen years from the day on which the act or omission on which the claim is based occurred. </w:t>
      </w:r>
    </w:p>
    <w:p w14:paraId="486CFCD9" w14:textId="77777777" w:rsidR="00524A77" w:rsidRPr="00DE60D5" w:rsidRDefault="00524A77" w:rsidP="00524A77">
      <w:pPr>
        <w:pStyle w:val="Citation-AltC"/>
        <w:spacing w:after="480"/>
        <w:ind w:left="1440"/>
      </w:pPr>
    </w:p>
    <w:p w14:paraId="182CDC10" w14:textId="77777777" w:rsidR="00524A77" w:rsidRDefault="00524A77" w:rsidP="00524A77">
      <w:pPr>
        <w:pStyle w:val="Citation-AltC"/>
      </w:pPr>
      <w:r w:rsidRPr="00DE60D5">
        <w:rPr>
          <w:b/>
        </w:rPr>
        <w:t>5</w:t>
      </w:r>
      <w:r w:rsidRPr="00DE60D5">
        <w:t xml:space="preserve">(2) A claim is discovered on the day on which the claimant first knew or ought reasonably to have known </w:t>
      </w:r>
    </w:p>
    <w:p w14:paraId="0C031361" w14:textId="77777777" w:rsidR="00524A77" w:rsidRPr="00DE60D5" w:rsidRDefault="00524A77" w:rsidP="00524A77">
      <w:pPr>
        <w:pStyle w:val="Citation-AltC"/>
      </w:pPr>
    </w:p>
    <w:p w14:paraId="6D0B213D" w14:textId="77777777" w:rsidR="00524A77" w:rsidRDefault="00524A77" w:rsidP="00524A77">
      <w:pPr>
        <w:pStyle w:val="Citation-AltC"/>
        <w:ind w:left="1440"/>
      </w:pPr>
      <w:r w:rsidRPr="00DE60D5">
        <w:t xml:space="preserve">(a) that the injury, loss or damage had occurred, </w:t>
      </w:r>
    </w:p>
    <w:p w14:paraId="5F07196B" w14:textId="77777777" w:rsidR="00524A77" w:rsidRPr="00DE60D5" w:rsidRDefault="00524A77" w:rsidP="00524A77">
      <w:pPr>
        <w:pStyle w:val="Citation-AltC"/>
        <w:ind w:left="1440"/>
      </w:pPr>
    </w:p>
    <w:p w14:paraId="2E670C3E" w14:textId="77777777" w:rsidR="00524A77" w:rsidRDefault="00524A77" w:rsidP="00524A77">
      <w:pPr>
        <w:pStyle w:val="Citation-AltC"/>
        <w:ind w:left="1440"/>
      </w:pPr>
      <w:r w:rsidRPr="00DE60D5">
        <w:t xml:space="preserve">(b) that the injury, loss or damage was caused by or contributed to by an act or omission, and </w:t>
      </w:r>
    </w:p>
    <w:p w14:paraId="424D6F5B" w14:textId="77777777" w:rsidR="00524A77" w:rsidRPr="00DE60D5" w:rsidRDefault="00524A77" w:rsidP="00524A77">
      <w:pPr>
        <w:pStyle w:val="Citation-AltC"/>
        <w:ind w:left="1440"/>
      </w:pPr>
    </w:p>
    <w:p w14:paraId="2FB5BED1" w14:textId="77777777" w:rsidR="00524A77" w:rsidRPr="00FA5EA3" w:rsidRDefault="00524A77" w:rsidP="00524A77">
      <w:pPr>
        <w:pStyle w:val="Citation-AltC"/>
        <w:ind w:left="1440"/>
      </w:pPr>
      <w:r w:rsidRPr="00DE60D5">
        <w:t>(c) tha</w:t>
      </w:r>
      <w:r w:rsidRPr="00FA5EA3">
        <w:t>t the act or omission was that of the defendant.</w:t>
      </w:r>
    </w:p>
    <w:p w14:paraId="6A6619B6" w14:textId="77777777" w:rsidR="00524A77" w:rsidRPr="00FA5EA3" w:rsidRDefault="00524A77" w:rsidP="00524A77">
      <w:pPr>
        <w:pStyle w:val="ParaNoNdepar-AltN"/>
        <w:rPr>
          <w:rFonts w:cs="Times New Roman"/>
          <w:lang w:val="en-US"/>
        </w:rPr>
      </w:pPr>
      <w:r w:rsidRPr="00FA5EA3">
        <w:rPr>
          <w:rFonts w:cs="Times New Roman"/>
        </w:rPr>
        <w:t xml:space="preserve">The plain words of this provision are unambiguous. Section 5(1)(a) provides that no claim shall be brought after two years from the day on which the claim is “discovered”. Section 5(2) further specifies that a claim is discovered on the day that a claimant knew or ought reasonably to have known the facts that are material, namely the occurrence of an injury, loss or damage that was caused or contributed to by an act or omission of the defendant. As evidenced by the words of the provision, there is no clear legislative language ousting or limiting the common law rule; in fact, quite the opposite. The event triggering the limitation period in s. 5(1)(a) is linked to the state of the plaintiff’s knowledge in the same manner as the common law rule. </w:t>
      </w:r>
    </w:p>
    <w:p w14:paraId="69F54763" w14:textId="77777777" w:rsidR="00524A77" w:rsidRPr="00FA5EA3" w:rsidRDefault="00524A77" w:rsidP="00524A77">
      <w:pPr>
        <w:pStyle w:val="ParaNoNdepar-AltN"/>
        <w:rPr>
          <w:rFonts w:cs="Times New Roman"/>
          <w:lang w:val="en-US"/>
        </w:rPr>
      </w:pPr>
      <w:r w:rsidRPr="00FA5EA3">
        <w:rPr>
          <w:rFonts w:cs="Times New Roman"/>
        </w:rPr>
        <w:t xml:space="preserve">Moreover, there is nothing in the legislative scheme or the object of the </w:t>
      </w:r>
      <w:r w:rsidRPr="00FA5EA3">
        <w:rPr>
          <w:rFonts w:cs="Times New Roman"/>
          <w:i/>
        </w:rPr>
        <w:t xml:space="preserve">LAA </w:t>
      </w:r>
      <w:r w:rsidRPr="00FA5EA3">
        <w:rPr>
          <w:rFonts w:cs="Times New Roman"/>
        </w:rPr>
        <w:t>that alters the governing principles set out in the common law rule. The New</w:t>
      </w:r>
      <w:r>
        <w:rPr>
          <w:rFonts w:cs="Times New Roman"/>
        </w:rPr>
        <w:t> </w:t>
      </w:r>
      <w:r w:rsidRPr="00FA5EA3">
        <w:rPr>
          <w:rFonts w:cs="Times New Roman"/>
        </w:rPr>
        <w:t>Brunswick legislature enacted the general limitation period scheme in s. 5 to simplify the law of limitation periods. In doing so, it expressly modeled s. 5 on similar limitation provisions found in Ontario, Saskatchewan and Alberta (</w:t>
      </w:r>
      <w:r>
        <w:rPr>
          <w:rFonts w:cs="Times New Roman"/>
        </w:rPr>
        <w:t>New Brunswick, Office of the Attorney General</w:t>
      </w:r>
      <w:r w:rsidRPr="00FA5EA3">
        <w:rPr>
          <w:rFonts w:cs="Times New Roman"/>
        </w:rPr>
        <w:t xml:space="preserve">, </w:t>
      </w:r>
      <w:r w:rsidRPr="00FA5EA3">
        <w:rPr>
          <w:rFonts w:cs="Times New Roman"/>
          <w:i/>
        </w:rPr>
        <w:t>Commentary on Bill 28</w:t>
      </w:r>
      <w:r>
        <w:rPr>
          <w:rFonts w:cs="Times New Roman"/>
          <w:i/>
        </w:rPr>
        <w:t>: Limitation of Actions Act</w:t>
      </w:r>
      <w:r w:rsidRPr="00DE60D5">
        <w:rPr>
          <w:rFonts w:cs="Times New Roman"/>
        </w:rPr>
        <w:t>, January 2009 (online)</w:t>
      </w:r>
      <w:r w:rsidRPr="00502AC8">
        <w:rPr>
          <w:rFonts w:cs="Times New Roman"/>
        </w:rPr>
        <w:t>,</w:t>
      </w:r>
      <w:r>
        <w:rPr>
          <w:rFonts w:cs="Times New Roman"/>
          <w:i/>
        </w:rPr>
        <w:t xml:space="preserve"> </w:t>
      </w:r>
      <w:r w:rsidRPr="00FA5EA3">
        <w:rPr>
          <w:rFonts w:cs="Times New Roman"/>
        </w:rPr>
        <w:t>at pp. 1 and 4), all of which have been found to codify the common law rule of discoverability (see</w:t>
      </w:r>
      <w:r>
        <w:rPr>
          <w:rFonts w:cs="Times New Roman"/>
        </w:rPr>
        <w:t>,</w:t>
      </w:r>
      <w:r w:rsidRPr="00FA5EA3">
        <w:rPr>
          <w:rFonts w:cs="Times New Roman"/>
        </w:rPr>
        <w:t xml:space="preserve"> e.g.</w:t>
      </w:r>
      <w:r>
        <w:rPr>
          <w:rFonts w:cs="Times New Roman"/>
        </w:rPr>
        <w:t>,</w:t>
      </w:r>
      <w:r w:rsidRPr="00FA5EA3">
        <w:rPr>
          <w:rFonts w:cs="Times New Roman"/>
        </w:rPr>
        <w:t xml:space="preserve"> </w:t>
      </w:r>
      <w:r w:rsidRPr="00FA5EA3">
        <w:rPr>
          <w:rFonts w:cs="Times New Roman"/>
          <w:i/>
        </w:rPr>
        <w:t>Galota v. Festival Hall Developments L</w:t>
      </w:r>
      <w:r>
        <w:rPr>
          <w:rFonts w:cs="Times New Roman"/>
          <w:i/>
        </w:rPr>
        <w:t>t</w:t>
      </w:r>
      <w:r w:rsidRPr="00FA5EA3">
        <w:rPr>
          <w:rFonts w:cs="Times New Roman"/>
          <w:i/>
        </w:rPr>
        <w:t>d</w:t>
      </w:r>
      <w:r>
        <w:rPr>
          <w:rFonts w:cs="Times New Roman"/>
          <w:i/>
        </w:rPr>
        <w:t>.</w:t>
      </w:r>
      <w:r w:rsidRPr="00792C4A">
        <w:rPr>
          <w:rFonts w:cs="Times New Roman"/>
        </w:rPr>
        <w:t>,</w:t>
      </w:r>
      <w:r w:rsidRPr="00FA5EA3">
        <w:rPr>
          <w:rFonts w:cs="Times New Roman"/>
          <w:i/>
        </w:rPr>
        <w:t xml:space="preserve"> </w:t>
      </w:r>
      <w:r w:rsidRPr="00FA5EA3">
        <w:rPr>
          <w:rFonts w:cs="Times New Roman"/>
        </w:rPr>
        <w:t xml:space="preserve">2016 ONCA 585, </w:t>
      </w:r>
      <w:r>
        <w:rPr>
          <w:rFonts w:cs="Times New Roman"/>
        </w:rPr>
        <w:t xml:space="preserve">133 O.R. (3d) 35, </w:t>
      </w:r>
      <w:r w:rsidRPr="00FA5EA3">
        <w:rPr>
          <w:rFonts w:cs="Times New Roman"/>
        </w:rPr>
        <w:t xml:space="preserve">at para. 15; </w:t>
      </w:r>
      <w:r w:rsidRPr="00FA5EA3">
        <w:rPr>
          <w:rFonts w:cs="Times New Roman"/>
          <w:i/>
        </w:rPr>
        <w:t>De Shazo v. Nations Energy Co.</w:t>
      </w:r>
      <w:r w:rsidRPr="00FA5EA3">
        <w:rPr>
          <w:rFonts w:cs="Times New Roman"/>
        </w:rPr>
        <w:t xml:space="preserve">, 2005 ABCA 241, </w:t>
      </w:r>
      <w:r>
        <w:rPr>
          <w:rFonts w:cs="Times New Roman"/>
        </w:rPr>
        <w:t>48 Alta. L.R. (4</w:t>
      </w:r>
      <w:r w:rsidRPr="00792C4A">
        <w:rPr>
          <w:rFonts w:cs="Times New Roman"/>
        </w:rPr>
        <w:t>th</w:t>
      </w:r>
      <w:r>
        <w:rPr>
          <w:rFonts w:cs="Times New Roman"/>
        </w:rPr>
        <w:t xml:space="preserve">) 25, </w:t>
      </w:r>
      <w:r w:rsidRPr="00FA5EA3">
        <w:rPr>
          <w:rFonts w:cs="Times New Roman"/>
        </w:rPr>
        <w:t xml:space="preserve">at para. 26; </w:t>
      </w:r>
      <w:r w:rsidRPr="00FA5EA3">
        <w:rPr>
          <w:rFonts w:cs="Times New Roman"/>
          <w:i/>
        </w:rPr>
        <w:t>Jardine v</w:t>
      </w:r>
      <w:r>
        <w:rPr>
          <w:rFonts w:cs="Times New Roman"/>
          <w:i/>
        </w:rPr>
        <w:t>.</w:t>
      </w:r>
      <w:r w:rsidRPr="00FA5EA3">
        <w:rPr>
          <w:rFonts w:cs="Times New Roman"/>
          <w:i/>
        </w:rPr>
        <w:t xml:space="preserve"> Saskatoon Police Service</w:t>
      </w:r>
      <w:r w:rsidRPr="00FA5EA3">
        <w:rPr>
          <w:rFonts w:cs="Times New Roman"/>
        </w:rPr>
        <w:t>, 2017 SKQB 217, at para. 36</w:t>
      </w:r>
      <w:r>
        <w:rPr>
          <w:rFonts w:cs="Times New Roman"/>
        </w:rPr>
        <w:t xml:space="preserve"> (CanLII)</w:t>
      </w:r>
      <w:r w:rsidRPr="00FA5EA3">
        <w:rPr>
          <w:rFonts w:cs="Times New Roman"/>
        </w:rPr>
        <w:t>). The legislature’s express intention to replicate provisions that codify the common law rule is compelling evidence that New</w:t>
      </w:r>
      <w:r>
        <w:rPr>
          <w:rFonts w:cs="Times New Roman"/>
        </w:rPr>
        <w:t> </w:t>
      </w:r>
      <w:r w:rsidRPr="00FA5EA3">
        <w:rPr>
          <w:rFonts w:cs="Times New Roman"/>
        </w:rPr>
        <w:t xml:space="preserve">Brunswick intended to follow suit. </w:t>
      </w:r>
    </w:p>
    <w:p w14:paraId="01C08CDE" w14:textId="77777777" w:rsidR="00524A77" w:rsidRPr="00FA5EA3" w:rsidRDefault="00524A77" w:rsidP="00524A77">
      <w:pPr>
        <w:pStyle w:val="ParaNoNdepar-AltN"/>
        <w:tabs>
          <w:tab w:val="clear" w:pos="1152"/>
          <w:tab w:val="left" w:pos="1166"/>
        </w:tabs>
        <w:rPr>
          <w:rFonts w:cs="Times New Roman"/>
        </w:rPr>
      </w:pPr>
      <w:r w:rsidRPr="00FA5EA3">
        <w:rPr>
          <w:rFonts w:cs="Times New Roman"/>
        </w:rPr>
        <w:t>In arguing that the legislature ousted the common law rule, Grant Thornton points to some linguistic differences between the common law rule and s. 5. It emphasizes the fact that the common law rule uses the term “cause of action”, whereas s. 5 uses the term “claim”. According to Grant Thornton, these concepts are distinct: the former refers to a set of facts entitling a plaintiff to a remedy from the court, while the latter is “purely a limitations concept” with “only two factual components (wrongful conduct and resulting damage</w:t>
      </w:r>
      <w:r>
        <w:rPr>
          <w:rFonts w:cs="Times New Roman"/>
        </w:rPr>
        <w:t>)” (A</w:t>
      </w:r>
      <w:r w:rsidRPr="00FA5EA3">
        <w:rPr>
          <w:rFonts w:cs="Times New Roman"/>
        </w:rPr>
        <w:t xml:space="preserve">.F., </w:t>
      </w:r>
      <w:r>
        <w:rPr>
          <w:rFonts w:cs="Times New Roman"/>
        </w:rPr>
        <w:t xml:space="preserve">Grant Thornton LLP and Kent M. Ostridge, </w:t>
      </w:r>
      <w:r w:rsidRPr="00FA5EA3">
        <w:rPr>
          <w:rFonts w:cs="Times New Roman"/>
        </w:rPr>
        <w:t>at para. </w:t>
      </w:r>
      <w:r>
        <w:rPr>
          <w:rFonts w:cs="Times New Roman"/>
        </w:rPr>
        <w:t>6</w:t>
      </w:r>
      <w:r w:rsidRPr="00FA5EA3">
        <w:rPr>
          <w:rFonts w:cs="Times New Roman"/>
        </w:rPr>
        <w:t xml:space="preserve">5, </w:t>
      </w:r>
      <w:r>
        <w:rPr>
          <w:rFonts w:cs="Times New Roman"/>
        </w:rPr>
        <w:t>quo</w:t>
      </w:r>
      <w:r w:rsidRPr="00FA5EA3">
        <w:rPr>
          <w:rFonts w:cs="Times New Roman"/>
        </w:rPr>
        <w:t>ting D. Zacks, “Claims, Not Causes of Action: The Misapprehension of Limitations Principles” (2018)</w:t>
      </w:r>
      <w:r>
        <w:rPr>
          <w:rFonts w:cs="Times New Roman"/>
        </w:rPr>
        <w:t xml:space="preserve">, 48 </w:t>
      </w:r>
      <w:r w:rsidRPr="00792C4A">
        <w:rPr>
          <w:rFonts w:cs="Times New Roman"/>
          <w:i/>
        </w:rPr>
        <w:t>Advocates’ Q.</w:t>
      </w:r>
      <w:r w:rsidRPr="00FA5EA3">
        <w:rPr>
          <w:rFonts w:cs="Times New Roman"/>
        </w:rPr>
        <w:t xml:space="preserve"> 165, at p. </w:t>
      </w:r>
      <w:r>
        <w:rPr>
          <w:rFonts w:cs="Times New Roman"/>
        </w:rPr>
        <w:t>165)</w:t>
      </w:r>
      <w:r w:rsidRPr="00FA5EA3">
        <w:rPr>
          <w:rFonts w:cs="Times New Roman"/>
        </w:rPr>
        <w:t xml:space="preserve">. </w:t>
      </w:r>
    </w:p>
    <w:p w14:paraId="52E8C357" w14:textId="77777777" w:rsidR="00524A77" w:rsidRPr="00FA5EA3" w:rsidRDefault="00524A77" w:rsidP="00524A77">
      <w:pPr>
        <w:pStyle w:val="ParaNoNdepar-AltN"/>
        <w:tabs>
          <w:tab w:val="clear" w:pos="1152"/>
          <w:tab w:val="left" w:pos="1166"/>
        </w:tabs>
        <w:rPr>
          <w:rFonts w:cs="Times New Roman"/>
        </w:rPr>
      </w:pPr>
      <w:r w:rsidRPr="00FA5EA3">
        <w:rPr>
          <w:rFonts w:cs="Times New Roman"/>
        </w:rPr>
        <w:t xml:space="preserve">I recognize that the distinction between “claim” and “cause of action” could be meaningful in some circumstances; but in my view, it is not so here. In fact, the </w:t>
      </w:r>
      <w:r w:rsidRPr="00FA5EA3">
        <w:rPr>
          <w:rFonts w:cs="Times New Roman"/>
          <w:i/>
        </w:rPr>
        <w:t>LAA</w:t>
      </w:r>
      <w:r w:rsidRPr="00FA5EA3">
        <w:rPr>
          <w:rFonts w:cs="Times New Roman"/>
        </w:rPr>
        <w:t>’s own wording</w:t>
      </w:r>
      <w:r w:rsidRPr="00FA5EA3">
        <w:rPr>
          <w:rFonts w:cs="Times New Roman"/>
          <w:i/>
        </w:rPr>
        <w:t xml:space="preserve"> </w:t>
      </w:r>
      <w:r w:rsidRPr="00FA5EA3">
        <w:rPr>
          <w:rFonts w:cs="Times New Roman"/>
        </w:rPr>
        <w:t xml:space="preserve">shows that the use of “claim” does not rule out a shared meaning with “cause of action”. Section 1(1) defines a claim as a “claim to remedy the injury, loss or damage that occurred as a result of an act or omission”. In short, s. 1(1) indicates that the legislature’s use of the term “claim” focuses on a set of facts giving rise to a remedy, which is the same meaning that Grant Thornton attributes to the term “cause of action”. </w:t>
      </w:r>
    </w:p>
    <w:p w14:paraId="469ABE45" w14:textId="77777777" w:rsidR="00524A77" w:rsidRPr="00FA5EA3" w:rsidRDefault="00524A77" w:rsidP="00524A77">
      <w:pPr>
        <w:pStyle w:val="ParaNoNdepar-AltN"/>
        <w:rPr>
          <w:rFonts w:cs="Times New Roman"/>
          <w:lang w:val="en-US"/>
        </w:rPr>
      </w:pPr>
      <w:r w:rsidRPr="00FA5EA3">
        <w:rPr>
          <w:rFonts w:cs="Times New Roman"/>
          <w:lang w:val="fr-CA"/>
        </w:rPr>
        <w:t xml:space="preserve">This interpretation is supported by </w:t>
      </w:r>
      <w:r w:rsidRPr="00FA5EA3">
        <w:rPr>
          <w:rFonts w:eastAsia="Times New Roman" w:cs="Times New Roman"/>
          <w:lang w:val="fr-CA"/>
        </w:rPr>
        <w:t>the French text of s.</w:t>
      </w:r>
      <w:r>
        <w:rPr>
          <w:rFonts w:eastAsia="Times New Roman" w:cs="Times New Roman"/>
          <w:lang w:val="fr-CA"/>
        </w:rPr>
        <w:t> </w:t>
      </w:r>
      <w:r w:rsidRPr="00FA5EA3">
        <w:rPr>
          <w:rFonts w:eastAsia="Times New Roman" w:cs="Times New Roman"/>
          <w:lang w:val="fr-CA"/>
        </w:rPr>
        <w:t>5(2)</w:t>
      </w:r>
      <w:r>
        <w:rPr>
          <w:rFonts w:eastAsia="Times New Roman" w:cs="Times New Roman"/>
          <w:lang w:val="fr-CA"/>
        </w:rPr>
        <w:t xml:space="preserve"> of the</w:t>
      </w:r>
      <w:r w:rsidRPr="00FA5EA3">
        <w:rPr>
          <w:rFonts w:eastAsia="Times New Roman" w:cs="Times New Roman"/>
          <w:lang w:val="fr-CA"/>
        </w:rPr>
        <w:t xml:space="preserve"> </w:t>
      </w:r>
      <w:r w:rsidRPr="00FA5EA3">
        <w:rPr>
          <w:rFonts w:eastAsia="Times New Roman" w:cs="Times New Roman"/>
          <w:i/>
          <w:iCs/>
          <w:lang w:val="fr-CA"/>
        </w:rPr>
        <w:t>LAA</w:t>
      </w:r>
      <w:r w:rsidRPr="00FA5EA3">
        <w:rPr>
          <w:rFonts w:eastAsia="Times New Roman" w:cs="Times New Roman"/>
          <w:lang w:val="fr-CA"/>
        </w:rPr>
        <w:t xml:space="preserve">, which reads in part as follows: </w:t>
      </w:r>
      <w:r w:rsidRPr="000D6962">
        <w:rPr>
          <w:rFonts w:eastAsia="Times New Roman" w:cs="Times New Roman"/>
          <w:lang w:val="fr-CA"/>
        </w:rPr>
        <w:t>“</w:t>
      </w:r>
      <w:r w:rsidRPr="000D6962">
        <w:rPr>
          <w:rFonts w:eastAsia="Times New Roman" w:cs="Times New Roman"/>
          <w:i/>
          <w:u w:val="single"/>
          <w:lang w:val="fr-CA"/>
        </w:rPr>
        <w:t>[</w:t>
      </w:r>
      <w:r w:rsidRPr="00792C4A">
        <w:rPr>
          <w:rFonts w:eastAsia="Times New Roman" w:cs="Times New Roman"/>
          <w:i/>
          <w:u w:val="single"/>
          <w:lang w:val="fr-CA"/>
        </w:rPr>
        <w:t>l]es faits ayant donné naissance à la réclamation</w:t>
      </w:r>
      <w:r w:rsidRPr="00792C4A">
        <w:rPr>
          <w:rFonts w:eastAsia="Times New Roman" w:cs="Times New Roman"/>
          <w:i/>
          <w:lang w:val="fr-CA"/>
        </w:rPr>
        <w:t xml:space="preserve"> sont découverts le jour où le réclamant a appris ou aurait</w:t>
      </w:r>
      <w:r w:rsidRPr="00792C4A">
        <w:rPr>
          <w:rFonts w:cs="Times New Roman"/>
          <w:i/>
          <w:lang w:val="fr-CA"/>
        </w:rPr>
        <w:t xml:space="preserve"> dû normalement apprendre</w:t>
      </w:r>
      <w:r w:rsidRPr="00FA5EA3">
        <w:rPr>
          <w:rFonts w:eastAsia="Times New Roman" w:cs="Times New Roman"/>
          <w:lang w:val="fr-CA"/>
        </w:rPr>
        <w:t>”</w:t>
      </w:r>
      <w:r>
        <w:rPr>
          <w:rFonts w:cs="Times New Roman"/>
          <w:lang w:val="fr-CA"/>
        </w:rPr>
        <w:t xml:space="preserve">. In addition, the French text of </w:t>
      </w:r>
      <w:r w:rsidRPr="00FA5EA3">
        <w:rPr>
          <w:rFonts w:cs="Times New Roman"/>
          <w:lang w:val="fr-CA"/>
        </w:rPr>
        <w:t xml:space="preserve">s. 1(1) defines </w:t>
      </w:r>
      <w:r w:rsidRPr="00FA5EA3">
        <w:rPr>
          <w:rFonts w:eastAsia="Times New Roman" w:cs="Times New Roman"/>
          <w:lang w:val="fr-CA"/>
        </w:rPr>
        <w:t>“</w:t>
      </w:r>
      <w:r w:rsidRPr="00792C4A">
        <w:rPr>
          <w:rFonts w:eastAsia="Times New Roman" w:cs="Times New Roman"/>
          <w:i/>
          <w:lang w:val="fr-CA"/>
        </w:rPr>
        <w:t>r</w:t>
      </w:r>
      <w:r w:rsidRPr="00792C4A">
        <w:rPr>
          <w:rFonts w:cs="Times New Roman"/>
          <w:i/>
          <w:lang w:val="fr-CA"/>
        </w:rPr>
        <w:t>éclamation</w:t>
      </w:r>
      <w:r w:rsidRPr="00FA5EA3">
        <w:rPr>
          <w:rFonts w:eastAsia="Times New Roman" w:cs="Times New Roman"/>
          <w:lang w:val="fr-CA"/>
        </w:rPr>
        <w:t xml:space="preserve">” </w:t>
      </w:r>
      <w:r w:rsidRPr="00FA5EA3">
        <w:rPr>
          <w:rFonts w:cs="Times New Roman"/>
          <w:lang w:val="fr-CA"/>
        </w:rPr>
        <w:t xml:space="preserve">as </w:t>
      </w:r>
      <w:r w:rsidRPr="00FA5EA3">
        <w:rPr>
          <w:rFonts w:eastAsia="Times New Roman" w:cs="Times New Roman"/>
          <w:lang w:val="fr-CA"/>
        </w:rPr>
        <w:t>“</w:t>
      </w:r>
      <w:r w:rsidRPr="00792C4A">
        <w:rPr>
          <w:rFonts w:cs="Times New Roman"/>
          <w:i/>
          <w:lang w:val="fr-CA"/>
        </w:rPr>
        <w:t>[r]éclamation pour obtenir réparation de préjudices, de pertes ou de dommages survenus par suite d’un acte ou d’une omission</w:t>
      </w:r>
      <w:r w:rsidRPr="00FA5EA3">
        <w:rPr>
          <w:rFonts w:eastAsia="Times New Roman" w:cs="Times New Roman"/>
          <w:lang w:val="fr-CA"/>
        </w:rPr>
        <w:t>”</w:t>
      </w:r>
      <w:r w:rsidRPr="00FA5EA3">
        <w:rPr>
          <w:rFonts w:cs="Times New Roman"/>
          <w:lang w:val="fr-CA"/>
        </w:rPr>
        <w:t xml:space="preserve">. </w:t>
      </w:r>
      <w:r w:rsidRPr="00FA5EA3">
        <w:rPr>
          <w:rFonts w:eastAsia="Times New Roman" w:cs="Times New Roman"/>
        </w:rPr>
        <w:t>As is apparent, the wording of the French text supports my interpretation of the English text, and confirms that “claim” in s. 5 means “cause of action”, namely: discovering the facts giving rise to a claim to obtain relief for the injury, loss or damage that resulted from an act or omission. This is the legal equivalent of “</w:t>
      </w:r>
      <w:r w:rsidRPr="00FA5EA3">
        <w:rPr>
          <w:rFonts w:cs="Times New Roman"/>
        </w:rPr>
        <w:t>a set of facts entitling a plaintiff to a remedy</w:t>
      </w:r>
      <w:r w:rsidRPr="00FA5EA3">
        <w:rPr>
          <w:rFonts w:eastAsia="Times New Roman" w:cs="Times New Roman"/>
        </w:rPr>
        <w:t xml:space="preserve">”, the definition of a “cause of action” put forward by Grant Thornton. </w:t>
      </w:r>
    </w:p>
    <w:p w14:paraId="3982297E" w14:textId="77777777" w:rsidR="00524A77" w:rsidRPr="00FA5EA3" w:rsidRDefault="00524A77" w:rsidP="00524A77">
      <w:pPr>
        <w:pStyle w:val="ParaNoNdepar-AltN"/>
        <w:tabs>
          <w:tab w:val="clear" w:pos="1152"/>
          <w:tab w:val="left" w:pos="1166"/>
        </w:tabs>
        <w:rPr>
          <w:rFonts w:cs="Times New Roman"/>
        </w:rPr>
      </w:pPr>
      <w:r w:rsidRPr="00FA5EA3">
        <w:rPr>
          <w:rFonts w:cs="Times New Roman"/>
        </w:rPr>
        <w:t xml:space="preserve">More probative are the Hansard Debates preceding the enactment of the </w:t>
      </w:r>
      <w:r w:rsidRPr="00FA5EA3">
        <w:rPr>
          <w:rFonts w:cs="Times New Roman"/>
          <w:i/>
        </w:rPr>
        <w:t>LAA</w:t>
      </w:r>
      <w:r w:rsidRPr="00FA5EA3">
        <w:rPr>
          <w:rFonts w:cs="Times New Roman"/>
        </w:rPr>
        <w:t>. When asked why the statute uses the term “claim” instead of “cause of action”, the Minister of Justice explained:</w:t>
      </w:r>
    </w:p>
    <w:p w14:paraId="517EAB1A" w14:textId="77777777" w:rsidR="00524A77" w:rsidRDefault="00524A77" w:rsidP="00524A77">
      <w:pPr>
        <w:pStyle w:val="Citation-AltC"/>
        <w:ind w:firstLine="274"/>
      </w:pPr>
      <w:r w:rsidRPr="00FA5EA3">
        <w:t>In a sense, it is really just semantics. Tim Rattenbury, who works for the Office of the Attorney General, and I had a good discussion. The word “claim” is just another way to characterize bringing forward your matter for purposes of litigation. “Cause of action” is the same thing. The standardization of these particular ways of characterizing an action before the courts is simply semantics.</w:t>
      </w:r>
    </w:p>
    <w:p w14:paraId="0376E69B" w14:textId="77777777" w:rsidR="00524A77" w:rsidRDefault="00524A77" w:rsidP="00524A77">
      <w:pPr>
        <w:pStyle w:val="Citation-AltC"/>
        <w:ind w:firstLine="274"/>
      </w:pPr>
    </w:p>
    <w:p w14:paraId="037979D7" w14:textId="77777777" w:rsidR="00524A77" w:rsidRPr="00777706" w:rsidRDefault="00524A77" w:rsidP="00524A77">
      <w:pPr>
        <w:pStyle w:val="Citation-AltC"/>
      </w:pPr>
      <w:r>
        <w:t xml:space="preserve">(New Brunswick, Legislative Assembly, </w:t>
      </w:r>
      <w:r>
        <w:rPr>
          <w:i/>
        </w:rPr>
        <w:t>Journal of Debates (Hansard)</w:t>
      </w:r>
      <w:r>
        <w:t>, 3rd Sess., 56th Assem., June 17, 2009, at p. 50 (Hon. Mr. Burke))</w:t>
      </w:r>
    </w:p>
    <w:p w14:paraId="6643E30D" w14:textId="77777777" w:rsidR="00524A77" w:rsidRPr="00FA5EA3" w:rsidRDefault="00524A77" w:rsidP="00524A77">
      <w:pPr>
        <w:pStyle w:val="Citation-AltC"/>
        <w:ind w:firstLine="274"/>
      </w:pPr>
    </w:p>
    <w:p w14:paraId="556A6188" w14:textId="77777777" w:rsidR="00524A77" w:rsidRPr="00FA5EA3" w:rsidRDefault="00524A77" w:rsidP="00524A77">
      <w:pPr>
        <w:pStyle w:val="ParaNoNdepar-AltN"/>
        <w:numPr>
          <w:ilvl w:val="0"/>
          <w:numId w:val="0"/>
        </w:numPr>
        <w:rPr>
          <w:rFonts w:cs="Times New Roman"/>
        </w:rPr>
      </w:pPr>
      <w:r w:rsidRPr="00FA5EA3">
        <w:rPr>
          <w:rFonts w:cs="Times New Roman"/>
        </w:rPr>
        <w:t xml:space="preserve">In other words, according to the Minister, using “claim” instead of “cause of action” amounts to a distinction without a difference. While not in itself determinative, the Minister’s statement can hardly be taken as evidencing the “clear legislative language” needed to oust or limit the common law rule (see </w:t>
      </w:r>
      <w:r w:rsidRPr="00FA5EA3">
        <w:rPr>
          <w:rFonts w:cs="Times New Roman"/>
          <w:i/>
        </w:rPr>
        <w:t>Godfrey</w:t>
      </w:r>
      <w:r w:rsidRPr="00792C4A">
        <w:rPr>
          <w:rFonts w:cs="Times New Roman"/>
        </w:rPr>
        <w:t>,</w:t>
      </w:r>
      <w:r w:rsidRPr="00FA5EA3">
        <w:rPr>
          <w:rFonts w:cs="Times New Roman"/>
          <w:i/>
        </w:rPr>
        <w:t xml:space="preserve"> </w:t>
      </w:r>
      <w:r w:rsidRPr="00FA5EA3">
        <w:rPr>
          <w:rFonts w:cs="Times New Roman"/>
        </w:rPr>
        <w:t xml:space="preserve">at para. 32). If anything, it demonstrates the opposite. </w:t>
      </w:r>
    </w:p>
    <w:p w14:paraId="6D2C8940" w14:textId="77777777" w:rsidR="00524A77" w:rsidRPr="00FA5EA3" w:rsidRDefault="00524A77" w:rsidP="00524A77">
      <w:pPr>
        <w:pStyle w:val="ParaNoNdepar-AltN"/>
        <w:tabs>
          <w:tab w:val="clear" w:pos="1152"/>
          <w:tab w:val="left" w:pos="1166"/>
        </w:tabs>
        <w:rPr>
          <w:rFonts w:cs="Times New Roman"/>
        </w:rPr>
      </w:pPr>
      <w:r w:rsidRPr="00FA5EA3">
        <w:rPr>
          <w:rFonts w:cs="Times New Roman"/>
        </w:rPr>
        <w:t xml:space="preserve">In sum, </w:t>
      </w:r>
      <w:r>
        <w:rPr>
          <w:rFonts w:cs="Times New Roman"/>
          <w:shd w:val="clear" w:color="auto" w:fill="FFFFFF"/>
        </w:rPr>
        <w:t xml:space="preserve">I am satisfied that </w:t>
      </w:r>
      <w:r w:rsidRPr="00FA5EA3">
        <w:rPr>
          <w:rFonts w:cs="Times New Roman"/>
          <w:shd w:val="clear" w:color="auto" w:fill="FFFFFF"/>
        </w:rPr>
        <w:t>s. 5(1)(a) and (2) codif</w:t>
      </w:r>
      <w:r>
        <w:rPr>
          <w:rFonts w:cs="Times New Roman"/>
          <w:shd w:val="clear" w:color="auto" w:fill="FFFFFF"/>
        </w:rPr>
        <w:t>ies</w:t>
      </w:r>
      <w:r w:rsidRPr="00FA5EA3">
        <w:rPr>
          <w:rFonts w:cs="Times New Roman"/>
          <w:shd w:val="clear" w:color="auto" w:fill="FFFFFF"/>
        </w:rPr>
        <w:t xml:space="preserve"> the common law rule of discoverability. </w:t>
      </w:r>
      <w:r w:rsidRPr="00FA5EA3">
        <w:rPr>
          <w:rFonts w:eastAsia="Times New Roman" w:cs="Times New Roman"/>
        </w:rPr>
        <w:t xml:space="preserve">As established by that rule and the </w:t>
      </w:r>
      <w:r w:rsidRPr="00FA5EA3">
        <w:rPr>
          <w:rFonts w:eastAsia="Times New Roman" w:cs="Times New Roman"/>
          <w:i/>
        </w:rPr>
        <w:t>LAA</w:t>
      </w:r>
      <w:r w:rsidRPr="00792C4A">
        <w:rPr>
          <w:rFonts w:eastAsia="Times New Roman" w:cs="Times New Roman"/>
        </w:rPr>
        <w:t>,</w:t>
      </w:r>
      <w:r w:rsidRPr="00FA5EA3">
        <w:rPr>
          <w:rFonts w:eastAsia="Times New Roman" w:cs="Times New Roman"/>
          <w:i/>
        </w:rPr>
        <w:t xml:space="preserve"> </w:t>
      </w:r>
      <w:r w:rsidRPr="00FA5EA3">
        <w:rPr>
          <w:rFonts w:eastAsia="Times New Roman" w:cs="Times New Roman"/>
        </w:rPr>
        <w:t>the limitation period is triggered when</w:t>
      </w:r>
      <w:r w:rsidRPr="00FA5EA3">
        <w:rPr>
          <w:rFonts w:cs="Times New Roman"/>
          <w:shd w:val="clear" w:color="auto" w:fill="FFFFFF"/>
        </w:rPr>
        <w:t xml:space="preserve"> </w:t>
      </w:r>
      <w:r w:rsidRPr="00FA5EA3">
        <w:rPr>
          <w:rFonts w:eastAsia="Times New Roman" w:cs="Times New Roman"/>
        </w:rPr>
        <w:t xml:space="preserve">the plaintiff discovers or ought to have discovered through the exercise of reasonable diligence the material facts on which the claim is based. </w:t>
      </w:r>
      <w:r w:rsidRPr="00FA5EA3">
        <w:rPr>
          <w:rFonts w:cs="Times New Roman"/>
        </w:rPr>
        <w:t>Having so found, I turn now to ascertaining the particular degree of knowledge required to discover a claim under s. 5.</w:t>
      </w:r>
    </w:p>
    <w:p w14:paraId="609A5D33" w14:textId="77777777" w:rsidR="00524A77" w:rsidRPr="00FA5EA3" w:rsidRDefault="00524A77" w:rsidP="00524A77">
      <w:pPr>
        <w:pStyle w:val="Title3LevelTitre3Niveau"/>
        <w:rPr>
          <w:rFonts w:cs="Times New Roman"/>
        </w:rPr>
      </w:pPr>
      <w:r w:rsidRPr="00FA5EA3">
        <w:rPr>
          <w:rFonts w:cs="Times New Roman"/>
        </w:rPr>
        <w:t xml:space="preserve">The Requisite Degree of Knowledge </w:t>
      </w:r>
    </w:p>
    <w:p w14:paraId="1CF65E99" w14:textId="77777777" w:rsidR="00524A77" w:rsidRPr="00FA5EA3" w:rsidRDefault="00524A77" w:rsidP="00524A77">
      <w:pPr>
        <w:pStyle w:val="ParaNoNdepar-AltN"/>
        <w:rPr>
          <w:rFonts w:cs="Times New Roman"/>
        </w:rPr>
      </w:pPr>
      <w:r w:rsidRPr="00FA5EA3">
        <w:rPr>
          <w:rFonts w:cs="Times New Roman"/>
        </w:rPr>
        <w:t>As noted, the Court of Appeal disagreed with the motion</w:t>
      </w:r>
      <w:r>
        <w:rPr>
          <w:rFonts w:cs="Times New Roman"/>
        </w:rPr>
        <w:t>s</w:t>
      </w:r>
      <w:r w:rsidRPr="00FA5EA3">
        <w:rPr>
          <w:rFonts w:cs="Times New Roman"/>
        </w:rPr>
        <w:t xml:space="preserve"> judge on the extent of knowledge required to discover a claim under s. 5</w:t>
      </w:r>
      <w:r w:rsidRPr="00FA5EA3">
        <w:rPr>
          <w:rFonts w:cs="Times New Roman"/>
          <w:i/>
        </w:rPr>
        <w:t>.</w:t>
      </w:r>
      <w:r w:rsidRPr="00FA5EA3">
        <w:rPr>
          <w:rFonts w:cs="Times New Roman"/>
        </w:rPr>
        <w:t xml:space="preserve"> The motion</w:t>
      </w:r>
      <w:r>
        <w:rPr>
          <w:rFonts w:cs="Times New Roman"/>
        </w:rPr>
        <w:t>s</w:t>
      </w:r>
      <w:r w:rsidRPr="00FA5EA3">
        <w:rPr>
          <w:rFonts w:cs="Times New Roman"/>
        </w:rPr>
        <w:t xml:space="preserve"> judge held that a plaintiff needs to know only enough facts to have </w:t>
      </w:r>
      <w:r w:rsidRPr="00FA5EA3">
        <w:rPr>
          <w:rFonts w:cs="Times New Roman"/>
          <w:i/>
        </w:rPr>
        <w:t>prima facie</w:t>
      </w:r>
      <w:r w:rsidRPr="00FA5EA3">
        <w:rPr>
          <w:rFonts w:cs="Times New Roman"/>
        </w:rPr>
        <w:t xml:space="preserve"> grounds to infer the existence of a potential claim</w:t>
      </w:r>
      <w:r w:rsidRPr="00FA5EA3">
        <w:rPr>
          <w:rFonts w:eastAsia="Times New Roman" w:cs="Times New Roman"/>
        </w:rPr>
        <w:t>.</w:t>
      </w:r>
      <w:r w:rsidRPr="00FA5EA3">
        <w:rPr>
          <w:rFonts w:cs="Times New Roman"/>
        </w:rPr>
        <w:t xml:space="preserve"> The Court of Appeal, on the other hand, held that discovery of a claim requires actual or constructive knowledge of facts that confer a legally enforceable right to a judicial remedy, which includes knowledge of every constituent element of the cause of action being pled. Thus, on the Court of Appeal’s interpretation, in addition to knowledge of a loss and causation, a claim in negligence would include knowledge of a duty of care as well as knowledge of a breach of the standard of care.</w:t>
      </w:r>
    </w:p>
    <w:p w14:paraId="3297CABB" w14:textId="77777777" w:rsidR="00524A77" w:rsidRPr="00FA5EA3" w:rsidRDefault="00524A77" w:rsidP="00524A77">
      <w:pPr>
        <w:pStyle w:val="ParaNoNdepar-AltN"/>
        <w:rPr>
          <w:rFonts w:cs="Times New Roman"/>
        </w:rPr>
      </w:pPr>
      <w:r w:rsidRPr="00FA5EA3">
        <w:rPr>
          <w:rFonts w:cs="Times New Roman"/>
        </w:rPr>
        <w:t xml:space="preserve">In my respectful view, neither approach accurately describes the degree of knowledge required under s. 5(2) to discover a claim and trigger the limitation period in s. 5(1)(a). I propose the following approach instead: a claim is discovered when a plaintiff has knowledge, actual or constructive, of the material facts upon which a plausible inference of liability on the defendant’s part can be drawn. This approach, in my view, remains faithful to the common law rule of discoverability set out in </w:t>
      </w:r>
      <w:r w:rsidRPr="00FA5EA3">
        <w:rPr>
          <w:rFonts w:cs="Times New Roman"/>
          <w:i/>
        </w:rPr>
        <w:t xml:space="preserve">Rafuse </w:t>
      </w:r>
      <w:r w:rsidRPr="00FA5EA3">
        <w:rPr>
          <w:rFonts w:cs="Times New Roman"/>
        </w:rPr>
        <w:t xml:space="preserve">and accords with s. 5 of the </w:t>
      </w:r>
      <w:r w:rsidRPr="00FA5EA3">
        <w:rPr>
          <w:rFonts w:cs="Times New Roman"/>
          <w:i/>
        </w:rPr>
        <w:t>LAA</w:t>
      </w:r>
      <w:r w:rsidRPr="000020F6">
        <w:rPr>
          <w:rFonts w:cs="Times New Roman"/>
        </w:rPr>
        <w:t>.</w:t>
      </w:r>
      <w:r w:rsidRPr="00FA5EA3">
        <w:rPr>
          <w:rFonts w:cs="Times New Roman"/>
          <w:i/>
        </w:rPr>
        <w:t xml:space="preserve"> </w:t>
      </w:r>
    </w:p>
    <w:p w14:paraId="044935CA" w14:textId="77777777" w:rsidR="00524A77" w:rsidRPr="00FA5EA3" w:rsidRDefault="00524A77" w:rsidP="00524A77">
      <w:pPr>
        <w:pStyle w:val="ParaNoNdepar-AltN"/>
        <w:rPr>
          <w:rFonts w:cs="Times New Roman"/>
        </w:rPr>
      </w:pPr>
      <w:r w:rsidRPr="00FA5EA3">
        <w:rPr>
          <w:rFonts w:cs="Times New Roman"/>
        </w:rPr>
        <w:t>By way of explanation, the material facts that must be actually or constructively known are generally set out in the limitation statute. Here, they are listed in s. </w:t>
      </w:r>
      <w:r>
        <w:rPr>
          <w:rFonts w:cs="Times New Roman"/>
        </w:rPr>
        <w:t xml:space="preserve">5(2)(a) to </w:t>
      </w:r>
      <w:r w:rsidRPr="00FA5EA3">
        <w:rPr>
          <w:rFonts w:cs="Times New Roman"/>
        </w:rPr>
        <w:t xml:space="preserve">(c). Pursuant to s. 5(2), a claim is discovered when the plaintiff has actual or constructive knowledge that: (a) the injury, loss or damage occurred; (b) the injury loss or damage was caused by or contributed to by an act or omission; and (c) the act or omission was that of the defendant. </w:t>
      </w:r>
      <w:r w:rsidRPr="00FA5EA3">
        <w:rPr>
          <w:rFonts w:eastAsia="Times New Roman" w:cs="Times New Roman"/>
        </w:rPr>
        <w:t xml:space="preserve">This list is cumulative, not disjunctive. For instance, knowledge of a loss, without more, is insufficient to trigger the limitation period. </w:t>
      </w:r>
    </w:p>
    <w:p w14:paraId="07A12F4C" w14:textId="77777777" w:rsidR="00524A77" w:rsidRPr="00FA5EA3" w:rsidRDefault="00524A77" w:rsidP="00524A77">
      <w:pPr>
        <w:pStyle w:val="ParaNoNdepar-AltN"/>
        <w:rPr>
          <w:rFonts w:eastAsia="Times New Roman" w:cs="Times New Roman"/>
        </w:rPr>
      </w:pPr>
      <w:r w:rsidRPr="00FA5EA3">
        <w:rPr>
          <w:rFonts w:cs="Times New Roman"/>
        </w:rPr>
        <w:t xml:space="preserve">In assessing the plaintiff’s state of knowledge, both direct and circumstantial evidence can be used. Moreover, </w:t>
      </w:r>
      <w:r w:rsidRPr="00FA5EA3">
        <w:rPr>
          <w:rFonts w:eastAsia="Times New Roman" w:cs="Times New Roman"/>
        </w:rPr>
        <w:t xml:space="preserve">a plaintiff will have constructive knowledge when the evidence shows that the plaintiff ought to have discovered the material facts by exercising reasonable diligence. Suspicion may trigger that exercise </w:t>
      </w:r>
      <w:r w:rsidRPr="00FA5EA3">
        <w:rPr>
          <w:rFonts w:cs="Times New Roman"/>
        </w:rPr>
        <w:t>(</w:t>
      </w:r>
      <w:r w:rsidRPr="00FA5EA3">
        <w:rPr>
          <w:rFonts w:cs="Times New Roman"/>
          <w:i/>
          <w:shd w:val="clear" w:color="auto" w:fill="FFFFFF"/>
        </w:rPr>
        <w:t>Crombie Property Holdings L</w:t>
      </w:r>
      <w:r>
        <w:rPr>
          <w:rFonts w:cs="Times New Roman"/>
          <w:i/>
          <w:shd w:val="clear" w:color="auto" w:fill="FFFFFF"/>
        </w:rPr>
        <w:t>t</w:t>
      </w:r>
      <w:r w:rsidRPr="00FA5EA3">
        <w:rPr>
          <w:rFonts w:cs="Times New Roman"/>
          <w:i/>
          <w:shd w:val="clear" w:color="auto" w:fill="FFFFFF"/>
        </w:rPr>
        <w:t>d</w:t>
      </w:r>
      <w:r>
        <w:rPr>
          <w:rFonts w:cs="Times New Roman"/>
          <w:i/>
          <w:shd w:val="clear" w:color="auto" w:fill="FFFFFF"/>
        </w:rPr>
        <w:t>.</w:t>
      </w:r>
      <w:r w:rsidRPr="00FA5EA3">
        <w:rPr>
          <w:rFonts w:cs="Times New Roman"/>
          <w:i/>
          <w:shd w:val="clear" w:color="auto" w:fill="FFFFFF"/>
        </w:rPr>
        <w:t xml:space="preserve"> v. McColl-Frontenac Inc.</w:t>
      </w:r>
      <w:r w:rsidRPr="00FA5EA3">
        <w:rPr>
          <w:rFonts w:cs="Times New Roman"/>
          <w:shd w:val="clear" w:color="auto" w:fill="FFFFFF"/>
        </w:rPr>
        <w:t xml:space="preserve">, 2017 ONCA 16, </w:t>
      </w:r>
      <w:r>
        <w:rPr>
          <w:rFonts w:cs="Times New Roman"/>
          <w:shd w:val="clear" w:color="auto" w:fill="FFFFFF"/>
        </w:rPr>
        <w:t>406 D.L.R. (4</w:t>
      </w:r>
      <w:r w:rsidRPr="00121D6F">
        <w:rPr>
          <w:rFonts w:cs="Times New Roman"/>
          <w:shd w:val="clear" w:color="auto" w:fill="FFFFFF"/>
        </w:rPr>
        <w:t>th</w:t>
      </w:r>
      <w:r>
        <w:rPr>
          <w:rFonts w:cs="Times New Roman"/>
          <w:shd w:val="clear" w:color="auto" w:fill="FFFFFF"/>
        </w:rPr>
        <w:t xml:space="preserve">) 252, </w:t>
      </w:r>
      <w:r w:rsidRPr="00FA5EA3">
        <w:rPr>
          <w:rFonts w:cs="Times New Roman"/>
          <w:shd w:val="clear" w:color="auto" w:fill="FFFFFF"/>
        </w:rPr>
        <w:t xml:space="preserve">at </w:t>
      </w:r>
      <w:r w:rsidRPr="00FA5EA3">
        <w:rPr>
          <w:rFonts w:cs="Times New Roman"/>
        </w:rPr>
        <w:t>para. 42).</w:t>
      </w:r>
    </w:p>
    <w:p w14:paraId="4DA030D4" w14:textId="77777777" w:rsidR="00524A77" w:rsidRPr="00FA5EA3" w:rsidRDefault="00524A77" w:rsidP="00524A77">
      <w:pPr>
        <w:pStyle w:val="ParaNoNdepar-AltN"/>
        <w:rPr>
          <w:rFonts w:cs="Times New Roman"/>
        </w:rPr>
      </w:pPr>
      <w:r w:rsidRPr="00FA5EA3">
        <w:rPr>
          <w:rFonts w:cs="Times New Roman"/>
        </w:rPr>
        <w:t xml:space="preserve">Finally, the governing standard requires the plaintiff to be able to draw a plausible inference of liability on the part of the defendant from the material facts that are actually or constructively known. In this particular context, determining whether a plausible inference of liability can be drawn from the material facts that are known is the same assessment as determining whether a plaintiff “had all of the material facts necessary to </w:t>
      </w:r>
      <w:r w:rsidRPr="00FA5EA3">
        <w:rPr>
          <w:rFonts w:cs="Times New Roman"/>
          <w:szCs w:val="24"/>
        </w:rPr>
        <w:t xml:space="preserve">determine that [it] had </w:t>
      </w:r>
      <w:r w:rsidRPr="00FA5EA3">
        <w:rPr>
          <w:rFonts w:cs="Times New Roman"/>
          <w:i/>
          <w:szCs w:val="24"/>
        </w:rPr>
        <w:t xml:space="preserve">prima facie </w:t>
      </w:r>
      <w:r w:rsidRPr="00FA5EA3">
        <w:rPr>
          <w:rFonts w:cs="Times New Roman"/>
          <w:szCs w:val="24"/>
        </w:rPr>
        <w:t>grounds for inferring [liability on the part of the defendant]” (</w:t>
      </w:r>
      <w:r w:rsidRPr="00FA5EA3">
        <w:rPr>
          <w:rFonts w:cs="Times New Roman"/>
          <w:i/>
          <w:szCs w:val="24"/>
        </w:rPr>
        <w:t>Brown v. Wahl</w:t>
      </w:r>
      <w:r w:rsidRPr="00121D6F">
        <w:rPr>
          <w:rFonts w:cs="Times New Roman"/>
          <w:szCs w:val="24"/>
        </w:rPr>
        <w:t>,</w:t>
      </w:r>
      <w:r w:rsidRPr="00FA5EA3">
        <w:rPr>
          <w:rFonts w:cs="Times New Roman"/>
          <w:i/>
          <w:szCs w:val="24"/>
        </w:rPr>
        <w:t xml:space="preserve"> </w:t>
      </w:r>
      <w:r w:rsidRPr="00FA5EA3">
        <w:rPr>
          <w:rFonts w:cs="Times New Roman"/>
          <w:szCs w:val="24"/>
        </w:rPr>
        <w:t xml:space="preserve">2015 ONCA 778, </w:t>
      </w:r>
      <w:r>
        <w:rPr>
          <w:rFonts w:cs="Times New Roman"/>
          <w:szCs w:val="24"/>
        </w:rPr>
        <w:t xml:space="preserve">128 O.R. (3d) 583, </w:t>
      </w:r>
      <w:r w:rsidRPr="00FA5EA3">
        <w:rPr>
          <w:rFonts w:cs="Times New Roman"/>
          <w:szCs w:val="24"/>
        </w:rPr>
        <w:t>at para. 7</w:t>
      </w:r>
      <w:r>
        <w:rPr>
          <w:rFonts w:cs="Times New Roman"/>
          <w:szCs w:val="24"/>
        </w:rPr>
        <w:t>; see also para. 8,</w:t>
      </w:r>
      <w:r w:rsidRPr="00FA5EA3">
        <w:rPr>
          <w:rFonts w:cs="Times New Roman"/>
          <w:szCs w:val="24"/>
        </w:rPr>
        <w:t xml:space="preserve"> </w:t>
      </w:r>
      <w:r>
        <w:rPr>
          <w:rFonts w:cs="Times New Roman"/>
          <w:szCs w:val="24"/>
        </w:rPr>
        <w:t>quo</w:t>
      </w:r>
      <w:r w:rsidRPr="00FA5EA3">
        <w:rPr>
          <w:rFonts w:cs="Times New Roman"/>
          <w:szCs w:val="24"/>
        </w:rPr>
        <w:t xml:space="preserve">ting </w:t>
      </w:r>
      <w:r w:rsidRPr="00FA5EA3">
        <w:rPr>
          <w:rFonts w:cs="Times New Roman"/>
          <w:i/>
          <w:szCs w:val="24"/>
        </w:rPr>
        <w:t>Lawless</w:t>
      </w:r>
      <w:r>
        <w:rPr>
          <w:rFonts w:cs="Times New Roman"/>
          <w:i/>
          <w:szCs w:val="24"/>
        </w:rPr>
        <w:t xml:space="preserve"> v. Anderson</w:t>
      </w:r>
      <w:r w:rsidRPr="00121D6F">
        <w:rPr>
          <w:rFonts w:cs="Times New Roman"/>
          <w:szCs w:val="24"/>
        </w:rPr>
        <w:t xml:space="preserve">, 2011 ONCA 102, 276 O.A.C. 75, </w:t>
      </w:r>
      <w:r w:rsidRPr="00FA5EA3">
        <w:rPr>
          <w:rFonts w:cs="Times New Roman"/>
          <w:szCs w:val="24"/>
        </w:rPr>
        <w:t xml:space="preserve">at para. 30). Although the question in both circumstances is </w:t>
      </w:r>
      <w:r w:rsidRPr="00FA5EA3">
        <w:rPr>
          <w:rFonts w:cs="Times New Roman"/>
        </w:rPr>
        <w:t xml:space="preserve">whether the plaintiff’s knowledge of the material facts gives rise to an inference that the defendant is liable, </w:t>
      </w:r>
      <w:r w:rsidRPr="00FA5EA3">
        <w:rPr>
          <w:rFonts w:cs="Times New Roman"/>
          <w:szCs w:val="24"/>
        </w:rPr>
        <w:t xml:space="preserve">I prefer to use the term plausible inference because in civil litigation, there does not appear to be a universal definition of what qualifies as </w:t>
      </w:r>
      <w:r w:rsidRPr="00FA5EA3">
        <w:rPr>
          <w:rFonts w:cs="Times New Roman"/>
          <w:i/>
          <w:szCs w:val="24"/>
        </w:rPr>
        <w:t xml:space="preserve">prima facie </w:t>
      </w:r>
      <w:r w:rsidRPr="00FA5EA3">
        <w:rPr>
          <w:rFonts w:cs="Times New Roman"/>
          <w:szCs w:val="24"/>
        </w:rPr>
        <w:t xml:space="preserve">grounds. As the British Columbia Court of Appeal observed in </w:t>
      </w:r>
      <w:r w:rsidRPr="00FE6138">
        <w:rPr>
          <w:rFonts w:cs="Times New Roman"/>
          <w:bCs/>
          <w:i/>
          <w:szCs w:val="24"/>
        </w:rPr>
        <w:t>Insurance Corporation of British Columbia v. Mehat</w:t>
      </w:r>
      <w:r w:rsidRPr="00FE6138">
        <w:rPr>
          <w:rFonts w:cs="Times New Roman"/>
          <w:szCs w:val="24"/>
        </w:rPr>
        <w:t>, 2018 BCCA 242, 11 B.C.L.R. (6th) 217, at</w:t>
      </w:r>
      <w:r w:rsidRPr="00FA5EA3">
        <w:rPr>
          <w:rFonts w:cs="Times New Roman"/>
          <w:szCs w:val="24"/>
        </w:rPr>
        <w:t xml:space="preserve"> para. 77:</w:t>
      </w:r>
    </w:p>
    <w:p w14:paraId="157E1407" w14:textId="77777777" w:rsidR="00524A77" w:rsidRPr="00FA5EA3" w:rsidRDefault="00524A77" w:rsidP="00524A77">
      <w:pPr>
        <w:pStyle w:val="Citation-AltC"/>
      </w:pPr>
      <w:r w:rsidRPr="00FA5EA3">
        <w:t xml:space="preserve">As noted in </w:t>
      </w:r>
      <w:r w:rsidRPr="00FA5EA3">
        <w:rPr>
          <w:i/>
          <w:iCs/>
        </w:rPr>
        <w:t>Sopinka</w:t>
      </w:r>
      <w:r w:rsidRPr="00102F14">
        <w:rPr>
          <w:iCs/>
        </w:rPr>
        <w:t>,</w:t>
      </w:r>
      <w:r w:rsidRPr="00FA5EA3">
        <w:rPr>
          <w:i/>
          <w:iCs/>
        </w:rPr>
        <w:t xml:space="preserve"> Lederman &amp; Bryant: The Law of Evidence in Canada</w:t>
      </w:r>
      <w:r w:rsidRPr="00FA5EA3">
        <w:t>, some cases equate </w:t>
      </w:r>
      <w:r w:rsidRPr="00FA5EA3">
        <w:rPr>
          <w:i/>
          <w:iCs/>
        </w:rPr>
        <w:t>prima facie</w:t>
      </w:r>
      <w:r w:rsidRPr="00FA5EA3">
        <w:t> proof to a situation where the evidence gives rise to a permissible fact inference; others equate </w:t>
      </w:r>
      <w:r w:rsidRPr="00FA5EA3">
        <w:rPr>
          <w:i/>
          <w:iCs/>
        </w:rPr>
        <w:t>prima facie</w:t>
      </w:r>
      <w:r w:rsidRPr="00FA5EA3">
        <w:t> proof to a case where the evidence gives rise to a compelled fact determination, absent evidence to the contrary. </w:t>
      </w:r>
      <w:r>
        <w:t>[Citation omitted.]</w:t>
      </w:r>
    </w:p>
    <w:p w14:paraId="20D3104F" w14:textId="77777777" w:rsidR="00524A77" w:rsidRPr="00FA5EA3" w:rsidRDefault="00524A77" w:rsidP="00524A77">
      <w:pPr>
        <w:pStyle w:val="ParaNoNdepar-AltN"/>
        <w:numPr>
          <w:ilvl w:val="0"/>
          <w:numId w:val="0"/>
        </w:numPr>
        <w:rPr>
          <w:rFonts w:cs="Times New Roman"/>
          <w:i/>
        </w:rPr>
      </w:pPr>
      <w:r w:rsidRPr="00FA5EA3">
        <w:rPr>
          <w:rFonts w:cs="Times New Roman"/>
        </w:rPr>
        <w:t xml:space="preserve">Since the term </w:t>
      </w:r>
      <w:r w:rsidRPr="00FA5EA3">
        <w:rPr>
          <w:rFonts w:cs="Times New Roman"/>
          <w:i/>
        </w:rPr>
        <w:t xml:space="preserve">prima facie </w:t>
      </w:r>
      <w:r w:rsidRPr="00FA5EA3">
        <w:rPr>
          <w:rFonts w:cs="Times New Roman"/>
        </w:rPr>
        <w:t xml:space="preserve">can carry different meanings, using plausible inference in the present context ensures consistency. A plausible inference is one which gives rise to a “permissible fact inference”. </w:t>
      </w:r>
    </w:p>
    <w:p w14:paraId="5C257047" w14:textId="77777777" w:rsidR="00524A77" w:rsidRPr="00FA5EA3" w:rsidRDefault="00524A77" w:rsidP="00524A77">
      <w:pPr>
        <w:pStyle w:val="ParaNoNdepar-AltN"/>
        <w:rPr>
          <w:rStyle w:val="ParaNoNdepar-AltNChar"/>
          <w:rFonts w:cs="Times New Roman"/>
        </w:rPr>
      </w:pPr>
      <w:r w:rsidRPr="00FA5EA3">
        <w:rPr>
          <w:rFonts w:cs="Times New Roman"/>
          <w:szCs w:val="24"/>
        </w:rPr>
        <w:t>T</w:t>
      </w:r>
      <w:r w:rsidRPr="00FA5EA3">
        <w:rPr>
          <w:rFonts w:cs="Times New Roman"/>
        </w:rPr>
        <w:t xml:space="preserve">he plausible </w:t>
      </w:r>
      <w:r w:rsidRPr="00FA5EA3">
        <w:rPr>
          <w:rStyle w:val="ParaNoNdepar-AltNChar"/>
          <w:rFonts w:cs="Times New Roman"/>
        </w:rPr>
        <w:t>inference of liability requirement ensures that the degree of knowledge needed to discover a claim is more than mere suspicion or speculation. This accords with the principles underlying the discoverability rule, which recognize that it is unfair to deprive a plaintiff from bringing a claim before it can reasonably be expected to know the claim exists. At the same time, requiring a plausible inference of liability ensures the standard does not rise so high as to require certainty of liability (</w:t>
      </w:r>
      <w:r w:rsidRPr="00FA5EA3">
        <w:rPr>
          <w:rStyle w:val="ParaNoNdepar-AltNChar"/>
          <w:rFonts w:cs="Times New Roman"/>
          <w:i/>
        </w:rPr>
        <w:t>Kowal v. Shyiak</w:t>
      </w:r>
      <w:r w:rsidRPr="00102F14">
        <w:rPr>
          <w:rStyle w:val="ParaNoNdepar-AltNChar"/>
          <w:rFonts w:cs="Times New Roman"/>
        </w:rPr>
        <w:t>,</w:t>
      </w:r>
      <w:r w:rsidRPr="00FA5EA3">
        <w:rPr>
          <w:rStyle w:val="ParaNoNdepar-AltNChar"/>
          <w:rFonts w:cs="Times New Roman"/>
        </w:rPr>
        <w:t xml:space="preserve"> 2012 ONCA 512</w:t>
      </w:r>
      <w:r>
        <w:rPr>
          <w:rStyle w:val="ParaNoNdepar-AltNChar"/>
          <w:rFonts w:cs="Times New Roman"/>
        </w:rPr>
        <w:t>, 296 O.A.C. 352</w:t>
      </w:r>
      <w:r w:rsidRPr="00FA5EA3">
        <w:rPr>
          <w:rStyle w:val="ParaNoNdepar-AltNChar"/>
          <w:rFonts w:cs="Times New Roman"/>
        </w:rPr>
        <w:t>) or “perfect knowledge” (</w:t>
      </w:r>
      <w:r w:rsidRPr="00FA5EA3">
        <w:rPr>
          <w:rStyle w:val="ParaNoNdepar-AltNChar"/>
          <w:rFonts w:cs="Times New Roman"/>
          <w:i/>
        </w:rPr>
        <w:t>De</w:t>
      </w:r>
      <w:r>
        <w:rPr>
          <w:rStyle w:val="ParaNoNdepar-AltNChar"/>
          <w:rFonts w:cs="Times New Roman"/>
          <w:i/>
        </w:rPr>
        <w:t> </w:t>
      </w:r>
      <w:r w:rsidRPr="00FA5EA3">
        <w:rPr>
          <w:rStyle w:val="ParaNoNdepar-AltNChar"/>
          <w:rFonts w:cs="Times New Roman"/>
          <w:i/>
        </w:rPr>
        <w:t>Shazo</w:t>
      </w:r>
      <w:r w:rsidRPr="00FA5EA3">
        <w:rPr>
          <w:rStyle w:val="ParaNoNdepar-AltNChar"/>
          <w:rFonts w:cs="Times New Roman"/>
        </w:rPr>
        <w:t>, at para. 31;</w:t>
      </w:r>
      <w:r>
        <w:rPr>
          <w:rStyle w:val="ParaNoNdepar-AltNChar"/>
          <w:rFonts w:cs="Times New Roman"/>
        </w:rPr>
        <w:t xml:space="preserve"> see also the concept of “perfect certainty” in</w:t>
      </w:r>
      <w:r w:rsidRPr="00FA5EA3">
        <w:rPr>
          <w:rStyle w:val="ParaNoNdepar-AltNChar"/>
          <w:rFonts w:cs="Times New Roman"/>
        </w:rPr>
        <w:t xml:space="preserve"> </w:t>
      </w:r>
      <w:r w:rsidRPr="00FA5EA3">
        <w:rPr>
          <w:rStyle w:val="ParaNoNdepar-AltNChar"/>
          <w:rFonts w:cs="Times New Roman"/>
          <w:i/>
        </w:rPr>
        <w:t xml:space="preserve">Hill v. </w:t>
      </w:r>
      <w:r>
        <w:rPr>
          <w:rStyle w:val="ParaNoNdepar-AltNChar"/>
          <w:rFonts w:cs="Times New Roman"/>
          <w:i/>
        </w:rPr>
        <w:t xml:space="preserve">South </w:t>
      </w:r>
      <w:r w:rsidRPr="00FA5EA3">
        <w:rPr>
          <w:rStyle w:val="ParaNoNdepar-AltNChar"/>
          <w:rFonts w:cs="Times New Roman"/>
          <w:i/>
        </w:rPr>
        <w:t xml:space="preserve">Alberta Land </w:t>
      </w:r>
      <w:r>
        <w:rPr>
          <w:rStyle w:val="ParaNoNdepar-AltNChar"/>
          <w:rFonts w:cs="Times New Roman"/>
          <w:i/>
        </w:rPr>
        <w:t>Registration District</w:t>
      </w:r>
      <w:r w:rsidRPr="00102F14">
        <w:rPr>
          <w:rStyle w:val="ParaNoNdepar-AltNChar"/>
          <w:rFonts w:cs="Times New Roman"/>
        </w:rPr>
        <w:t xml:space="preserve"> (1993)</w:t>
      </w:r>
      <w:r w:rsidRPr="00FA5EA3">
        <w:rPr>
          <w:rStyle w:val="ParaNoNdepar-AltNChar"/>
          <w:rFonts w:cs="Times New Roman"/>
        </w:rPr>
        <w:t xml:space="preserve">, </w:t>
      </w:r>
      <w:r>
        <w:rPr>
          <w:rStyle w:val="ParaNoNdepar-AltNChar"/>
          <w:rFonts w:cs="Times New Roman"/>
        </w:rPr>
        <w:t>8 Alta. L.R. (3d) 379,</w:t>
      </w:r>
      <w:r w:rsidRPr="00FA5EA3">
        <w:rPr>
          <w:rStyle w:val="ParaNoNdepar-AltNChar"/>
          <w:rFonts w:cs="Times New Roman"/>
        </w:rPr>
        <w:t xml:space="preserve"> at para. 8). Indeed, it is well established that a plaintiff does not need to know the exact extent or type of harm it has suffered, or the precise cause of its injury, in order for a limitation period to run (</w:t>
      </w:r>
      <w:r w:rsidRPr="00FA5EA3">
        <w:rPr>
          <w:rStyle w:val="ParaNoNdepar-AltNChar"/>
          <w:rFonts w:cs="Times New Roman"/>
          <w:i/>
        </w:rPr>
        <w:t>HOOPP Realty Inc. v. Emery Jamieson LLP</w:t>
      </w:r>
      <w:r w:rsidRPr="00FA5EA3">
        <w:rPr>
          <w:rStyle w:val="ParaNoNdepar-AltNChar"/>
          <w:rFonts w:cs="Times New Roman"/>
        </w:rPr>
        <w:t xml:space="preserve">, 2018 ABQB 276, </w:t>
      </w:r>
      <w:r>
        <w:rPr>
          <w:rStyle w:val="ParaNoNdepar-AltNChar"/>
          <w:rFonts w:cs="Times New Roman"/>
        </w:rPr>
        <w:t>27 C.P.C. (8</w:t>
      </w:r>
      <w:r w:rsidRPr="00102F14">
        <w:rPr>
          <w:rStyle w:val="ParaNoNdepar-AltNChar"/>
          <w:rFonts w:cs="Times New Roman"/>
        </w:rPr>
        <w:t>th</w:t>
      </w:r>
      <w:r>
        <w:rPr>
          <w:rStyle w:val="ParaNoNdepar-AltNChar"/>
          <w:rFonts w:cs="Times New Roman"/>
        </w:rPr>
        <w:t xml:space="preserve">) 83, </w:t>
      </w:r>
      <w:r w:rsidRPr="00FA5EA3">
        <w:rPr>
          <w:rStyle w:val="ParaNoNdepar-AltNChar"/>
          <w:rFonts w:cs="Times New Roman"/>
        </w:rPr>
        <w:t xml:space="preserve">at para. 213, citing </w:t>
      </w:r>
      <w:r w:rsidRPr="00FA5EA3">
        <w:rPr>
          <w:rStyle w:val="ParaNoNdepar-AltNChar"/>
          <w:rFonts w:cs="Times New Roman"/>
          <w:i/>
        </w:rPr>
        <w:t>Peixeiro</w:t>
      </w:r>
      <w:r w:rsidRPr="00FA5EA3">
        <w:rPr>
          <w:rStyle w:val="ParaNoNdepar-AltNChar"/>
          <w:rFonts w:cs="Times New Roman"/>
        </w:rPr>
        <w:t xml:space="preserve">, at para. 18). </w:t>
      </w:r>
    </w:p>
    <w:p w14:paraId="23513BDF" w14:textId="77777777" w:rsidR="00524A77" w:rsidRPr="00FA5EA3" w:rsidRDefault="00524A77" w:rsidP="00524A77">
      <w:pPr>
        <w:pStyle w:val="ParaNoNdepar-AltN"/>
        <w:rPr>
          <w:rFonts w:cs="Times New Roman"/>
        </w:rPr>
      </w:pPr>
      <w:r w:rsidRPr="00FA5EA3">
        <w:rPr>
          <w:rFonts w:cs="Times New Roman"/>
        </w:rPr>
        <w:t>In my respectful view, endorsing the Court of Appeal’s approach that to discover a claim, a plaintiff needs knowledge of facts that confer a legally enforceable right to a judicial remedy, including knowledge of the constituent elements of a claim, would move the needle too close to certainty.</w:t>
      </w:r>
      <w:r w:rsidRPr="00FA5EA3">
        <w:rPr>
          <w:rFonts w:cs="Times New Roman"/>
          <w:bCs/>
        </w:rPr>
        <w:t xml:space="preserve"> A plausible inference of liability is enough; it strikes </w:t>
      </w:r>
      <w:r w:rsidRPr="00FA5EA3">
        <w:rPr>
          <w:rFonts w:cs="Times New Roman"/>
          <w:lang w:val="en-US"/>
        </w:rPr>
        <w:t xml:space="preserve">the equitable balance of interests that the common law rule of discoverability seeks to achieve.  </w:t>
      </w:r>
    </w:p>
    <w:p w14:paraId="7E7298F3" w14:textId="77777777" w:rsidR="00524A77" w:rsidRPr="00FA5EA3" w:rsidRDefault="00524A77" w:rsidP="00524A77">
      <w:pPr>
        <w:pStyle w:val="ParaNoNdepar-AltN"/>
        <w:rPr>
          <w:rFonts w:cs="Times New Roman"/>
        </w:rPr>
      </w:pPr>
      <w:r w:rsidRPr="00FA5EA3">
        <w:rPr>
          <w:rFonts w:cs="Times New Roman"/>
        </w:rPr>
        <w:t xml:space="preserve">It follows that in a claim alleging negligence, a plaintiff does not need knowledge that the defendant owed it a duty of care or that the defendant’s act or omission breached the applicable standard of care. Finding otherwise could have the unintended consequence of indefinitely postponing the limitation period. After all, knowledge that the defendant breached the standard of care is often only discernable through the document discovery process or the exchange of expert reports, both of which typically occur after the plaintiff has commenced a claim. As the Court </w:t>
      </w:r>
      <w:r>
        <w:rPr>
          <w:rFonts w:cs="Times New Roman"/>
        </w:rPr>
        <w:t xml:space="preserve">stated </w:t>
      </w:r>
      <w:r w:rsidRPr="00FA5EA3">
        <w:rPr>
          <w:rFonts w:cs="Times New Roman"/>
        </w:rPr>
        <w:t xml:space="preserve">in </w:t>
      </w:r>
      <w:r w:rsidRPr="00FA5EA3">
        <w:rPr>
          <w:rFonts w:cs="Times New Roman"/>
          <w:i/>
        </w:rPr>
        <w:t>K.L.B. v. British Columbia</w:t>
      </w:r>
      <w:r w:rsidRPr="00102F14">
        <w:rPr>
          <w:rFonts w:cs="Times New Roman"/>
        </w:rPr>
        <w:t>,</w:t>
      </w:r>
      <w:r w:rsidRPr="00FA5EA3">
        <w:rPr>
          <w:rFonts w:cs="Times New Roman"/>
          <w:i/>
        </w:rPr>
        <w:t xml:space="preserve"> </w:t>
      </w:r>
      <w:r w:rsidRPr="00FA5EA3">
        <w:rPr>
          <w:rFonts w:cs="Times New Roman"/>
        </w:rPr>
        <w:t>2003 SCC 51</w:t>
      </w:r>
      <w:r>
        <w:rPr>
          <w:rFonts w:cs="Times New Roman"/>
        </w:rPr>
        <w:t>, [2003] 2 S.C.R. 403,</w:t>
      </w:r>
      <w:r w:rsidRPr="00FA5EA3">
        <w:rPr>
          <w:rFonts w:cs="Times New Roman"/>
        </w:rPr>
        <w:t xml:space="preserve"> at para. </w:t>
      </w:r>
      <w:r w:rsidRPr="00781E92">
        <w:rPr>
          <w:rFonts w:cs="Times New Roman"/>
        </w:rPr>
        <w:t>55</w:t>
      </w:r>
      <w:r w:rsidRPr="00FA5EA3">
        <w:rPr>
          <w:rFonts w:cs="Times New Roman"/>
        </w:rPr>
        <w:t>:</w:t>
      </w:r>
    </w:p>
    <w:p w14:paraId="0D62924C" w14:textId="77777777" w:rsidR="00524A77" w:rsidRPr="00FA5EA3" w:rsidRDefault="00524A77" w:rsidP="00524A77">
      <w:pPr>
        <w:pStyle w:val="Citation-AltC"/>
      </w:pPr>
      <w:r w:rsidRPr="00FA5EA3">
        <w:t xml:space="preserve">Since the purpose of the rule of reasonable discoverability is to ensure that plaintiffs have sufficient awareness of the facts to be able to bring an action, </w:t>
      </w:r>
      <w:r w:rsidRPr="00FA5EA3">
        <w:rPr>
          <w:u w:val="single"/>
        </w:rPr>
        <w:t>the relevant type of awareness cannot be one that it is possible to lack even after one has brought an action</w:t>
      </w:r>
      <w:r w:rsidRPr="00FA5EA3">
        <w:t>. [Emphasis added</w:t>
      </w:r>
      <w:r>
        <w:t>.</w:t>
      </w:r>
      <w:r w:rsidRPr="00FA5EA3">
        <w:t>]</w:t>
      </w:r>
    </w:p>
    <w:p w14:paraId="1993365E" w14:textId="77777777" w:rsidR="00524A77" w:rsidRPr="00FA5EA3" w:rsidRDefault="00524A77" w:rsidP="00524A77">
      <w:pPr>
        <w:pStyle w:val="ParaNoNdepar-AltN"/>
        <w:numPr>
          <w:ilvl w:val="0"/>
          <w:numId w:val="0"/>
        </w:numPr>
        <w:rPr>
          <w:rFonts w:cs="Times New Roman"/>
        </w:rPr>
      </w:pPr>
      <w:r w:rsidRPr="00FA5EA3">
        <w:rPr>
          <w:rFonts w:cs="Times New Roman"/>
        </w:rPr>
        <w:t xml:space="preserve">Although the Court in </w:t>
      </w:r>
      <w:r w:rsidRPr="00FA5EA3">
        <w:rPr>
          <w:rFonts w:cs="Times New Roman"/>
          <w:i/>
        </w:rPr>
        <w:t xml:space="preserve">K.L.B. </w:t>
      </w:r>
      <w:r w:rsidRPr="00FA5EA3">
        <w:rPr>
          <w:rFonts w:cs="Times New Roman"/>
        </w:rPr>
        <w:t xml:space="preserve">was dealing with discoverability in a different context, the basic principle is relevant here. The standard cannot be so high as to make it possible for a plaintiff to acquire the requisite knowledge only through discovery or experts. And yet, that is precisely the standard endorsed by the Court of Appeal in the instant case. With respect, that standard sets the bar too high. By the same token, the standard is not as low as the standard needed to ward off an application to strike a claim. What is required is </w:t>
      </w:r>
      <w:r w:rsidRPr="00FA5EA3">
        <w:rPr>
          <w:rFonts w:cs="Times New Roman"/>
          <w:lang w:val="en-US"/>
        </w:rPr>
        <w:t xml:space="preserve">actual or constructive knowledge of the material facts from which a plausible inference can be made that the defendant acted negligently. </w:t>
      </w:r>
    </w:p>
    <w:p w14:paraId="3F9975F0" w14:textId="77777777" w:rsidR="00524A77" w:rsidRPr="00FA5EA3" w:rsidRDefault="00524A77" w:rsidP="00524A77">
      <w:pPr>
        <w:pStyle w:val="Title2LevelTitre2Niveau"/>
        <w:rPr>
          <w:rFonts w:cs="Times New Roman"/>
        </w:rPr>
      </w:pPr>
      <w:r w:rsidRPr="00FA5EA3">
        <w:rPr>
          <w:rFonts w:cs="Times New Roman"/>
        </w:rPr>
        <w:t xml:space="preserve">Application to the Facts </w:t>
      </w:r>
    </w:p>
    <w:p w14:paraId="7D4E3E18" w14:textId="77777777" w:rsidR="00524A77" w:rsidRPr="00FA5EA3" w:rsidRDefault="00524A77" w:rsidP="00524A77">
      <w:pPr>
        <w:pStyle w:val="ParaNoNdepar-AltN"/>
        <w:rPr>
          <w:rFonts w:cs="Times New Roman"/>
        </w:rPr>
      </w:pPr>
      <w:r w:rsidRPr="00FA5EA3">
        <w:rPr>
          <w:rFonts w:cs="Times New Roman"/>
        </w:rPr>
        <w:t xml:space="preserve">With this approach in mind, I turn to </w:t>
      </w:r>
      <w:r>
        <w:rPr>
          <w:rFonts w:cs="Times New Roman"/>
        </w:rPr>
        <w:t xml:space="preserve">the question of </w:t>
      </w:r>
      <w:r w:rsidRPr="00FA5EA3">
        <w:rPr>
          <w:rFonts w:cs="Times New Roman"/>
        </w:rPr>
        <w:t>determin</w:t>
      </w:r>
      <w:r>
        <w:rPr>
          <w:rFonts w:cs="Times New Roman"/>
        </w:rPr>
        <w:t>ing</w:t>
      </w:r>
      <w:r w:rsidRPr="00FA5EA3">
        <w:rPr>
          <w:rFonts w:cs="Times New Roman"/>
        </w:rPr>
        <w:t xml:space="preserve"> whe</w:t>
      </w:r>
      <w:r>
        <w:rPr>
          <w:rFonts w:cs="Times New Roman"/>
        </w:rPr>
        <w:t>n, if ever,</w:t>
      </w:r>
      <w:r w:rsidRPr="00FA5EA3">
        <w:rPr>
          <w:rFonts w:cs="Times New Roman"/>
        </w:rPr>
        <w:t xml:space="preserve"> the Province discovered its claim against Grant Thornton. </w:t>
      </w:r>
    </w:p>
    <w:p w14:paraId="3DB10A9E" w14:textId="77777777" w:rsidR="00524A77" w:rsidRPr="00FA5EA3" w:rsidRDefault="00524A77" w:rsidP="00524A77">
      <w:pPr>
        <w:pStyle w:val="ParaNoNdepar-AltN"/>
      </w:pPr>
      <w:r w:rsidRPr="00FA5EA3">
        <w:t>Grant Thornton submits that the Province discovered its claim on February</w:t>
      </w:r>
      <w:r>
        <w:t> </w:t>
      </w:r>
      <w:r w:rsidRPr="00FA5EA3">
        <w:t>4, 2011</w:t>
      </w:r>
      <w:r>
        <w:t>,</w:t>
      </w:r>
      <w:r w:rsidRPr="00FA5EA3">
        <w:t xml:space="preserve"> when it received the draft Richter Report. I agree. At that point, the Province had actual or constructive knowledge of the material facts </w:t>
      </w:r>
      <w:r w:rsidRPr="00612590">
        <w:rPr>
          <w:rFonts w:cs="Times New Roman"/>
        </w:rPr>
        <w:t>—</w:t>
      </w:r>
      <w:r w:rsidRPr="00FA5EA3">
        <w:t xml:space="preserve"> namely, that a loss occurred and that the loss was caused or contributed to by an act or omission of Grant Thornton. Nothing more was needed to draw a plausible inference of negligence. </w:t>
      </w:r>
    </w:p>
    <w:p w14:paraId="4BF11874" w14:textId="77777777" w:rsidR="00524A77" w:rsidRPr="00FA5EA3" w:rsidRDefault="00524A77" w:rsidP="00524A77">
      <w:pPr>
        <w:pStyle w:val="Title3LevelTitre3Niveau"/>
        <w:rPr>
          <w:rFonts w:cs="Times New Roman"/>
        </w:rPr>
      </w:pPr>
      <w:r w:rsidRPr="00FA5EA3">
        <w:rPr>
          <w:rFonts w:cs="Times New Roman"/>
        </w:rPr>
        <w:t>The Province Had Knowledge of the Material Facts</w:t>
      </w:r>
    </w:p>
    <w:p w14:paraId="7B43F7CC" w14:textId="77777777" w:rsidR="00524A77" w:rsidRPr="00FA5EA3" w:rsidRDefault="00524A77" w:rsidP="00524A77">
      <w:pPr>
        <w:pStyle w:val="ParaNoNdepar-AltN"/>
      </w:pPr>
      <w:r w:rsidRPr="00FA5EA3">
        <w:t xml:space="preserve">The first aspect of the governing standard requires an assessment of the Province’s knowledge of the material facts. It is undisputable that by February 4, 2011, the Province knew that it had suffered a loss. In fact, it knew on March 18, 2010, when it paid out the loan guarantees to the Bank of Nova Scotia </w:t>
      </w:r>
      <w:r w:rsidRPr="000020F6">
        <w:rPr>
          <w:rFonts w:cs="Times New Roman"/>
        </w:rPr>
        <w:t>—</w:t>
      </w:r>
      <w:r w:rsidRPr="00FA5EA3">
        <w:t xml:space="preserve"> all $50 million. Moreover, based on the record, I am able to conclude that on February 4, 2011, the Province knew or, at least, ought reasonably to have known</w:t>
      </w:r>
      <w:r>
        <w:t>,</w:t>
      </w:r>
      <w:r w:rsidRPr="00FA5EA3">
        <w:t xml:space="preserve"> that the loss was caused or contributed to by an act or omission of Grant Thornton. </w:t>
      </w:r>
    </w:p>
    <w:p w14:paraId="79864F42" w14:textId="77777777" w:rsidR="00524A77" w:rsidRPr="00FA5EA3" w:rsidRDefault="00524A77" w:rsidP="00524A77">
      <w:pPr>
        <w:pStyle w:val="ParaNoNdepar-AltN"/>
        <w:rPr>
          <w:rFonts w:cs="Times New Roman"/>
        </w:rPr>
      </w:pPr>
      <w:r w:rsidRPr="00FA5EA3">
        <w:rPr>
          <w:rFonts w:cs="Times New Roman"/>
        </w:rPr>
        <w:t xml:space="preserve">The Province’s willingness to go along with Atcon’s request for loan guarantees totalling $50 million was conditional on Grant Thornton’s external audit of Atcon’s consolidated financial statements for F2009. After completing its audit, Grant Thornton represented to the Province in the Unqualified Auditors’ Report that it had audited Atcon’s financial statements in accordance with Generally Accepted Auditing Standards and that, having done so, it was of the opinion that they </w:t>
      </w:r>
      <w:r w:rsidRPr="00FA5EA3">
        <w:rPr>
          <w:rFonts w:cs="Times New Roman"/>
          <w:shd w:val="clear" w:color="auto" w:fill="FFFFFF"/>
        </w:rPr>
        <w:t>presented “fairly, in all material respects, the financial position of [Atc</w:t>
      </w:r>
      <w:r>
        <w:rPr>
          <w:rFonts w:cs="Times New Roman"/>
          <w:shd w:val="clear" w:color="auto" w:fill="FFFFFF"/>
        </w:rPr>
        <w:t>on] as at January 31, 2009</w:t>
      </w:r>
      <w:r w:rsidRPr="00FA5EA3">
        <w:rPr>
          <w:rFonts w:cs="Times New Roman"/>
          <w:shd w:val="clear" w:color="auto" w:fill="FFFFFF"/>
        </w:rPr>
        <w:t xml:space="preserve"> and the results of its operations and its cash flows for the year then ended in accordance with Canadian </w:t>
      </w:r>
      <w:r>
        <w:rPr>
          <w:rFonts w:cs="Times New Roman"/>
          <w:shd w:val="clear" w:color="auto" w:fill="FFFFFF"/>
        </w:rPr>
        <w:t>g</w:t>
      </w:r>
      <w:r w:rsidRPr="00FA5EA3">
        <w:rPr>
          <w:rFonts w:cs="Times New Roman"/>
          <w:shd w:val="clear" w:color="auto" w:fill="FFFFFF"/>
        </w:rPr>
        <w:t xml:space="preserve">enerally </w:t>
      </w:r>
      <w:r>
        <w:rPr>
          <w:rFonts w:cs="Times New Roman"/>
          <w:shd w:val="clear" w:color="auto" w:fill="FFFFFF"/>
        </w:rPr>
        <w:t>a</w:t>
      </w:r>
      <w:r w:rsidRPr="00FA5EA3">
        <w:rPr>
          <w:rFonts w:cs="Times New Roman"/>
          <w:shd w:val="clear" w:color="auto" w:fill="FFFFFF"/>
        </w:rPr>
        <w:t xml:space="preserve">ccepted </w:t>
      </w:r>
      <w:r>
        <w:rPr>
          <w:rFonts w:cs="Times New Roman"/>
          <w:shd w:val="clear" w:color="auto" w:fill="FFFFFF"/>
        </w:rPr>
        <w:t>a</w:t>
      </w:r>
      <w:r w:rsidRPr="00FA5EA3">
        <w:rPr>
          <w:rFonts w:cs="Times New Roman"/>
          <w:shd w:val="clear" w:color="auto" w:fill="FFFFFF"/>
        </w:rPr>
        <w:t xml:space="preserve">ccounting </w:t>
      </w:r>
      <w:r>
        <w:rPr>
          <w:rFonts w:cs="Times New Roman"/>
          <w:shd w:val="clear" w:color="auto" w:fill="FFFFFF"/>
        </w:rPr>
        <w:t>p</w:t>
      </w:r>
      <w:r w:rsidRPr="00FA5EA3">
        <w:rPr>
          <w:rFonts w:cs="Times New Roman"/>
          <w:shd w:val="clear" w:color="auto" w:fill="FFFFFF"/>
        </w:rPr>
        <w:t>rinciples”</w:t>
      </w:r>
      <w:r>
        <w:rPr>
          <w:rFonts w:cs="Times New Roman"/>
          <w:shd w:val="clear" w:color="auto" w:fill="FFFFFF"/>
        </w:rPr>
        <w:t xml:space="preserve"> (R</w:t>
      </w:r>
      <w:r w:rsidRPr="00FA5EA3">
        <w:rPr>
          <w:rFonts w:cs="Times New Roman"/>
          <w:shd w:val="clear" w:color="auto" w:fill="FFFFFF"/>
        </w:rPr>
        <w:t xml:space="preserve">.R., </w:t>
      </w:r>
      <w:r>
        <w:rPr>
          <w:rFonts w:cs="Times New Roman"/>
          <w:shd w:val="clear" w:color="auto" w:fill="FFFFFF"/>
        </w:rPr>
        <w:t>at p</w:t>
      </w:r>
      <w:r w:rsidRPr="00FA5EA3">
        <w:rPr>
          <w:rFonts w:cs="Times New Roman"/>
          <w:shd w:val="clear" w:color="auto" w:fill="FFFFFF"/>
        </w:rPr>
        <w:t>.</w:t>
      </w:r>
      <w:r>
        <w:rPr>
          <w:rFonts w:cs="Times New Roman"/>
          <w:shd w:val="clear" w:color="auto" w:fill="FFFFFF"/>
        </w:rPr>
        <w:t> 26)</w:t>
      </w:r>
      <w:r w:rsidRPr="00FA5EA3">
        <w:rPr>
          <w:rFonts w:cs="Times New Roman"/>
          <w:shd w:val="clear" w:color="auto" w:fill="FFFFFF"/>
        </w:rPr>
        <w:t xml:space="preserve">. </w:t>
      </w:r>
      <w:r w:rsidRPr="00FA5EA3">
        <w:rPr>
          <w:rFonts w:cs="Times New Roman"/>
        </w:rPr>
        <w:t xml:space="preserve">The Province relied on those representations to execute the loan guarantees. </w:t>
      </w:r>
    </w:p>
    <w:p w14:paraId="309B8473" w14:textId="77777777" w:rsidR="00524A77" w:rsidRPr="00FA5EA3" w:rsidRDefault="00524A77" w:rsidP="00524A77">
      <w:pPr>
        <w:pStyle w:val="ParaNoNdepar-AltN"/>
        <w:rPr>
          <w:rFonts w:cs="Times New Roman"/>
        </w:rPr>
      </w:pPr>
      <w:r w:rsidRPr="00FA5EA3">
        <w:rPr>
          <w:rFonts w:cs="Times New Roman"/>
        </w:rPr>
        <w:t xml:space="preserve">Just over four months after receiving the loan guarantees, Atcon ran out of working capital, which led the Bank of Nova Scotia to commence bankruptcy and insolvency proceedings against it. Counsel for the Attorney General of New Brunswick attended some of the hearings and, as a result, the Province became privy to those proceedings. Indeed, the Province was aware that on March 1, 2010, the </w:t>
      </w:r>
      <w:r>
        <w:rPr>
          <w:rFonts w:cs="Times New Roman"/>
        </w:rPr>
        <w:t>c</w:t>
      </w:r>
      <w:r w:rsidRPr="00FA5EA3">
        <w:rPr>
          <w:rFonts w:cs="Times New Roman"/>
        </w:rPr>
        <w:t>ourt granted the Bank’s applications and placed Atcon into receivership.</w:t>
      </w:r>
    </w:p>
    <w:p w14:paraId="5934F1CA" w14:textId="77777777" w:rsidR="00524A77" w:rsidRPr="00FA5EA3" w:rsidRDefault="00524A77" w:rsidP="00524A77">
      <w:pPr>
        <w:pStyle w:val="ParaNoNdepar-AltN"/>
        <w:rPr>
          <w:rFonts w:cs="Times New Roman"/>
        </w:rPr>
      </w:pPr>
      <w:r w:rsidRPr="00FA5EA3">
        <w:rPr>
          <w:rFonts w:cs="Times New Roman"/>
        </w:rPr>
        <w:t xml:space="preserve">Shortly thereafter, on March 18, 2010, the Bank called upon the Province to pay out on the loan guarantees. This raised alarm bells for the Province about the true state of Atcon’s financial affairs because a few months later, it retained Richter to review and comment on Atcon’s financial position for </w:t>
      </w:r>
      <w:r>
        <w:rPr>
          <w:rFonts w:cs="Times New Roman"/>
        </w:rPr>
        <w:t>F2009.</w:t>
      </w:r>
    </w:p>
    <w:p w14:paraId="5F2CAD32" w14:textId="77777777" w:rsidR="00524A77" w:rsidRPr="00FA5EA3" w:rsidRDefault="00524A77" w:rsidP="00524A77">
      <w:pPr>
        <w:pStyle w:val="ParaNoNdepar-AltN"/>
        <w:tabs>
          <w:tab w:val="clear" w:pos="1152"/>
          <w:tab w:val="left" w:pos="1166"/>
        </w:tabs>
        <w:rPr>
          <w:rFonts w:cs="Times New Roman"/>
        </w:rPr>
      </w:pPr>
      <w:r w:rsidRPr="00FA5EA3">
        <w:rPr>
          <w:rFonts w:cs="Times New Roman"/>
        </w:rPr>
        <w:t xml:space="preserve">Richter undertook this review and on February 4, 2011, issued the 88-page draft Richter Report. In my view, the Province’s knowledge </w:t>
      </w:r>
      <w:r>
        <w:rPr>
          <w:rFonts w:cs="Times New Roman"/>
        </w:rPr>
        <w:t xml:space="preserve">about its potential claim </w:t>
      </w:r>
      <w:r w:rsidRPr="00FA5EA3">
        <w:rPr>
          <w:rFonts w:cs="Times New Roman"/>
        </w:rPr>
        <w:t xml:space="preserve">crystallized at this point. </w:t>
      </w:r>
    </w:p>
    <w:p w14:paraId="4FFD36B2" w14:textId="77777777" w:rsidR="00524A77" w:rsidRPr="00FA5EA3" w:rsidRDefault="00524A77" w:rsidP="00524A77">
      <w:pPr>
        <w:pStyle w:val="ParaNoNdepar-AltN"/>
        <w:tabs>
          <w:tab w:val="clear" w:pos="1152"/>
          <w:tab w:val="left" w:pos="1166"/>
        </w:tabs>
        <w:rPr>
          <w:rFonts w:cs="Times New Roman"/>
        </w:rPr>
      </w:pPr>
      <w:r w:rsidRPr="00FA5EA3">
        <w:rPr>
          <w:rFonts w:cs="Times New Roman"/>
        </w:rPr>
        <w:t>In this report, Richter opined that Atcon’s financial statements for F2009 had not been prepared in conformity with Generally Accepted A</w:t>
      </w:r>
      <w:r>
        <w:rPr>
          <w:rFonts w:cs="Times New Roman"/>
        </w:rPr>
        <w:t>ccounting</w:t>
      </w:r>
      <w:r w:rsidRPr="00FA5EA3">
        <w:rPr>
          <w:rFonts w:cs="Times New Roman"/>
        </w:rPr>
        <w:t xml:space="preserve"> Principles </w:t>
      </w:r>
      <w:r>
        <w:rPr>
          <w:rFonts w:cs="Times New Roman"/>
        </w:rPr>
        <w:t>in all material respects</w:t>
      </w:r>
      <w:r w:rsidRPr="00FA5EA3">
        <w:rPr>
          <w:rFonts w:cs="Times New Roman"/>
        </w:rPr>
        <w:t>. Richter formed this opinion based on what it described to be a “systematic approach” by Atcon’s management to “overstate assets, revenues and profits, [and] understate liabilit</w:t>
      </w:r>
      <w:r>
        <w:rPr>
          <w:rFonts w:cs="Times New Roman"/>
        </w:rPr>
        <w:t>ies</w:t>
      </w:r>
      <w:r w:rsidRPr="00FA5EA3">
        <w:rPr>
          <w:rFonts w:cs="Times New Roman"/>
        </w:rPr>
        <w:t xml:space="preserve">, expenses and losses” </w:t>
      </w:r>
      <w:r>
        <w:rPr>
          <w:rFonts w:cs="Times New Roman"/>
        </w:rPr>
        <w:t>(</w:t>
      </w:r>
      <w:r w:rsidRPr="00FA5EA3">
        <w:rPr>
          <w:rFonts w:cs="Times New Roman"/>
        </w:rPr>
        <w:t xml:space="preserve">A.R., </w:t>
      </w:r>
      <w:r>
        <w:rPr>
          <w:rFonts w:cs="Times New Roman"/>
        </w:rPr>
        <w:t>v</w:t>
      </w:r>
      <w:r w:rsidRPr="00FA5EA3">
        <w:rPr>
          <w:rFonts w:cs="Times New Roman"/>
        </w:rPr>
        <w:t>ol. II, at p. 207</w:t>
      </w:r>
      <w:r>
        <w:rPr>
          <w:rFonts w:cs="Times New Roman"/>
        </w:rPr>
        <w:t>)</w:t>
      </w:r>
      <w:r w:rsidRPr="00FA5EA3">
        <w:rPr>
          <w:rFonts w:cs="Times New Roman"/>
        </w:rPr>
        <w:t>. Specifically, Richter identified various errors in the financial statements, which, as Richter explained, were considered to be “material” because they would likely have influenced the decision of the person relying on the financial statements. In that regard, Richter estimated that Atcon’s F2009 assets and net earnings were overstated by an amount ranging between $28.3 million and $35.4 mil</w:t>
      </w:r>
      <w:r>
        <w:rPr>
          <w:rFonts w:cs="Times New Roman"/>
        </w:rPr>
        <w:t>lion</w:t>
      </w:r>
      <w:r w:rsidRPr="00FA5EA3">
        <w:rPr>
          <w:rFonts w:cs="Times New Roman"/>
        </w:rPr>
        <w:t xml:space="preserve">. Since Richter set the materiality for Atcon’s financial statements in the range of $1.3 million to $2.6 million, this placed the misstatements approximately 14 to 22 times greater than the acceptable materiality that was set. For Grant Thornton’s audit of Atcon, materiality was set at $1.2 million, which </w:t>
      </w:r>
      <w:r>
        <w:rPr>
          <w:rFonts w:cs="Times New Roman"/>
        </w:rPr>
        <w:t xml:space="preserve">also clearly </w:t>
      </w:r>
      <w:r w:rsidRPr="00FA5EA3">
        <w:rPr>
          <w:rFonts w:cs="Times New Roman"/>
        </w:rPr>
        <w:t xml:space="preserve">placed the misstatements well in excess of materiality. </w:t>
      </w:r>
    </w:p>
    <w:p w14:paraId="40283B35" w14:textId="77777777" w:rsidR="00524A77" w:rsidRPr="00FA5EA3" w:rsidRDefault="00524A77" w:rsidP="00524A77">
      <w:pPr>
        <w:pStyle w:val="ParaNoNdepar-AltN"/>
      </w:pPr>
      <w:r w:rsidRPr="00FA5EA3">
        <w:t xml:space="preserve">While Richter’s mandate did not include commenting on whether Grant Thornton’s audit had been performed in accordance with Generally Accepted Auditing Standards, its mandate was similar to Grant Thornton’s: both were retained by the Province to determine whether Atcon’s financial statements had been prepared in accordance with Generally Accepted </w:t>
      </w:r>
      <w:r>
        <w:t>Accounting</w:t>
      </w:r>
      <w:r w:rsidRPr="00FA5EA3">
        <w:t xml:space="preserve"> Principles. Grant Thornton’s conclusion that the statements had been prepared in conformity with Generally Accepted A</w:t>
      </w:r>
      <w:r>
        <w:t>ccounting</w:t>
      </w:r>
      <w:r w:rsidRPr="00FA5EA3">
        <w:t xml:space="preserve"> Principles, which indicated its belief that they were not materially misstated, stands in stark contrast to Richter’s findings that not only were the financial statements misstated, those misstatements significantly exceeded the materiality threshold established for the audit. The magnitude of the misstatements</w:t>
      </w:r>
      <w:r>
        <w:t xml:space="preserve"> </w:t>
      </w:r>
      <w:r w:rsidRPr="00DF7237">
        <w:rPr>
          <w:rFonts w:cs="Times New Roman"/>
        </w:rPr>
        <w:t>—</w:t>
      </w:r>
      <w:r>
        <w:rPr>
          <w:rFonts w:cs="Times New Roman"/>
        </w:rPr>
        <w:t xml:space="preserve"> </w:t>
      </w:r>
      <w:r w:rsidRPr="00FA5EA3">
        <w:t xml:space="preserve">assets and net earnings </w:t>
      </w:r>
      <w:r>
        <w:t xml:space="preserve">were </w:t>
      </w:r>
      <w:r w:rsidRPr="00FA5EA3">
        <w:t>overstated by an amount ranging between $28.3 million and $35.4 million</w:t>
      </w:r>
      <w:r>
        <w:t xml:space="preserve"> </w:t>
      </w:r>
      <w:r w:rsidRPr="00DF7237">
        <w:t>—</w:t>
      </w:r>
      <w:r>
        <w:t xml:space="preserve"> </w:t>
      </w:r>
      <w:r w:rsidRPr="00FA5EA3">
        <w:t>is even more striking when they are considered in the context of loan guarantees totalling $50</w:t>
      </w:r>
      <w:r>
        <w:t> </w:t>
      </w:r>
      <w:r w:rsidRPr="00FA5EA3">
        <w:t>million.</w:t>
      </w:r>
    </w:p>
    <w:p w14:paraId="62743359" w14:textId="77777777" w:rsidR="00524A77" w:rsidRPr="00FA5EA3" w:rsidRDefault="00524A77" w:rsidP="00524A77">
      <w:pPr>
        <w:pStyle w:val="ParaNoNdepar-AltN"/>
        <w:rPr>
          <w:rFonts w:cs="Times New Roman"/>
        </w:rPr>
      </w:pPr>
      <w:r w:rsidRPr="00FA5EA3">
        <w:rPr>
          <w:rFonts w:cs="Times New Roman"/>
        </w:rPr>
        <w:t>It stands to reason from the findings made in the Richter Report, considered in light of all the surrounding circumstances, that the Province knew or ought to have known that Grant Thornton’s act or omission caused or contributed to its loss. Specifically, Grant Thornton’s act or omission was issuing the Unqualified Auditors’ Report with respect to Atcon’s financial statements for F2009, despite those statements not being prepared in accordance with Generally Accepted Accounting Principles and not fairly representing, in all material respects, Atcon’s financial position for F2009. This act or omission caused or contributed to the Province’s loss because the Province executed the $50</w:t>
      </w:r>
      <w:r>
        <w:rPr>
          <w:rFonts w:cs="Times New Roman"/>
        </w:rPr>
        <w:t> </w:t>
      </w:r>
      <w:r w:rsidRPr="00FA5EA3">
        <w:rPr>
          <w:rFonts w:cs="Times New Roman"/>
        </w:rPr>
        <w:t>million loan guarantees in reliance on Grant Thornton’s representations.</w:t>
      </w:r>
    </w:p>
    <w:p w14:paraId="1EE2C808" w14:textId="77777777" w:rsidR="00524A77" w:rsidRPr="00FA5EA3" w:rsidRDefault="00524A77" w:rsidP="00524A77">
      <w:pPr>
        <w:pStyle w:val="Title3LevelTitre3Niveau"/>
        <w:rPr>
          <w:rFonts w:cs="Times New Roman"/>
        </w:rPr>
      </w:pPr>
      <w:r w:rsidRPr="00FA5EA3">
        <w:rPr>
          <w:rFonts w:cs="Times New Roman"/>
        </w:rPr>
        <w:t>The Province Could Have Drawn a Plausible Inference of Negligence</w:t>
      </w:r>
    </w:p>
    <w:p w14:paraId="7D20A78E" w14:textId="77777777" w:rsidR="00524A77" w:rsidRPr="00FA5EA3" w:rsidRDefault="00524A77" w:rsidP="00524A77">
      <w:pPr>
        <w:pStyle w:val="ParaNoNdepar-AltN"/>
        <w:rPr>
          <w:rFonts w:cs="Times New Roman"/>
        </w:rPr>
      </w:pPr>
      <w:r w:rsidRPr="00FA5EA3">
        <w:rPr>
          <w:rFonts w:cs="Times New Roman"/>
        </w:rPr>
        <w:t xml:space="preserve">Based on all of the material facts that the Province knew or ought to have known, I am able to conclude that by February 4, 2011, the Province had sufficient knowledge to draw a plausible inference that Grant Thornton had been negligent. </w:t>
      </w:r>
    </w:p>
    <w:p w14:paraId="68C8EBD1" w14:textId="77777777" w:rsidR="00524A77" w:rsidRPr="00FA5EA3" w:rsidRDefault="00524A77" w:rsidP="00524A77">
      <w:pPr>
        <w:pStyle w:val="ParaNoNdepar-AltN"/>
        <w:rPr>
          <w:rFonts w:cs="Times New Roman"/>
        </w:rPr>
      </w:pPr>
      <w:r w:rsidRPr="00FA5EA3">
        <w:rPr>
          <w:rFonts w:cs="Times New Roman"/>
        </w:rPr>
        <w:t>The Province maintains that the limitation period did not begin to run on February 4, 2011. It contends that</w:t>
      </w:r>
      <w:r>
        <w:rPr>
          <w:rFonts w:cs="Times New Roman"/>
        </w:rPr>
        <w:t>,</w:t>
      </w:r>
      <w:r w:rsidRPr="00FA5EA3">
        <w:rPr>
          <w:rFonts w:cs="Times New Roman"/>
        </w:rPr>
        <w:t xml:space="preserve"> to this day, the limitation period has not yet started to run because it does not have access to Grant Thornton’s audit-related files and thus, it cannot know whether Grant Thornton breached the applicable standard of care by failing to conduct the audit in accordance with Generally Accepted Auditing Standards. This, despite the fact that the Province went ahead and filed its claim many years ago, on June 23, 2014, and despite its concession that it did so without learning any new information about Grant Thornton’s conduct between that date and February 4, 2011, the date it received the draft Richter Report. </w:t>
      </w:r>
    </w:p>
    <w:p w14:paraId="7F0BAD3A" w14:textId="77777777" w:rsidR="00524A77" w:rsidRPr="00FA5EA3" w:rsidRDefault="00524A77" w:rsidP="00524A77">
      <w:pPr>
        <w:pStyle w:val="ParaNoNdepar-AltN"/>
        <w:rPr>
          <w:rFonts w:cs="Times New Roman"/>
        </w:rPr>
      </w:pPr>
      <w:r w:rsidRPr="00FA5EA3">
        <w:rPr>
          <w:rFonts w:cs="Times New Roman"/>
        </w:rPr>
        <w:t xml:space="preserve">With respect, I disagree with the Province’s position. As I have explained, a plaintiff does not need knowledge of all the constituent elements of negligence to discover its claim. All that is required is knowledge of the material facts, as set out in the </w:t>
      </w:r>
      <w:r w:rsidRPr="00FA5EA3">
        <w:rPr>
          <w:rFonts w:cs="Times New Roman"/>
          <w:i/>
        </w:rPr>
        <w:t>LAA</w:t>
      </w:r>
      <w:r w:rsidRPr="00FA5EA3">
        <w:rPr>
          <w:rFonts w:cs="Times New Roman"/>
        </w:rPr>
        <w:t>, from which a plausible inference of liability can be drawn. Contrary to its assertions, the Province did not need access to Grant Thornton’s audit-related files to plausibly infer that Grant Thornton had breached the applicable standard of care by failing to conduct the audit in accordance with Generally Accepted Auditing Standards. In particular, from the material misstatements identified in the Richter Report, referred to above at paras. 56-57, the Province could have inferred that the loss was the fruit of an audit that fell below the applicable standards, which require auditors to “plan and perform an audit to obtain reasonable assurance whether the financial statements are f</w:t>
      </w:r>
      <w:r>
        <w:rPr>
          <w:rFonts w:cs="Times New Roman"/>
        </w:rPr>
        <w:t>ree of material misstatement</w:t>
      </w:r>
      <w:r w:rsidRPr="00FA5EA3">
        <w:rPr>
          <w:rFonts w:cs="Times New Roman"/>
        </w:rPr>
        <w:t xml:space="preserve">” </w:t>
      </w:r>
      <w:r>
        <w:rPr>
          <w:rFonts w:cs="Times New Roman"/>
        </w:rPr>
        <w:t>(R.</w:t>
      </w:r>
      <w:r w:rsidRPr="00FA5EA3">
        <w:rPr>
          <w:rFonts w:cs="Times New Roman"/>
        </w:rPr>
        <w:t>R., at p. </w:t>
      </w:r>
      <w:r>
        <w:rPr>
          <w:rFonts w:cs="Times New Roman"/>
        </w:rPr>
        <w:t>26)</w:t>
      </w:r>
      <w:r w:rsidRPr="00FA5EA3">
        <w:rPr>
          <w:rFonts w:cs="Times New Roman"/>
        </w:rPr>
        <w:t xml:space="preserve">. </w:t>
      </w:r>
    </w:p>
    <w:p w14:paraId="7E019762" w14:textId="77777777" w:rsidR="00524A77" w:rsidRPr="00FA5EA3" w:rsidRDefault="00524A77" w:rsidP="00524A77">
      <w:pPr>
        <w:pStyle w:val="ParaNoNdepar-AltN"/>
        <w:rPr>
          <w:rFonts w:cs="Times New Roman"/>
        </w:rPr>
      </w:pPr>
      <w:r w:rsidRPr="00FA5EA3">
        <w:rPr>
          <w:rFonts w:cs="Times New Roman"/>
        </w:rPr>
        <w:t xml:space="preserve">In sum, having regard to the material facts that I have identified, which the Province knew or ought to have known, the Province had ample knowledge as of February 4, 2011, to draw a plausible inference that Grant Thornton had acted negligently. This does not mean that Grant Thornton was in fact negligent. That question would have been for trial, had the Province brought its claim within the limitation period. </w:t>
      </w:r>
    </w:p>
    <w:p w14:paraId="1E197A9F" w14:textId="77777777" w:rsidR="00524A77" w:rsidRPr="00FA5EA3" w:rsidRDefault="00524A77" w:rsidP="00524A77">
      <w:pPr>
        <w:pStyle w:val="Title1LevelTitre1Niveau-AltL"/>
        <w:rPr>
          <w:rFonts w:cs="Times New Roman"/>
        </w:rPr>
      </w:pPr>
      <w:r w:rsidRPr="00FA5EA3">
        <w:rPr>
          <w:rFonts w:cs="Times New Roman"/>
        </w:rPr>
        <w:t xml:space="preserve">Conclusion </w:t>
      </w:r>
    </w:p>
    <w:p w14:paraId="5281EE84" w14:textId="77777777" w:rsidR="00524A77" w:rsidRPr="00FA5EA3" w:rsidRDefault="00524A77" w:rsidP="00524A77">
      <w:pPr>
        <w:pStyle w:val="ParaNoNdepar-AltN"/>
        <w:rPr>
          <w:rFonts w:cs="Times New Roman"/>
        </w:rPr>
      </w:pPr>
      <w:r w:rsidRPr="00FA5EA3">
        <w:rPr>
          <w:rFonts w:cs="Times New Roman"/>
        </w:rPr>
        <w:t xml:space="preserve">In conclusion, I am satisfied that the Province discovered its claim on February 4, 2011, more than two years before commencing it on June 23, 2014. The Province’s claim is therefore statute-barred by s. 5(1)(a) of the </w:t>
      </w:r>
      <w:r w:rsidRPr="00FA5EA3">
        <w:rPr>
          <w:rFonts w:cs="Times New Roman"/>
          <w:i/>
        </w:rPr>
        <w:t>LAA</w:t>
      </w:r>
      <w:r w:rsidRPr="00DF7237">
        <w:rPr>
          <w:rFonts w:cs="Times New Roman"/>
        </w:rPr>
        <w:t>.</w:t>
      </w:r>
      <w:r w:rsidRPr="00FA5EA3">
        <w:rPr>
          <w:rFonts w:cs="Times New Roman"/>
          <w:i/>
        </w:rPr>
        <w:t xml:space="preserve"> </w:t>
      </w:r>
    </w:p>
    <w:p w14:paraId="5DA8261A" w14:textId="77777777" w:rsidR="00524A77" w:rsidRPr="00FA5EA3" w:rsidRDefault="00524A77" w:rsidP="00524A77">
      <w:pPr>
        <w:pStyle w:val="ParaNoNdepar-AltN"/>
      </w:pPr>
      <w:r w:rsidRPr="00FA5EA3">
        <w:t xml:space="preserve">Accordingly, </w:t>
      </w:r>
      <w:r w:rsidRPr="00B8363F">
        <w:t>the appeal brought by Grant Thornton LLP and Kent M. Ostridge and the appeal brought by Grant Thornton Inter</w:t>
      </w:r>
      <w:r>
        <w:t>national Ltd. are both allowed</w:t>
      </w:r>
      <w:r w:rsidRPr="00FA5EA3">
        <w:t xml:space="preserve">. </w:t>
      </w:r>
      <w:r w:rsidRPr="00AD3B58">
        <w:rPr>
          <w:rFonts w:cs="Times New Roman"/>
        </w:rPr>
        <w:t xml:space="preserve">The judgment of the Court of Appeal is set aside and the </w:t>
      </w:r>
      <w:r>
        <w:rPr>
          <w:rFonts w:cs="Times New Roman"/>
        </w:rPr>
        <w:t>judgment</w:t>
      </w:r>
      <w:r w:rsidRPr="00AD3B58">
        <w:rPr>
          <w:rFonts w:cs="Times New Roman"/>
        </w:rPr>
        <w:t xml:space="preserve"> of the motions judge in the Court</w:t>
      </w:r>
      <w:r>
        <w:rPr>
          <w:rFonts w:cs="Times New Roman"/>
        </w:rPr>
        <w:t xml:space="preserve"> of Queen’s Bench is restored.</w:t>
      </w:r>
      <w:r w:rsidRPr="00F41FC6">
        <w:rPr>
          <w:rStyle w:val="Hyperlink"/>
          <w:vertAlign w:val="superscript"/>
        </w:rPr>
        <w:footnoteReference w:id="1"/>
      </w:r>
      <w:r>
        <w:rPr>
          <w:rFonts w:cs="Times New Roman"/>
        </w:rPr>
        <w:t xml:space="preserve"> </w:t>
      </w:r>
      <w:r>
        <w:t>The appellants are</w:t>
      </w:r>
      <w:r w:rsidRPr="00FA5EA3">
        <w:t xml:space="preserve"> entitled to </w:t>
      </w:r>
      <w:r>
        <w:t>their</w:t>
      </w:r>
      <w:r w:rsidRPr="00FA5EA3">
        <w:t xml:space="preserve"> costs throughout. </w:t>
      </w:r>
    </w:p>
    <w:p w14:paraId="5C3B403B" w14:textId="77777777" w:rsidR="00524A77" w:rsidRPr="00057867" w:rsidRDefault="00524A77" w:rsidP="00524A77">
      <w:pPr>
        <w:pStyle w:val="SCCNormalDoubleSpacing"/>
        <w:spacing w:after="480"/>
      </w:pPr>
    </w:p>
    <w:p w14:paraId="191280F3" w14:textId="762E81B6" w:rsidR="009B57B3" w:rsidRPr="008572BD" w:rsidRDefault="009B57B3" w:rsidP="00EF4191">
      <w:pPr>
        <w:pStyle w:val="SCCNormalDoubleSpacing"/>
        <w:spacing w:after="480"/>
      </w:pPr>
      <w:r w:rsidRPr="008572BD">
        <w:tab/>
      </w:r>
      <w:r w:rsidR="00656313" w:rsidRPr="008572BD">
        <w:rPr>
          <w:i/>
        </w:rPr>
        <w:t>Appeal</w:t>
      </w:r>
      <w:r w:rsidR="00CA64E0" w:rsidRPr="008572BD">
        <w:rPr>
          <w:i/>
        </w:rPr>
        <w:t>s</w:t>
      </w:r>
      <w:r w:rsidR="001E631D" w:rsidRPr="008572BD">
        <w:rPr>
          <w:i/>
        </w:rPr>
        <w:t xml:space="preserve"> </w:t>
      </w:r>
      <w:r w:rsidR="00976149">
        <w:rPr>
          <w:i/>
          <w:iCs/>
          <w:lang w:val="en-US"/>
        </w:rPr>
        <w:t>allowed</w:t>
      </w:r>
      <w:r w:rsidR="001E631D" w:rsidRPr="008572BD">
        <w:rPr>
          <w:i/>
          <w:iCs/>
          <w:lang w:val="en-US"/>
        </w:rPr>
        <w:t xml:space="preserve"> with costs throughout.</w:t>
      </w:r>
    </w:p>
    <w:p w14:paraId="22B6D45A" w14:textId="30821AD4" w:rsidR="00D34A6E" w:rsidRPr="008572BD" w:rsidRDefault="00CA2DB8" w:rsidP="00EF4191">
      <w:pPr>
        <w:pStyle w:val="SCCLawFirm"/>
        <w:spacing w:after="480"/>
      </w:pPr>
      <w:r w:rsidRPr="008572BD">
        <w:tab/>
        <w:t>Solicitors</w:t>
      </w:r>
      <w:r w:rsidR="00E13204" w:rsidRPr="008572BD">
        <w:t xml:space="preserve"> for the appellant</w:t>
      </w:r>
      <w:r w:rsidR="009816C6">
        <w:t>s Grant Thornton LLP and Kent </w:t>
      </w:r>
      <w:r w:rsidRPr="008572BD">
        <w:t>M. Ostridge</w:t>
      </w:r>
      <w:r w:rsidR="00EF4191" w:rsidRPr="008572BD">
        <w:t>: </w:t>
      </w:r>
      <w:r w:rsidR="00E13204" w:rsidRPr="008572BD">
        <w:t xml:space="preserve">Lenczner Slaght </w:t>
      </w:r>
      <w:r w:rsidR="00943B23" w:rsidRPr="008572BD">
        <w:t>Royce Smith Griffin</w:t>
      </w:r>
      <w:r w:rsidR="00E13204" w:rsidRPr="008572BD">
        <w:t>, Toronto</w:t>
      </w:r>
      <w:r w:rsidR="00943B23" w:rsidRPr="008572BD">
        <w:t>; McInnes Cooper, Fredericton</w:t>
      </w:r>
      <w:r w:rsidR="00E13204" w:rsidRPr="008572BD">
        <w:t>.</w:t>
      </w:r>
    </w:p>
    <w:p w14:paraId="3F514773" w14:textId="26F523A3" w:rsidR="00D34A6E" w:rsidRPr="008572BD" w:rsidRDefault="00943B23" w:rsidP="00EF4191">
      <w:pPr>
        <w:pStyle w:val="SCCLawFirm"/>
        <w:spacing w:after="480"/>
      </w:pPr>
      <w:r w:rsidRPr="008572BD">
        <w:tab/>
        <w:t>Solicitor</w:t>
      </w:r>
      <w:r w:rsidR="00E13204" w:rsidRPr="008572BD">
        <w:t>s for the appellant</w:t>
      </w:r>
      <w:r w:rsidRPr="008572BD">
        <w:t xml:space="preserve"> Grant Thornton International Ltd.</w:t>
      </w:r>
      <w:r w:rsidR="00EF4191" w:rsidRPr="008572BD">
        <w:t>: </w:t>
      </w:r>
      <w:r w:rsidR="00E13204" w:rsidRPr="008572BD">
        <w:t>Foster &amp; Company, Fredericton.</w:t>
      </w:r>
    </w:p>
    <w:p w14:paraId="1C74AA32" w14:textId="2E2E33DD" w:rsidR="00D34A6E" w:rsidRPr="008572BD" w:rsidRDefault="00943B23" w:rsidP="00EF4191">
      <w:pPr>
        <w:pStyle w:val="SCCLawFirm"/>
        <w:spacing w:after="480"/>
      </w:pPr>
      <w:r w:rsidRPr="008572BD">
        <w:tab/>
        <w:t>Solicitor</w:t>
      </w:r>
      <w:r w:rsidR="00E13204" w:rsidRPr="008572BD">
        <w:t>s</w:t>
      </w:r>
      <w:r w:rsidR="00EF4191" w:rsidRPr="008572BD">
        <w:t xml:space="preserve"> for the respondent: </w:t>
      </w:r>
      <w:r w:rsidR="00E13204" w:rsidRPr="008572BD">
        <w:t>Stewart McKelvey, Fredericton.</w:t>
      </w:r>
    </w:p>
    <w:p w14:paraId="412A1D40" w14:textId="36039D02" w:rsidR="00D34A6E" w:rsidRPr="008572BD" w:rsidRDefault="00943B23">
      <w:pPr>
        <w:pStyle w:val="SCCLawFirm"/>
      </w:pPr>
      <w:r w:rsidRPr="008572BD">
        <w:tab/>
        <w:t>Solicitors</w:t>
      </w:r>
      <w:r w:rsidR="00EF4191" w:rsidRPr="008572BD">
        <w:t xml:space="preserve"> for the intervener: </w:t>
      </w:r>
      <w:r w:rsidR="00E13204" w:rsidRPr="008572BD">
        <w:t>Borden Ladner Gervais, Toronto.</w:t>
      </w:r>
    </w:p>
    <w:sectPr w:rsidR="00D34A6E" w:rsidRPr="008572BD" w:rsidSect="006F2DAD">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BCEDC" w14:textId="77777777" w:rsidR="00AE4535" w:rsidRDefault="00AE4535">
      <w:r>
        <w:separator/>
      </w:r>
    </w:p>
  </w:endnote>
  <w:endnote w:type="continuationSeparator" w:id="0">
    <w:p w14:paraId="7387DEE5" w14:textId="77777777"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C3485" w14:textId="77777777" w:rsidR="00D544BF" w:rsidRDefault="00D544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9852A" w14:textId="77777777" w:rsidR="00D544BF" w:rsidRDefault="00D544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B453F" w14:textId="77777777" w:rsidR="00D544BF" w:rsidRDefault="00D54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320F0" w14:textId="77777777" w:rsidR="00AE4535" w:rsidRDefault="00AE4535">
      <w:r>
        <w:separator/>
      </w:r>
    </w:p>
  </w:footnote>
  <w:footnote w:type="continuationSeparator" w:id="0">
    <w:p w14:paraId="5E5052E6" w14:textId="77777777" w:rsidR="00AE4535" w:rsidRDefault="00AE4535">
      <w:r>
        <w:continuationSeparator/>
      </w:r>
    </w:p>
  </w:footnote>
  <w:footnote w:id="1">
    <w:p w14:paraId="16CA9FB8" w14:textId="77777777" w:rsidR="00524A77" w:rsidRPr="005509BC" w:rsidRDefault="00524A77" w:rsidP="00524A77">
      <w:pPr>
        <w:pStyle w:val="FootnoteText"/>
        <w:rPr>
          <w:lang w:val="en-US"/>
        </w:rPr>
      </w:pPr>
      <w:r>
        <w:rPr>
          <w:rStyle w:val="FootnoteReference"/>
        </w:rPr>
        <w:footnoteRef/>
      </w:r>
      <w:r>
        <w:t xml:space="preserve"> </w:t>
      </w:r>
      <w:r>
        <w:rPr>
          <w:lang w:val="en-US"/>
        </w:rPr>
        <w:t>Since I am disposing of these appeals on the basis of evidence that was properly before the motions judge, I decline to consider the Province’s proposed disposition (see R.F., at para. 145), to remit the matter back to the Court of Appeal to address the alternative grounds of appeal relating to the motions judge’s evidentiary rulings, which were raised before that court but not decided (see C.A. reasons, at paras. 80-81).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17791" w14:textId="77777777" w:rsidR="00D544BF" w:rsidRDefault="00D544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919F1" w14:textId="101C3A29" w:rsidR="006F2DAD" w:rsidRPr="00D544BF" w:rsidRDefault="006F2DAD" w:rsidP="00D544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2613F" w14:textId="77777777" w:rsidR="00D544BF" w:rsidRDefault="00D544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87CE56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00204E"/>
    <w:multiLevelType w:val="hybridMultilevel"/>
    <w:tmpl w:val="805229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9B11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9A05A9"/>
    <w:multiLevelType w:val="hybridMultilevel"/>
    <w:tmpl w:val="8D520882"/>
    <w:lvl w:ilvl="0" w:tplc="C7E8A130">
      <w:start w:val="1"/>
      <w:numFmt w:val="upp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03C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8"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9"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4283EE8"/>
    <w:multiLevelType w:val="multilevel"/>
    <w:tmpl w:val="4E94F83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08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5DD5717"/>
    <w:multiLevelType w:val="hybridMultilevel"/>
    <w:tmpl w:val="BA60A3F4"/>
    <w:lvl w:ilvl="0" w:tplc="231E8DB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A51A3C"/>
    <w:multiLevelType w:val="hybridMultilevel"/>
    <w:tmpl w:val="AF0041FA"/>
    <w:lvl w:ilvl="0" w:tplc="898402F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D052C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877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3"/>
  </w:num>
  <w:num w:numId="4">
    <w:abstractNumId w:val="2"/>
  </w:num>
  <w:num w:numId="5">
    <w:abstractNumId w:val="8"/>
  </w:num>
  <w:num w:numId="6">
    <w:abstractNumId w:val="9"/>
  </w:num>
  <w:num w:numId="7">
    <w:abstractNumId w:val="7"/>
  </w:num>
  <w:num w:numId="8">
    <w:abstractNumId w:val="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0"/>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7">
    <w:abstractNumId w:val="15"/>
  </w:num>
  <w:num w:numId="18">
    <w:abstractNumId w:val="4"/>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268FB"/>
    <w:rsid w:val="000578A3"/>
    <w:rsid w:val="000648CC"/>
    <w:rsid w:val="000B6229"/>
    <w:rsid w:val="000B6699"/>
    <w:rsid w:val="000C35D0"/>
    <w:rsid w:val="000C59B8"/>
    <w:rsid w:val="000C6AF0"/>
    <w:rsid w:val="000E1304"/>
    <w:rsid w:val="000F4643"/>
    <w:rsid w:val="000F465F"/>
    <w:rsid w:val="00104F33"/>
    <w:rsid w:val="00111DE2"/>
    <w:rsid w:val="00116B38"/>
    <w:rsid w:val="00135406"/>
    <w:rsid w:val="00135972"/>
    <w:rsid w:val="00142445"/>
    <w:rsid w:val="001426A9"/>
    <w:rsid w:val="00154D7C"/>
    <w:rsid w:val="001570B0"/>
    <w:rsid w:val="0015752C"/>
    <w:rsid w:val="00157737"/>
    <w:rsid w:val="00165277"/>
    <w:rsid w:val="00170592"/>
    <w:rsid w:val="00186351"/>
    <w:rsid w:val="00195D83"/>
    <w:rsid w:val="001A00C1"/>
    <w:rsid w:val="001B33E0"/>
    <w:rsid w:val="001B4573"/>
    <w:rsid w:val="001C779F"/>
    <w:rsid w:val="001D2AC1"/>
    <w:rsid w:val="001D4E88"/>
    <w:rsid w:val="001E631D"/>
    <w:rsid w:val="00202507"/>
    <w:rsid w:val="00215EC8"/>
    <w:rsid w:val="00220FC2"/>
    <w:rsid w:val="002222F4"/>
    <w:rsid w:val="00224FC0"/>
    <w:rsid w:val="00225EA4"/>
    <w:rsid w:val="00226EAF"/>
    <w:rsid w:val="00231F3A"/>
    <w:rsid w:val="00234199"/>
    <w:rsid w:val="002406EE"/>
    <w:rsid w:val="00243EC8"/>
    <w:rsid w:val="00253686"/>
    <w:rsid w:val="00270D93"/>
    <w:rsid w:val="002745CC"/>
    <w:rsid w:val="002B7924"/>
    <w:rsid w:val="002D28C3"/>
    <w:rsid w:val="002D39A4"/>
    <w:rsid w:val="002E6705"/>
    <w:rsid w:val="002F62C6"/>
    <w:rsid w:val="00301D08"/>
    <w:rsid w:val="0030329A"/>
    <w:rsid w:val="0031086F"/>
    <w:rsid w:val="003138C2"/>
    <w:rsid w:val="0031414C"/>
    <w:rsid w:val="00314E01"/>
    <w:rsid w:val="003151AC"/>
    <w:rsid w:val="0032089D"/>
    <w:rsid w:val="003233DE"/>
    <w:rsid w:val="003276EE"/>
    <w:rsid w:val="0033042F"/>
    <w:rsid w:val="003310DE"/>
    <w:rsid w:val="003323B0"/>
    <w:rsid w:val="0035169A"/>
    <w:rsid w:val="0035259D"/>
    <w:rsid w:val="00364B18"/>
    <w:rsid w:val="0038183E"/>
    <w:rsid w:val="003A125D"/>
    <w:rsid w:val="003A4C70"/>
    <w:rsid w:val="003B215F"/>
    <w:rsid w:val="003C0DD2"/>
    <w:rsid w:val="003C799C"/>
    <w:rsid w:val="003D0399"/>
    <w:rsid w:val="003E1C71"/>
    <w:rsid w:val="003F327B"/>
    <w:rsid w:val="00406166"/>
    <w:rsid w:val="0040704B"/>
    <w:rsid w:val="00410A55"/>
    <w:rsid w:val="00411300"/>
    <w:rsid w:val="00415417"/>
    <w:rsid w:val="00426659"/>
    <w:rsid w:val="00441D93"/>
    <w:rsid w:val="00450352"/>
    <w:rsid w:val="00454BDB"/>
    <w:rsid w:val="00464271"/>
    <w:rsid w:val="00464800"/>
    <w:rsid w:val="00465132"/>
    <w:rsid w:val="00480C90"/>
    <w:rsid w:val="0048396F"/>
    <w:rsid w:val="00493C18"/>
    <w:rsid w:val="004A1496"/>
    <w:rsid w:val="004A600C"/>
    <w:rsid w:val="004A6118"/>
    <w:rsid w:val="004C478D"/>
    <w:rsid w:val="004E2C26"/>
    <w:rsid w:val="004F36FF"/>
    <w:rsid w:val="005125A8"/>
    <w:rsid w:val="00516DBE"/>
    <w:rsid w:val="00521AE8"/>
    <w:rsid w:val="00524A77"/>
    <w:rsid w:val="005260D6"/>
    <w:rsid w:val="00527180"/>
    <w:rsid w:val="0052746E"/>
    <w:rsid w:val="0054201E"/>
    <w:rsid w:val="00555291"/>
    <w:rsid w:val="00566AD1"/>
    <w:rsid w:val="00583EDE"/>
    <w:rsid w:val="005A6079"/>
    <w:rsid w:val="005D224D"/>
    <w:rsid w:val="005D4026"/>
    <w:rsid w:val="005E4698"/>
    <w:rsid w:val="00610539"/>
    <w:rsid w:val="00613969"/>
    <w:rsid w:val="00625C35"/>
    <w:rsid w:val="0064241C"/>
    <w:rsid w:val="00656313"/>
    <w:rsid w:val="006565F4"/>
    <w:rsid w:val="00684EEA"/>
    <w:rsid w:val="0069689B"/>
    <w:rsid w:val="006A1551"/>
    <w:rsid w:val="006B5FF5"/>
    <w:rsid w:val="006E27EF"/>
    <w:rsid w:val="006F2DAD"/>
    <w:rsid w:val="006F30AF"/>
    <w:rsid w:val="00701759"/>
    <w:rsid w:val="00705C15"/>
    <w:rsid w:val="00715BE4"/>
    <w:rsid w:val="0071600E"/>
    <w:rsid w:val="007208D1"/>
    <w:rsid w:val="007255B1"/>
    <w:rsid w:val="00747288"/>
    <w:rsid w:val="00747DD3"/>
    <w:rsid w:val="007549C8"/>
    <w:rsid w:val="00754A0B"/>
    <w:rsid w:val="00766D14"/>
    <w:rsid w:val="00767A0F"/>
    <w:rsid w:val="007A05F6"/>
    <w:rsid w:val="007B6F4A"/>
    <w:rsid w:val="007D546E"/>
    <w:rsid w:val="007E1C47"/>
    <w:rsid w:val="007E337A"/>
    <w:rsid w:val="007E5C70"/>
    <w:rsid w:val="007F2FF5"/>
    <w:rsid w:val="007F3F08"/>
    <w:rsid w:val="00804CC6"/>
    <w:rsid w:val="00817190"/>
    <w:rsid w:val="00820EE5"/>
    <w:rsid w:val="008260E2"/>
    <w:rsid w:val="008301EF"/>
    <w:rsid w:val="008322BD"/>
    <w:rsid w:val="00833E0A"/>
    <w:rsid w:val="00834F73"/>
    <w:rsid w:val="008572BD"/>
    <w:rsid w:val="00864CF8"/>
    <w:rsid w:val="00872819"/>
    <w:rsid w:val="00874914"/>
    <w:rsid w:val="00891422"/>
    <w:rsid w:val="00892E1A"/>
    <w:rsid w:val="008A3F29"/>
    <w:rsid w:val="008B660A"/>
    <w:rsid w:val="008C01DA"/>
    <w:rsid w:val="008F2DFE"/>
    <w:rsid w:val="008F78E9"/>
    <w:rsid w:val="00911989"/>
    <w:rsid w:val="009179F9"/>
    <w:rsid w:val="00933E5E"/>
    <w:rsid w:val="009350C8"/>
    <w:rsid w:val="00935218"/>
    <w:rsid w:val="009403F3"/>
    <w:rsid w:val="00943B23"/>
    <w:rsid w:val="009555B7"/>
    <w:rsid w:val="009567AA"/>
    <w:rsid w:val="00967374"/>
    <w:rsid w:val="00976149"/>
    <w:rsid w:val="009779B6"/>
    <w:rsid w:val="009816C6"/>
    <w:rsid w:val="0099091B"/>
    <w:rsid w:val="009A343A"/>
    <w:rsid w:val="009B2F23"/>
    <w:rsid w:val="009B57B3"/>
    <w:rsid w:val="009C0232"/>
    <w:rsid w:val="009C5B92"/>
    <w:rsid w:val="009D2920"/>
    <w:rsid w:val="009D5AEB"/>
    <w:rsid w:val="009F0E33"/>
    <w:rsid w:val="00A030CE"/>
    <w:rsid w:val="00A149DF"/>
    <w:rsid w:val="00A1755C"/>
    <w:rsid w:val="00A21B90"/>
    <w:rsid w:val="00A41805"/>
    <w:rsid w:val="00A42DCD"/>
    <w:rsid w:val="00A4650C"/>
    <w:rsid w:val="00A52AFB"/>
    <w:rsid w:val="00A548CB"/>
    <w:rsid w:val="00A5521C"/>
    <w:rsid w:val="00A643E7"/>
    <w:rsid w:val="00A71E56"/>
    <w:rsid w:val="00A73C38"/>
    <w:rsid w:val="00A9542E"/>
    <w:rsid w:val="00AB670D"/>
    <w:rsid w:val="00AE4535"/>
    <w:rsid w:val="00AF03C5"/>
    <w:rsid w:val="00B000D8"/>
    <w:rsid w:val="00B00F75"/>
    <w:rsid w:val="00B145B6"/>
    <w:rsid w:val="00B279EB"/>
    <w:rsid w:val="00B4586D"/>
    <w:rsid w:val="00B50C81"/>
    <w:rsid w:val="00B557F8"/>
    <w:rsid w:val="00B815FC"/>
    <w:rsid w:val="00B93FBC"/>
    <w:rsid w:val="00BA7DA0"/>
    <w:rsid w:val="00BB2EE4"/>
    <w:rsid w:val="00BC2108"/>
    <w:rsid w:val="00BD0E9E"/>
    <w:rsid w:val="00BD1BEC"/>
    <w:rsid w:val="00BD32FF"/>
    <w:rsid w:val="00C02092"/>
    <w:rsid w:val="00C24D91"/>
    <w:rsid w:val="00C43815"/>
    <w:rsid w:val="00C509B9"/>
    <w:rsid w:val="00C53F14"/>
    <w:rsid w:val="00C600CF"/>
    <w:rsid w:val="00C6084F"/>
    <w:rsid w:val="00C61B08"/>
    <w:rsid w:val="00C62A66"/>
    <w:rsid w:val="00C71458"/>
    <w:rsid w:val="00C77613"/>
    <w:rsid w:val="00C828E7"/>
    <w:rsid w:val="00C86719"/>
    <w:rsid w:val="00C921DD"/>
    <w:rsid w:val="00C92E17"/>
    <w:rsid w:val="00C9419B"/>
    <w:rsid w:val="00CA1AD5"/>
    <w:rsid w:val="00CA2DB8"/>
    <w:rsid w:val="00CA5E9D"/>
    <w:rsid w:val="00CA6391"/>
    <w:rsid w:val="00CA64E0"/>
    <w:rsid w:val="00CC34BD"/>
    <w:rsid w:val="00CE161A"/>
    <w:rsid w:val="00CE3171"/>
    <w:rsid w:val="00CF1601"/>
    <w:rsid w:val="00D0172F"/>
    <w:rsid w:val="00D068A7"/>
    <w:rsid w:val="00D17476"/>
    <w:rsid w:val="00D32086"/>
    <w:rsid w:val="00D34A6E"/>
    <w:rsid w:val="00D378B2"/>
    <w:rsid w:val="00D37A3F"/>
    <w:rsid w:val="00D37FC4"/>
    <w:rsid w:val="00D4431D"/>
    <w:rsid w:val="00D4667A"/>
    <w:rsid w:val="00D544BF"/>
    <w:rsid w:val="00D63A1C"/>
    <w:rsid w:val="00D7516F"/>
    <w:rsid w:val="00D8579F"/>
    <w:rsid w:val="00D95F8E"/>
    <w:rsid w:val="00DA0590"/>
    <w:rsid w:val="00DB7BEA"/>
    <w:rsid w:val="00DC1739"/>
    <w:rsid w:val="00DC1788"/>
    <w:rsid w:val="00DE319C"/>
    <w:rsid w:val="00DF0CA8"/>
    <w:rsid w:val="00DF2B48"/>
    <w:rsid w:val="00DF49A7"/>
    <w:rsid w:val="00E07EE2"/>
    <w:rsid w:val="00E07FD1"/>
    <w:rsid w:val="00E13204"/>
    <w:rsid w:val="00E176D8"/>
    <w:rsid w:val="00E24573"/>
    <w:rsid w:val="00E25E1E"/>
    <w:rsid w:val="00E27EE7"/>
    <w:rsid w:val="00E35404"/>
    <w:rsid w:val="00E361B5"/>
    <w:rsid w:val="00E45109"/>
    <w:rsid w:val="00E47B7A"/>
    <w:rsid w:val="00E47E94"/>
    <w:rsid w:val="00E52EED"/>
    <w:rsid w:val="00E56A44"/>
    <w:rsid w:val="00E60269"/>
    <w:rsid w:val="00E77932"/>
    <w:rsid w:val="00E80D88"/>
    <w:rsid w:val="00E81032"/>
    <w:rsid w:val="00E811E2"/>
    <w:rsid w:val="00E97830"/>
    <w:rsid w:val="00EA141B"/>
    <w:rsid w:val="00EE643C"/>
    <w:rsid w:val="00EF0683"/>
    <w:rsid w:val="00EF4191"/>
    <w:rsid w:val="00EF69D2"/>
    <w:rsid w:val="00EF766E"/>
    <w:rsid w:val="00F0070C"/>
    <w:rsid w:val="00F00EB7"/>
    <w:rsid w:val="00F25AA9"/>
    <w:rsid w:val="00F30922"/>
    <w:rsid w:val="00F36AB6"/>
    <w:rsid w:val="00F37A09"/>
    <w:rsid w:val="00F409CE"/>
    <w:rsid w:val="00F41FC6"/>
    <w:rsid w:val="00F4379D"/>
    <w:rsid w:val="00F50D2D"/>
    <w:rsid w:val="00F56C8B"/>
    <w:rsid w:val="00F66810"/>
    <w:rsid w:val="00F83683"/>
    <w:rsid w:val="00F846D9"/>
    <w:rsid w:val="00F84DF4"/>
    <w:rsid w:val="00F85C97"/>
    <w:rsid w:val="00F9301B"/>
    <w:rsid w:val="00FB37D2"/>
    <w:rsid w:val="00FC4EFB"/>
    <w:rsid w:val="00FD068D"/>
    <w:rsid w:val="00FD4F28"/>
    <w:rsid w:val="00FD674B"/>
    <w:rsid w:val="00FD7C4D"/>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D51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FC6"/>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ListParagraph"/>
    <w:next w:val="Normal"/>
    <w:link w:val="Heading8Char"/>
    <w:uiPriority w:val="9"/>
    <w:unhideWhenUsed/>
    <w:qFormat/>
    <w:rsid w:val="00524A77"/>
    <w:pPr>
      <w:tabs>
        <w:tab w:val="left" w:pos="2340"/>
      </w:tabs>
      <w:ind w:left="2520" w:hanging="360"/>
      <w:jc w:val="both"/>
      <w:outlineLvl w:val="7"/>
    </w:pPr>
    <w:rPr>
      <w:rFonts w:eastAsiaTheme="minorHAnsi" w:cstheme="minorBidi"/>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styleId="CommentText">
    <w:name w:val="annotation text"/>
    <w:basedOn w:val="Normal"/>
    <w:link w:val="CommentTextChar"/>
    <w:uiPriority w:val="99"/>
    <w:unhideWhenUsed/>
    <w:rsid w:val="003276EE"/>
    <w:rPr>
      <w:sz w:val="20"/>
    </w:rPr>
  </w:style>
  <w:style w:type="character" w:customStyle="1" w:styleId="CommentTextChar">
    <w:name w:val="Comment Text Char"/>
    <w:basedOn w:val="DefaultParagraphFont"/>
    <w:link w:val="CommentText"/>
    <w:uiPriority w:val="99"/>
    <w:rsid w:val="003276EE"/>
  </w:style>
  <w:style w:type="character" w:styleId="CommentReference">
    <w:name w:val="annotation reference"/>
    <w:basedOn w:val="DefaultParagraphFont"/>
    <w:uiPriority w:val="99"/>
    <w:semiHidden/>
    <w:unhideWhenUsed/>
    <w:rsid w:val="003276EE"/>
    <w:rPr>
      <w:sz w:val="16"/>
      <w:szCs w:val="16"/>
    </w:rPr>
  </w:style>
  <w:style w:type="character" w:styleId="Hyperlink">
    <w:name w:val="Hyperlink"/>
    <w:basedOn w:val="DefaultParagraphFont"/>
    <w:uiPriority w:val="99"/>
    <w:unhideWhenUsed/>
    <w:rsid w:val="00A71E56"/>
    <w:rPr>
      <w:color w:val="0000FF" w:themeColor="hyperlink"/>
      <w:u w:val="single"/>
    </w:rPr>
  </w:style>
  <w:style w:type="paragraph" w:customStyle="1" w:styleId="ParaNoNdepar-AltN">
    <w:name w:val="Para. No. / Nº de par. - Alt N"/>
    <w:link w:val="ParaNoNdepar-AltNChar"/>
    <w:qFormat/>
    <w:rsid w:val="000F4643"/>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0F4643"/>
    <w:rPr>
      <w:rFonts w:eastAsiaTheme="minorEastAsia" w:cstheme="minorBidi"/>
      <w:sz w:val="24"/>
      <w:szCs w:val="22"/>
      <w:lang w:eastAsia="en-US"/>
    </w:rPr>
  </w:style>
  <w:style w:type="character" w:customStyle="1" w:styleId="Heading8Char">
    <w:name w:val="Heading 8 Char"/>
    <w:basedOn w:val="DefaultParagraphFont"/>
    <w:link w:val="Heading8"/>
    <w:uiPriority w:val="9"/>
    <w:rsid w:val="00524A77"/>
    <w:rPr>
      <w:rFonts w:eastAsiaTheme="minorHAnsi" w:cstheme="minorBidi"/>
      <w:sz w:val="24"/>
      <w:szCs w:val="22"/>
      <w:lang w:val="en-US" w:eastAsia="en-US" w:bidi="en-US"/>
    </w:rPr>
  </w:style>
  <w:style w:type="paragraph" w:customStyle="1" w:styleId="SCCLsocOtherPartyRoleSeparator">
    <w:name w:val="SCC.Lsoc.OtherPartyRoleSeparator"/>
    <w:basedOn w:val="Normal"/>
    <w:next w:val="Normal"/>
    <w:link w:val="SCCLsocOtherPartyRoleSeparatorChar"/>
    <w:rsid w:val="00524A77"/>
    <w:pPr>
      <w:spacing w:after="480"/>
    </w:pPr>
    <w:rPr>
      <w:rFonts w:eastAsiaTheme="minorHAnsi" w:cstheme="minorBidi"/>
      <w:szCs w:val="22"/>
      <w:lang w:eastAsia="en-US"/>
    </w:rPr>
  </w:style>
  <w:style w:type="paragraph" w:customStyle="1" w:styleId="SCCCoram">
    <w:name w:val="SCC.Coram"/>
    <w:basedOn w:val="Normal"/>
    <w:next w:val="Normal"/>
    <w:link w:val="SCCCoramChar"/>
    <w:rsid w:val="00524A77"/>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524A77"/>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524A77"/>
    <w:rPr>
      <w:rFonts w:eastAsiaTheme="minorHAnsi" w:cstheme="minorBidi"/>
      <w:sz w:val="24"/>
      <w:szCs w:val="22"/>
      <w:lang w:eastAsia="en-US"/>
    </w:rPr>
  </w:style>
  <w:style w:type="character" w:customStyle="1" w:styleId="SCCBanSummaryChar">
    <w:name w:val="SCC.BanSummary Char"/>
    <w:basedOn w:val="DefaultParagraphFont"/>
    <w:link w:val="SCCBanSummary"/>
    <w:rsid w:val="00524A77"/>
    <w:rPr>
      <w:b/>
      <w:sz w:val="24"/>
    </w:rPr>
  </w:style>
  <w:style w:type="table" w:styleId="TableGrid">
    <w:name w:val="Table Grid"/>
    <w:basedOn w:val="TableNormal"/>
    <w:uiPriority w:val="59"/>
    <w:rsid w:val="00524A77"/>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524A77"/>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524A77"/>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524A77"/>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524A77"/>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524A77"/>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524A77"/>
    <w:pPr>
      <w:numPr>
        <w:ilvl w:val="2"/>
      </w:numPr>
      <w:outlineLvl w:val="2"/>
    </w:pPr>
  </w:style>
  <w:style w:type="paragraph" w:customStyle="1" w:styleId="Title4LevelTitre4Niveau">
    <w:name w:val="Title 4 Level / Titre 4 Niveau"/>
    <w:basedOn w:val="Title3LevelTitre3Niveau"/>
    <w:next w:val="ParaNoNdepar-AltN"/>
    <w:uiPriority w:val="4"/>
    <w:qFormat/>
    <w:rsid w:val="00524A77"/>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524A77"/>
    <w:pPr>
      <w:numPr>
        <w:ilvl w:val="4"/>
      </w:numPr>
      <w:outlineLvl w:val="4"/>
    </w:pPr>
  </w:style>
  <w:style w:type="paragraph" w:styleId="TOC1">
    <w:name w:val="toc 1"/>
    <w:basedOn w:val="Normal"/>
    <w:next w:val="Normal"/>
    <w:autoRedefine/>
    <w:uiPriority w:val="39"/>
    <w:unhideWhenUsed/>
    <w:rsid w:val="00524A77"/>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524A77"/>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524A77"/>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524A77"/>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524A77"/>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524A77"/>
    <w:pPr>
      <w:tabs>
        <w:tab w:val="left" w:pos="2160"/>
        <w:tab w:val="right" w:leader="dot" w:pos="8270"/>
      </w:tabs>
      <w:spacing w:after="100"/>
      <w:ind w:left="1800"/>
    </w:pPr>
    <w:rPr>
      <w:noProof/>
    </w:rPr>
  </w:style>
  <w:style w:type="table" w:customStyle="1" w:styleId="TableGrid1">
    <w:name w:val="Table Grid1"/>
    <w:basedOn w:val="TableNormal"/>
    <w:uiPriority w:val="59"/>
    <w:rsid w:val="00524A77"/>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524A77"/>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524A77"/>
    <w:pPr>
      <w:numPr>
        <w:ilvl w:val="5"/>
      </w:numPr>
      <w:outlineLvl w:val="5"/>
    </w:pPr>
    <w:rPr>
      <w:i/>
      <w:u w:val="none"/>
    </w:rPr>
  </w:style>
  <w:style w:type="paragraph" w:styleId="FootnoteText">
    <w:name w:val="footnote text"/>
    <w:basedOn w:val="Normal"/>
    <w:link w:val="FootnoteTextChar"/>
    <w:uiPriority w:val="99"/>
    <w:unhideWhenUsed/>
    <w:rsid w:val="00524A77"/>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524A77"/>
  </w:style>
  <w:style w:type="character" w:styleId="FootnoteReference">
    <w:name w:val="footnote reference"/>
    <w:basedOn w:val="DefaultParagraphFont"/>
    <w:uiPriority w:val="99"/>
    <w:semiHidden/>
    <w:unhideWhenUsed/>
    <w:rsid w:val="00524A77"/>
    <w:rPr>
      <w:vertAlign w:val="superscript"/>
    </w:rPr>
  </w:style>
  <w:style w:type="character" w:styleId="Emphasis">
    <w:name w:val="Emphasis"/>
    <w:basedOn w:val="DefaultParagraphFont"/>
    <w:uiPriority w:val="20"/>
    <w:qFormat/>
    <w:rsid w:val="00524A77"/>
    <w:rPr>
      <w:i/>
      <w:iCs/>
    </w:rPr>
  </w:style>
  <w:style w:type="paragraph" w:styleId="ListParagraph">
    <w:name w:val="List Paragraph"/>
    <w:basedOn w:val="Normal"/>
    <w:uiPriority w:val="34"/>
    <w:qFormat/>
    <w:rsid w:val="00524A77"/>
    <w:pPr>
      <w:ind w:left="720"/>
      <w:contextualSpacing/>
    </w:pPr>
    <w:rPr>
      <w:szCs w:val="24"/>
    </w:rPr>
  </w:style>
  <w:style w:type="character" w:customStyle="1" w:styleId="reflex3-block">
    <w:name w:val="reflex3-block"/>
    <w:basedOn w:val="DefaultParagraphFont"/>
    <w:rsid w:val="00524A77"/>
  </w:style>
  <w:style w:type="paragraph" w:styleId="CommentSubject">
    <w:name w:val="annotation subject"/>
    <w:basedOn w:val="CommentText"/>
    <w:next w:val="CommentText"/>
    <w:link w:val="CommentSubjectChar"/>
    <w:uiPriority w:val="99"/>
    <w:semiHidden/>
    <w:unhideWhenUsed/>
    <w:rsid w:val="00524A77"/>
    <w:rPr>
      <w:b/>
      <w:bCs/>
    </w:rPr>
  </w:style>
  <w:style w:type="character" w:customStyle="1" w:styleId="CommentSubjectChar">
    <w:name w:val="Comment Subject Char"/>
    <w:basedOn w:val="CommentTextChar"/>
    <w:link w:val="CommentSubject"/>
    <w:uiPriority w:val="99"/>
    <w:semiHidden/>
    <w:rsid w:val="00524A77"/>
    <w:rPr>
      <w:b/>
      <w:bCs/>
    </w:rPr>
  </w:style>
  <w:style w:type="character" w:customStyle="1" w:styleId="solexhl">
    <w:name w:val="solexhl"/>
    <w:basedOn w:val="DefaultParagraphFont"/>
    <w:rsid w:val="00524A77"/>
  </w:style>
  <w:style w:type="paragraph" w:styleId="BodyText">
    <w:name w:val="Body Text"/>
    <w:basedOn w:val="Normal"/>
    <w:link w:val="BodyTextChar"/>
    <w:uiPriority w:val="99"/>
    <w:semiHidden/>
    <w:unhideWhenUsed/>
    <w:rsid w:val="00524A77"/>
    <w:pPr>
      <w:spacing w:before="100" w:beforeAutospacing="1" w:after="100" w:afterAutospacing="1"/>
    </w:pPr>
    <w:rPr>
      <w:szCs w:val="24"/>
      <w:lang w:val="en-US" w:eastAsia="en-US"/>
    </w:rPr>
  </w:style>
  <w:style w:type="character" w:customStyle="1" w:styleId="BodyTextChar">
    <w:name w:val="Body Text Char"/>
    <w:basedOn w:val="DefaultParagraphFont"/>
    <w:link w:val="BodyText"/>
    <w:uiPriority w:val="99"/>
    <w:semiHidden/>
    <w:rsid w:val="00524A77"/>
    <w:rPr>
      <w:sz w:val="24"/>
      <w:szCs w:val="24"/>
      <w:lang w:val="en-US" w:eastAsia="en-US"/>
    </w:rPr>
  </w:style>
  <w:style w:type="paragraph" w:styleId="Revision">
    <w:name w:val="Revision"/>
    <w:hidden/>
    <w:uiPriority w:val="99"/>
    <w:semiHidden/>
    <w:rsid w:val="00524A77"/>
    <w:rPr>
      <w:sz w:val="24"/>
      <w:szCs w:val="24"/>
    </w:rPr>
  </w:style>
  <w:style w:type="table" w:customStyle="1" w:styleId="TableGrid2">
    <w:name w:val="Table Grid2"/>
    <w:basedOn w:val="TableNormal"/>
    <w:next w:val="TableGrid"/>
    <w:uiPriority w:val="59"/>
    <w:rsid w:val="00524A77"/>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cc-csc.ca/cso-dce/2021SCC-CSC31_1_eng.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8731</Words>
  <Characters>44510</Characters>
  <Application>Microsoft Office Word</Application>
  <DocSecurity>0</DocSecurity>
  <Lines>370</Lines>
  <Paragraphs>106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2021-07-28T23:50:00Z</dcterms:created>
  <dcterms:modified xsi:type="dcterms:W3CDTF">2021-11-08T12:55:00Z</dcterms:modified>
</cp:coreProperties>
</file>