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269"/>
        <w:gridCol w:w="1561"/>
        <w:gridCol w:w="1557"/>
        <w:gridCol w:w="3827"/>
      </w:tblGrid>
      <w:tr w:rsidR="00EF72F1" w:rsidRPr="00695E71" w:rsidTr="00FB04B1">
        <w:trPr>
          <w:trHeight w:val="2103"/>
        </w:trPr>
        <w:tc>
          <w:tcPr>
            <w:tcW w:w="5000" w:type="pct"/>
            <w:gridSpan w:val="4"/>
          </w:tcPr>
          <w:p w:rsidR="00EF72F1" w:rsidRPr="00695E71" w:rsidRDefault="00EF72F1" w:rsidP="001F3E0C">
            <w:pPr>
              <w:pStyle w:val="SCCBold"/>
              <w:jc w:val="center"/>
            </w:pPr>
            <w:bookmarkStart w:id="0" w:name="_GoBack"/>
            <w:bookmarkEnd w:id="0"/>
            <w:r w:rsidRPr="00695E71">
              <w:rPr>
                <w:noProof/>
                <w:lang w:val="en-US"/>
              </w:rPr>
              <w:drawing>
                <wp:inline distT="0" distB="0" distL="0" distR="0" wp14:anchorId="1B25E650" wp14:editId="180151F3">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EF72F1" w:rsidRPr="00695E71" w:rsidRDefault="00EF72F1" w:rsidP="009764CA">
            <w:pPr>
              <w:spacing w:before="120" w:after="100" w:afterAutospacing="1"/>
              <w:jc w:val="center"/>
              <w:rPr>
                <w:rFonts w:eastAsia="Calibri"/>
              </w:rPr>
            </w:pPr>
            <w:r w:rsidRPr="00695E71">
              <w:rPr>
                <w:rFonts w:eastAsia="Calibri"/>
                <w:b/>
              </w:rPr>
              <w:t>SUPREME COURT OF CANADA</w:t>
            </w:r>
          </w:p>
        </w:tc>
      </w:tr>
      <w:tr w:rsidR="00EF72F1" w:rsidRPr="00695E71" w:rsidTr="00695E71">
        <w:tblPrEx>
          <w:tblCellMar>
            <w:top w:w="58" w:type="dxa"/>
            <w:left w:w="58" w:type="dxa"/>
            <w:bottom w:w="58" w:type="dxa"/>
            <w:right w:w="58" w:type="dxa"/>
          </w:tblCellMar>
        </w:tblPrEx>
        <w:tc>
          <w:tcPr>
            <w:tcW w:w="2078" w:type="pct"/>
            <w:gridSpan w:val="2"/>
          </w:tcPr>
          <w:p w:rsidR="00EF72F1" w:rsidRPr="00695E71" w:rsidRDefault="00EF72F1" w:rsidP="00FC2782">
            <w:pPr>
              <w:rPr>
                <w:b/>
                <w:smallCaps/>
              </w:rPr>
            </w:pPr>
          </w:p>
          <w:p w:rsidR="00EF72F1" w:rsidRPr="00695E71" w:rsidRDefault="00EF72F1" w:rsidP="00FC2782">
            <w:pPr>
              <w:rPr>
                <w:b/>
                <w:smallCaps/>
              </w:rPr>
            </w:pPr>
            <w:r w:rsidRPr="00695E71">
              <w:rPr>
                <w:b/>
                <w:smallCaps/>
              </w:rPr>
              <w:t>Citation:</w:t>
            </w:r>
            <w:r w:rsidRPr="00695E71">
              <w:t xml:space="preserve"> </w:t>
            </w:r>
            <w:r w:rsidR="00B24EF4" w:rsidRPr="00695E71">
              <w:t xml:space="preserve">R. </w:t>
            </w:r>
            <w:r w:rsidR="00B24EF4" w:rsidRPr="00695E71">
              <w:rPr>
                <w:i/>
              </w:rPr>
              <w:t xml:space="preserve">v. </w:t>
            </w:r>
            <w:r w:rsidR="00B24EF4" w:rsidRPr="00695E71">
              <w:t>Dingwall, 2021 SCC 35</w:t>
            </w:r>
          </w:p>
        </w:tc>
        <w:tc>
          <w:tcPr>
            <w:tcW w:w="845" w:type="pct"/>
          </w:tcPr>
          <w:p w:rsidR="00EF72F1" w:rsidRPr="00695E71" w:rsidRDefault="00EF72F1" w:rsidP="00FC2782"/>
        </w:tc>
        <w:tc>
          <w:tcPr>
            <w:tcW w:w="2077" w:type="pct"/>
          </w:tcPr>
          <w:p w:rsidR="00EF72F1" w:rsidRPr="00695E71" w:rsidRDefault="00EF72F1" w:rsidP="00451668">
            <w:pPr>
              <w:rPr>
                <w:b/>
                <w:smallCaps/>
              </w:rPr>
            </w:pPr>
          </w:p>
          <w:p w:rsidR="00EF72F1" w:rsidRPr="00695E71" w:rsidRDefault="00EF72F1" w:rsidP="00EA6DB9">
            <w:pPr>
              <w:jc w:val="both"/>
            </w:pPr>
            <w:r w:rsidRPr="00695E71">
              <w:rPr>
                <w:b/>
                <w:smallCaps/>
              </w:rPr>
              <w:t>Appeal Heard:</w:t>
            </w:r>
            <w:r w:rsidRPr="00695E71">
              <w:t xml:space="preserve"> </w:t>
            </w:r>
            <w:r w:rsidR="00B24EF4" w:rsidRPr="00695E71">
              <w:t>October 8, 2021</w:t>
            </w:r>
          </w:p>
          <w:p w:rsidR="00EF72F1" w:rsidRPr="00695E71" w:rsidRDefault="00EF72F1">
            <w:r w:rsidRPr="00695E71">
              <w:rPr>
                <w:b/>
                <w:smallCaps/>
              </w:rPr>
              <w:t>Judgment Rendered:</w:t>
            </w:r>
            <w:r w:rsidRPr="00695E71">
              <w:t xml:space="preserve"> </w:t>
            </w:r>
            <w:r w:rsidR="00B24EF4" w:rsidRPr="00695E71">
              <w:t>October 8, 2021</w:t>
            </w:r>
          </w:p>
          <w:p w:rsidR="00EF72F1" w:rsidRPr="00695E71" w:rsidRDefault="00EF72F1" w:rsidP="00540106">
            <w:r w:rsidRPr="00695E71">
              <w:rPr>
                <w:b/>
                <w:smallCaps/>
              </w:rPr>
              <w:t>Docket:</w:t>
            </w:r>
            <w:r w:rsidRPr="00695E71">
              <w:t xml:space="preserve"> </w:t>
            </w:r>
            <w:r w:rsidR="00B24EF4" w:rsidRPr="00695E71">
              <w:t>39274</w:t>
            </w:r>
          </w:p>
        </w:tc>
      </w:tr>
      <w:tr w:rsidR="00EF72F1" w:rsidRPr="00695E71" w:rsidTr="00FB04B1">
        <w:tblPrEx>
          <w:tblCellMar>
            <w:top w:w="58" w:type="dxa"/>
            <w:left w:w="58" w:type="dxa"/>
            <w:bottom w:w="58" w:type="dxa"/>
            <w:right w:w="58" w:type="dxa"/>
          </w:tblCellMar>
        </w:tblPrEx>
        <w:tc>
          <w:tcPr>
            <w:tcW w:w="5000" w:type="pct"/>
            <w:gridSpan w:val="4"/>
          </w:tcPr>
          <w:p w:rsidR="00EF72F1" w:rsidRPr="00695E71" w:rsidRDefault="00EF72F1" w:rsidP="00EF72F1"/>
          <w:p w:rsidR="00B24EF4" w:rsidRPr="00695E71" w:rsidRDefault="00B24EF4" w:rsidP="00B24EF4">
            <w:pPr>
              <w:rPr>
                <w:b/>
                <w:smallCaps/>
              </w:rPr>
            </w:pPr>
            <w:r w:rsidRPr="00695E71">
              <w:rPr>
                <w:b/>
                <w:smallCaps/>
              </w:rPr>
              <w:t>Between:</w:t>
            </w:r>
          </w:p>
          <w:p w:rsidR="00B24EF4" w:rsidRPr="00695E71" w:rsidRDefault="00B24EF4" w:rsidP="00B24EF4">
            <w:pPr>
              <w:rPr>
                <w:b/>
              </w:rPr>
            </w:pPr>
          </w:p>
          <w:p w:rsidR="00693C6B" w:rsidRPr="00695E71" w:rsidRDefault="00B24EF4" w:rsidP="00B24EF4">
            <w:pPr>
              <w:jc w:val="center"/>
              <w:rPr>
                <w:b/>
              </w:rPr>
            </w:pPr>
            <w:r w:rsidRPr="00695E71">
              <w:rPr>
                <w:b/>
              </w:rPr>
              <w:t>Meranda Leigh Dingwall</w:t>
            </w:r>
          </w:p>
          <w:p w:rsidR="00B24EF4" w:rsidRPr="00695E71" w:rsidRDefault="00B24EF4" w:rsidP="00B24EF4">
            <w:pPr>
              <w:jc w:val="center"/>
            </w:pPr>
            <w:r w:rsidRPr="00695E71">
              <w:t>Appellant</w:t>
            </w:r>
          </w:p>
          <w:p w:rsidR="00693C6B" w:rsidRPr="00695E71" w:rsidRDefault="00693C6B" w:rsidP="00B24EF4">
            <w:pPr>
              <w:jc w:val="center"/>
              <w:rPr>
                <w:b/>
              </w:rPr>
            </w:pPr>
          </w:p>
          <w:p w:rsidR="00B24EF4" w:rsidRPr="00695E71" w:rsidRDefault="00B24EF4" w:rsidP="00B24EF4">
            <w:pPr>
              <w:jc w:val="center"/>
            </w:pPr>
            <w:r w:rsidRPr="00695E71">
              <w:t>and</w:t>
            </w:r>
          </w:p>
          <w:p w:rsidR="00B24EF4" w:rsidRPr="00695E71" w:rsidRDefault="00B24EF4" w:rsidP="00B24EF4">
            <w:pPr>
              <w:jc w:val="center"/>
              <w:rPr>
                <w:b/>
              </w:rPr>
            </w:pPr>
          </w:p>
          <w:p w:rsidR="00693C6B" w:rsidRPr="00695E71" w:rsidRDefault="00B24EF4" w:rsidP="00B24EF4">
            <w:pPr>
              <w:jc w:val="center"/>
              <w:rPr>
                <w:b/>
              </w:rPr>
            </w:pPr>
            <w:r w:rsidRPr="00695E71">
              <w:rPr>
                <w:b/>
              </w:rPr>
              <w:t>Her Majesty The Queen</w:t>
            </w:r>
          </w:p>
          <w:p w:rsidR="00B24EF4" w:rsidRPr="00695E71" w:rsidRDefault="00B24EF4" w:rsidP="00B24EF4">
            <w:pPr>
              <w:jc w:val="center"/>
            </w:pPr>
            <w:r w:rsidRPr="00695E71">
              <w:t>Respondent</w:t>
            </w:r>
          </w:p>
          <w:p w:rsidR="00693C6B" w:rsidRPr="00695E71" w:rsidRDefault="00693C6B" w:rsidP="00B24EF4">
            <w:pPr>
              <w:jc w:val="center"/>
              <w:rPr>
                <w:b/>
              </w:rPr>
            </w:pPr>
          </w:p>
          <w:p w:rsidR="00B24EF4" w:rsidRPr="00695E71" w:rsidRDefault="00B24EF4" w:rsidP="00B24EF4">
            <w:pPr>
              <w:rPr>
                <w:b/>
                <w:smallCaps/>
              </w:rPr>
            </w:pPr>
            <w:r w:rsidRPr="00695E71">
              <w:rPr>
                <w:b/>
                <w:smallCaps/>
              </w:rPr>
              <w:t>And Between:</w:t>
            </w:r>
          </w:p>
          <w:p w:rsidR="00B24EF4" w:rsidRPr="00695E71" w:rsidRDefault="00B24EF4" w:rsidP="00B24EF4">
            <w:pPr>
              <w:rPr>
                <w:b/>
              </w:rPr>
            </w:pPr>
          </w:p>
          <w:p w:rsidR="00693C6B" w:rsidRPr="00695E71" w:rsidRDefault="00B24EF4" w:rsidP="00B24EF4">
            <w:pPr>
              <w:jc w:val="center"/>
              <w:rPr>
                <w:b/>
              </w:rPr>
            </w:pPr>
            <w:r w:rsidRPr="00695E71">
              <w:rPr>
                <w:b/>
              </w:rPr>
              <w:t>Christopher Ryan Russell</w:t>
            </w:r>
          </w:p>
          <w:p w:rsidR="00B24EF4" w:rsidRPr="00695E71" w:rsidRDefault="00B24EF4" w:rsidP="00B24EF4">
            <w:pPr>
              <w:jc w:val="center"/>
            </w:pPr>
            <w:r w:rsidRPr="00695E71">
              <w:t>Appellant</w:t>
            </w:r>
          </w:p>
          <w:p w:rsidR="00693C6B" w:rsidRPr="00695E71" w:rsidRDefault="00693C6B" w:rsidP="00B24EF4">
            <w:pPr>
              <w:jc w:val="center"/>
              <w:rPr>
                <w:b/>
              </w:rPr>
            </w:pPr>
          </w:p>
          <w:p w:rsidR="00B24EF4" w:rsidRPr="00695E71" w:rsidRDefault="00B24EF4" w:rsidP="00B24EF4">
            <w:pPr>
              <w:jc w:val="center"/>
            </w:pPr>
            <w:r w:rsidRPr="00695E71">
              <w:t>and</w:t>
            </w:r>
          </w:p>
          <w:p w:rsidR="00B24EF4" w:rsidRPr="00695E71" w:rsidRDefault="00B24EF4" w:rsidP="00B24EF4">
            <w:pPr>
              <w:jc w:val="center"/>
              <w:rPr>
                <w:b/>
              </w:rPr>
            </w:pPr>
          </w:p>
          <w:p w:rsidR="00693C6B" w:rsidRPr="00695E71" w:rsidRDefault="00B24EF4" w:rsidP="00B24EF4">
            <w:pPr>
              <w:jc w:val="center"/>
              <w:rPr>
                <w:b/>
              </w:rPr>
            </w:pPr>
            <w:r w:rsidRPr="00695E71">
              <w:rPr>
                <w:b/>
              </w:rPr>
              <w:t>Her Majesty The Queen</w:t>
            </w:r>
          </w:p>
          <w:p w:rsidR="00B24EF4" w:rsidRPr="00695E71" w:rsidRDefault="00B24EF4" w:rsidP="00B24EF4">
            <w:pPr>
              <w:jc w:val="center"/>
            </w:pPr>
            <w:r w:rsidRPr="00695E71">
              <w:t>Respondent</w:t>
            </w:r>
          </w:p>
          <w:p w:rsidR="00693C6B" w:rsidRPr="00695E71" w:rsidRDefault="00693C6B" w:rsidP="00B24EF4">
            <w:pPr>
              <w:jc w:val="center"/>
              <w:rPr>
                <w:b/>
              </w:rPr>
            </w:pPr>
          </w:p>
          <w:p w:rsidR="00B24EF4" w:rsidRPr="00695E71" w:rsidRDefault="00B24EF4" w:rsidP="00B24EF4">
            <w:pPr>
              <w:rPr>
                <w:b/>
                <w:smallCaps/>
              </w:rPr>
            </w:pPr>
            <w:r w:rsidRPr="00695E71">
              <w:rPr>
                <w:b/>
                <w:smallCaps/>
              </w:rPr>
              <w:t>And Between:</w:t>
            </w:r>
          </w:p>
          <w:p w:rsidR="00B24EF4" w:rsidRPr="00695E71" w:rsidRDefault="00B24EF4" w:rsidP="00B24EF4">
            <w:pPr>
              <w:rPr>
                <w:b/>
              </w:rPr>
            </w:pPr>
          </w:p>
          <w:p w:rsidR="00693C6B" w:rsidRPr="00695E71" w:rsidRDefault="00B24EF4" w:rsidP="00B24EF4">
            <w:pPr>
              <w:jc w:val="center"/>
              <w:rPr>
                <w:b/>
              </w:rPr>
            </w:pPr>
            <w:r w:rsidRPr="00695E71">
              <w:rPr>
                <w:b/>
              </w:rPr>
              <w:t>Kelly Michael Richet</w:t>
            </w:r>
          </w:p>
          <w:p w:rsidR="00B24EF4" w:rsidRPr="00695E71" w:rsidRDefault="00B24EF4" w:rsidP="00B24EF4">
            <w:pPr>
              <w:jc w:val="center"/>
            </w:pPr>
            <w:r w:rsidRPr="00695E71">
              <w:t>Appellant</w:t>
            </w:r>
          </w:p>
          <w:p w:rsidR="00693C6B" w:rsidRPr="00695E71" w:rsidRDefault="00693C6B" w:rsidP="00B24EF4">
            <w:pPr>
              <w:jc w:val="center"/>
            </w:pPr>
          </w:p>
          <w:p w:rsidR="00B24EF4" w:rsidRPr="00695E71" w:rsidRDefault="00B24EF4" w:rsidP="00B24EF4">
            <w:pPr>
              <w:jc w:val="center"/>
            </w:pPr>
            <w:r w:rsidRPr="00695E71">
              <w:t>and</w:t>
            </w:r>
          </w:p>
          <w:p w:rsidR="00B24EF4" w:rsidRPr="00695E71" w:rsidRDefault="00B24EF4" w:rsidP="00B24EF4">
            <w:pPr>
              <w:jc w:val="center"/>
              <w:rPr>
                <w:b/>
              </w:rPr>
            </w:pPr>
          </w:p>
          <w:p w:rsidR="00693C6B" w:rsidRPr="00695E71" w:rsidRDefault="00B24EF4" w:rsidP="00B24EF4">
            <w:pPr>
              <w:jc w:val="center"/>
              <w:rPr>
                <w:b/>
              </w:rPr>
            </w:pPr>
            <w:r w:rsidRPr="00695E71">
              <w:rPr>
                <w:b/>
              </w:rPr>
              <w:t>Her Majesty The Queen</w:t>
            </w:r>
          </w:p>
          <w:p w:rsidR="00843369" w:rsidRPr="00695E71" w:rsidRDefault="00B24EF4" w:rsidP="00B24EF4">
            <w:pPr>
              <w:jc w:val="center"/>
            </w:pPr>
            <w:r w:rsidRPr="00695E71">
              <w:lastRenderedPageBreak/>
              <w:t>Respondent</w:t>
            </w:r>
          </w:p>
          <w:p w:rsidR="00EF72F1" w:rsidRPr="00695E71" w:rsidRDefault="00EF72F1" w:rsidP="00EF72F1"/>
          <w:p w:rsidR="00EF72F1" w:rsidRPr="00695E71" w:rsidRDefault="00EF72F1" w:rsidP="00EF72F1">
            <w:r w:rsidRPr="00695E71">
              <w:rPr>
                <w:b/>
                <w:smallCaps/>
              </w:rPr>
              <w:t>Coram:</w:t>
            </w:r>
            <w:r w:rsidRPr="00695E71">
              <w:t xml:space="preserve"> </w:t>
            </w:r>
            <w:r w:rsidR="00B24EF4" w:rsidRPr="00695E71">
              <w:t>Wagner C.J. and Moldaver, Karakatsanis, Côté, Brown, Rowe, Martin, Kasirer and Jamal JJ.</w:t>
            </w:r>
          </w:p>
          <w:p w:rsidR="00EF72F1" w:rsidRPr="00695E71" w:rsidRDefault="00EF72F1" w:rsidP="00451668">
            <w:pPr>
              <w:rPr>
                <w:b/>
                <w:smallCaps/>
              </w:rPr>
            </w:pPr>
          </w:p>
        </w:tc>
      </w:tr>
      <w:tr w:rsidR="004E69EC" w:rsidRPr="00695E71" w:rsidTr="00992D2A">
        <w:tblPrEx>
          <w:tblCellMar>
            <w:top w:w="58" w:type="dxa"/>
            <w:left w:w="58" w:type="dxa"/>
            <w:bottom w:w="58" w:type="dxa"/>
            <w:right w:w="58" w:type="dxa"/>
          </w:tblCellMar>
        </w:tblPrEx>
        <w:tc>
          <w:tcPr>
            <w:tcW w:w="1231" w:type="pct"/>
          </w:tcPr>
          <w:p w:rsidR="00B24EF4" w:rsidRPr="00695E71" w:rsidRDefault="00B24EF4" w:rsidP="00992D2A">
            <w:pPr>
              <w:spacing w:before="120"/>
              <w:rPr>
                <w:smallCaps/>
              </w:rPr>
            </w:pPr>
            <w:r w:rsidRPr="00695E71">
              <w:rPr>
                <w:b/>
                <w:smallCaps/>
              </w:rPr>
              <w:lastRenderedPageBreak/>
              <w:t>Unanimous Judgment Read By:</w:t>
            </w:r>
          </w:p>
          <w:p w:rsidR="004E69EC" w:rsidRPr="00695E71" w:rsidRDefault="00B24EF4" w:rsidP="00992D2A">
            <w:r w:rsidRPr="00695E71">
              <w:t>(para. 1)</w:t>
            </w:r>
          </w:p>
          <w:p w:rsidR="00C5157B" w:rsidRPr="00695E71" w:rsidRDefault="00C5157B" w:rsidP="00992D2A"/>
        </w:tc>
        <w:tc>
          <w:tcPr>
            <w:tcW w:w="3769" w:type="pct"/>
            <w:gridSpan w:val="3"/>
          </w:tcPr>
          <w:p w:rsidR="004E69EC" w:rsidRPr="00695E71" w:rsidRDefault="00B24EF4" w:rsidP="00992D2A">
            <w:r w:rsidRPr="00695E71">
              <w:t>Rowe J.</w:t>
            </w:r>
          </w:p>
        </w:tc>
      </w:tr>
      <w:tr w:rsidR="00B24EF4" w:rsidRPr="00695E71" w:rsidTr="00FB04B1">
        <w:tblPrEx>
          <w:tblCellMar>
            <w:top w:w="58" w:type="dxa"/>
            <w:left w:w="58" w:type="dxa"/>
            <w:bottom w:w="58" w:type="dxa"/>
            <w:right w:w="58" w:type="dxa"/>
          </w:tblCellMar>
        </w:tblPrEx>
        <w:tc>
          <w:tcPr>
            <w:tcW w:w="5000" w:type="pct"/>
            <w:gridSpan w:val="4"/>
          </w:tcPr>
          <w:p w:rsidR="00B24EF4" w:rsidRPr="00695E71" w:rsidRDefault="00B24EF4" w:rsidP="00AD3D91"/>
        </w:tc>
      </w:tr>
    </w:tbl>
    <w:p w:rsidR="00904937" w:rsidRPr="00695E71" w:rsidRDefault="00904937" w:rsidP="00076773">
      <w:pPr>
        <w:pStyle w:val="SCCBold"/>
        <w:rPr>
          <w:b w:val="0"/>
        </w:rPr>
      </w:pPr>
      <w:r w:rsidRPr="00695E71">
        <w:rPr>
          <w:smallCaps/>
        </w:rPr>
        <w:t>Note:</w:t>
      </w:r>
      <w:r w:rsidRPr="00695E71">
        <w:t xml:space="preserve"> </w:t>
      </w:r>
      <w:r w:rsidRPr="00695E71">
        <w:rPr>
          <w:b w:val="0"/>
        </w:rPr>
        <w:t>This do</w:t>
      </w:r>
      <w:r w:rsidR="009E7065" w:rsidRPr="00695E71">
        <w:rPr>
          <w:b w:val="0"/>
        </w:rPr>
        <w:t>c</w:t>
      </w:r>
      <w:r w:rsidRPr="00695E71">
        <w:rPr>
          <w:b w:val="0"/>
        </w:rPr>
        <w:t xml:space="preserve">ument is subject to editorial revision before its reproduction in final form in the </w:t>
      </w:r>
      <w:r w:rsidRPr="00695E71">
        <w:rPr>
          <w:b w:val="0"/>
          <w:i/>
        </w:rPr>
        <w:t>Canada Supreme Court Reports</w:t>
      </w:r>
      <w:r w:rsidRPr="00695E71">
        <w:rPr>
          <w:b w:val="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087E50" w:rsidRPr="00695E71" w:rsidTr="003375C9">
        <w:tc>
          <w:tcPr>
            <w:tcW w:w="1500" w:type="pct"/>
            <w:tcMar>
              <w:top w:w="284" w:type="dxa"/>
            </w:tcMar>
          </w:tcPr>
          <w:p w:rsidR="00087E50" w:rsidRPr="00695E71" w:rsidRDefault="00087E50" w:rsidP="003375C9">
            <w:pPr>
              <w:rPr>
                <w:rFonts w:eastAsia="Calibri"/>
              </w:rPr>
            </w:pPr>
          </w:p>
        </w:tc>
        <w:tc>
          <w:tcPr>
            <w:tcW w:w="2000" w:type="pct"/>
            <w:tcBorders>
              <w:bottom w:val="single" w:sz="4" w:space="0" w:color="auto"/>
            </w:tcBorders>
            <w:tcMar>
              <w:top w:w="284" w:type="dxa"/>
            </w:tcMar>
          </w:tcPr>
          <w:p w:rsidR="00087E50" w:rsidRPr="00695E71" w:rsidRDefault="00087E50" w:rsidP="003375C9">
            <w:pPr>
              <w:rPr>
                <w:rFonts w:eastAsia="Calibri"/>
              </w:rPr>
            </w:pPr>
          </w:p>
        </w:tc>
        <w:tc>
          <w:tcPr>
            <w:tcW w:w="1500" w:type="pct"/>
            <w:tcMar>
              <w:top w:w="284" w:type="dxa"/>
            </w:tcMar>
          </w:tcPr>
          <w:p w:rsidR="00087E50" w:rsidRPr="00695E71" w:rsidRDefault="00087E50" w:rsidP="003375C9">
            <w:pPr>
              <w:rPr>
                <w:rFonts w:eastAsia="Calibri"/>
              </w:rPr>
            </w:pPr>
          </w:p>
        </w:tc>
      </w:tr>
    </w:tbl>
    <w:p w:rsidR="00695E71" w:rsidRPr="00695E71" w:rsidRDefault="00695E71"/>
    <w:p w:rsidR="00695E71" w:rsidRPr="00695E71" w:rsidRDefault="00695E71" w:rsidP="00695E71">
      <w:r w:rsidRPr="00695E71">
        <w:br w:type="page"/>
      </w:r>
    </w:p>
    <w:p w:rsidR="00695E71" w:rsidRPr="00695E71" w:rsidRDefault="00695E71" w:rsidP="00695E71">
      <w:pPr>
        <w:pStyle w:val="SCCLsocLastPartyInRole"/>
        <w:rPr>
          <w:b w:val="0"/>
          <w:i/>
          <w:lang w:val="en-US"/>
        </w:rPr>
      </w:pPr>
      <w:r w:rsidRPr="00695E71">
        <w:rPr>
          <w:bCs/>
        </w:rPr>
        <w:lastRenderedPageBreak/>
        <w:t>Meranda Leigh Dingwall</w:t>
      </w:r>
      <w:r w:rsidRPr="00695E71">
        <w:rPr>
          <w:lang w:val="en-US"/>
        </w:rPr>
        <w:tab/>
      </w:r>
      <w:r w:rsidRPr="00695E71">
        <w:rPr>
          <w:b w:val="0"/>
          <w:i/>
          <w:lang w:val="en-US"/>
        </w:rPr>
        <w:t>Appellant</w:t>
      </w:r>
    </w:p>
    <w:p w:rsidR="00695E71" w:rsidRPr="00695E71" w:rsidRDefault="00695E71" w:rsidP="00695E71">
      <w:pPr>
        <w:pStyle w:val="SCCLsocVersus"/>
        <w:spacing w:after="480" w:line="480" w:lineRule="auto"/>
        <w:jc w:val="left"/>
        <w:rPr>
          <w:i/>
        </w:rPr>
      </w:pPr>
      <w:r w:rsidRPr="00695E71">
        <w:rPr>
          <w:i/>
        </w:rPr>
        <w:t>v.</w:t>
      </w:r>
    </w:p>
    <w:p w:rsidR="00695E71" w:rsidRPr="00695E71" w:rsidRDefault="00695E71" w:rsidP="00695E71">
      <w:pPr>
        <w:pStyle w:val="SCCLsocLastPartyInRole"/>
      </w:pPr>
      <w:r w:rsidRPr="00695E71">
        <w:t>Her Majesty The Queen</w:t>
      </w:r>
      <w:r w:rsidRPr="00695E71">
        <w:tab/>
      </w:r>
      <w:r w:rsidRPr="00695E71">
        <w:rPr>
          <w:b w:val="0"/>
          <w:i/>
        </w:rPr>
        <w:t>Respondent</w:t>
      </w:r>
    </w:p>
    <w:p w:rsidR="00695E71" w:rsidRPr="00695E71" w:rsidRDefault="00695E71" w:rsidP="00695E71">
      <w:pPr>
        <w:pStyle w:val="SCCLsocSubfileSeparator"/>
        <w:spacing w:after="480" w:line="480" w:lineRule="auto"/>
        <w:rPr>
          <w:b w:val="0"/>
          <w:smallCaps w:val="0"/>
          <w:lang w:val="en-US"/>
        </w:rPr>
      </w:pPr>
      <w:r w:rsidRPr="00695E71">
        <w:rPr>
          <w:b w:val="0"/>
          <w:smallCaps w:val="0"/>
          <w:lang w:val="en-US"/>
        </w:rPr>
        <w:noBreakHyphen/>
        <w:t xml:space="preserve"> and </w:t>
      </w:r>
      <w:r w:rsidRPr="00695E71">
        <w:rPr>
          <w:b w:val="0"/>
          <w:smallCaps w:val="0"/>
          <w:lang w:val="en-US"/>
        </w:rPr>
        <w:noBreakHyphen/>
      </w:r>
    </w:p>
    <w:p w:rsidR="00695E71" w:rsidRPr="00695E71" w:rsidRDefault="00695E71" w:rsidP="00695E71">
      <w:pPr>
        <w:pStyle w:val="SCCLsocLastPartyInRole"/>
        <w:rPr>
          <w:lang w:val="en-US"/>
        </w:rPr>
      </w:pPr>
      <w:r w:rsidRPr="00695E71">
        <w:rPr>
          <w:bCs/>
        </w:rPr>
        <w:t>Christopher Ryan Russell</w:t>
      </w:r>
      <w:r w:rsidRPr="00695E71">
        <w:rPr>
          <w:lang w:val="en-US"/>
        </w:rPr>
        <w:tab/>
      </w:r>
      <w:r w:rsidRPr="00695E71">
        <w:rPr>
          <w:b w:val="0"/>
          <w:i/>
          <w:lang w:val="en-US"/>
        </w:rPr>
        <w:t>Appellant</w:t>
      </w:r>
    </w:p>
    <w:p w:rsidR="00695E71" w:rsidRPr="00695E71" w:rsidRDefault="00695E71" w:rsidP="00695E71">
      <w:pPr>
        <w:pStyle w:val="SCCLsocVersus"/>
        <w:spacing w:after="480" w:line="480" w:lineRule="auto"/>
        <w:jc w:val="left"/>
        <w:rPr>
          <w:i/>
          <w:lang w:val="en-US"/>
        </w:rPr>
      </w:pPr>
      <w:r w:rsidRPr="00695E71">
        <w:rPr>
          <w:i/>
          <w:lang w:val="en-US"/>
        </w:rPr>
        <w:t>v.</w:t>
      </w:r>
    </w:p>
    <w:p w:rsidR="00695E71" w:rsidRPr="00695E71" w:rsidRDefault="00695E71" w:rsidP="00695E71">
      <w:pPr>
        <w:pStyle w:val="SCCLsocLastPartyInRole"/>
      </w:pPr>
      <w:r w:rsidRPr="00695E71">
        <w:t>Her Majesty The Queen</w:t>
      </w:r>
      <w:r w:rsidRPr="00695E71">
        <w:tab/>
      </w:r>
      <w:r w:rsidRPr="00695E71">
        <w:rPr>
          <w:b w:val="0"/>
          <w:i/>
        </w:rPr>
        <w:t>Respondent</w:t>
      </w:r>
    </w:p>
    <w:p w:rsidR="00695E71" w:rsidRPr="00695E71" w:rsidRDefault="00695E71" w:rsidP="00695E71">
      <w:pPr>
        <w:pStyle w:val="SCCLsocSubfileSeparator"/>
        <w:spacing w:after="480" w:line="480" w:lineRule="auto"/>
        <w:rPr>
          <w:b w:val="0"/>
          <w:smallCaps w:val="0"/>
        </w:rPr>
      </w:pPr>
      <w:r w:rsidRPr="00695E71">
        <w:rPr>
          <w:b w:val="0"/>
          <w:smallCaps w:val="0"/>
        </w:rPr>
        <w:noBreakHyphen/>
        <w:t xml:space="preserve"> and </w:t>
      </w:r>
      <w:r w:rsidRPr="00695E71">
        <w:rPr>
          <w:b w:val="0"/>
          <w:smallCaps w:val="0"/>
        </w:rPr>
        <w:noBreakHyphen/>
      </w:r>
    </w:p>
    <w:p w:rsidR="00695E71" w:rsidRPr="00695E71" w:rsidRDefault="00695E71" w:rsidP="00695E71">
      <w:pPr>
        <w:pStyle w:val="SCCLsocLastPartyInRole"/>
        <w:rPr>
          <w:lang w:val="en-US"/>
        </w:rPr>
      </w:pPr>
      <w:r w:rsidRPr="00695E71">
        <w:rPr>
          <w:bCs/>
        </w:rPr>
        <w:t>Kelly Michael Richet</w:t>
      </w:r>
      <w:r w:rsidRPr="00695E71">
        <w:rPr>
          <w:lang w:val="en-US"/>
        </w:rPr>
        <w:tab/>
      </w:r>
      <w:r w:rsidRPr="00695E71">
        <w:rPr>
          <w:b w:val="0"/>
          <w:i/>
          <w:lang w:val="en-US"/>
        </w:rPr>
        <w:t>Appellant</w:t>
      </w:r>
    </w:p>
    <w:p w:rsidR="00695E71" w:rsidRPr="00695E71" w:rsidRDefault="00695E71" w:rsidP="00695E71">
      <w:pPr>
        <w:pStyle w:val="SCCLsocVersus"/>
        <w:spacing w:after="480" w:line="480" w:lineRule="auto"/>
        <w:jc w:val="left"/>
        <w:rPr>
          <w:i/>
          <w:lang w:val="en-US"/>
        </w:rPr>
      </w:pPr>
      <w:r w:rsidRPr="00695E71">
        <w:rPr>
          <w:i/>
          <w:lang w:val="en-US"/>
        </w:rPr>
        <w:t>v.</w:t>
      </w:r>
    </w:p>
    <w:p w:rsidR="00695E71" w:rsidRPr="00695E71" w:rsidRDefault="00695E71" w:rsidP="00695E71">
      <w:pPr>
        <w:pStyle w:val="SCCLsocLastPartyInRole"/>
      </w:pPr>
      <w:r w:rsidRPr="00695E71">
        <w:t>Her Majesty The Queen</w:t>
      </w:r>
      <w:r w:rsidRPr="00695E71">
        <w:tab/>
      </w:r>
      <w:r w:rsidRPr="00695E71">
        <w:rPr>
          <w:b w:val="0"/>
          <w:i/>
        </w:rPr>
        <w:t>Respondent</w:t>
      </w:r>
    </w:p>
    <w:p w:rsidR="00695E71" w:rsidRPr="00695E71" w:rsidRDefault="00695E71" w:rsidP="00695E71">
      <w:pPr>
        <w:spacing w:after="720"/>
        <w:jc w:val="both"/>
        <w:rPr>
          <w:b/>
        </w:rPr>
      </w:pPr>
      <w:r w:rsidRPr="00695E71">
        <w:rPr>
          <w:b/>
        </w:rPr>
        <w:t xml:space="preserve">Indexed as: R. </w:t>
      </w:r>
      <w:r w:rsidRPr="00695E71">
        <w:rPr>
          <w:b/>
          <w:i/>
          <w:iCs/>
        </w:rPr>
        <w:t>v</w:t>
      </w:r>
      <w:r w:rsidRPr="00695E71">
        <w:rPr>
          <w:b/>
        </w:rPr>
        <w:t>. Dingwall</w:t>
      </w:r>
    </w:p>
    <w:p w:rsidR="00695E71" w:rsidRPr="00695E71" w:rsidRDefault="00695E71" w:rsidP="00695E71">
      <w:pPr>
        <w:pStyle w:val="SCCSystemYear"/>
        <w:spacing w:after="720"/>
        <w:jc w:val="both"/>
      </w:pPr>
      <w:r w:rsidRPr="00695E71">
        <w:t>2021 SCC 35</w:t>
      </w:r>
    </w:p>
    <w:p w:rsidR="00695E71" w:rsidRPr="00695E71" w:rsidRDefault="00695E71" w:rsidP="00695E71">
      <w:pPr>
        <w:spacing w:after="720"/>
        <w:jc w:val="both"/>
      </w:pPr>
      <w:r w:rsidRPr="00695E71">
        <w:t xml:space="preserve">File No.: </w:t>
      </w:r>
      <w:r w:rsidRPr="00695E71">
        <w:rPr>
          <w:color w:val="000000"/>
        </w:rPr>
        <w:t>39274</w:t>
      </w:r>
      <w:r w:rsidRPr="00695E71">
        <w:t>.</w:t>
      </w:r>
    </w:p>
    <w:p w:rsidR="00695E71" w:rsidRPr="00695E71" w:rsidRDefault="00695E71" w:rsidP="00695E71">
      <w:pPr>
        <w:spacing w:after="720"/>
        <w:jc w:val="both"/>
      </w:pPr>
      <w:r w:rsidRPr="00695E71">
        <w:t xml:space="preserve">2021: </w:t>
      </w:r>
      <w:r w:rsidRPr="00695E71">
        <w:rPr>
          <w:color w:val="000000"/>
        </w:rPr>
        <w:t>October 8</w:t>
      </w:r>
      <w:r w:rsidRPr="00695E71">
        <w:t>.</w:t>
      </w:r>
    </w:p>
    <w:p w:rsidR="00695E71" w:rsidRPr="00695E71" w:rsidRDefault="00695E71" w:rsidP="00695E71">
      <w:pPr>
        <w:spacing w:after="720"/>
        <w:jc w:val="both"/>
      </w:pPr>
      <w:r w:rsidRPr="00695E71">
        <w:t xml:space="preserve">Present: </w:t>
      </w:r>
      <w:r w:rsidRPr="00695E71">
        <w:rPr>
          <w:color w:val="000000"/>
        </w:rPr>
        <w:t>Wagner C.J. and Moldaver, Karakatsanis, Côté, Brown, Rowe, Martin, Kasirer and Jamal JJ.</w:t>
      </w:r>
    </w:p>
    <w:p w:rsidR="00695E71" w:rsidRPr="00695E71" w:rsidRDefault="00695E71" w:rsidP="00695E71">
      <w:pPr>
        <w:pStyle w:val="SCCLowerCourtNameLowercase"/>
        <w:spacing w:after="720" w:line="240" w:lineRule="auto"/>
      </w:pPr>
      <w:r w:rsidRPr="00695E71">
        <w:t xml:space="preserve">on appeal from the court of appeal for </w:t>
      </w:r>
      <w:r w:rsidRPr="00695E71">
        <w:rPr>
          <w:color w:val="000000"/>
        </w:rPr>
        <w:t>british columbia</w:t>
      </w:r>
    </w:p>
    <w:p w:rsidR="00695E71" w:rsidRPr="00695E71" w:rsidRDefault="00695E71" w:rsidP="00695E71">
      <w:pPr>
        <w:pStyle w:val="SCCNormalDoubleSpacing"/>
        <w:spacing w:after="480"/>
        <w:rPr>
          <w:i/>
        </w:rPr>
      </w:pPr>
      <w:r w:rsidRPr="00695E71">
        <w:rPr>
          <w:i/>
        </w:rPr>
        <w:tab/>
        <w:t>Criminal law — Unreasonable verdict — Evidence — Circumstantial evidence — Parties to offence — Three accused charged with aggravated assault and firearm offences in connection with drive</w:t>
      </w:r>
      <w:r w:rsidRPr="00695E71">
        <w:rPr>
          <w:i/>
        </w:rPr>
        <w:noBreakHyphen/>
        <w:t>by shooting — Crown’s case based entirely on circumstantial evidence — Trial judge holding that only rational inference to be drawn from evidence was that Crown proved all essential elements of charges beyond reasonable doubt and convicting accused — Majority of Court of Appeal dismissing conviction appeals and holding that verdicts not unreasonable — Convictions upheld.</w:t>
      </w:r>
    </w:p>
    <w:p w:rsidR="00695E71" w:rsidRPr="00695E71" w:rsidRDefault="00695E71" w:rsidP="00695E71">
      <w:pPr>
        <w:pStyle w:val="SCCNormalDoubleSpacing"/>
        <w:widowControl w:val="0"/>
        <w:spacing w:after="720" w:line="240" w:lineRule="auto"/>
        <w:rPr>
          <w:b/>
        </w:rPr>
      </w:pPr>
      <w:r w:rsidRPr="00695E71">
        <w:rPr>
          <w:b/>
        </w:rPr>
        <w:t>Cases Cited</w:t>
      </w:r>
    </w:p>
    <w:p w:rsidR="00695E71" w:rsidRPr="00695E71" w:rsidRDefault="00695E71" w:rsidP="00695E71">
      <w:pPr>
        <w:pStyle w:val="SCCNormalDoubleSpacing"/>
        <w:widowControl w:val="0"/>
        <w:spacing w:after="720" w:line="240" w:lineRule="auto"/>
        <w:rPr>
          <w:color w:val="000000"/>
        </w:rPr>
      </w:pPr>
      <w:r w:rsidRPr="00695E71">
        <w:tab/>
      </w:r>
      <w:r w:rsidRPr="00695E71">
        <w:rPr>
          <w:b/>
        </w:rPr>
        <w:t>Referred to:</w:t>
      </w:r>
      <w:r w:rsidRPr="00695E71">
        <w:t xml:space="preserve"> </w:t>
      </w:r>
      <w:r w:rsidRPr="00695E71">
        <w:rPr>
          <w:i/>
          <w:iCs/>
          <w:color w:val="000000"/>
        </w:rPr>
        <w:t>Hodge’s Case</w:t>
      </w:r>
      <w:r w:rsidRPr="00695E71">
        <w:rPr>
          <w:color w:val="000000"/>
        </w:rPr>
        <w:t xml:space="preserve"> (1838), 2 Lewin 227, 168 E.R. 1136.</w:t>
      </w:r>
    </w:p>
    <w:p w:rsidR="00695E71" w:rsidRPr="00695E71" w:rsidRDefault="00695E71" w:rsidP="00695E71">
      <w:pPr>
        <w:pStyle w:val="SCCNormalDoubleSpacing"/>
        <w:widowControl w:val="0"/>
        <w:spacing w:after="720" w:line="240" w:lineRule="auto"/>
        <w:rPr>
          <w:b/>
        </w:rPr>
      </w:pPr>
      <w:r w:rsidRPr="00695E71">
        <w:rPr>
          <w:b/>
          <w:bCs/>
          <w:color w:val="000000"/>
        </w:rPr>
        <w:t>Statutes and Regulations Cited</w:t>
      </w:r>
    </w:p>
    <w:p w:rsidR="00695E71" w:rsidRPr="00695E71" w:rsidRDefault="00695E71" w:rsidP="00695E71">
      <w:pPr>
        <w:pStyle w:val="SCCNormalDoubleSpacing"/>
        <w:widowControl w:val="0"/>
        <w:spacing w:after="720" w:line="240" w:lineRule="auto"/>
        <w:rPr>
          <w:rFonts w:eastAsiaTheme="majorEastAsia"/>
          <w:lang w:val="en-US"/>
        </w:rPr>
      </w:pPr>
      <w:r w:rsidRPr="00695E71">
        <w:rPr>
          <w:rFonts w:eastAsiaTheme="majorEastAsia"/>
          <w:i/>
          <w:iCs/>
          <w:lang w:val="en-US"/>
        </w:rPr>
        <w:t>Criminal Code</w:t>
      </w:r>
      <w:r w:rsidRPr="00695E71">
        <w:rPr>
          <w:rFonts w:eastAsiaTheme="majorEastAsia"/>
          <w:lang w:val="en-US"/>
        </w:rPr>
        <w:t>, R.S.C. 1985, c. C</w:t>
      </w:r>
      <w:r w:rsidRPr="00695E71">
        <w:rPr>
          <w:rFonts w:eastAsiaTheme="majorEastAsia"/>
          <w:lang w:val="en-US"/>
        </w:rPr>
        <w:noBreakHyphen/>
        <w:t xml:space="preserve">46, </w:t>
      </w:r>
      <w:r w:rsidRPr="00695E71">
        <w:rPr>
          <w:color w:val="000000"/>
          <w:lang w:val="en-US"/>
        </w:rPr>
        <w:t>s. 686(1)(b)(iii).</w:t>
      </w:r>
    </w:p>
    <w:p w:rsidR="00695E71" w:rsidRPr="00695E71" w:rsidRDefault="00695E71" w:rsidP="00695E71">
      <w:pPr>
        <w:pStyle w:val="SCCNormalDoubleSpacing"/>
        <w:spacing w:after="480"/>
      </w:pPr>
      <w:r w:rsidRPr="00695E71">
        <w:rPr>
          <w:lang w:val="en-US"/>
        </w:rPr>
        <w:tab/>
      </w:r>
      <w:r w:rsidRPr="00695E71">
        <w:t xml:space="preserve">APPEAL from a judgment of the </w:t>
      </w:r>
      <w:r w:rsidRPr="00695E71">
        <w:rPr>
          <w:color w:val="000000"/>
        </w:rPr>
        <w:t xml:space="preserve">British Columbia </w:t>
      </w:r>
      <w:r w:rsidRPr="00695E71">
        <w:t xml:space="preserve">Court of Appeal (Newbury, Willcock and Butler JJ.A.), </w:t>
      </w:r>
      <w:hyperlink r:id="rId8" w:history="1">
        <w:r w:rsidRPr="00695E71">
          <w:rPr>
            <w:rStyle w:val="Hyperlink"/>
          </w:rPr>
          <w:t>2020 BCCA 108</w:t>
        </w:r>
      </w:hyperlink>
      <w:r w:rsidRPr="00695E71">
        <w:rPr>
          <w:color w:val="000000"/>
        </w:rPr>
        <w:t xml:space="preserve">, 386 C.C.C. (3d) 480, 462 D.L.R. (4th) 85, [2020] B.C.J. No. 603 (QL), 2020 CarswellBC 902 (WL), </w:t>
      </w:r>
      <w:r w:rsidRPr="00695E71">
        <w:t>affirming the convictions entered by</w:t>
      </w:r>
      <w:r w:rsidRPr="00695E71">
        <w:rPr>
          <w:rFonts w:ascii="Verdana" w:hAnsi="Verdana"/>
          <w:color w:val="212121"/>
          <w:sz w:val="18"/>
          <w:szCs w:val="18"/>
          <w:shd w:val="clear" w:color="auto" w:fill="FFFFFF"/>
        </w:rPr>
        <w:t xml:space="preserve"> </w:t>
      </w:r>
      <w:r w:rsidRPr="00695E71">
        <w:t xml:space="preserve">Abrioux J., 2017 BCSC 1457, [2017] B.C.J. No. 1616 </w:t>
      </w:r>
      <w:r w:rsidRPr="00695E71">
        <w:rPr>
          <w:color w:val="000000"/>
        </w:rPr>
        <w:t>(QL), 2017 CarswellBC 2266 (WL)</w:t>
      </w:r>
      <w:r w:rsidRPr="00695E71">
        <w:t>. Appeal dismissed.</w:t>
      </w:r>
    </w:p>
    <w:p w:rsidR="00695E71" w:rsidRPr="00695E71" w:rsidRDefault="00695E71" w:rsidP="00695E71">
      <w:pPr>
        <w:pStyle w:val="SCCLawFirm"/>
        <w:spacing w:after="480"/>
        <w:rPr>
          <w:i w:val="0"/>
        </w:rPr>
      </w:pPr>
      <w:r w:rsidRPr="00695E71">
        <w:tab/>
      </w:r>
      <w:r w:rsidRPr="00695E71">
        <w:rPr>
          <w:iCs/>
          <w:color w:val="000000"/>
        </w:rPr>
        <w:t>Brent V. Bagnall</w:t>
      </w:r>
      <w:r w:rsidRPr="00695E71">
        <w:rPr>
          <w:i w:val="0"/>
          <w:lang w:val="en-US"/>
        </w:rPr>
        <w:t>,</w:t>
      </w:r>
      <w:r w:rsidRPr="00695E71">
        <w:rPr>
          <w:lang w:val="en-US"/>
        </w:rPr>
        <w:t xml:space="preserve"> </w:t>
      </w:r>
      <w:r w:rsidRPr="00695E71">
        <w:rPr>
          <w:i w:val="0"/>
          <w:lang w:val="en-US"/>
        </w:rPr>
        <w:t>for the appellant</w:t>
      </w:r>
      <w:r w:rsidRPr="00695E71">
        <w:rPr>
          <w:color w:val="000000"/>
        </w:rPr>
        <w:t xml:space="preserve"> </w:t>
      </w:r>
      <w:r w:rsidRPr="00695E71">
        <w:rPr>
          <w:i w:val="0"/>
          <w:color w:val="000000"/>
        </w:rPr>
        <w:t>Meranda Leigh Dingwall</w:t>
      </w:r>
      <w:r w:rsidRPr="00695E71">
        <w:rPr>
          <w:i w:val="0"/>
          <w:lang w:val="en-US"/>
        </w:rPr>
        <w:t>.</w:t>
      </w:r>
    </w:p>
    <w:p w:rsidR="00695E71" w:rsidRPr="00695E71" w:rsidRDefault="00695E71" w:rsidP="00695E71">
      <w:pPr>
        <w:pStyle w:val="SCCLawFirm"/>
        <w:spacing w:after="480"/>
        <w:rPr>
          <w:i w:val="0"/>
        </w:rPr>
      </w:pPr>
      <w:r w:rsidRPr="00695E71">
        <w:tab/>
      </w:r>
      <w:r w:rsidRPr="00695E71">
        <w:rPr>
          <w:iCs/>
          <w:color w:val="000000"/>
        </w:rPr>
        <w:t>Kenneth R. Beatch</w:t>
      </w:r>
      <w:r w:rsidRPr="00695E71">
        <w:rPr>
          <w:color w:val="000000"/>
        </w:rPr>
        <w:t xml:space="preserve"> </w:t>
      </w:r>
      <w:r w:rsidRPr="00695E71">
        <w:rPr>
          <w:i w:val="0"/>
          <w:color w:val="000000"/>
        </w:rPr>
        <w:t>and</w:t>
      </w:r>
      <w:r w:rsidRPr="00695E71">
        <w:rPr>
          <w:color w:val="000000"/>
        </w:rPr>
        <w:t xml:space="preserve"> </w:t>
      </w:r>
      <w:r w:rsidRPr="00695E71">
        <w:rPr>
          <w:iCs/>
          <w:color w:val="000000"/>
        </w:rPr>
        <w:t>Roger P. Thirkell</w:t>
      </w:r>
      <w:r w:rsidRPr="00695E71">
        <w:rPr>
          <w:i w:val="0"/>
          <w:lang w:val="en-US"/>
        </w:rPr>
        <w:t xml:space="preserve">, for the appellant </w:t>
      </w:r>
      <w:r w:rsidRPr="00695E71">
        <w:rPr>
          <w:i w:val="0"/>
          <w:color w:val="000000"/>
        </w:rPr>
        <w:t>Christopher Ryan Russell</w:t>
      </w:r>
      <w:r w:rsidRPr="00695E71">
        <w:rPr>
          <w:i w:val="0"/>
          <w:lang w:val="en-US"/>
        </w:rPr>
        <w:t>.</w:t>
      </w:r>
    </w:p>
    <w:p w:rsidR="00695E71" w:rsidRPr="00695E71" w:rsidRDefault="00695E71" w:rsidP="00695E71">
      <w:pPr>
        <w:pStyle w:val="SCCLawFirm"/>
        <w:spacing w:after="480"/>
        <w:rPr>
          <w:lang w:val="en-US"/>
        </w:rPr>
      </w:pPr>
      <w:r w:rsidRPr="00695E71">
        <w:tab/>
      </w:r>
      <w:r w:rsidRPr="00695E71">
        <w:rPr>
          <w:iCs/>
          <w:color w:val="000000"/>
        </w:rPr>
        <w:t>Jason C. LeBlond</w:t>
      </w:r>
      <w:r w:rsidRPr="00695E71">
        <w:rPr>
          <w:i w:val="0"/>
          <w:lang w:val="en-US"/>
        </w:rPr>
        <w:t>,</w:t>
      </w:r>
      <w:r w:rsidRPr="00695E71">
        <w:rPr>
          <w:lang w:val="en-US"/>
        </w:rPr>
        <w:t xml:space="preserve"> </w:t>
      </w:r>
      <w:r w:rsidRPr="00695E71">
        <w:rPr>
          <w:i w:val="0"/>
          <w:lang w:val="en-US"/>
        </w:rPr>
        <w:t xml:space="preserve">for the appellant </w:t>
      </w:r>
      <w:r w:rsidRPr="00695E71">
        <w:rPr>
          <w:i w:val="0"/>
          <w:color w:val="000000"/>
        </w:rPr>
        <w:t>Kelly Michael Richet</w:t>
      </w:r>
      <w:r w:rsidRPr="00695E71">
        <w:rPr>
          <w:i w:val="0"/>
          <w:lang w:val="en-US"/>
        </w:rPr>
        <w:t>.</w:t>
      </w:r>
    </w:p>
    <w:p w:rsidR="00695E71" w:rsidRPr="00695E71" w:rsidRDefault="00695E71" w:rsidP="00695E71">
      <w:pPr>
        <w:pStyle w:val="SCCLawFirm"/>
        <w:spacing w:after="480"/>
      </w:pPr>
      <w:r w:rsidRPr="00695E71">
        <w:rPr>
          <w:lang w:val="en-US"/>
        </w:rPr>
        <w:tab/>
      </w:r>
      <w:r w:rsidRPr="00695E71">
        <w:rPr>
          <w:iCs/>
          <w:color w:val="000000"/>
        </w:rPr>
        <w:t>Susanne Elliott</w:t>
      </w:r>
      <w:r w:rsidRPr="00695E71">
        <w:rPr>
          <w:color w:val="000000"/>
        </w:rPr>
        <w:t xml:space="preserve"> </w:t>
      </w:r>
      <w:r w:rsidRPr="00695E71">
        <w:rPr>
          <w:i w:val="0"/>
          <w:color w:val="000000"/>
        </w:rPr>
        <w:t>and</w:t>
      </w:r>
      <w:r w:rsidRPr="00695E71">
        <w:rPr>
          <w:color w:val="000000"/>
        </w:rPr>
        <w:t xml:space="preserve"> </w:t>
      </w:r>
      <w:r w:rsidRPr="00695E71">
        <w:rPr>
          <w:iCs/>
          <w:color w:val="000000"/>
        </w:rPr>
        <w:t>Geoffrey McDonald</w:t>
      </w:r>
      <w:r w:rsidRPr="00695E71">
        <w:rPr>
          <w:i w:val="0"/>
          <w:lang w:val="en-US"/>
        </w:rPr>
        <w:t>,</w:t>
      </w:r>
      <w:r w:rsidRPr="00695E71">
        <w:rPr>
          <w:lang w:val="en-US"/>
        </w:rPr>
        <w:t xml:space="preserve"> </w:t>
      </w:r>
      <w:r w:rsidRPr="00695E71">
        <w:rPr>
          <w:i w:val="0"/>
          <w:lang w:val="en-US"/>
        </w:rPr>
        <w:t>for the respondent.</w:t>
      </w:r>
    </w:p>
    <w:p w:rsidR="00695E71" w:rsidRPr="00695E71" w:rsidRDefault="00695E71" w:rsidP="00695E71">
      <w:pPr>
        <w:pStyle w:val="SCCNormalDoubleSpacing"/>
        <w:spacing w:after="480"/>
      </w:pPr>
      <w:r w:rsidRPr="00695E71">
        <w:tab/>
        <w:t>The judgment of the Court was delivered orally by</w:t>
      </w:r>
    </w:p>
    <w:p w:rsidR="00695E71" w:rsidRPr="00695E71" w:rsidRDefault="00695E71" w:rsidP="00695E71">
      <w:pPr>
        <w:pStyle w:val="ParaNoNdepar-AltN"/>
      </w:pPr>
      <w:r w:rsidRPr="00695E71">
        <w:t>[1]</w:t>
      </w:r>
      <w:r w:rsidRPr="00695E71">
        <w:tab/>
      </w:r>
      <w:r w:rsidRPr="00695E71">
        <w:rPr>
          <w:smallCaps/>
          <w:color w:val="000000"/>
        </w:rPr>
        <w:t>Rowe</w:t>
      </w:r>
      <w:r w:rsidRPr="00695E71">
        <w:rPr>
          <w:color w:val="000000"/>
        </w:rPr>
        <w:t xml:space="preserve"> </w:t>
      </w:r>
      <w:r w:rsidRPr="00695E71">
        <w:rPr>
          <w:smallCaps/>
        </w:rPr>
        <w:t>J.</w:t>
      </w:r>
      <w:r w:rsidRPr="00695E71">
        <w:t xml:space="preserve"> — </w:t>
      </w:r>
      <w:r w:rsidRPr="00695E71">
        <w:rPr>
          <w:color w:val="000000"/>
        </w:rPr>
        <w:t xml:space="preserve">We would dismiss the appeal substantially for the reasons of Newbury J.A., at paras. 51 and 53. We would add that notwithstanding a misstatement of law with respect to circumstantial evidence set out by the trial judge in para. 9(b) of his reasons (2017 BCSC 1457 (CanLII)), the trial judge properly applied the law with respect to circumstantial evidence. Accordingly, no reliance need be placed on the curative authority under s. 686(1)(b)(iii) of the </w:t>
      </w:r>
      <w:r w:rsidRPr="00695E71">
        <w:rPr>
          <w:rFonts w:eastAsiaTheme="majorEastAsia"/>
          <w:i/>
          <w:iCs/>
        </w:rPr>
        <w:t>Criminal Code</w:t>
      </w:r>
      <w:r w:rsidRPr="00695E71">
        <w:rPr>
          <w:rFonts w:eastAsiaTheme="majorEastAsia"/>
        </w:rPr>
        <w:t>, R.S.C. 1985, c. C</w:t>
      </w:r>
      <w:r w:rsidRPr="00695E71">
        <w:rPr>
          <w:rFonts w:eastAsiaTheme="majorEastAsia"/>
        </w:rPr>
        <w:noBreakHyphen/>
        <w:t>46</w:t>
      </w:r>
      <w:r w:rsidRPr="00695E71">
        <w:rPr>
          <w:color w:val="000000"/>
        </w:rPr>
        <w:t xml:space="preserve">. Finally, we would note that while the Court of Appeal, in paras. 39 and 50, addressed the rule in </w:t>
      </w:r>
      <w:r w:rsidRPr="00695E71">
        <w:rPr>
          <w:i/>
          <w:iCs/>
          <w:color w:val="000000"/>
        </w:rPr>
        <w:t>Hodge’s Case</w:t>
      </w:r>
      <w:r w:rsidRPr="00695E71">
        <w:rPr>
          <w:color w:val="000000"/>
        </w:rPr>
        <w:t xml:space="preserve"> (1838), 2 Lewin 227, 168 E.R. 1136, the scope and application of that rule is not before this Court.</w:t>
      </w:r>
    </w:p>
    <w:p w:rsidR="00695E71" w:rsidRPr="00695E71" w:rsidRDefault="00695E71" w:rsidP="00695E71">
      <w:pPr>
        <w:pStyle w:val="SCCNormalDoubleSpacing"/>
        <w:spacing w:after="480"/>
        <w:rPr>
          <w:i/>
          <w:lang w:val="en-US"/>
        </w:rPr>
      </w:pPr>
      <w:r w:rsidRPr="00695E71">
        <w:tab/>
      </w:r>
      <w:r w:rsidRPr="00695E71">
        <w:rPr>
          <w:i/>
          <w:iCs/>
          <w:color w:val="000000"/>
        </w:rPr>
        <w:t>Judgment accordingly.</w:t>
      </w:r>
    </w:p>
    <w:p w:rsidR="00695E71" w:rsidRPr="00695E71" w:rsidRDefault="00695E71" w:rsidP="00695E71">
      <w:pPr>
        <w:pStyle w:val="SCCLawFirm"/>
        <w:spacing w:after="480"/>
        <w:rPr>
          <w:iCs/>
          <w:color w:val="000000"/>
        </w:rPr>
      </w:pPr>
      <w:r w:rsidRPr="00695E71">
        <w:tab/>
        <w:t xml:space="preserve">Solicitor for the </w:t>
      </w:r>
      <w:r w:rsidRPr="00695E71">
        <w:rPr>
          <w:iCs/>
          <w:color w:val="000000"/>
        </w:rPr>
        <w:t>appellant Meranda Leigh Dingwall: Brent V. Bagnall, Vancouver.</w:t>
      </w:r>
    </w:p>
    <w:p w:rsidR="00695E71" w:rsidRPr="00695E71" w:rsidRDefault="00695E71" w:rsidP="00695E71">
      <w:pPr>
        <w:pStyle w:val="SCCLawFirm"/>
        <w:spacing w:after="480"/>
        <w:rPr>
          <w:iCs/>
          <w:color w:val="000000"/>
        </w:rPr>
      </w:pPr>
      <w:r w:rsidRPr="00695E71">
        <w:rPr>
          <w:iCs/>
          <w:color w:val="000000"/>
        </w:rPr>
        <w:tab/>
        <w:t xml:space="preserve">Solicitors for the appellant Christopher Ryan Russell: </w:t>
      </w:r>
      <w:r w:rsidRPr="00695E71">
        <w:rPr>
          <w:color w:val="333333"/>
          <w:szCs w:val="21"/>
          <w:shd w:val="clear" w:color="auto" w:fill="FFFFFF"/>
        </w:rPr>
        <w:t>Thirkell &amp; Company</w:t>
      </w:r>
      <w:r w:rsidRPr="00695E71">
        <w:rPr>
          <w:iCs/>
          <w:color w:val="000000"/>
        </w:rPr>
        <w:t>, Abbotsford.</w:t>
      </w:r>
    </w:p>
    <w:p w:rsidR="00695E71" w:rsidRPr="00695E71" w:rsidRDefault="00695E71" w:rsidP="00695E71">
      <w:pPr>
        <w:pStyle w:val="SCCLawFirm"/>
        <w:spacing w:after="480"/>
        <w:rPr>
          <w:iCs/>
          <w:color w:val="000000"/>
        </w:rPr>
      </w:pPr>
      <w:r w:rsidRPr="00695E71">
        <w:rPr>
          <w:iCs/>
          <w:color w:val="000000"/>
        </w:rPr>
        <w:tab/>
        <w:t>Solicitors for the appellant Kelly Michael Richet: Third Avenue Law, Prince George.</w:t>
      </w:r>
    </w:p>
    <w:p w:rsidR="00904937" w:rsidRPr="00695E71" w:rsidRDefault="00695E71" w:rsidP="00695E71">
      <w:pPr>
        <w:pStyle w:val="SCCLawFirm"/>
        <w:spacing w:after="480"/>
        <w:rPr>
          <w:iCs/>
          <w:color w:val="000000"/>
          <w:lang w:val="en-US"/>
        </w:rPr>
      </w:pPr>
      <w:r w:rsidRPr="00695E71">
        <w:rPr>
          <w:iCs/>
          <w:color w:val="000000"/>
        </w:rPr>
        <w:tab/>
        <w:t>Solicitor for the respondent: Attorney General of British Columbia, Vancouver.</w:t>
      </w:r>
    </w:p>
    <w:sectPr w:rsidR="00904937" w:rsidRPr="00695E71" w:rsidSect="00F7201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E44" w:rsidRDefault="00EF0E44" w:rsidP="00F72014">
      <w:r>
        <w:separator/>
      </w:r>
    </w:p>
  </w:endnote>
  <w:endnote w:type="continuationSeparator" w:id="0">
    <w:p w:rsidR="00EF0E44" w:rsidRDefault="00EF0E44" w:rsidP="00F7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C4E" w:rsidRDefault="00547C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C4E" w:rsidRDefault="00547C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C4E" w:rsidRDefault="00547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E44" w:rsidRDefault="00EF0E44" w:rsidP="00F72014">
      <w:r>
        <w:separator/>
      </w:r>
    </w:p>
  </w:footnote>
  <w:footnote w:type="continuationSeparator" w:id="0">
    <w:p w:rsidR="00EF0E44" w:rsidRDefault="00EF0E44" w:rsidP="00F7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C4E" w:rsidRDefault="00547C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C4E" w:rsidRDefault="00547C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C4E" w:rsidRDefault="00547C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DA"/>
    <w:rsid w:val="00001315"/>
    <w:rsid w:val="0003087F"/>
    <w:rsid w:val="00076773"/>
    <w:rsid w:val="00087E50"/>
    <w:rsid w:val="001311DA"/>
    <w:rsid w:val="001412E4"/>
    <w:rsid w:val="001648D4"/>
    <w:rsid w:val="001B0985"/>
    <w:rsid w:val="001B27ED"/>
    <w:rsid w:val="001B299D"/>
    <w:rsid w:val="001D6B8C"/>
    <w:rsid w:val="001F1F83"/>
    <w:rsid w:val="001F3E0C"/>
    <w:rsid w:val="00205C5C"/>
    <w:rsid w:val="00205C5D"/>
    <w:rsid w:val="00252460"/>
    <w:rsid w:val="00273D07"/>
    <w:rsid w:val="0028675F"/>
    <w:rsid w:val="002C1DA9"/>
    <w:rsid w:val="002C5A33"/>
    <w:rsid w:val="002D4FC9"/>
    <w:rsid w:val="00307011"/>
    <w:rsid w:val="00355967"/>
    <w:rsid w:val="00384384"/>
    <w:rsid w:val="003B2BE1"/>
    <w:rsid w:val="003B3C63"/>
    <w:rsid w:val="00451668"/>
    <w:rsid w:val="00460AFC"/>
    <w:rsid w:val="004E69EC"/>
    <w:rsid w:val="004F090E"/>
    <w:rsid w:val="00524C08"/>
    <w:rsid w:val="00540106"/>
    <w:rsid w:val="00547C4E"/>
    <w:rsid w:val="00564C88"/>
    <w:rsid w:val="00582136"/>
    <w:rsid w:val="005D2CFA"/>
    <w:rsid w:val="005D4801"/>
    <w:rsid w:val="0061259C"/>
    <w:rsid w:val="00693C6B"/>
    <w:rsid w:val="00695E71"/>
    <w:rsid w:val="006B210C"/>
    <w:rsid w:val="00701ABD"/>
    <w:rsid w:val="007740CA"/>
    <w:rsid w:val="00815561"/>
    <w:rsid w:val="00842677"/>
    <w:rsid w:val="00843369"/>
    <w:rsid w:val="00852D4E"/>
    <w:rsid w:val="00880B14"/>
    <w:rsid w:val="00904937"/>
    <w:rsid w:val="0093524C"/>
    <w:rsid w:val="00962C82"/>
    <w:rsid w:val="00992D2A"/>
    <w:rsid w:val="00996510"/>
    <w:rsid w:val="0099776C"/>
    <w:rsid w:val="009B58B8"/>
    <w:rsid w:val="009E1B85"/>
    <w:rsid w:val="009E7065"/>
    <w:rsid w:val="00A15427"/>
    <w:rsid w:val="00A51D10"/>
    <w:rsid w:val="00A57778"/>
    <w:rsid w:val="00AB2201"/>
    <w:rsid w:val="00AD3D91"/>
    <w:rsid w:val="00B24EF4"/>
    <w:rsid w:val="00BC2DFD"/>
    <w:rsid w:val="00BD4217"/>
    <w:rsid w:val="00C003E6"/>
    <w:rsid w:val="00C13C33"/>
    <w:rsid w:val="00C5157B"/>
    <w:rsid w:val="00CE17A0"/>
    <w:rsid w:val="00D030DA"/>
    <w:rsid w:val="00D76BDF"/>
    <w:rsid w:val="00DA7B22"/>
    <w:rsid w:val="00DF15D7"/>
    <w:rsid w:val="00E22DBA"/>
    <w:rsid w:val="00E356C7"/>
    <w:rsid w:val="00E5364D"/>
    <w:rsid w:val="00E54E6E"/>
    <w:rsid w:val="00E64FA7"/>
    <w:rsid w:val="00E770CB"/>
    <w:rsid w:val="00EA6DB9"/>
    <w:rsid w:val="00EF0E44"/>
    <w:rsid w:val="00EF72F1"/>
    <w:rsid w:val="00F36AF0"/>
    <w:rsid w:val="00F72014"/>
    <w:rsid w:val="00F9518C"/>
    <w:rsid w:val="00FA59EF"/>
    <w:rsid w:val="00FB04B1"/>
    <w:rsid w:val="00FC2782"/>
    <w:rsid w:val="00FC70CB"/>
    <w:rsid w:val="00FE57D3"/>
    <w:rsid w:val="00FE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7E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0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030DA"/>
    <w:rPr>
      <w:color w:val="808080"/>
    </w:rPr>
  </w:style>
  <w:style w:type="paragraph" w:styleId="BalloonText">
    <w:name w:val="Balloon Text"/>
    <w:basedOn w:val="Normal"/>
    <w:link w:val="BalloonTextChar"/>
    <w:uiPriority w:val="99"/>
    <w:semiHidden/>
    <w:unhideWhenUsed/>
    <w:rsid w:val="00D030DA"/>
    <w:rPr>
      <w:rFonts w:ascii="Tahoma" w:hAnsi="Tahoma" w:cs="Tahoma"/>
      <w:sz w:val="16"/>
      <w:szCs w:val="16"/>
    </w:rPr>
  </w:style>
  <w:style w:type="character" w:customStyle="1" w:styleId="BalloonTextChar">
    <w:name w:val="Balloon Text Char"/>
    <w:basedOn w:val="DefaultParagraphFont"/>
    <w:link w:val="BalloonText"/>
    <w:uiPriority w:val="99"/>
    <w:semiHidden/>
    <w:rsid w:val="00D030DA"/>
    <w:rPr>
      <w:rFonts w:ascii="Tahoma" w:hAnsi="Tahoma" w:cs="Tahoma"/>
      <w:sz w:val="16"/>
      <w:szCs w:val="16"/>
    </w:rPr>
  </w:style>
  <w:style w:type="paragraph" w:styleId="Header">
    <w:name w:val="header"/>
    <w:basedOn w:val="Normal"/>
    <w:link w:val="HeaderChar"/>
    <w:uiPriority w:val="99"/>
    <w:unhideWhenUsed/>
    <w:rsid w:val="00F72014"/>
    <w:pPr>
      <w:tabs>
        <w:tab w:val="center" w:pos="4680"/>
        <w:tab w:val="right" w:pos="9360"/>
      </w:tabs>
    </w:pPr>
  </w:style>
  <w:style w:type="character" w:customStyle="1" w:styleId="HeaderChar">
    <w:name w:val="Header Char"/>
    <w:basedOn w:val="DefaultParagraphFont"/>
    <w:link w:val="Header"/>
    <w:uiPriority w:val="99"/>
    <w:rsid w:val="00F72014"/>
  </w:style>
  <w:style w:type="paragraph" w:styleId="Footer">
    <w:name w:val="footer"/>
    <w:basedOn w:val="Normal"/>
    <w:link w:val="FooterChar"/>
    <w:uiPriority w:val="99"/>
    <w:unhideWhenUsed/>
    <w:rsid w:val="00F72014"/>
    <w:pPr>
      <w:tabs>
        <w:tab w:val="center" w:pos="4680"/>
        <w:tab w:val="right" w:pos="9360"/>
      </w:tabs>
    </w:pPr>
  </w:style>
  <w:style w:type="character" w:customStyle="1" w:styleId="FooterChar">
    <w:name w:val="Footer Char"/>
    <w:basedOn w:val="DefaultParagraphFont"/>
    <w:link w:val="Footer"/>
    <w:uiPriority w:val="99"/>
    <w:rsid w:val="00F72014"/>
  </w:style>
  <w:style w:type="paragraph" w:customStyle="1" w:styleId="SCCRestrictionOnPublicationTitle">
    <w:name w:val="SCC.RestrictionOnPublicationTitle"/>
    <w:basedOn w:val="Normal"/>
    <w:next w:val="Normal"/>
    <w:link w:val="SCCRestrictionOnPublicationTitleChar"/>
    <w:rsid w:val="00252460"/>
    <w:rPr>
      <w:b/>
      <w:smallCaps/>
    </w:rPr>
  </w:style>
  <w:style w:type="character" w:customStyle="1" w:styleId="SCCRestrictionOnPublicationTitleChar">
    <w:name w:val="SCC.RestrictionOnPublicationTitle Char"/>
    <w:basedOn w:val="DefaultParagraphFont"/>
    <w:link w:val="SCCRestrictionOnPublicationTitle"/>
    <w:rsid w:val="00252460"/>
    <w:rPr>
      <w:b/>
      <w:smallCaps/>
      <w:lang w:val="en-CA"/>
    </w:rPr>
  </w:style>
  <w:style w:type="paragraph" w:customStyle="1" w:styleId="SCCRestrictionOnPublicationText">
    <w:name w:val="SCC.RestrictionOnPublicationText"/>
    <w:basedOn w:val="Normal"/>
    <w:next w:val="Normal"/>
    <w:link w:val="SCCRestrictionOnPublicationTextChar"/>
    <w:rsid w:val="00252460"/>
  </w:style>
  <w:style w:type="character" w:customStyle="1" w:styleId="SCCRestrictionOnPublicationTextChar">
    <w:name w:val="SCC.RestrictionOnPublicationText Char"/>
    <w:basedOn w:val="DefaultParagraphFont"/>
    <w:link w:val="SCCRestrictionOnPublicationText"/>
    <w:rsid w:val="00252460"/>
    <w:rPr>
      <w:lang w:val="en-CA"/>
    </w:rPr>
  </w:style>
  <w:style w:type="paragraph" w:customStyle="1" w:styleId="SCCLsocOtherPartyRole">
    <w:name w:val="SCC.Lsoc.OtherPartyRole"/>
    <w:basedOn w:val="Normal"/>
    <w:next w:val="Normal"/>
    <w:link w:val="SCCLsocOtherPartyRoleChar"/>
    <w:rsid w:val="0099776C"/>
    <w:pPr>
      <w:jc w:val="center"/>
    </w:pPr>
  </w:style>
  <w:style w:type="character" w:customStyle="1" w:styleId="SCCLsocOtherPartyRoleChar">
    <w:name w:val="SCC.Lsoc.OtherPartyRole Char"/>
    <w:basedOn w:val="DefaultParagraphFont"/>
    <w:link w:val="SCCLsocOtherPartyRole"/>
    <w:rsid w:val="0099776C"/>
    <w:rPr>
      <w:lang w:val="en-CA"/>
    </w:rPr>
  </w:style>
  <w:style w:type="paragraph" w:customStyle="1" w:styleId="SCCLsocParty">
    <w:name w:val="SCC.Lsoc.Party"/>
    <w:basedOn w:val="Normal"/>
    <w:next w:val="Normal"/>
    <w:link w:val="SCCLsocPartyChar"/>
    <w:rsid w:val="0099776C"/>
    <w:pPr>
      <w:jc w:val="center"/>
    </w:pPr>
    <w:rPr>
      <w:b/>
    </w:rPr>
  </w:style>
  <w:style w:type="character" w:customStyle="1" w:styleId="SCCLsocPartyChar">
    <w:name w:val="SCC.Lsoc.Party Char"/>
    <w:basedOn w:val="DefaultParagraphFont"/>
    <w:link w:val="SCCLsocParty"/>
    <w:rsid w:val="0099776C"/>
    <w:rPr>
      <w:b/>
      <w:lang w:val="en-CA"/>
    </w:rPr>
  </w:style>
  <w:style w:type="paragraph" w:customStyle="1" w:styleId="SCCLsocSubfileSeparator">
    <w:name w:val="SCC.Lsoc.SubfileSeparator"/>
    <w:basedOn w:val="Normal"/>
    <w:next w:val="Normal"/>
    <w:link w:val="SCCLsocSubfileSeparatorChar"/>
    <w:rsid w:val="00FE5ED5"/>
    <w:rPr>
      <w:b/>
      <w:smallCaps/>
    </w:rPr>
  </w:style>
  <w:style w:type="character" w:customStyle="1" w:styleId="SCCLsocSubfileSeparatorChar">
    <w:name w:val="SCC.Lsoc.SubfileSeparator Char"/>
    <w:basedOn w:val="DefaultParagraphFont"/>
    <w:link w:val="SCCLsocSubfileSeparator"/>
    <w:rsid w:val="00FE5ED5"/>
    <w:rPr>
      <w:b/>
      <w:smallCaps/>
      <w:lang w:val="en-CA"/>
    </w:rPr>
  </w:style>
  <w:style w:type="paragraph" w:customStyle="1" w:styleId="SCCLsocVersus">
    <w:name w:val="SCC.Lsoc.Versus"/>
    <w:basedOn w:val="Normal"/>
    <w:next w:val="Normal"/>
    <w:link w:val="SCCLsocVersusChar"/>
    <w:rsid w:val="0099776C"/>
    <w:pPr>
      <w:jc w:val="center"/>
    </w:pPr>
  </w:style>
  <w:style w:type="character" w:customStyle="1" w:styleId="SCCLsocVersusChar">
    <w:name w:val="SCC.Lsoc.Versus Char"/>
    <w:basedOn w:val="DefaultParagraphFont"/>
    <w:link w:val="SCCLsocVersus"/>
    <w:rsid w:val="0099776C"/>
    <w:rPr>
      <w:lang w:val="en-CA"/>
    </w:rPr>
  </w:style>
  <w:style w:type="paragraph" w:customStyle="1" w:styleId="SCCLsocPartyRole">
    <w:name w:val="SCC.Lsoc.PartyRole"/>
    <w:basedOn w:val="Normal"/>
    <w:next w:val="Normal"/>
    <w:link w:val="SCCLsocPartyRoleChar"/>
    <w:rsid w:val="0099776C"/>
    <w:pPr>
      <w:jc w:val="center"/>
    </w:pPr>
  </w:style>
  <w:style w:type="character" w:customStyle="1" w:styleId="SCCLsocPartyRoleChar">
    <w:name w:val="SCC.Lsoc.PartyRole Char"/>
    <w:basedOn w:val="DefaultParagraphFont"/>
    <w:link w:val="SCCLsocPartyRole"/>
    <w:rsid w:val="0099776C"/>
    <w:rPr>
      <w:lang w:val="en-CA"/>
    </w:rPr>
  </w:style>
  <w:style w:type="paragraph" w:customStyle="1" w:styleId="SCCLsocPrefix">
    <w:name w:val="SCC.Lsoc.Prefix"/>
    <w:basedOn w:val="Normal"/>
    <w:next w:val="Normal"/>
    <w:link w:val="SCCLsocPrefixChar"/>
    <w:rsid w:val="00FE5ED5"/>
    <w:rPr>
      <w:b/>
      <w:smallCaps/>
    </w:rPr>
  </w:style>
  <w:style w:type="character" w:customStyle="1" w:styleId="SCCLsocPrefixChar">
    <w:name w:val="SCC.Lsoc.Prefix Char"/>
    <w:basedOn w:val="DefaultParagraphFont"/>
    <w:link w:val="SCCLsocPrefix"/>
    <w:rsid w:val="00FE5ED5"/>
    <w:rPr>
      <w:b/>
      <w:smallCaps/>
      <w:lang w:val="en-CA"/>
    </w:rPr>
  </w:style>
  <w:style w:type="paragraph" w:customStyle="1" w:styleId="SCCHearingJudgmentDatesText">
    <w:name w:val="SCC.HearingJudgmentDatesText"/>
    <w:basedOn w:val="Normal"/>
    <w:next w:val="Normal"/>
    <w:link w:val="SCCHearingJudgmentDatesTextChar"/>
    <w:rsid w:val="00C003E6"/>
  </w:style>
  <w:style w:type="character" w:customStyle="1" w:styleId="SCCHearingJudgmentDatesTextChar">
    <w:name w:val="SCC.HearingJudgmentDatesText Char"/>
    <w:basedOn w:val="DefaultParagraphFont"/>
    <w:link w:val="SCCHearingJudgmentDatesText"/>
    <w:rsid w:val="00C003E6"/>
    <w:rPr>
      <w:lang w:val="en-CA"/>
    </w:rPr>
  </w:style>
  <w:style w:type="paragraph" w:customStyle="1" w:styleId="SCCHearingJudgmentDatesTitle">
    <w:name w:val="SCC.HearingJudgmentDatesTitle"/>
    <w:basedOn w:val="Normal"/>
    <w:next w:val="Normal"/>
    <w:link w:val="SCCHearingJudgmentDatesTitleChar"/>
    <w:rsid w:val="00C003E6"/>
    <w:rPr>
      <w:b/>
      <w:smallCaps/>
    </w:rPr>
  </w:style>
  <w:style w:type="character" w:customStyle="1" w:styleId="SCCHearingJudgmentDatesTitleChar">
    <w:name w:val="SCC.HearingJudgmentDatesTitle Char"/>
    <w:basedOn w:val="DefaultParagraphFont"/>
    <w:link w:val="SCCHearingJudgmentDatesTitle"/>
    <w:rsid w:val="00C003E6"/>
    <w:rPr>
      <w:b/>
      <w:smallCaps/>
      <w:lang w:val="en-CA"/>
    </w:rPr>
  </w:style>
  <w:style w:type="paragraph" w:customStyle="1" w:styleId="SCCLsocOtherPartySeparator">
    <w:name w:val="SCC.Lsoc.OtherPartySeparator"/>
    <w:basedOn w:val="Normal"/>
    <w:next w:val="Normal"/>
    <w:link w:val="SCCLsocOtherPartySeparatorChar"/>
    <w:rsid w:val="002C5A33"/>
    <w:pPr>
      <w:jc w:val="center"/>
    </w:pPr>
  </w:style>
  <w:style w:type="character" w:customStyle="1" w:styleId="SCCLsocOtherPartySeparatorChar">
    <w:name w:val="SCC.Lsoc.OtherPartySeparator Char"/>
    <w:basedOn w:val="DefaultParagraphFont"/>
    <w:link w:val="SCCLsocOtherPartySeparator"/>
    <w:rsid w:val="002C5A33"/>
    <w:rPr>
      <w:lang w:val="en-CA"/>
    </w:rPr>
  </w:style>
  <w:style w:type="paragraph" w:customStyle="1" w:styleId="SCCCounselName">
    <w:name w:val="SCC.CounselName"/>
    <w:basedOn w:val="Normal"/>
    <w:next w:val="Normal"/>
    <w:link w:val="SCCCounselNameChar"/>
    <w:rsid w:val="00962C82"/>
    <w:rPr>
      <w:i/>
    </w:rPr>
  </w:style>
  <w:style w:type="character" w:customStyle="1" w:styleId="SCCCounselNameChar">
    <w:name w:val="SCC.CounselName Char"/>
    <w:basedOn w:val="DefaultParagraphFont"/>
    <w:link w:val="SCCCounselName"/>
    <w:rsid w:val="00962C82"/>
    <w:rPr>
      <w:rFonts w:eastAsia="Times New Roman" w:cs="Times New Roman"/>
      <w:i/>
      <w:szCs w:val="20"/>
      <w:lang w:val="en-CA" w:eastAsia="en-CA"/>
    </w:rPr>
  </w:style>
  <w:style w:type="paragraph" w:customStyle="1" w:styleId="SCCCounselSeparator">
    <w:name w:val="SCC.CounselSeparator"/>
    <w:basedOn w:val="Normal"/>
    <w:next w:val="Normal"/>
    <w:link w:val="SCCCounselSeparatorChar"/>
    <w:rsid w:val="00962C82"/>
  </w:style>
  <w:style w:type="character" w:customStyle="1" w:styleId="SCCCounselSeparatorChar">
    <w:name w:val="SCC.CounselSeparator Char"/>
    <w:basedOn w:val="DefaultParagraphFont"/>
    <w:link w:val="SCCCounselSeparator"/>
    <w:rsid w:val="00962C82"/>
    <w:rPr>
      <w:rFonts w:eastAsia="Times New Roman" w:cs="Times New Roman"/>
      <w:szCs w:val="20"/>
      <w:lang w:val="en-CA" w:eastAsia="en-CA"/>
    </w:rPr>
  </w:style>
  <w:style w:type="paragraph" w:customStyle="1" w:styleId="SCCCounselPartyRole">
    <w:name w:val="SCC.CounselPartyRole"/>
    <w:basedOn w:val="Normal"/>
    <w:next w:val="Normal"/>
    <w:link w:val="SCCCounselPartyRoleChar"/>
    <w:rsid w:val="00962C82"/>
  </w:style>
  <w:style w:type="character" w:customStyle="1" w:styleId="SCCCounselPartyRoleChar">
    <w:name w:val="SCC.CounselPartyRole Char"/>
    <w:basedOn w:val="DefaultParagraphFont"/>
    <w:link w:val="SCCCounselPartyRole"/>
    <w:rsid w:val="00962C82"/>
    <w:rPr>
      <w:rFonts w:eastAsia="Times New Roman" w:cs="Times New Roman"/>
      <w:szCs w:val="20"/>
      <w:lang w:val="en-CA" w:eastAsia="en-CA"/>
    </w:rPr>
  </w:style>
  <w:style w:type="paragraph" w:customStyle="1" w:styleId="SCCBold">
    <w:name w:val="SCC.Bold"/>
    <w:basedOn w:val="Normal"/>
    <w:next w:val="Normal"/>
    <w:rsid w:val="005D2CFA"/>
    <w:rPr>
      <w:b/>
    </w:rPr>
  </w:style>
  <w:style w:type="paragraph" w:customStyle="1" w:styleId="SCCReasonsTitle">
    <w:name w:val="SCC.ReasonsTitle"/>
    <w:basedOn w:val="Normal"/>
    <w:next w:val="Normal"/>
    <w:link w:val="SCCReasonsTitleChar"/>
    <w:qFormat/>
    <w:rsid w:val="00076773"/>
    <w:rPr>
      <w:b/>
    </w:rPr>
  </w:style>
  <w:style w:type="character" w:customStyle="1" w:styleId="SCCReasonsTitleChar">
    <w:name w:val="SCC.ReasonsTitle Char"/>
    <w:basedOn w:val="DefaultParagraphFont"/>
    <w:link w:val="SCCReasonsTitle"/>
    <w:rsid w:val="001B27ED"/>
    <w:rPr>
      <w:b/>
      <w:lang w:val="en-CA"/>
    </w:rPr>
  </w:style>
  <w:style w:type="paragraph" w:customStyle="1" w:styleId="SCCNormalDoubleSpacing">
    <w:name w:val="SCC.Normal.DoubleSpacing"/>
    <w:basedOn w:val="Normal"/>
    <w:link w:val="SCCNormalDoubleSpacingChar"/>
    <w:rsid w:val="00695E71"/>
    <w:pPr>
      <w:tabs>
        <w:tab w:val="left" w:pos="1168"/>
      </w:tabs>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695E71"/>
    <w:rPr>
      <w:rFonts w:eastAsia="Times New Roman" w:cs="Times New Roman"/>
      <w:szCs w:val="20"/>
      <w:lang w:val="en-CA" w:eastAsia="en-CA"/>
    </w:rPr>
  </w:style>
  <w:style w:type="paragraph" w:customStyle="1" w:styleId="SCCSystemYear">
    <w:name w:val="SCC.SystemYear"/>
    <w:basedOn w:val="Normal"/>
    <w:next w:val="Normal"/>
    <w:link w:val="SCCSystemYearChar"/>
    <w:rsid w:val="00695E71"/>
    <w:rPr>
      <w:rFonts w:eastAsia="Times New Roman" w:cs="Times New Roman"/>
      <w:b/>
      <w:szCs w:val="20"/>
      <w:lang w:eastAsia="en-CA"/>
    </w:rPr>
  </w:style>
  <w:style w:type="character" w:customStyle="1" w:styleId="SCCSystemYearChar">
    <w:name w:val="SCC.SystemYear Char"/>
    <w:basedOn w:val="DefaultParagraphFont"/>
    <w:link w:val="SCCSystemYear"/>
    <w:rsid w:val="00695E71"/>
    <w:rPr>
      <w:rFonts w:eastAsia="Times New Roman" w:cs="Times New Roman"/>
      <w:b/>
      <w:szCs w:val="20"/>
      <w:lang w:val="en-CA" w:eastAsia="en-CA"/>
    </w:rPr>
  </w:style>
  <w:style w:type="paragraph" w:customStyle="1" w:styleId="SCCLowerCourtNameLowercase">
    <w:name w:val="SCC.LowerCourtNameLowercase"/>
    <w:basedOn w:val="SCCNormalDoubleSpacing"/>
    <w:next w:val="SCCNormalDoubleSpacing"/>
    <w:rsid w:val="00695E71"/>
    <w:rPr>
      <w:smallCaps/>
    </w:rPr>
  </w:style>
  <w:style w:type="paragraph" w:customStyle="1" w:styleId="SCCLawFirm">
    <w:name w:val="SCC.LawFirm"/>
    <w:basedOn w:val="SCCNormalDoubleSpacing"/>
    <w:next w:val="SCCNormalDoubleSpacing"/>
    <w:link w:val="SCCLawFirmChar"/>
    <w:rsid w:val="00695E71"/>
    <w:rPr>
      <w:i/>
    </w:rPr>
  </w:style>
  <w:style w:type="character" w:customStyle="1" w:styleId="SCCLawFirmChar">
    <w:name w:val="SCC.LawFirm Char"/>
    <w:basedOn w:val="SCCNormalDoubleSpacingChar"/>
    <w:link w:val="SCCLawFirm"/>
    <w:rsid w:val="00695E71"/>
    <w:rPr>
      <w:rFonts w:eastAsia="Times New Roman" w:cs="Times New Roman"/>
      <w:i/>
      <w:szCs w:val="20"/>
      <w:lang w:val="en-CA" w:eastAsia="en-CA"/>
    </w:rPr>
  </w:style>
  <w:style w:type="paragraph" w:customStyle="1" w:styleId="SCCLsocLastPartyInRole">
    <w:name w:val="SCC.Lsoc.LastPartyInRole"/>
    <w:basedOn w:val="Normal"/>
    <w:next w:val="Normal"/>
    <w:link w:val="SCCLsocLastPartyInRoleChar"/>
    <w:qFormat/>
    <w:rsid w:val="00695E71"/>
    <w:pPr>
      <w:tabs>
        <w:tab w:val="right" w:pos="8222"/>
      </w:tabs>
      <w:spacing w:after="720"/>
    </w:pPr>
    <w:rPr>
      <w:rFonts w:eastAsia="Times New Roman" w:cs="Times New Roman"/>
      <w:b/>
      <w:szCs w:val="20"/>
      <w:lang w:eastAsia="en-CA"/>
    </w:rPr>
  </w:style>
  <w:style w:type="character" w:customStyle="1" w:styleId="SCCLsocLastPartyInRoleChar">
    <w:name w:val="SCC.Lsoc.LastPartyInRole Char"/>
    <w:basedOn w:val="SCCLsocPartyChar"/>
    <w:link w:val="SCCLsocLastPartyInRole"/>
    <w:rsid w:val="00695E71"/>
    <w:rPr>
      <w:rFonts w:eastAsia="Times New Roman" w:cs="Times New Roman"/>
      <w:b/>
      <w:szCs w:val="20"/>
      <w:lang w:val="en-CA" w:eastAsia="en-CA"/>
    </w:rPr>
  </w:style>
  <w:style w:type="character" w:styleId="Hyperlink">
    <w:name w:val="Hyperlink"/>
    <w:basedOn w:val="DefaultParagraphFont"/>
    <w:uiPriority w:val="99"/>
    <w:unhideWhenUsed/>
    <w:rsid w:val="00695E71"/>
    <w:rPr>
      <w:color w:val="660000"/>
      <w:u w:val="none"/>
    </w:rPr>
  </w:style>
  <w:style w:type="paragraph" w:customStyle="1" w:styleId="ParaNoNdepar-AltN">
    <w:name w:val="Para. No. / Nº de par. - Alt N"/>
    <w:link w:val="ParaNoNdepar-AltNChar"/>
    <w:qFormat/>
    <w:rsid w:val="00695E71"/>
    <w:pPr>
      <w:tabs>
        <w:tab w:val="left" w:pos="1166"/>
      </w:tabs>
      <w:spacing w:before="480" w:after="480" w:line="480" w:lineRule="auto"/>
      <w:jc w:val="both"/>
    </w:pPr>
    <w:rPr>
      <w:rFonts w:eastAsiaTheme="minorEastAsia"/>
      <w:szCs w:val="22"/>
      <w:lang w:val="en-CA"/>
    </w:rPr>
  </w:style>
  <w:style w:type="character" w:customStyle="1" w:styleId="ParaNoNdepar-AltNChar">
    <w:name w:val="Para. No. / Nº de par. - Alt N Char"/>
    <w:basedOn w:val="DefaultParagraphFont"/>
    <w:link w:val="ParaNoNdepar-AltN"/>
    <w:rsid w:val="00695E71"/>
    <w:rPr>
      <w:rFonts w:eastAsiaTheme="minorEastAsia"/>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ccourts.ca/jdb-txt/ca/20/01/2020BCCA0108cor1.ht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cid:image001.jpg@01D72252.19B69DE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2022-12-22T18:00:00Z</dcterms:created>
  <dcterms:modified xsi:type="dcterms:W3CDTF">2022-12-22T18:05:00Z</dcterms:modified>
</cp:coreProperties>
</file>