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77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274"/>
        <w:gridCol w:w="1441"/>
        <w:gridCol w:w="2225"/>
        <w:gridCol w:w="2990"/>
        <w:gridCol w:w="7"/>
      </w:tblGrid>
      <w:tr w:rsidR="00EF72F1" w:rsidTr="00864A81">
        <w:trPr>
          <w:trHeight w:val="2103"/>
        </w:trPr>
        <w:tc>
          <w:tcPr>
            <w:tcW w:w="5000" w:type="pct"/>
            <w:gridSpan w:val="5"/>
          </w:tcPr>
          <w:p w:rsidR="00EF72F1" w:rsidRDefault="00EF72F1" w:rsidP="001F3E0C">
            <w:pPr>
              <w:pStyle w:val="SCCBold"/>
              <w:jc w:val="center"/>
            </w:pPr>
            <w:r>
              <w:rPr>
                <w:noProof/>
                <w:lang w:val="en-US"/>
              </w:rPr>
              <w:drawing>
                <wp:inline distT="0" distB="0" distL="0" distR="0" wp14:anchorId="1B25E650" wp14:editId="180151F3">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EF72F1" w:rsidRDefault="00EF72F1" w:rsidP="009764CA">
            <w:pPr>
              <w:spacing w:before="120" w:after="100" w:afterAutospacing="1"/>
              <w:jc w:val="center"/>
              <w:rPr>
                <w:rFonts w:eastAsia="Calibri"/>
              </w:rPr>
            </w:pPr>
            <w:r w:rsidRPr="00C22905">
              <w:rPr>
                <w:rFonts w:eastAsia="Calibri"/>
                <w:b/>
              </w:rPr>
              <w:t>SUPREME COURT OF CANADA</w:t>
            </w:r>
          </w:p>
        </w:tc>
      </w:tr>
      <w:tr w:rsidR="00EF72F1" w:rsidRPr="006B210C" w:rsidTr="003C6580">
        <w:tblPrEx>
          <w:tblCellMar>
            <w:top w:w="58" w:type="dxa"/>
            <w:left w:w="58" w:type="dxa"/>
            <w:bottom w:w="58" w:type="dxa"/>
            <w:right w:w="58" w:type="dxa"/>
          </w:tblCellMar>
        </w:tblPrEx>
        <w:trPr>
          <w:gridAfter w:val="1"/>
          <w:wAfter w:w="4" w:type="pct"/>
          <w:cantSplit/>
        </w:trPr>
        <w:tc>
          <w:tcPr>
            <w:tcW w:w="2078" w:type="pct"/>
            <w:gridSpan w:val="2"/>
          </w:tcPr>
          <w:p w:rsidR="00EF72F1" w:rsidRDefault="00EF72F1" w:rsidP="00FC2782">
            <w:pPr>
              <w:rPr>
                <w:b/>
                <w:smallCaps/>
              </w:rPr>
            </w:pPr>
          </w:p>
          <w:p w:rsidR="00EF72F1" w:rsidRDefault="00EF72F1" w:rsidP="00FC2782">
            <w:pPr>
              <w:rPr>
                <w:b/>
                <w:smallCaps/>
              </w:rPr>
            </w:pPr>
            <w:r w:rsidRPr="006B210C">
              <w:rPr>
                <w:b/>
                <w:smallCaps/>
              </w:rPr>
              <w:t>Citation</w:t>
            </w:r>
            <w:r>
              <w:rPr>
                <w:b/>
                <w:smallCaps/>
              </w:rPr>
              <w:t>:</w:t>
            </w:r>
            <w:r w:rsidRPr="006B210C">
              <w:t xml:space="preserve"> </w:t>
            </w:r>
            <w:r w:rsidR="007F477B">
              <w:t xml:space="preserve">Richardson </w:t>
            </w:r>
            <w:r w:rsidR="007F477B">
              <w:rPr>
                <w:i/>
              </w:rPr>
              <w:t xml:space="preserve">v. </w:t>
            </w:r>
            <w:r w:rsidR="007F477B">
              <w:t xml:space="preserve">Richardson, </w:t>
            </w:r>
            <w:r>
              <w:t>2021 SCC 36</w:t>
            </w:r>
          </w:p>
        </w:tc>
        <w:tc>
          <w:tcPr>
            <w:tcW w:w="1245" w:type="pct"/>
          </w:tcPr>
          <w:p w:rsidR="00EF72F1" w:rsidRPr="006B210C" w:rsidRDefault="00EF72F1" w:rsidP="00FC2782"/>
        </w:tc>
        <w:tc>
          <w:tcPr>
            <w:tcW w:w="1673" w:type="pct"/>
          </w:tcPr>
          <w:p w:rsidR="00EF72F1" w:rsidRDefault="00EF72F1" w:rsidP="00451668">
            <w:pPr>
              <w:rPr>
                <w:b/>
                <w:smallCaps/>
              </w:rPr>
            </w:pPr>
          </w:p>
          <w:p w:rsidR="00EF72F1" w:rsidRPr="006B210C" w:rsidRDefault="00EF72F1" w:rsidP="00EA6DB9">
            <w:pPr>
              <w:jc w:val="both"/>
            </w:pPr>
            <w:r>
              <w:rPr>
                <w:b/>
                <w:smallCaps/>
              </w:rPr>
              <w:t>Appeal Heard:</w:t>
            </w:r>
            <w:r w:rsidRPr="006B210C">
              <w:t xml:space="preserve"> </w:t>
            </w:r>
            <w:r w:rsidR="007F477B">
              <w:t xml:space="preserve">October 13, </w:t>
            </w:r>
            <w:r>
              <w:t>2021</w:t>
            </w:r>
          </w:p>
          <w:p w:rsidR="00EF72F1" w:rsidRPr="006B210C" w:rsidRDefault="00EF72F1">
            <w:r>
              <w:rPr>
                <w:b/>
                <w:smallCaps/>
              </w:rPr>
              <w:t>Judgment Rendered:</w:t>
            </w:r>
            <w:r w:rsidRPr="006B210C">
              <w:t xml:space="preserve"> </w:t>
            </w:r>
            <w:r w:rsidR="007F477B">
              <w:t>October 13, 2021</w:t>
            </w:r>
          </w:p>
          <w:p w:rsidR="00EF72F1" w:rsidRPr="006B210C" w:rsidRDefault="00EF72F1" w:rsidP="00540106">
            <w:r w:rsidRPr="006B210C">
              <w:rPr>
                <w:b/>
                <w:smallCaps/>
              </w:rPr>
              <w:t>Docket</w:t>
            </w:r>
            <w:r>
              <w:rPr>
                <w:b/>
                <w:smallCaps/>
              </w:rPr>
              <w:t>:</w:t>
            </w:r>
            <w:r w:rsidRPr="006B210C">
              <w:t xml:space="preserve"> </w:t>
            </w:r>
            <w:r>
              <w:t>39123</w:t>
            </w:r>
          </w:p>
        </w:tc>
      </w:tr>
      <w:tr w:rsidR="00EF72F1" w:rsidRPr="006B210C" w:rsidTr="00864A81">
        <w:tblPrEx>
          <w:tblCellMar>
            <w:top w:w="58" w:type="dxa"/>
            <w:left w:w="58" w:type="dxa"/>
            <w:bottom w:w="58" w:type="dxa"/>
            <w:right w:w="58" w:type="dxa"/>
          </w:tblCellMar>
        </w:tblPrEx>
        <w:trPr>
          <w:cantSplit/>
        </w:trPr>
        <w:tc>
          <w:tcPr>
            <w:tcW w:w="5000" w:type="pct"/>
            <w:gridSpan w:val="5"/>
          </w:tcPr>
          <w:p w:rsidR="00EF72F1" w:rsidRPr="006B210C" w:rsidRDefault="00EF72F1" w:rsidP="00EF72F1"/>
          <w:p w:rsidR="00E6727C" w:rsidRDefault="007F477B">
            <w:pPr>
              <w:pStyle w:val="SCCLsocPrefix"/>
            </w:pPr>
            <w:r>
              <w:t>Between:</w:t>
            </w:r>
          </w:p>
          <w:p w:rsidR="003C6580" w:rsidRPr="003C6580" w:rsidRDefault="003C6580" w:rsidP="003C6580"/>
          <w:p w:rsidR="00E6727C" w:rsidRDefault="007F477B">
            <w:pPr>
              <w:pStyle w:val="SCCLsocParty"/>
            </w:pPr>
            <w:r>
              <w:t>Sylvia H.</w:t>
            </w:r>
            <w:r w:rsidR="006746EF">
              <w:t> </w:t>
            </w:r>
            <w:r>
              <w:t>C.</w:t>
            </w:r>
            <w:r w:rsidR="006746EF">
              <w:t> </w:t>
            </w:r>
            <w:r>
              <w:t>C. Richardson</w:t>
            </w:r>
          </w:p>
          <w:p w:rsidR="00E6727C" w:rsidRDefault="007F477B">
            <w:pPr>
              <w:pStyle w:val="SCCLsocPartyRole"/>
            </w:pPr>
            <w:r>
              <w:t>Appellant</w:t>
            </w:r>
          </w:p>
          <w:p w:rsidR="00E6727C" w:rsidRDefault="00E6727C"/>
          <w:p w:rsidR="00E6727C" w:rsidRDefault="006746EF">
            <w:pPr>
              <w:pStyle w:val="SCCLsocVersus"/>
            </w:pPr>
            <w:r>
              <w:t>and</w:t>
            </w:r>
          </w:p>
          <w:p w:rsidR="00E6727C" w:rsidRDefault="00E6727C"/>
          <w:p w:rsidR="00E6727C" w:rsidRDefault="007F477B">
            <w:pPr>
              <w:pStyle w:val="SCCLsocParty"/>
            </w:pPr>
            <w:r>
              <w:t>Mark Edward Richardson</w:t>
            </w:r>
          </w:p>
          <w:p w:rsidR="00E6727C" w:rsidRDefault="007F477B">
            <w:pPr>
              <w:pStyle w:val="SCCLsocPartyRole"/>
            </w:pPr>
            <w:r>
              <w:t>Respondent</w:t>
            </w:r>
          </w:p>
          <w:p w:rsidR="00EF72F1" w:rsidRPr="006B210C" w:rsidRDefault="00EF72F1" w:rsidP="00925323">
            <w:pPr>
              <w:rPr>
                <w:b/>
                <w:smallCaps/>
              </w:rPr>
            </w:pPr>
          </w:p>
          <w:p w:rsidR="00EF72F1" w:rsidRPr="006B210C" w:rsidRDefault="00EF72F1" w:rsidP="00EF72F1"/>
          <w:p w:rsidR="00EF72F1" w:rsidRPr="006B210C" w:rsidRDefault="00EF72F1" w:rsidP="00EF72F1">
            <w:r w:rsidRPr="006B210C">
              <w:rPr>
                <w:b/>
                <w:smallCaps/>
              </w:rPr>
              <w:t>Coram</w:t>
            </w:r>
            <w:r>
              <w:rPr>
                <w:b/>
                <w:smallCaps/>
              </w:rPr>
              <w:t>:</w:t>
            </w:r>
            <w:r w:rsidRPr="006B210C">
              <w:t xml:space="preserve"> </w:t>
            </w:r>
            <w:r w:rsidR="00925323">
              <w:rPr>
                <w:color w:val="000000"/>
              </w:rPr>
              <w:t>Wagner C.J. and Moldaver, Karakatsanis, Côté, Brown, Rowe, Martin, Kasirer and Jamal JJ.</w:t>
            </w:r>
          </w:p>
          <w:p w:rsidR="00EF72F1" w:rsidRDefault="00EF72F1" w:rsidP="00451668">
            <w:pPr>
              <w:rPr>
                <w:b/>
                <w:smallCaps/>
              </w:rPr>
            </w:pPr>
          </w:p>
        </w:tc>
      </w:tr>
      <w:tr w:rsidR="004E69EC" w:rsidRPr="00925323" w:rsidTr="00096A1E">
        <w:tblPrEx>
          <w:tblCellMar>
            <w:top w:w="58" w:type="dxa"/>
            <w:left w:w="58" w:type="dxa"/>
            <w:bottom w:w="58" w:type="dxa"/>
            <w:right w:w="58" w:type="dxa"/>
          </w:tblCellMar>
        </w:tblPrEx>
        <w:trPr>
          <w:cantSplit/>
        </w:trPr>
        <w:tc>
          <w:tcPr>
            <w:tcW w:w="1272" w:type="pct"/>
          </w:tcPr>
          <w:p w:rsidR="00925323" w:rsidRPr="00CE08B9" w:rsidRDefault="00925323" w:rsidP="00925323">
            <w:pPr>
              <w:spacing w:before="120"/>
              <w:rPr>
                <w:smallCaps/>
              </w:rPr>
            </w:pPr>
            <w:r>
              <w:rPr>
                <w:b/>
                <w:smallCaps/>
              </w:rPr>
              <w:t xml:space="preserve">Unanimous </w:t>
            </w:r>
            <w:r w:rsidRPr="006B210C">
              <w:rPr>
                <w:b/>
                <w:smallCaps/>
              </w:rPr>
              <w:t>Judgment</w:t>
            </w:r>
            <w:r>
              <w:rPr>
                <w:b/>
                <w:smallCaps/>
              </w:rPr>
              <w:t xml:space="preserve"> Read By:</w:t>
            </w:r>
          </w:p>
          <w:p w:rsidR="004E69EC" w:rsidRPr="00925323" w:rsidRDefault="00925323" w:rsidP="00540106">
            <w:r>
              <w:t>(paras. 1 to 7)</w:t>
            </w:r>
          </w:p>
        </w:tc>
        <w:tc>
          <w:tcPr>
            <w:tcW w:w="3728" w:type="pct"/>
            <w:gridSpan w:val="4"/>
          </w:tcPr>
          <w:p w:rsidR="004E69EC" w:rsidRPr="00925323" w:rsidRDefault="00925323" w:rsidP="00233350">
            <w:pPr>
              <w:spacing w:before="120"/>
              <w:rPr>
                <w:lang w:val="fr-CA"/>
              </w:rPr>
            </w:pPr>
            <w:r>
              <w:rPr>
                <w:lang w:val="fr-CA"/>
              </w:rPr>
              <w:t>Kasirer J.</w:t>
            </w:r>
          </w:p>
        </w:tc>
      </w:tr>
    </w:tbl>
    <w:p w:rsidR="001B299D" w:rsidRPr="00925323" w:rsidRDefault="001B299D" w:rsidP="001B299D">
      <w:pPr>
        <w:rPr>
          <w:lang w:val="en-US"/>
        </w:rPr>
      </w:pPr>
    </w:p>
    <w:p w:rsidR="00904937" w:rsidRPr="00564C88" w:rsidRDefault="00904937" w:rsidP="00076773">
      <w:pPr>
        <w:pStyle w:val="SCCBold"/>
        <w:rPr>
          <w:b w:val="0"/>
        </w:rPr>
      </w:pPr>
      <w:r w:rsidRPr="006B210C">
        <w:rPr>
          <w:smallCaps/>
        </w:rPr>
        <w:t>Note:</w:t>
      </w:r>
      <w:r w:rsidRPr="006B210C">
        <w:t xml:space="preserve"> </w:t>
      </w:r>
      <w:r w:rsidRPr="00564C88">
        <w:rPr>
          <w:b w:val="0"/>
        </w:rPr>
        <w:t>This do</w:t>
      </w:r>
      <w:r w:rsidR="009E7065" w:rsidRPr="00564C88">
        <w:rPr>
          <w:b w:val="0"/>
        </w:rPr>
        <w:t>c</w:t>
      </w:r>
      <w:r w:rsidRPr="00564C88">
        <w:rPr>
          <w:b w:val="0"/>
        </w:rPr>
        <w:t xml:space="preserve">ument is subject to editorial revision before its reproduction in final form in the </w:t>
      </w:r>
      <w:r w:rsidRPr="00564C88">
        <w:rPr>
          <w:b w:val="0"/>
          <w:i/>
        </w:rPr>
        <w:t>Canada Supreme Court Reports</w:t>
      </w:r>
      <w:r w:rsidRPr="00564C88">
        <w:rPr>
          <w:b w:val="0"/>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087E50" w:rsidTr="003375C9">
        <w:tc>
          <w:tcPr>
            <w:tcW w:w="1500" w:type="pct"/>
            <w:tcMar>
              <w:top w:w="284" w:type="dxa"/>
            </w:tcMar>
          </w:tcPr>
          <w:p w:rsidR="00087E50" w:rsidRDefault="00087E50" w:rsidP="003375C9">
            <w:pPr>
              <w:rPr>
                <w:rFonts w:eastAsia="Calibri"/>
              </w:rPr>
            </w:pPr>
          </w:p>
        </w:tc>
        <w:tc>
          <w:tcPr>
            <w:tcW w:w="2000" w:type="pct"/>
            <w:tcBorders>
              <w:bottom w:val="single" w:sz="4" w:space="0" w:color="auto"/>
            </w:tcBorders>
            <w:tcMar>
              <w:top w:w="284" w:type="dxa"/>
            </w:tcMar>
          </w:tcPr>
          <w:p w:rsidR="00087E50" w:rsidRDefault="00087E50" w:rsidP="003375C9">
            <w:pPr>
              <w:rPr>
                <w:rFonts w:eastAsia="Calibri"/>
              </w:rPr>
            </w:pPr>
          </w:p>
        </w:tc>
        <w:tc>
          <w:tcPr>
            <w:tcW w:w="1500" w:type="pct"/>
            <w:tcMar>
              <w:top w:w="284" w:type="dxa"/>
            </w:tcMar>
          </w:tcPr>
          <w:p w:rsidR="00087E50" w:rsidRDefault="00087E50" w:rsidP="003375C9">
            <w:pPr>
              <w:rPr>
                <w:rFonts w:eastAsia="Calibri"/>
              </w:rPr>
            </w:pPr>
          </w:p>
        </w:tc>
      </w:tr>
    </w:tbl>
    <w:p w:rsidR="00096A1E" w:rsidRDefault="00233350" w:rsidP="00096A1E">
      <w:pPr>
        <w:pStyle w:val="SCCLsocLastPartyInRole"/>
        <w:rPr>
          <w:lang w:val="fr-CA"/>
        </w:rPr>
      </w:pPr>
      <w:r w:rsidRPr="003C6580">
        <w:rPr>
          <w:lang w:val="fr-CA"/>
        </w:rPr>
        <w:br w:type="page"/>
      </w:r>
      <w:r w:rsidR="00096A1E">
        <w:rPr>
          <w:bCs/>
          <w:lang w:val="fr-CA"/>
        </w:rPr>
        <w:lastRenderedPageBreak/>
        <w:t>Sylvia H. C. C. Richardson</w:t>
      </w:r>
      <w:r w:rsidR="00096A1E">
        <w:rPr>
          <w:b w:val="0"/>
          <w:lang w:val="fr-CA"/>
        </w:rPr>
        <w:tab/>
      </w:r>
      <w:r w:rsidR="00096A1E" w:rsidRPr="003C6580">
        <w:rPr>
          <w:b w:val="0"/>
          <w:i/>
          <w:lang w:val="fr-CA"/>
        </w:rPr>
        <w:t>Appellant</w:t>
      </w:r>
    </w:p>
    <w:p w:rsidR="00096A1E" w:rsidRPr="003C6580" w:rsidRDefault="00096A1E" w:rsidP="003C6580">
      <w:pPr>
        <w:pStyle w:val="SCCLsocVersus"/>
        <w:spacing w:after="720"/>
        <w:jc w:val="left"/>
        <w:rPr>
          <w:i/>
        </w:rPr>
      </w:pPr>
      <w:r w:rsidRPr="003C6580">
        <w:rPr>
          <w:i/>
        </w:rPr>
        <w:t>v.</w:t>
      </w:r>
      <w:bookmarkStart w:id="0" w:name="_GoBack"/>
      <w:bookmarkEnd w:id="0"/>
    </w:p>
    <w:p w:rsidR="00096A1E" w:rsidRDefault="00096A1E" w:rsidP="00096A1E">
      <w:pPr>
        <w:pStyle w:val="SCCLsocLastPartyInRole"/>
      </w:pPr>
      <w:r>
        <w:rPr>
          <w:bCs/>
        </w:rPr>
        <w:t>Mark Edward Richardson</w:t>
      </w:r>
      <w:r>
        <w:rPr>
          <w:b w:val="0"/>
        </w:rPr>
        <w:tab/>
      </w:r>
      <w:r w:rsidRPr="003C6580">
        <w:rPr>
          <w:b w:val="0"/>
          <w:i/>
        </w:rPr>
        <w:t>Respondent</w:t>
      </w:r>
    </w:p>
    <w:p w:rsidR="00096A1E" w:rsidRDefault="00096A1E" w:rsidP="00096A1E">
      <w:pPr>
        <w:spacing w:after="720"/>
        <w:jc w:val="both"/>
        <w:rPr>
          <w:b/>
        </w:rPr>
      </w:pPr>
      <w:r>
        <w:rPr>
          <w:b/>
        </w:rPr>
        <w:t xml:space="preserve">Indexed as: Richardson </w:t>
      </w:r>
      <w:r>
        <w:rPr>
          <w:b/>
          <w:i/>
          <w:iCs/>
        </w:rPr>
        <w:t xml:space="preserve">v. </w:t>
      </w:r>
      <w:r>
        <w:rPr>
          <w:b/>
        </w:rPr>
        <w:t>Richardson</w:t>
      </w:r>
    </w:p>
    <w:p w:rsidR="00096A1E" w:rsidRDefault="00096A1E" w:rsidP="00096A1E">
      <w:pPr>
        <w:pStyle w:val="SCCSystemYear"/>
        <w:spacing w:after="720"/>
        <w:jc w:val="both"/>
      </w:pPr>
      <w:r>
        <w:t xml:space="preserve">2021 SCC </w:t>
      </w:r>
      <w:r>
        <w:rPr>
          <w:color w:val="000000"/>
        </w:rPr>
        <w:t>36</w:t>
      </w:r>
    </w:p>
    <w:p w:rsidR="00096A1E" w:rsidRDefault="00096A1E" w:rsidP="00096A1E">
      <w:pPr>
        <w:spacing w:after="720"/>
        <w:jc w:val="both"/>
      </w:pPr>
      <w:r>
        <w:t xml:space="preserve">File No.: </w:t>
      </w:r>
      <w:r>
        <w:rPr>
          <w:color w:val="000000"/>
        </w:rPr>
        <w:t>39123</w:t>
      </w:r>
      <w:r>
        <w:t>.</w:t>
      </w:r>
    </w:p>
    <w:p w:rsidR="00096A1E" w:rsidRDefault="00096A1E" w:rsidP="00096A1E">
      <w:pPr>
        <w:spacing w:after="720"/>
        <w:jc w:val="both"/>
      </w:pPr>
      <w:r>
        <w:rPr>
          <w:color w:val="000000"/>
        </w:rPr>
        <w:t>2021</w:t>
      </w:r>
      <w:r>
        <w:t xml:space="preserve">: </w:t>
      </w:r>
      <w:r>
        <w:rPr>
          <w:color w:val="000000"/>
        </w:rPr>
        <w:t>October 13</w:t>
      </w:r>
      <w:r>
        <w:t>.</w:t>
      </w:r>
    </w:p>
    <w:p w:rsidR="00096A1E" w:rsidRDefault="00096A1E" w:rsidP="00096A1E">
      <w:pPr>
        <w:spacing w:after="720"/>
        <w:jc w:val="both"/>
      </w:pPr>
      <w:r>
        <w:t xml:space="preserve">Present: </w:t>
      </w:r>
      <w:r>
        <w:rPr>
          <w:color w:val="000000"/>
        </w:rPr>
        <w:t>Wagner C.J. and Moldaver, Karakatsanis, Côté, Brown, Rowe, Martin, Kasirer and Jamal JJ.</w:t>
      </w:r>
    </w:p>
    <w:p w:rsidR="00096A1E" w:rsidRDefault="00096A1E" w:rsidP="00096A1E">
      <w:pPr>
        <w:pStyle w:val="SCCLowerCourtNameLowercase"/>
        <w:spacing w:after="720" w:line="240" w:lineRule="auto"/>
      </w:pPr>
      <w:r>
        <w:t>on appeal from the court of appeal for o</w:t>
      </w:r>
      <w:r>
        <w:rPr>
          <w:color w:val="000000"/>
        </w:rPr>
        <w:t>ntario</w:t>
      </w:r>
    </w:p>
    <w:p w:rsidR="00096A1E" w:rsidRDefault="00096A1E" w:rsidP="00096A1E">
      <w:pPr>
        <w:pStyle w:val="SCCNormalDoubleSpacing"/>
        <w:spacing w:after="480"/>
        <w:rPr>
          <w:i/>
        </w:rPr>
      </w:pPr>
      <w:r>
        <w:tab/>
      </w:r>
      <w:r>
        <w:rPr>
          <w:i/>
        </w:rPr>
        <w:t xml:space="preserve">Family law — Custody — Variation — Change of residence — Best interests of child — Mother bringing motion to change custody order following her relocation to Ottawa area from Niagara region — Parties agreeing to settlement during trial according to which children would relocate to Ottawa area to live with mother — Trial judge rejecting proposed settlement and continuing with trial — Trial judge dismissing motion to change and ordering that children’s primary residence remain in Niagara region with father on basis of best interests of children — Court of Appeal upholding decision — Changes with respect to children that affect record </w:t>
      </w:r>
      <w:r>
        <w:rPr>
          <w:i/>
        </w:rPr>
        <w:lastRenderedPageBreak/>
        <w:t>occurring prior to appeal being heard by Supreme Court of Canada — Incomplete record preventing meaningful guidance on best interests of children.</w:t>
      </w:r>
    </w:p>
    <w:p w:rsidR="00096A1E" w:rsidRDefault="00096A1E" w:rsidP="00096A1E">
      <w:pPr>
        <w:pStyle w:val="SCCNormalDoubleSpacing"/>
        <w:spacing w:after="480"/>
      </w:pPr>
      <w:r>
        <w:tab/>
        <w:t xml:space="preserve">APPEAL from a judgment of the </w:t>
      </w:r>
      <w:r>
        <w:rPr>
          <w:color w:val="000000"/>
        </w:rPr>
        <w:t xml:space="preserve">Ontario </w:t>
      </w:r>
      <w:r>
        <w:t xml:space="preserve">Court of Appeal (Rouleau, Huscroft and Nordheimer JJ.A.), </w:t>
      </w:r>
      <w:r>
        <w:rPr>
          <w:color w:val="000000"/>
        </w:rPr>
        <w:t xml:space="preserve">2019 ONCA 983, 35 R.F.L. (8th) 265, [2019] O.J. No. 6313 (QL), 2019 CarswellOnt 20744 (WL Can.), </w:t>
      </w:r>
      <w:r>
        <w:t>affirming a decision of Ramsay J., 2019 ONSC 2175, dismissing a motion to change the custody order regarding the two children of the marriage and amending the access schedule</w:t>
      </w:r>
      <w:r>
        <w:rPr>
          <w:bCs/>
        </w:rPr>
        <w:t>. Appeal dismissed.</w:t>
      </w:r>
    </w:p>
    <w:p w:rsidR="00096A1E" w:rsidRDefault="00096A1E" w:rsidP="00096A1E">
      <w:pPr>
        <w:pStyle w:val="SCCLawFirm"/>
        <w:spacing w:after="480"/>
      </w:pPr>
      <w:r>
        <w:rPr>
          <w:iCs/>
        </w:rPr>
        <w:tab/>
        <w:t xml:space="preserve">Shawn Duguay </w:t>
      </w:r>
      <w:r>
        <w:rPr>
          <w:i w:val="0"/>
          <w:iCs/>
        </w:rPr>
        <w:t>and</w:t>
      </w:r>
      <w:r>
        <w:rPr>
          <w:iCs/>
        </w:rPr>
        <w:t xml:space="preserve"> Lauren Wilson</w:t>
      </w:r>
      <w:r>
        <w:rPr>
          <w:i w:val="0"/>
        </w:rPr>
        <w:t>, for the appellant.</w:t>
      </w:r>
    </w:p>
    <w:p w:rsidR="00096A1E" w:rsidRDefault="00096A1E" w:rsidP="00096A1E">
      <w:pPr>
        <w:pStyle w:val="SCCLawFirm"/>
        <w:spacing w:after="480"/>
      </w:pPr>
      <w:r>
        <w:rPr>
          <w:iCs/>
        </w:rPr>
        <w:tab/>
        <w:t>Aaron Franks</w:t>
      </w:r>
      <w:r>
        <w:rPr>
          <w:i w:val="0"/>
          <w:iCs/>
        </w:rPr>
        <w:t>,</w:t>
      </w:r>
      <w:r>
        <w:rPr>
          <w:iCs/>
        </w:rPr>
        <w:t xml:space="preserve"> Michael Zalev </w:t>
      </w:r>
      <w:r>
        <w:rPr>
          <w:i w:val="0"/>
          <w:iCs/>
        </w:rPr>
        <w:t>and</w:t>
      </w:r>
      <w:r>
        <w:rPr>
          <w:iCs/>
        </w:rPr>
        <w:t xml:space="preserve"> Samantha Eisen</w:t>
      </w:r>
      <w:r>
        <w:rPr>
          <w:i w:val="0"/>
        </w:rPr>
        <w:t>, for the respondent.</w:t>
      </w:r>
    </w:p>
    <w:p w:rsidR="00096A1E" w:rsidRDefault="00096A1E" w:rsidP="00096A1E">
      <w:pPr>
        <w:pStyle w:val="SCCNormalDoubleSpacing"/>
        <w:spacing w:after="480"/>
      </w:pPr>
      <w:r>
        <w:tab/>
      </w:r>
      <w:r>
        <w:rPr>
          <w:color w:val="000000"/>
        </w:rPr>
        <w:t>The judgment of the Court was delivered orally by</w:t>
      </w:r>
    </w:p>
    <w:p w:rsidR="00096A1E" w:rsidRDefault="00096A1E" w:rsidP="00096A1E">
      <w:pPr>
        <w:pStyle w:val="SCCNormalDoubleSpacing"/>
        <w:spacing w:after="480"/>
        <w:rPr>
          <w:color w:val="000000"/>
          <w:lang w:val="en-CA"/>
        </w:rPr>
      </w:pPr>
      <w:r>
        <w:rPr>
          <w:smallCaps/>
        </w:rPr>
        <w:t>[1]</w:t>
      </w:r>
      <w:r>
        <w:rPr>
          <w:smallCaps/>
        </w:rPr>
        <w:tab/>
      </w:r>
      <w:r>
        <w:rPr>
          <w:smallCaps/>
          <w:color w:val="000000"/>
        </w:rPr>
        <w:t>Kasirer</w:t>
      </w:r>
      <w:r>
        <w:rPr>
          <w:color w:val="000000"/>
        </w:rPr>
        <w:t xml:space="preserve"> </w:t>
      </w:r>
      <w:r>
        <w:rPr>
          <w:smallCaps/>
          <w:color w:val="000000"/>
        </w:rPr>
        <w:t>J.</w:t>
      </w:r>
      <w:r>
        <w:t xml:space="preserve"> — </w:t>
      </w:r>
      <w:r>
        <w:rPr>
          <w:color w:val="000000"/>
        </w:rPr>
        <w:t>The dispute regarding the custody of the parties’ two children involved in this appeal turns on a proper appreciation of their best interest. When leave to appeal was granted, among the matters in dispute was whether the parties’ 16</w:t>
      </w:r>
      <w:r>
        <w:rPr>
          <w:color w:val="000000"/>
        </w:rPr>
        <w:noBreakHyphen/>
        <w:t>year</w:t>
      </w:r>
      <w:r>
        <w:rPr>
          <w:color w:val="000000"/>
        </w:rPr>
        <w:noBreakHyphen/>
        <w:t>old daughter and their 10</w:t>
      </w:r>
      <w:r>
        <w:rPr>
          <w:color w:val="000000"/>
        </w:rPr>
        <w:noBreakHyphen/>
        <w:t>year</w:t>
      </w:r>
      <w:r>
        <w:rPr>
          <w:color w:val="000000"/>
        </w:rPr>
        <w:noBreakHyphen/>
        <w:t>old son should live principally with the appellant in Ottawa or with the respondent in Niagara.</w:t>
      </w:r>
    </w:p>
    <w:p w:rsidR="00096A1E" w:rsidRDefault="00096A1E" w:rsidP="00096A1E">
      <w:pPr>
        <w:pStyle w:val="SCCNormalDoubleSpacing"/>
        <w:spacing w:after="480"/>
        <w:rPr>
          <w:color w:val="000000"/>
        </w:rPr>
      </w:pPr>
      <w:r>
        <w:rPr>
          <w:color w:val="000000"/>
        </w:rPr>
        <w:t>[2]</w:t>
      </w:r>
      <w:r>
        <w:rPr>
          <w:color w:val="000000"/>
        </w:rPr>
        <w:tab/>
        <w:t>On October 6, 2021 — one week before this hearing —, the parties wrote a joint letter to the Registrar to advise the Court of what they described as “changes with respect to the children that affect the record in this matter”.</w:t>
      </w:r>
    </w:p>
    <w:p w:rsidR="00096A1E" w:rsidRDefault="00096A1E" w:rsidP="00096A1E">
      <w:pPr>
        <w:pStyle w:val="SCCNormalDoubleSpacing"/>
        <w:spacing w:after="480"/>
        <w:rPr>
          <w:color w:val="000000"/>
        </w:rPr>
      </w:pPr>
      <w:r>
        <w:rPr>
          <w:color w:val="000000"/>
        </w:rPr>
        <w:lastRenderedPageBreak/>
        <w:t>[3]</w:t>
      </w:r>
      <w:r>
        <w:rPr>
          <w:color w:val="000000"/>
        </w:rPr>
        <w:tab/>
        <w:t>These included a statement that the parties’ daughter has resided in Ottawa for over a year and that, given her age, the respondent does not intend to take further steps to enforce the trial judge’s order regarding that child.</w:t>
      </w:r>
    </w:p>
    <w:p w:rsidR="00096A1E" w:rsidRDefault="00096A1E" w:rsidP="00096A1E">
      <w:pPr>
        <w:pStyle w:val="SCCNormalDoubleSpacing"/>
        <w:spacing w:after="480"/>
        <w:rPr>
          <w:color w:val="000000"/>
        </w:rPr>
      </w:pPr>
      <w:r>
        <w:rPr>
          <w:color w:val="000000"/>
        </w:rPr>
        <w:t>[4]</w:t>
      </w:r>
      <w:r>
        <w:rPr>
          <w:color w:val="000000"/>
        </w:rPr>
        <w:tab/>
        <w:t>We note further that the parties have not filed a motion for new evidence before this Court regarding the current best interests of the children.</w:t>
      </w:r>
    </w:p>
    <w:p w:rsidR="00096A1E" w:rsidRDefault="00096A1E" w:rsidP="00096A1E">
      <w:pPr>
        <w:pStyle w:val="SCCNormalDoubleSpacing"/>
        <w:spacing w:after="480"/>
        <w:rPr>
          <w:color w:val="000000"/>
        </w:rPr>
      </w:pPr>
      <w:r>
        <w:rPr>
          <w:color w:val="000000"/>
        </w:rPr>
        <w:t>[5]</w:t>
      </w:r>
      <w:r>
        <w:rPr>
          <w:color w:val="000000"/>
        </w:rPr>
        <w:tab/>
        <w:t>In the unusual circumstances of this appeal, and given the state of the record which the parties acknowledge as incomplete, we are of the unanimous view that the appeal should be dismissed, without costs before this Court. The appropriate forum for identifying and resolving whatever ongoing dispute may subsist between the parties is the Superior Court where, should the legal requirements be met, a variation order relating to custody and access could be sought.</w:t>
      </w:r>
    </w:p>
    <w:p w:rsidR="00096A1E" w:rsidRDefault="00096A1E" w:rsidP="00096A1E">
      <w:pPr>
        <w:pStyle w:val="SCCNormalDoubleSpacing"/>
        <w:spacing w:after="480"/>
        <w:rPr>
          <w:color w:val="000000"/>
        </w:rPr>
      </w:pPr>
      <w:r>
        <w:rPr>
          <w:color w:val="000000"/>
        </w:rPr>
        <w:t>[6]</w:t>
      </w:r>
      <w:r>
        <w:rPr>
          <w:color w:val="000000"/>
        </w:rPr>
        <w:tab/>
        <w:t>Given the tenor of the parties’ joint letter and the state of the record, we are unable to provide meaningful guidance on the best interests of the children in the circumstances.</w:t>
      </w:r>
    </w:p>
    <w:p w:rsidR="00096A1E" w:rsidRDefault="00096A1E" w:rsidP="00096A1E">
      <w:pPr>
        <w:pStyle w:val="SCCNormalDoubleSpacing"/>
        <w:spacing w:after="480"/>
        <w:rPr>
          <w:color w:val="000000"/>
        </w:rPr>
      </w:pPr>
      <w:r>
        <w:rPr>
          <w:color w:val="000000"/>
        </w:rPr>
        <w:t>[7]</w:t>
      </w:r>
      <w:r>
        <w:rPr>
          <w:color w:val="000000"/>
        </w:rPr>
        <w:tab/>
        <w:t>In the result, the appeal is dismissed, without costs before this Court.</w:t>
      </w:r>
    </w:p>
    <w:p w:rsidR="00096A1E" w:rsidRDefault="00096A1E" w:rsidP="00096A1E">
      <w:pPr>
        <w:pStyle w:val="SCCNormalDoubleSpacing"/>
        <w:spacing w:after="480"/>
        <w:rPr>
          <w:i/>
          <w:iCs/>
          <w:color w:val="000000"/>
        </w:rPr>
      </w:pPr>
      <w:r>
        <w:rPr>
          <w:i/>
          <w:iCs/>
          <w:color w:val="000000"/>
        </w:rPr>
        <w:tab/>
        <w:t>Judgment accordingly.</w:t>
      </w:r>
    </w:p>
    <w:p w:rsidR="00096A1E" w:rsidRDefault="00096A1E" w:rsidP="00096A1E">
      <w:pPr>
        <w:pStyle w:val="SCCNormalDoubleSpacing"/>
        <w:spacing w:after="480"/>
        <w:rPr>
          <w:i/>
        </w:rPr>
      </w:pPr>
      <w:r>
        <w:rPr>
          <w:i/>
        </w:rPr>
        <w:tab/>
        <w:t>Solicitors for the appellant:</w:t>
      </w:r>
      <w:r>
        <w:rPr>
          <w:bCs/>
          <w:i/>
        </w:rPr>
        <w:t xml:space="preserve"> Gowling WLG (Canada)</w:t>
      </w:r>
      <w:r>
        <w:rPr>
          <w:i/>
          <w:iCs/>
        </w:rPr>
        <w:t>, Ottawa</w:t>
      </w:r>
      <w:r>
        <w:rPr>
          <w:i/>
        </w:rPr>
        <w:t>.</w:t>
      </w:r>
    </w:p>
    <w:p w:rsidR="00096A1E" w:rsidRDefault="00096A1E" w:rsidP="00096A1E">
      <w:pPr>
        <w:pStyle w:val="SCCNormalDoubleSpacing"/>
        <w:spacing w:after="480"/>
        <w:rPr>
          <w:i/>
          <w:iCs/>
          <w:color w:val="000000"/>
          <w:lang w:val="en-CA"/>
        </w:rPr>
      </w:pPr>
      <w:r>
        <w:rPr>
          <w:i/>
        </w:rPr>
        <w:tab/>
        <w:t xml:space="preserve">Solicitors for the respondent: </w:t>
      </w:r>
      <w:r>
        <w:rPr>
          <w:i/>
          <w:color w:val="333333"/>
          <w:szCs w:val="21"/>
          <w:shd w:val="clear" w:color="auto" w:fill="FFFFFF"/>
        </w:rPr>
        <w:t>Epstein Cole</w:t>
      </w:r>
      <w:r>
        <w:rPr>
          <w:i/>
        </w:rPr>
        <w:t xml:space="preserve">, </w:t>
      </w:r>
      <w:r>
        <w:rPr>
          <w:i/>
          <w:iCs/>
        </w:rPr>
        <w:t>Toronto</w:t>
      </w:r>
      <w:r>
        <w:rPr>
          <w:i/>
        </w:rPr>
        <w:t>.</w:t>
      </w:r>
    </w:p>
    <w:sectPr w:rsidR="00096A1E" w:rsidSect="00356066">
      <w:pgSz w:w="12240" w:h="15840"/>
      <w:pgMar w:top="1440" w:right="1440" w:bottom="1440" w:left="1440" w:header="180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E44" w:rsidRDefault="00EF0E44" w:rsidP="00F72014">
      <w:r>
        <w:separator/>
      </w:r>
    </w:p>
  </w:endnote>
  <w:endnote w:type="continuationSeparator" w:id="0">
    <w:p w:rsidR="00EF0E44" w:rsidRDefault="00EF0E44" w:rsidP="00F7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E44" w:rsidRDefault="00EF0E44" w:rsidP="00F72014">
      <w:r>
        <w:separator/>
      </w:r>
    </w:p>
  </w:footnote>
  <w:footnote w:type="continuationSeparator" w:id="0">
    <w:p w:rsidR="00EF0E44" w:rsidRDefault="00EF0E44" w:rsidP="00F7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20"/>
  <w:hyphenationZone w:val="425"/>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DA"/>
    <w:rsid w:val="00001315"/>
    <w:rsid w:val="0003087F"/>
    <w:rsid w:val="00076773"/>
    <w:rsid w:val="00087E50"/>
    <w:rsid w:val="00096A1E"/>
    <w:rsid w:val="001311DA"/>
    <w:rsid w:val="001412E4"/>
    <w:rsid w:val="001648D4"/>
    <w:rsid w:val="001B0985"/>
    <w:rsid w:val="001B27ED"/>
    <w:rsid w:val="001B299D"/>
    <w:rsid w:val="001D6B8C"/>
    <w:rsid w:val="001F1F83"/>
    <w:rsid w:val="001F3E0C"/>
    <w:rsid w:val="00205C5C"/>
    <w:rsid w:val="00205C5D"/>
    <w:rsid w:val="00233350"/>
    <w:rsid w:val="00252460"/>
    <w:rsid w:val="00273D07"/>
    <w:rsid w:val="0028675F"/>
    <w:rsid w:val="002C1DA9"/>
    <w:rsid w:val="002C5A33"/>
    <w:rsid w:val="002D4FC9"/>
    <w:rsid w:val="00307011"/>
    <w:rsid w:val="00345168"/>
    <w:rsid w:val="00355967"/>
    <w:rsid w:val="00356066"/>
    <w:rsid w:val="00384384"/>
    <w:rsid w:val="003B2BE1"/>
    <w:rsid w:val="003B3C63"/>
    <w:rsid w:val="003C6580"/>
    <w:rsid w:val="00451668"/>
    <w:rsid w:val="00460AFC"/>
    <w:rsid w:val="004E69EC"/>
    <w:rsid w:val="004F090E"/>
    <w:rsid w:val="00524C08"/>
    <w:rsid w:val="00540106"/>
    <w:rsid w:val="00564C88"/>
    <w:rsid w:val="00582136"/>
    <w:rsid w:val="005D2CFA"/>
    <w:rsid w:val="005D4801"/>
    <w:rsid w:val="0061259C"/>
    <w:rsid w:val="006746EF"/>
    <w:rsid w:val="006B210C"/>
    <w:rsid w:val="00701ABD"/>
    <w:rsid w:val="007740CA"/>
    <w:rsid w:val="007F477B"/>
    <w:rsid w:val="00815561"/>
    <w:rsid w:val="00842677"/>
    <w:rsid w:val="00843369"/>
    <w:rsid w:val="00852D4E"/>
    <w:rsid w:val="00864A81"/>
    <w:rsid w:val="00880B14"/>
    <w:rsid w:val="00904937"/>
    <w:rsid w:val="00925323"/>
    <w:rsid w:val="0093524C"/>
    <w:rsid w:val="00962C82"/>
    <w:rsid w:val="00996510"/>
    <w:rsid w:val="00996B4F"/>
    <w:rsid w:val="0099776C"/>
    <w:rsid w:val="009B58B8"/>
    <w:rsid w:val="009E1B85"/>
    <w:rsid w:val="009E7065"/>
    <w:rsid w:val="00A15427"/>
    <w:rsid w:val="00A51D10"/>
    <w:rsid w:val="00A57778"/>
    <w:rsid w:val="00AB2201"/>
    <w:rsid w:val="00BC2DFD"/>
    <w:rsid w:val="00BD4217"/>
    <w:rsid w:val="00C003E6"/>
    <w:rsid w:val="00CE17A0"/>
    <w:rsid w:val="00D030DA"/>
    <w:rsid w:val="00D76BDF"/>
    <w:rsid w:val="00DA7B22"/>
    <w:rsid w:val="00DF15D7"/>
    <w:rsid w:val="00E22DBA"/>
    <w:rsid w:val="00E356C7"/>
    <w:rsid w:val="00E5364D"/>
    <w:rsid w:val="00E54E6E"/>
    <w:rsid w:val="00E64FA7"/>
    <w:rsid w:val="00E6727C"/>
    <w:rsid w:val="00E770CB"/>
    <w:rsid w:val="00EA6DB9"/>
    <w:rsid w:val="00EF0E44"/>
    <w:rsid w:val="00EF72F1"/>
    <w:rsid w:val="00F36AF0"/>
    <w:rsid w:val="00F72014"/>
    <w:rsid w:val="00F9518C"/>
    <w:rsid w:val="00FA59EF"/>
    <w:rsid w:val="00FC2782"/>
    <w:rsid w:val="00FC70CB"/>
    <w:rsid w:val="00FE57D3"/>
    <w:rsid w:val="00FE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7E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0D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030DA"/>
    <w:rPr>
      <w:color w:val="808080"/>
    </w:rPr>
  </w:style>
  <w:style w:type="paragraph" w:styleId="BalloonText">
    <w:name w:val="Balloon Text"/>
    <w:basedOn w:val="Normal"/>
    <w:link w:val="BalloonTextChar"/>
    <w:uiPriority w:val="99"/>
    <w:semiHidden/>
    <w:unhideWhenUsed/>
    <w:rsid w:val="00D030DA"/>
    <w:rPr>
      <w:rFonts w:ascii="Tahoma" w:hAnsi="Tahoma" w:cs="Tahoma"/>
      <w:sz w:val="16"/>
      <w:szCs w:val="16"/>
    </w:rPr>
  </w:style>
  <w:style w:type="character" w:customStyle="1" w:styleId="BalloonTextChar">
    <w:name w:val="Balloon Text Char"/>
    <w:basedOn w:val="DefaultParagraphFont"/>
    <w:link w:val="BalloonText"/>
    <w:uiPriority w:val="99"/>
    <w:semiHidden/>
    <w:rsid w:val="00D030DA"/>
    <w:rPr>
      <w:rFonts w:ascii="Tahoma" w:hAnsi="Tahoma" w:cs="Tahoma"/>
      <w:sz w:val="16"/>
      <w:szCs w:val="16"/>
    </w:rPr>
  </w:style>
  <w:style w:type="paragraph" w:styleId="Header">
    <w:name w:val="header"/>
    <w:basedOn w:val="Normal"/>
    <w:link w:val="HeaderChar"/>
    <w:uiPriority w:val="99"/>
    <w:unhideWhenUsed/>
    <w:rsid w:val="00F72014"/>
    <w:pPr>
      <w:tabs>
        <w:tab w:val="center" w:pos="4680"/>
        <w:tab w:val="right" w:pos="9360"/>
      </w:tabs>
    </w:pPr>
  </w:style>
  <w:style w:type="character" w:customStyle="1" w:styleId="HeaderChar">
    <w:name w:val="Header Char"/>
    <w:basedOn w:val="DefaultParagraphFont"/>
    <w:link w:val="Header"/>
    <w:uiPriority w:val="99"/>
    <w:rsid w:val="00F72014"/>
  </w:style>
  <w:style w:type="paragraph" w:styleId="Footer">
    <w:name w:val="footer"/>
    <w:basedOn w:val="Normal"/>
    <w:link w:val="FooterChar"/>
    <w:uiPriority w:val="99"/>
    <w:unhideWhenUsed/>
    <w:rsid w:val="00F72014"/>
    <w:pPr>
      <w:tabs>
        <w:tab w:val="center" w:pos="4680"/>
        <w:tab w:val="right" w:pos="9360"/>
      </w:tabs>
    </w:pPr>
  </w:style>
  <w:style w:type="character" w:customStyle="1" w:styleId="FooterChar">
    <w:name w:val="Footer Char"/>
    <w:basedOn w:val="DefaultParagraphFont"/>
    <w:link w:val="Footer"/>
    <w:uiPriority w:val="99"/>
    <w:rsid w:val="00F72014"/>
  </w:style>
  <w:style w:type="paragraph" w:customStyle="1" w:styleId="SCCRestrictionOnPublicationTitle">
    <w:name w:val="SCC.RestrictionOnPublicationTitle"/>
    <w:basedOn w:val="Normal"/>
    <w:next w:val="Normal"/>
    <w:link w:val="SCCRestrictionOnPublicationTitleChar"/>
    <w:rsid w:val="00252460"/>
    <w:rPr>
      <w:b/>
      <w:smallCaps/>
    </w:rPr>
  </w:style>
  <w:style w:type="character" w:customStyle="1" w:styleId="SCCRestrictionOnPublicationTitleChar">
    <w:name w:val="SCC.RestrictionOnPublicationTitle Char"/>
    <w:basedOn w:val="DefaultParagraphFont"/>
    <w:link w:val="SCCRestrictionOnPublicationTitle"/>
    <w:rsid w:val="00252460"/>
    <w:rPr>
      <w:b/>
      <w:smallCaps/>
      <w:lang w:val="en-CA"/>
    </w:rPr>
  </w:style>
  <w:style w:type="paragraph" w:customStyle="1" w:styleId="SCCRestrictionOnPublicationText">
    <w:name w:val="SCC.RestrictionOnPublicationText"/>
    <w:basedOn w:val="Normal"/>
    <w:next w:val="Normal"/>
    <w:link w:val="SCCRestrictionOnPublicationTextChar"/>
    <w:rsid w:val="00252460"/>
  </w:style>
  <w:style w:type="character" w:customStyle="1" w:styleId="SCCRestrictionOnPublicationTextChar">
    <w:name w:val="SCC.RestrictionOnPublicationText Char"/>
    <w:basedOn w:val="DefaultParagraphFont"/>
    <w:link w:val="SCCRestrictionOnPublicationText"/>
    <w:rsid w:val="00252460"/>
    <w:rPr>
      <w:lang w:val="en-CA"/>
    </w:rPr>
  </w:style>
  <w:style w:type="paragraph" w:customStyle="1" w:styleId="SCCLsocOtherPartyRole">
    <w:name w:val="SCC.Lsoc.OtherPartyRole"/>
    <w:basedOn w:val="Normal"/>
    <w:next w:val="Normal"/>
    <w:link w:val="SCCLsocOtherPartyRoleChar"/>
    <w:rsid w:val="0099776C"/>
    <w:pPr>
      <w:jc w:val="center"/>
    </w:pPr>
  </w:style>
  <w:style w:type="character" w:customStyle="1" w:styleId="SCCLsocOtherPartyRoleChar">
    <w:name w:val="SCC.Lsoc.OtherPartyRole Char"/>
    <w:basedOn w:val="DefaultParagraphFont"/>
    <w:link w:val="SCCLsocOtherPartyRole"/>
    <w:rsid w:val="0099776C"/>
    <w:rPr>
      <w:lang w:val="en-CA"/>
    </w:rPr>
  </w:style>
  <w:style w:type="paragraph" w:customStyle="1" w:styleId="SCCLsocParty">
    <w:name w:val="SCC.Lsoc.Party"/>
    <w:basedOn w:val="Normal"/>
    <w:next w:val="Normal"/>
    <w:link w:val="SCCLsocPartyChar"/>
    <w:rsid w:val="0099776C"/>
    <w:pPr>
      <w:jc w:val="center"/>
    </w:pPr>
    <w:rPr>
      <w:b/>
    </w:rPr>
  </w:style>
  <w:style w:type="character" w:customStyle="1" w:styleId="SCCLsocPartyChar">
    <w:name w:val="SCC.Lsoc.Party Char"/>
    <w:basedOn w:val="DefaultParagraphFont"/>
    <w:link w:val="SCCLsocParty"/>
    <w:rsid w:val="0099776C"/>
    <w:rPr>
      <w:b/>
      <w:lang w:val="en-CA"/>
    </w:rPr>
  </w:style>
  <w:style w:type="paragraph" w:customStyle="1" w:styleId="SCCLsocSubfileSeparator">
    <w:name w:val="SCC.Lsoc.SubfileSeparator"/>
    <w:basedOn w:val="Normal"/>
    <w:next w:val="Normal"/>
    <w:link w:val="SCCLsocSubfileSeparatorChar"/>
    <w:rsid w:val="00FE5ED5"/>
    <w:rPr>
      <w:b/>
      <w:smallCaps/>
    </w:rPr>
  </w:style>
  <w:style w:type="character" w:customStyle="1" w:styleId="SCCLsocSubfileSeparatorChar">
    <w:name w:val="SCC.Lsoc.SubfileSeparator Char"/>
    <w:basedOn w:val="DefaultParagraphFont"/>
    <w:link w:val="SCCLsocSubfileSeparator"/>
    <w:rsid w:val="00FE5ED5"/>
    <w:rPr>
      <w:b/>
      <w:smallCaps/>
      <w:lang w:val="en-CA"/>
    </w:rPr>
  </w:style>
  <w:style w:type="paragraph" w:customStyle="1" w:styleId="SCCLsocVersus">
    <w:name w:val="SCC.Lsoc.Versus"/>
    <w:basedOn w:val="Normal"/>
    <w:next w:val="Normal"/>
    <w:link w:val="SCCLsocVersusChar"/>
    <w:rsid w:val="0099776C"/>
    <w:pPr>
      <w:jc w:val="center"/>
    </w:pPr>
  </w:style>
  <w:style w:type="character" w:customStyle="1" w:styleId="SCCLsocVersusChar">
    <w:name w:val="SCC.Lsoc.Versus Char"/>
    <w:basedOn w:val="DefaultParagraphFont"/>
    <w:link w:val="SCCLsocVersus"/>
    <w:rsid w:val="0099776C"/>
    <w:rPr>
      <w:lang w:val="en-CA"/>
    </w:rPr>
  </w:style>
  <w:style w:type="paragraph" w:customStyle="1" w:styleId="SCCLsocPartyRole">
    <w:name w:val="SCC.Lsoc.PartyRole"/>
    <w:basedOn w:val="Normal"/>
    <w:next w:val="Normal"/>
    <w:link w:val="SCCLsocPartyRoleChar"/>
    <w:rsid w:val="0099776C"/>
    <w:pPr>
      <w:jc w:val="center"/>
    </w:pPr>
  </w:style>
  <w:style w:type="character" w:customStyle="1" w:styleId="SCCLsocPartyRoleChar">
    <w:name w:val="SCC.Lsoc.PartyRole Char"/>
    <w:basedOn w:val="DefaultParagraphFont"/>
    <w:link w:val="SCCLsocPartyRole"/>
    <w:rsid w:val="0099776C"/>
    <w:rPr>
      <w:lang w:val="en-CA"/>
    </w:rPr>
  </w:style>
  <w:style w:type="paragraph" w:customStyle="1" w:styleId="SCCLsocPrefix">
    <w:name w:val="SCC.Lsoc.Prefix"/>
    <w:basedOn w:val="Normal"/>
    <w:next w:val="Normal"/>
    <w:link w:val="SCCLsocPrefixChar"/>
    <w:rsid w:val="00FE5ED5"/>
    <w:rPr>
      <w:b/>
      <w:smallCaps/>
    </w:rPr>
  </w:style>
  <w:style w:type="character" w:customStyle="1" w:styleId="SCCLsocPrefixChar">
    <w:name w:val="SCC.Lsoc.Prefix Char"/>
    <w:basedOn w:val="DefaultParagraphFont"/>
    <w:link w:val="SCCLsocPrefix"/>
    <w:rsid w:val="00FE5ED5"/>
    <w:rPr>
      <w:b/>
      <w:smallCaps/>
      <w:lang w:val="en-CA"/>
    </w:rPr>
  </w:style>
  <w:style w:type="paragraph" w:customStyle="1" w:styleId="SCCHearingJudgmentDatesText">
    <w:name w:val="SCC.HearingJudgmentDatesText"/>
    <w:basedOn w:val="Normal"/>
    <w:next w:val="Normal"/>
    <w:link w:val="SCCHearingJudgmentDatesTextChar"/>
    <w:rsid w:val="00C003E6"/>
  </w:style>
  <w:style w:type="character" w:customStyle="1" w:styleId="SCCHearingJudgmentDatesTextChar">
    <w:name w:val="SCC.HearingJudgmentDatesText Char"/>
    <w:basedOn w:val="DefaultParagraphFont"/>
    <w:link w:val="SCCHearingJudgmentDatesText"/>
    <w:rsid w:val="00C003E6"/>
    <w:rPr>
      <w:lang w:val="en-CA"/>
    </w:rPr>
  </w:style>
  <w:style w:type="paragraph" w:customStyle="1" w:styleId="SCCHearingJudgmentDatesTitle">
    <w:name w:val="SCC.HearingJudgmentDatesTitle"/>
    <w:basedOn w:val="Normal"/>
    <w:next w:val="Normal"/>
    <w:link w:val="SCCHearingJudgmentDatesTitleChar"/>
    <w:rsid w:val="00C003E6"/>
    <w:rPr>
      <w:b/>
      <w:smallCaps/>
    </w:rPr>
  </w:style>
  <w:style w:type="character" w:customStyle="1" w:styleId="SCCHearingJudgmentDatesTitleChar">
    <w:name w:val="SCC.HearingJudgmentDatesTitle Char"/>
    <w:basedOn w:val="DefaultParagraphFont"/>
    <w:link w:val="SCCHearingJudgmentDatesTitle"/>
    <w:rsid w:val="00C003E6"/>
    <w:rPr>
      <w:b/>
      <w:smallCaps/>
      <w:lang w:val="en-CA"/>
    </w:rPr>
  </w:style>
  <w:style w:type="paragraph" w:customStyle="1" w:styleId="SCCLsocOtherPartySeparator">
    <w:name w:val="SCC.Lsoc.OtherPartySeparator"/>
    <w:basedOn w:val="Normal"/>
    <w:next w:val="Normal"/>
    <w:link w:val="SCCLsocOtherPartySeparatorChar"/>
    <w:rsid w:val="002C5A33"/>
    <w:pPr>
      <w:jc w:val="center"/>
    </w:pPr>
  </w:style>
  <w:style w:type="character" w:customStyle="1" w:styleId="SCCLsocOtherPartySeparatorChar">
    <w:name w:val="SCC.Lsoc.OtherPartySeparator Char"/>
    <w:basedOn w:val="DefaultParagraphFont"/>
    <w:link w:val="SCCLsocOtherPartySeparator"/>
    <w:rsid w:val="002C5A33"/>
    <w:rPr>
      <w:lang w:val="en-CA"/>
    </w:rPr>
  </w:style>
  <w:style w:type="paragraph" w:customStyle="1" w:styleId="SCCCounselName">
    <w:name w:val="SCC.CounselName"/>
    <w:basedOn w:val="Normal"/>
    <w:next w:val="Normal"/>
    <w:link w:val="SCCCounselNameChar"/>
    <w:rsid w:val="00962C82"/>
    <w:rPr>
      <w:i/>
    </w:rPr>
  </w:style>
  <w:style w:type="character" w:customStyle="1" w:styleId="SCCCounselNameChar">
    <w:name w:val="SCC.CounselName Char"/>
    <w:basedOn w:val="DefaultParagraphFont"/>
    <w:link w:val="SCCCounselName"/>
    <w:rsid w:val="00962C82"/>
    <w:rPr>
      <w:rFonts w:eastAsia="Times New Roman" w:cs="Times New Roman"/>
      <w:i/>
      <w:szCs w:val="20"/>
      <w:lang w:val="en-CA" w:eastAsia="en-CA"/>
    </w:rPr>
  </w:style>
  <w:style w:type="paragraph" w:customStyle="1" w:styleId="SCCCounselSeparator">
    <w:name w:val="SCC.CounselSeparator"/>
    <w:basedOn w:val="Normal"/>
    <w:next w:val="Normal"/>
    <w:link w:val="SCCCounselSeparatorChar"/>
    <w:rsid w:val="00962C82"/>
  </w:style>
  <w:style w:type="character" w:customStyle="1" w:styleId="SCCCounselSeparatorChar">
    <w:name w:val="SCC.CounselSeparator Char"/>
    <w:basedOn w:val="DefaultParagraphFont"/>
    <w:link w:val="SCCCounselSeparator"/>
    <w:rsid w:val="00962C82"/>
    <w:rPr>
      <w:rFonts w:eastAsia="Times New Roman" w:cs="Times New Roman"/>
      <w:szCs w:val="20"/>
      <w:lang w:val="en-CA" w:eastAsia="en-CA"/>
    </w:rPr>
  </w:style>
  <w:style w:type="paragraph" w:customStyle="1" w:styleId="SCCCounselPartyRole">
    <w:name w:val="SCC.CounselPartyRole"/>
    <w:basedOn w:val="Normal"/>
    <w:next w:val="Normal"/>
    <w:link w:val="SCCCounselPartyRoleChar"/>
    <w:rsid w:val="00962C82"/>
  </w:style>
  <w:style w:type="character" w:customStyle="1" w:styleId="SCCCounselPartyRoleChar">
    <w:name w:val="SCC.CounselPartyRole Char"/>
    <w:basedOn w:val="DefaultParagraphFont"/>
    <w:link w:val="SCCCounselPartyRole"/>
    <w:rsid w:val="00962C82"/>
    <w:rPr>
      <w:rFonts w:eastAsia="Times New Roman" w:cs="Times New Roman"/>
      <w:szCs w:val="20"/>
      <w:lang w:val="en-CA" w:eastAsia="en-CA"/>
    </w:rPr>
  </w:style>
  <w:style w:type="paragraph" w:customStyle="1" w:styleId="SCCBold">
    <w:name w:val="SCC.Bold"/>
    <w:basedOn w:val="Normal"/>
    <w:next w:val="Normal"/>
    <w:rsid w:val="005D2CFA"/>
    <w:rPr>
      <w:b/>
    </w:rPr>
  </w:style>
  <w:style w:type="paragraph" w:customStyle="1" w:styleId="SCCReasonsTitle">
    <w:name w:val="SCC.ReasonsTitle"/>
    <w:basedOn w:val="Normal"/>
    <w:next w:val="Normal"/>
    <w:link w:val="SCCReasonsTitleChar"/>
    <w:qFormat/>
    <w:rsid w:val="00076773"/>
    <w:rPr>
      <w:b/>
    </w:rPr>
  </w:style>
  <w:style w:type="character" w:customStyle="1" w:styleId="SCCReasonsTitleChar">
    <w:name w:val="SCC.ReasonsTitle Char"/>
    <w:basedOn w:val="DefaultParagraphFont"/>
    <w:link w:val="SCCReasonsTitle"/>
    <w:rsid w:val="001B27ED"/>
    <w:rPr>
      <w:b/>
      <w:lang w:val="en-CA"/>
    </w:rPr>
  </w:style>
  <w:style w:type="character" w:customStyle="1" w:styleId="SCCNormalDoubleSpacingChar">
    <w:name w:val="SCC.Normal.DoubleSpacing Char"/>
    <w:basedOn w:val="DefaultParagraphFont"/>
    <w:link w:val="SCCNormalDoubleSpacing"/>
    <w:locked/>
    <w:rsid w:val="00096A1E"/>
  </w:style>
  <w:style w:type="paragraph" w:customStyle="1" w:styleId="SCCNormalDoubleSpacing">
    <w:name w:val="SCC.Normal.DoubleSpacing"/>
    <w:basedOn w:val="Normal"/>
    <w:link w:val="SCCNormalDoubleSpacingChar"/>
    <w:rsid w:val="00096A1E"/>
    <w:pPr>
      <w:tabs>
        <w:tab w:val="left" w:pos="1168"/>
      </w:tabs>
      <w:spacing w:line="480" w:lineRule="auto"/>
      <w:jc w:val="both"/>
    </w:pPr>
    <w:rPr>
      <w:lang w:val="en-US"/>
    </w:rPr>
  </w:style>
  <w:style w:type="character" w:customStyle="1" w:styleId="SCCSystemYearChar">
    <w:name w:val="SCC.SystemYear Char"/>
    <w:basedOn w:val="DefaultParagraphFont"/>
    <w:link w:val="SCCSystemYear"/>
    <w:locked/>
    <w:rsid w:val="00096A1E"/>
    <w:rPr>
      <w:b/>
    </w:rPr>
  </w:style>
  <w:style w:type="paragraph" w:customStyle="1" w:styleId="SCCSystemYear">
    <w:name w:val="SCC.SystemYear"/>
    <w:basedOn w:val="Normal"/>
    <w:next w:val="Normal"/>
    <w:link w:val="SCCSystemYearChar"/>
    <w:rsid w:val="00096A1E"/>
    <w:rPr>
      <w:b/>
      <w:lang w:val="en-US"/>
    </w:rPr>
  </w:style>
  <w:style w:type="paragraph" w:customStyle="1" w:styleId="SCCLowerCourtNameLowercase">
    <w:name w:val="SCC.LowerCourtNameLowercase"/>
    <w:basedOn w:val="SCCNormalDoubleSpacing"/>
    <w:next w:val="SCCNormalDoubleSpacing"/>
    <w:rsid w:val="00096A1E"/>
    <w:rPr>
      <w:smallCaps/>
    </w:rPr>
  </w:style>
  <w:style w:type="character" w:customStyle="1" w:styleId="SCCLawFirmChar">
    <w:name w:val="SCC.LawFirm Char"/>
    <w:basedOn w:val="SCCNormalDoubleSpacingChar"/>
    <w:link w:val="SCCLawFirm"/>
    <w:locked/>
    <w:rsid w:val="00096A1E"/>
    <w:rPr>
      <w:i/>
    </w:rPr>
  </w:style>
  <w:style w:type="paragraph" w:customStyle="1" w:styleId="SCCLawFirm">
    <w:name w:val="SCC.LawFirm"/>
    <w:basedOn w:val="SCCNormalDoubleSpacing"/>
    <w:next w:val="SCCNormalDoubleSpacing"/>
    <w:link w:val="SCCLawFirmChar"/>
    <w:rsid w:val="00096A1E"/>
    <w:rPr>
      <w:i/>
    </w:rPr>
  </w:style>
  <w:style w:type="character" w:customStyle="1" w:styleId="SCCLsocLastPartyInRoleChar">
    <w:name w:val="SCC.Lsoc.LastPartyInRole Char"/>
    <w:basedOn w:val="DefaultParagraphFont"/>
    <w:link w:val="SCCLsocLastPartyInRole"/>
    <w:locked/>
    <w:rsid w:val="00096A1E"/>
    <w:rPr>
      <w:b/>
    </w:rPr>
  </w:style>
  <w:style w:type="paragraph" w:customStyle="1" w:styleId="SCCLsocLastPartyInRole">
    <w:name w:val="SCC.Lsoc.LastPartyInRole"/>
    <w:basedOn w:val="Normal"/>
    <w:next w:val="Normal"/>
    <w:link w:val="SCCLsocLastPartyInRoleChar"/>
    <w:qFormat/>
    <w:rsid w:val="00096A1E"/>
    <w:pPr>
      <w:tabs>
        <w:tab w:val="right" w:pos="8222"/>
      </w:tabs>
      <w:spacing w:after="720"/>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64424-286E-469D-B07B-F87285F66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2021-10-15T12:20:00Z</dcterms:created>
  <dcterms:modified xsi:type="dcterms:W3CDTF">2022-02-25T20:03:00Z</dcterms:modified>
</cp:coreProperties>
</file>