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9"/>
        <w:gridCol w:w="1561"/>
        <w:gridCol w:w="1557"/>
        <w:gridCol w:w="3827"/>
      </w:tblGrid>
      <w:tr w:rsidR="00EF72F1" w:rsidRPr="008F687C" w:rsidTr="009B58B8">
        <w:trPr>
          <w:trHeight w:val="2103"/>
        </w:trPr>
        <w:tc>
          <w:tcPr>
            <w:tcW w:w="5000" w:type="pct"/>
            <w:gridSpan w:val="4"/>
          </w:tcPr>
          <w:p w:rsidR="00EF72F1" w:rsidRPr="008F687C" w:rsidRDefault="00EF72F1" w:rsidP="001F3E0C">
            <w:pPr>
              <w:pStyle w:val="SCCBold"/>
              <w:jc w:val="center"/>
            </w:pPr>
            <w:r w:rsidRPr="008F687C">
              <w:rPr>
                <w:noProof/>
                <w:lang w:val="en-US"/>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Pr="008F687C" w:rsidRDefault="00EF72F1" w:rsidP="009764CA">
            <w:pPr>
              <w:spacing w:before="120" w:after="100" w:afterAutospacing="1"/>
              <w:jc w:val="center"/>
              <w:rPr>
                <w:rFonts w:eastAsia="Calibri"/>
              </w:rPr>
            </w:pPr>
            <w:r w:rsidRPr="008F687C">
              <w:rPr>
                <w:rFonts w:eastAsia="Calibri"/>
                <w:b/>
              </w:rPr>
              <w:t>SUPREME COURT OF CANADA</w:t>
            </w:r>
          </w:p>
        </w:tc>
      </w:tr>
      <w:tr w:rsidR="00EF72F1" w:rsidRPr="008F687C" w:rsidTr="008F687C">
        <w:tblPrEx>
          <w:tblCellMar>
            <w:top w:w="58" w:type="dxa"/>
            <w:left w:w="58" w:type="dxa"/>
            <w:bottom w:w="58" w:type="dxa"/>
            <w:right w:w="58" w:type="dxa"/>
          </w:tblCellMar>
        </w:tblPrEx>
        <w:trPr>
          <w:cantSplit/>
        </w:trPr>
        <w:tc>
          <w:tcPr>
            <w:tcW w:w="2078" w:type="pct"/>
            <w:gridSpan w:val="2"/>
          </w:tcPr>
          <w:p w:rsidR="00EF72F1" w:rsidRPr="008F687C" w:rsidRDefault="00EF72F1" w:rsidP="00FC2782">
            <w:pPr>
              <w:rPr>
                <w:b/>
                <w:smallCaps/>
              </w:rPr>
            </w:pPr>
          </w:p>
          <w:p w:rsidR="00EF72F1" w:rsidRPr="008F687C" w:rsidRDefault="00EF72F1" w:rsidP="00FC2782">
            <w:pPr>
              <w:rPr>
                <w:b/>
                <w:smallCaps/>
              </w:rPr>
            </w:pPr>
            <w:r w:rsidRPr="008F687C">
              <w:rPr>
                <w:b/>
                <w:smallCaps/>
              </w:rPr>
              <w:t>Citation:</w:t>
            </w:r>
            <w:r w:rsidRPr="008F687C">
              <w:t xml:space="preserve"> </w:t>
            </w:r>
            <w:r w:rsidR="00F46946" w:rsidRPr="008F687C">
              <w:t xml:space="preserve">R. </w:t>
            </w:r>
            <w:r w:rsidR="00F46946" w:rsidRPr="008F687C">
              <w:rPr>
                <w:i/>
              </w:rPr>
              <w:t xml:space="preserve">v. </w:t>
            </w:r>
            <w:r w:rsidR="00F46946" w:rsidRPr="008F687C">
              <w:t xml:space="preserve">Reilly, 2021 SCC </w:t>
            </w:r>
            <w:r w:rsidR="000001F1" w:rsidRPr="008F687C">
              <w:rPr>
                <w:rFonts w:ascii="Helvetica Neue" w:hAnsi="Helvetica Neue"/>
                <w:color w:val="333333"/>
                <w:shd w:val="clear" w:color="auto" w:fill="FFFFFF"/>
              </w:rPr>
              <w:t>38</w:t>
            </w:r>
          </w:p>
        </w:tc>
        <w:tc>
          <w:tcPr>
            <w:tcW w:w="845" w:type="pct"/>
          </w:tcPr>
          <w:p w:rsidR="00EF72F1" w:rsidRPr="008F687C" w:rsidRDefault="00EF72F1" w:rsidP="00FC2782"/>
        </w:tc>
        <w:tc>
          <w:tcPr>
            <w:tcW w:w="2077" w:type="pct"/>
          </w:tcPr>
          <w:p w:rsidR="00EF72F1" w:rsidRPr="008F687C" w:rsidRDefault="00EF72F1" w:rsidP="00451668">
            <w:pPr>
              <w:rPr>
                <w:b/>
                <w:smallCaps/>
              </w:rPr>
            </w:pPr>
          </w:p>
          <w:p w:rsidR="00EF72F1" w:rsidRPr="008F687C" w:rsidRDefault="00EF72F1" w:rsidP="00EA6DB9">
            <w:pPr>
              <w:jc w:val="both"/>
            </w:pPr>
            <w:r w:rsidRPr="008F687C">
              <w:rPr>
                <w:b/>
                <w:smallCaps/>
              </w:rPr>
              <w:t>Appeal Heard:</w:t>
            </w:r>
            <w:r w:rsidRPr="008F687C">
              <w:t xml:space="preserve"> </w:t>
            </w:r>
            <w:r w:rsidR="00F46946" w:rsidRPr="008F687C">
              <w:t>October 14, 2021</w:t>
            </w:r>
          </w:p>
          <w:p w:rsidR="00EF72F1" w:rsidRPr="008F687C" w:rsidRDefault="00EF72F1">
            <w:r w:rsidRPr="008F687C">
              <w:rPr>
                <w:b/>
                <w:smallCaps/>
              </w:rPr>
              <w:t>Judgment Rendered:</w:t>
            </w:r>
            <w:r w:rsidRPr="008F687C">
              <w:t xml:space="preserve"> </w:t>
            </w:r>
            <w:r w:rsidR="00F46946" w:rsidRPr="008F687C">
              <w:t>October 14, 2021</w:t>
            </w:r>
          </w:p>
          <w:p w:rsidR="00EF72F1" w:rsidRPr="008F687C" w:rsidRDefault="00EF72F1" w:rsidP="00540106">
            <w:r w:rsidRPr="008F687C">
              <w:rPr>
                <w:b/>
                <w:smallCaps/>
              </w:rPr>
              <w:t>Docket:</w:t>
            </w:r>
            <w:r w:rsidRPr="008F687C">
              <w:t xml:space="preserve"> </w:t>
            </w:r>
            <w:r w:rsidR="00F46946" w:rsidRPr="008F687C">
              <w:t>39531</w:t>
            </w:r>
          </w:p>
        </w:tc>
      </w:tr>
      <w:tr w:rsidR="00EF72F1" w:rsidRPr="008F687C" w:rsidTr="009B58B8">
        <w:tblPrEx>
          <w:tblCellMar>
            <w:top w:w="58" w:type="dxa"/>
            <w:left w:w="58" w:type="dxa"/>
            <w:bottom w:w="58" w:type="dxa"/>
            <w:right w:w="58" w:type="dxa"/>
          </w:tblCellMar>
        </w:tblPrEx>
        <w:trPr>
          <w:cantSplit/>
        </w:trPr>
        <w:tc>
          <w:tcPr>
            <w:tcW w:w="5000" w:type="pct"/>
            <w:gridSpan w:val="4"/>
          </w:tcPr>
          <w:p w:rsidR="00EF72F1" w:rsidRPr="008F687C" w:rsidRDefault="00EF72F1" w:rsidP="00EF72F1"/>
          <w:p w:rsidR="00A33C64" w:rsidRPr="008F687C" w:rsidRDefault="00C95DFF">
            <w:pPr>
              <w:pStyle w:val="SCCLsocPrefix"/>
            </w:pPr>
            <w:r w:rsidRPr="008F687C">
              <w:t>Between:</w:t>
            </w:r>
          </w:p>
          <w:p w:rsidR="00A94A4A" w:rsidRPr="008F687C" w:rsidRDefault="00A94A4A" w:rsidP="00A94A4A"/>
          <w:p w:rsidR="00A33C64" w:rsidRPr="008F687C" w:rsidRDefault="00F46946">
            <w:pPr>
              <w:pStyle w:val="SCCLsocParty"/>
            </w:pPr>
            <w:r w:rsidRPr="008F687C">
              <w:t>Her Majesty The Queen</w:t>
            </w:r>
          </w:p>
          <w:p w:rsidR="00A33C64" w:rsidRPr="008F687C" w:rsidRDefault="00C95DFF">
            <w:pPr>
              <w:pStyle w:val="SCCLsocPartyRole"/>
            </w:pPr>
            <w:r w:rsidRPr="008F687C">
              <w:t>Appellant</w:t>
            </w:r>
          </w:p>
          <w:p w:rsidR="00A33C64" w:rsidRPr="008F687C" w:rsidRDefault="00A33C64"/>
          <w:p w:rsidR="00A33C64" w:rsidRPr="008F687C" w:rsidRDefault="00F46946">
            <w:pPr>
              <w:pStyle w:val="SCCLsocVersus"/>
            </w:pPr>
            <w:r w:rsidRPr="008F687C">
              <w:t>and</w:t>
            </w:r>
          </w:p>
          <w:p w:rsidR="00A33C64" w:rsidRPr="008F687C" w:rsidRDefault="00A33C64"/>
          <w:p w:rsidR="00A33C64" w:rsidRPr="008F687C" w:rsidRDefault="00F46946">
            <w:pPr>
              <w:pStyle w:val="SCCLsocParty"/>
            </w:pPr>
            <w:r w:rsidRPr="008F687C">
              <w:rPr>
                <w:bCs/>
              </w:rPr>
              <w:t>Liam Reilly</w:t>
            </w:r>
          </w:p>
          <w:p w:rsidR="00A33C64" w:rsidRPr="008F687C" w:rsidRDefault="00C95DFF">
            <w:pPr>
              <w:pStyle w:val="SCCLsocPartyRole"/>
            </w:pPr>
            <w:r w:rsidRPr="008F687C">
              <w:t>Respondent</w:t>
            </w:r>
          </w:p>
          <w:p w:rsidR="00843369" w:rsidRPr="008F687C" w:rsidRDefault="00843369" w:rsidP="00EF72F1"/>
          <w:p w:rsidR="00EF72F1" w:rsidRPr="008F687C" w:rsidRDefault="00EF72F1" w:rsidP="00EF72F1"/>
          <w:p w:rsidR="00EF72F1" w:rsidRPr="008F687C" w:rsidRDefault="00EF72F1" w:rsidP="00EF72F1">
            <w:r w:rsidRPr="008F687C">
              <w:rPr>
                <w:b/>
                <w:smallCaps/>
              </w:rPr>
              <w:t>Coram:</w:t>
            </w:r>
            <w:r w:rsidRPr="008F687C">
              <w:t xml:space="preserve"> </w:t>
            </w:r>
            <w:r w:rsidR="006764F8" w:rsidRPr="008F687C">
              <w:rPr>
                <w:color w:val="000000"/>
                <w:lang w:val="en-US"/>
              </w:rPr>
              <w:t>Wagner C.J. and Moldaver, Karakatsanis, Côté, Brown, Rowe, Martin, Kasirer and Jamal JJ.</w:t>
            </w:r>
          </w:p>
          <w:p w:rsidR="00EF72F1" w:rsidRPr="008F687C" w:rsidRDefault="00EF72F1" w:rsidP="00451668">
            <w:pPr>
              <w:rPr>
                <w:b/>
                <w:smallCaps/>
              </w:rPr>
            </w:pPr>
          </w:p>
        </w:tc>
      </w:tr>
      <w:tr w:rsidR="004E69EC" w:rsidRPr="008F687C" w:rsidTr="002C1DA9">
        <w:tblPrEx>
          <w:tblCellMar>
            <w:top w:w="58" w:type="dxa"/>
            <w:left w:w="58" w:type="dxa"/>
            <w:bottom w:w="58" w:type="dxa"/>
            <w:right w:w="58" w:type="dxa"/>
          </w:tblCellMar>
        </w:tblPrEx>
        <w:trPr>
          <w:cantSplit/>
        </w:trPr>
        <w:tc>
          <w:tcPr>
            <w:tcW w:w="1231" w:type="pct"/>
          </w:tcPr>
          <w:p w:rsidR="00C95DFF" w:rsidRPr="008F687C" w:rsidRDefault="00C95DFF" w:rsidP="00C95DFF">
            <w:pPr>
              <w:rPr>
                <w:b/>
                <w:bCs/>
                <w:smallCaps/>
                <w:color w:val="000000"/>
              </w:rPr>
            </w:pPr>
            <w:r w:rsidRPr="008F687C">
              <w:rPr>
                <w:b/>
                <w:bCs/>
                <w:smallCaps/>
                <w:color w:val="000000"/>
              </w:rPr>
              <w:t>Unanimous Judgment Read By:</w:t>
            </w:r>
          </w:p>
          <w:p w:rsidR="004E69EC" w:rsidRPr="008F687C" w:rsidRDefault="00C95DFF" w:rsidP="001F7764">
            <w:r w:rsidRPr="008F687C">
              <w:rPr>
                <w:color w:val="000000"/>
              </w:rPr>
              <w:t>(para</w:t>
            </w:r>
            <w:r w:rsidR="001F7764" w:rsidRPr="008F687C">
              <w:rPr>
                <w:color w:val="000000"/>
              </w:rPr>
              <w:t>s</w:t>
            </w:r>
            <w:r w:rsidRPr="008F687C">
              <w:rPr>
                <w:color w:val="000000"/>
              </w:rPr>
              <w:t>. </w:t>
            </w:r>
            <w:r w:rsidR="001F7764" w:rsidRPr="008F687C">
              <w:rPr>
                <w:color w:val="000000"/>
              </w:rPr>
              <w:t>1 to 4</w:t>
            </w:r>
            <w:r w:rsidRPr="008F687C">
              <w:rPr>
                <w:color w:val="000000"/>
              </w:rPr>
              <w:t>)</w:t>
            </w:r>
          </w:p>
        </w:tc>
        <w:tc>
          <w:tcPr>
            <w:tcW w:w="3769" w:type="pct"/>
            <w:gridSpan w:val="3"/>
          </w:tcPr>
          <w:p w:rsidR="004E69EC" w:rsidRPr="008F687C" w:rsidRDefault="001F7764">
            <w:r w:rsidRPr="008F687C">
              <w:rPr>
                <w:color w:val="000000"/>
                <w:lang w:val="en-US"/>
              </w:rPr>
              <w:t>Moldaver J.</w:t>
            </w:r>
          </w:p>
        </w:tc>
      </w:tr>
      <w:tr w:rsidR="00C95DFF" w:rsidRPr="008F687C" w:rsidTr="008F687C">
        <w:tblPrEx>
          <w:tblCellMar>
            <w:top w:w="58" w:type="dxa"/>
            <w:left w:w="58" w:type="dxa"/>
            <w:bottom w:w="58" w:type="dxa"/>
            <w:right w:w="58" w:type="dxa"/>
          </w:tblCellMar>
        </w:tblPrEx>
        <w:trPr>
          <w:cantSplit/>
        </w:trPr>
        <w:tc>
          <w:tcPr>
            <w:tcW w:w="5000" w:type="pct"/>
            <w:gridSpan w:val="4"/>
          </w:tcPr>
          <w:p w:rsidR="00C95DFF" w:rsidRPr="008F687C" w:rsidRDefault="00C95DFF" w:rsidP="007D2516"/>
        </w:tc>
      </w:tr>
    </w:tbl>
    <w:p w:rsidR="00904937" w:rsidRPr="008F687C" w:rsidRDefault="00904937" w:rsidP="00076773">
      <w:pPr>
        <w:pStyle w:val="SCCBold"/>
        <w:rPr>
          <w:b w:val="0"/>
        </w:rPr>
      </w:pPr>
      <w:r w:rsidRPr="008F687C">
        <w:rPr>
          <w:smallCaps/>
        </w:rPr>
        <w:t>Note:</w:t>
      </w:r>
      <w:r w:rsidRPr="008F687C">
        <w:t xml:space="preserve"> </w:t>
      </w:r>
      <w:r w:rsidRPr="008F687C">
        <w:rPr>
          <w:b w:val="0"/>
        </w:rPr>
        <w:t>This do</w:t>
      </w:r>
      <w:r w:rsidR="009E7065" w:rsidRPr="008F687C">
        <w:rPr>
          <w:b w:val="0"/>
        </w:rPr>
        <w:t>c</w:t>
      </w:r>
      <w:r w:rsidRPr="008F687C">
        <w:rPr>
          <w:b w:val="0"/>
        </w:rPr>
        <w:t xml:space="preserve">ument is subject to editorial revision before its reproduction in final form in the </w:t>
      </w:r>
      <w:r w:rsidRPr="008F687C">
        <w:rPr>
          <w:b w:val="0"/>
          <w:i/>
        </w:rPr>
        <w:t>Canada Supreme Court Reports</w:t>
      </w:r>
      <w:r w:rsidRPr="008F687C">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RPr="008F687C" w:rsidTr="003375C9">
        <w:tc>
          <w:tcPr>
            <w:tcW w:w="1500" w:type="pct"/>
            <w:tcMar>
              <w:top w:w="284" w:type="dxa"/>
            </w:tcMar>
          </w:tcPr>
          <w:p w:rsidR="00087E50" w:rsidRPr="008F687C" w:rsidRDefault="00087E50" w:rsidP="003375C9">
            <w:pPr>
              <w:rPr>
                <w:rFonts w:eastAsia="Calibri"/>
              </w:rPr>
            </w:pPr>
          </w:p>
        </w:tc>
        <w:tc>
          <w:tcPr>
            <w:tcW w:w="2000" w:type="pct"/>
            <w:tcBorders>
              <w:bottom w:val="single" w:sz="4" w:space="0" w:color="auto"/>
            </w:tcBorders>
            <w:tcMar>
              <w:top w:w="284" w:type="dxa"/>
            </w:tcMar>
          </w:tcPr>
          <w:p w:rsidR="00087E50" w:rsidRPr="008F687C" w:rsidRDefault="00087E50" w:rsidP="003375C9">
            <w:pPr>
              <w:rPr>
                <w:rFonts w:eastAsia="Calibri"/>
              </w:rPr>
            </w:pPr>
          </w:p>
        </w:tc>
        <w:tc>
          <w:tcPr>
            <w:tcW w:w="1500" w:type="pct"/>
            <w:tcMar>
              <w:top w:w="284" w:type="dxa"/>
            </w:tcMar>
          </w:tcPr>
          <w:p w:rsidR="00087E50" w:rsidRPr="008F687C" w:rsidRDefault="00087E50" w:rsidP="003375C9">
            <w:pPr>
              <w:rPr>
                <w:rFonts w:eastAsia="Calibri"/>
              </w:rPr>
            </w:pPr>
          </w:p>
        </w:tc>
      </w:tr>
    </w:tbl>
    <w:p w:rsidR="008F687C" w:rsidRPr="008F687C" w:rsidRDefault="008F687C"/>
    <w:p w:rsidR="008F687C" w:rsidRPr="008F687C" w:rsidRDefault="008F687C" w:rsidP="008F687C">
      <w:r w:rsidRPr="008F687C">
        <w:br w:type="page"/>
      </w:r>
    </w:p>
    <w:p w:rsidR="008F687C" w:rsidRPr="008F687C" w:rsidRDefault="008F687C" w:rsidP="008F687C">
      <w:pPr>
        <w:pStyle w:val="SCCLsocLastPartyInRole"/>
        <w:rPr>
          <w:b w:val="0"/>
          <w:i/>
          <w:lang w:val="en-US"/>
        </w:rPr>
      </w:pPr>
      <w:r w:rsidRPr="008F687C">
        <w:rPr>
          <w:bCs/>
        </w:rPr>
        <w:t>Her Majesty The Queen</w:t>
      </w:r>
      <w:r w:rsidRPr="008F687C">
        <w:rPr>
          <w:lang w:val="en-US"/>
        </w:rPr>
        <w:tab/>
      </w:r>
      <w:r w:rsidRPr="008F687C">
        <w:rPr>
          <w:b w:val="0"/>
          <w:i/>
          <w:lang w:val="en-US"/>
        </w:rPr>
        <w:t>Appellant</w:t>
      </w:r>
    </w:p>
    <w:p w:rsidR="008F687C" w:rsidRPr="008F687C" w:rsidRDefault="008F687C" w:rsidP="008F687C">
      <w:pPr>
        <w:pStyle w:val="SCCLsocVersus"/>
        <w:spacing w:after="480" w:line="480" w:lineRule="auto"/>
        <w:jc w:val="left"/>
        <w:rPr>
          <w:i/>
        </w:rPr>
      </w:pPr>
      <w:r w:rsidRPr="008F687C">
        <w:rPr>
          <w:i/>
        </w:rPr>
        <w:t>v.</w:t>
      </w:r>
    </w:p>
    <w:p w:rsidR="008F687C" w:rsidRPr="008F687C" w:rsidRDefault="008F687C" w:rsidP="008F687C">
      <w:pPr>
        <w:pStyle w:val="SCCLsocLastPartyInRole"/>
      </w:pPr>
      <w:r w:rsidRPr="008F687C">
        <w:rPr>
          <w:bCs/>
        </w:rPr>
        <w:t>Liam Reilly</w:t>
      </w:r>
      <w:r w:rsidRPr="008F687C">
        <w:tab/>
      </w:r>
      <w:r w:rsidRPr="008F687C">
        <w:rPr>
          <w:b w:val="0"/>
          <w:i/>
        </w:rPr>
        <w:t>Respondent</w:t>
      </w:r>
    </w:p>
    <w:p w:rsidR="008F687C" w:rsidRPr="008F687C" w:rsidRDefault="008F687C" w:rsidP="008F687C">
      <w:pPr>
        <w:spacing w:after="720"/>
        <w:jc w:val="both"/>
        <w:rPr>
          <w:b/>
        </w:rPr>
      </w:pPr>
      <w:r w:rsidRPr="008F687C">
        <w:rPr>
          <w:b/>
        </w:rPr>
        <w:t xml:space="preserve">Indexed as: </w:t>
      </w:r>
      <w:r w:rsidRPr="008F687C">
        <w:rPr>
          <w:b/>
          <w:lang w:val="en-US"/>
        </w:rPr>
        <w:t xml:space="preserve">R. </w:t>
      </w:r>
      <w:r w:rsidRPr="008F687C">
        <w:rPr>
          <w:b/>
          <w:i/>
          <w:lang w:val="en-US"/>
        </w:rPr>
        <w:t>v.</w:t>
      </w:r>
      <w:r w:rsidRPr="008F687C">
        <w:rPr>
          <w:b/>
          <w:lang w:val="en-US"/>
        </w:rPr>
        <w:t xml:space="preserve"> </w:t>
      </w:r>
      <w:r w:rsidRPr="008F687C">
        <w:rPr>
          <w:b/>
        </w:rPr>
        <w:t>Reilly</w:t>
      </w:r>
    </w:p>
    <w:p w:rsidR="008F687C" w:rsidRPr="008F687C" w:rsidRDefault="008F687C" w:rsidP="008F687C">
      <w:pPr>
        <w:pStyle w:val="SCCSystemYear"/>
        <w:spacing w:after="720"/>
        <w:jc w:val="both"/>
      </w:pPr>
      <w:r w:rsidRPr="008F687C">
        <w:t xml:space="preserve">2021 SCC </w:t>
      </w:r>
      <w:r w:rsidRPr="008F687C">
        <w:rPr>
          <w:rFonts w:ascii="Helvetica Neue" w:hAnsi="Helvetica Neue"/>
          <w:color w:val="333333"/>
          <w:shd w:val="clear" w:color="auto" w:fill="FFFFFF"/>
        </w:rPr>
        <w:t>38</w:t>
      </w:r>
    </w:p>
    <w:p w:rsidR="008F687C" w:rsidRPr="008F687C" w:rsidRDefault="008F687C" w:rsidP="008F687C">
      <w:pPr>
        <w:spacing w:after="720"/>
        <w:jc w:val="both"/>
      </w:pPr>
      <w:r w:rsidRPr="008F687C">
        <w:t xml:space="preserve">File No.: </w:t>
      </w:r>
      <w:r w:rsidRPr="008F687C">
        <w:rPr>
          <w:color w:val="000000"/>
        </w:rPr>
        <w:t>39531</w:t>
      </w:r>
      <w:r w:rsidRPr="008F687C">
        <w:t>.</w:t>
      </w:r>
    </w:p>
    <w:p w:rsidR="008F687C" w:rsidRPr="008F687C" w:rsidRDefault="008F687C" w:rsidP="008F687C">
      <w:pPr>
        <w:spacing w:after="720"/>
        <w:jc w:val="both"/>
      </w:pPr>
      <w:r w:rsidRPr="008F687C">
        <w:rPr>
          <w:color w:val="000000"/>
        </w:rPr>
        <w:t>2021</w:t>
      </w:r>
      <w:r w:rsidRPr="008F687C">
        <w:t xml:space="preserve">: </w:t>
      </w:r>
      <w:r w:rsidRPr="008F687C">
        <w:rPr>
          <w:color w:val="000000"/>
        </w:rPr>
        <w:t>October 14</w:t>
      </w:r>
      <w:r w:rsidRPr="008F687C">
        <w:t>.</w:t>
      </w:r>
    </w:p>
    <w:p w:rsidR="008F687C" w:rsidRPr="008F687C" w:rsidRDefault="008F687C" w:rsidP="008F687C">
      <w:pPr>
        <w:spacing w:after="720"/>
        <w:jc w:val="both"/>
      </w:pPr>
      <w:r w:rsidRPr="008F687C">
        <w:t xml:space="preserve">Present: </w:t>
      </w:r>
      <w:r w:rsidRPr="008F687C">
        <w:rPr>
          <w:color w:val="000000"/>
        </w:rPr>
        <w:t>Wagner C.J. and Moldaver, Karakatsanis, Côté, Brown, Rowe, Martin, Kasirer and Jamal JJ.</w:t>
      </w:r>
    </w:p>
    <w:p w:rsidR="008F687C" w:rsidRPr="008F687C" w:rsidRDefault="008F687C" w:rsidP="008F687C">
      <w:pPr>
        <w:pStyle w:val="SCCLowerCourtNameLowercase"/>
        <w:spacing w:after="720" w:line="240" w:lineRule="auto"/>
      </w:pPr>
      <w:r w:rsidRPr="008F687C">
        <w:t xml:space="preserve">on appeal from the court of appeal for </w:t>
      </w:r>
      <w:r w:rsidRPr="008F687C">
        <w:rPr>
          <w:color w:val="000000"/>
        </w:rPr>
        <w:t>british columbia</w:t>
      </w:r>
    </w:p>
    <w:p w:rsidR="008F687C" w:rsidRPr="008F687C" w:rsidRDefault="008F687C" w:rsidP="008F687C">
      <w:pPr>
        <w:pStyle w:val="SCCNormalDoubleSpacing"/>
        <w:spacing w:after="480"/>
        <w:rPr>
          <w:i/>
        </w:rPr>
      </w:pPr>
      <w:r w:rsidRPr="008F687C">
        <w:tab/>
      </w:r>
      <w:r w:rsidRPr="008F687C">
        <w:rPr>
          <w:i/>
        </w:rPr>
        <w:t>Constitutional law — Charter of Rights — Search and seizure — Remedy — Exclusion of evidence — Police attending at accused’s residence and unlawfully entering through unlocked rear door to arrest him for robbery and firearms</w:t>
      </w:r>
      <w:r w:rsidRPr="008F687C">
        <w:rPr>
          <w:i/>
        </w:rPr>
        <w:noBreakHyphen/>
        <w:t>related offences — Police conducting clearing search and subsequently obtaining search warrant based in part on observations from clearing search — Trial judge recognizing police conduct breached Charter but holding that warrant valid and evidence admissible and convicting accused — Majority of Court of Appeal agreeing warrant valid but finding trial judge erred in treating Charter-compliant police conduct as mitigating Charter</w:t>
      </w:r>
      <w:r w:rsidRPr="008F687C">
        <w:rPr>
          <w:i/>
        </w:rPr>
        <w:noBreakHyphen/>
        <w:t>infringing conduct and in compartmentalizing analysis of factors to determine whether to exclude evidence — Majority excluding evidence, setting aside convictions and ordering new trial — Order for new trial upheld.</w:t>
      </w:r>
    </w:p>
    <w:p w:rsidR="008F687C" w:rsidRPr="008F687C" w:rsidRDefault="008F687C" w:rsidP="008F687C">
      <w:pPr>
        <w:pStyle w:val="SCCNormalDoubleSpacing"/>
        <w:widowControl w:val="0"/>
        <w:spacing w:after="720" w:line="240" w:lineRule="auto"/>
        <w:rPr>
          <w:b/>
          <w:bCs/>
          <w:color w:val="000000"/>
          <w:lang w:val="en-US"/>
        </w:rPr>
      </w:pPr>
      <w:r w:rsidRPr="008F687C">
        <w:rPr>
          <w:b/>
          <w:bCs/>
          <w:color w:val="000000"/>
          <w:lang w:val="en-US"/>
        </w:rPr>
        <w:t>Cases Cited</w:t>
      </w:r>
    </w:p>
    <w:p w:rsidR="008F687C" w:rsidRPr="008F687C" w:rsidRDefault="008F687C" w:rsidP="008F687C">
      <w:pPr>
        <w:pStyle w:val="SCCNormalDoubleSpacing"/>
        <w:widowControl w:val="0"/>
        <w:spacing w:after="720" w:line="240" w:lineRule="auto"/>
        <w:rPr>
          <w:color w:val="000000"/>
        </w:rPr>
      </w:pPr>
      <w:r w:rsidRPr="008F687C">
        <w:rPr>
          <w:b/>
          <w:bCs/>
          <w:color w:val="000000"/>
          <w:lang w:val="en-US"/>
        </w:rPr>
        <w:tab/>
      </w:r>
      <w:r w:rsidRPr="008F687C">
        <w:rPr>
          <w:b/>
        </w:rPr>
        <w:t>Referred to:</w:t>
      </w:r>
      <w:r w:rsidRPr="008F687C">
        <w:t xml:space="preserve"> </w:t>
      </w:r>
      <w:r w:rsidRPr="008F687C">
        <w:rPr>
          <w:i/>
          <w:iCs/>
          <w:color w:val="000000"/>
        </w:rPr>
        <w:t>R. v. Grant</w:t>
      </w:r>
      <w:r w:rsidRPr="008F687C">
        <w:rPr>
          <w:color w:val="000000"/>
        </w:rPr>
        <w:t>, 2009 SCC 32, [2009] 2 S.C.R. 353.</w:t>
      </w:r>
    </w:p>
    <w:p w:rsidR="008F687C" w:rsidRPr="008F687C" w:rsidRDefault="008F687C" w:rsidP="008F687C">
      <w:pPr>
        <w:pStyle w:val="SCCNormalDoubleSpacing"/>
        <w:widowControl w:val="0"/>
        <w:spacing w:after="720" w:line="240" w:lineRule="auto"/>
        <w:rPr>
          <w:b/>
        </w:rPr>
      </w:pPr>
      <w:r w:rsidRPr="008F687C">
        <w:rPr>
          <w:b/>
          <w:bCs/>
          <w:color w:val="000000"/>
        </w:rPr>
        <w:t>Statutes and Regulations Cited</w:t>
      </w:r>
    </w:p>
    <w:p w:rsidR="008F687C" w:rsidRPr="008F687C" w:rsidRDefault="008F687C" w:rsidP="008F687C">
      <w:pPr>
        <w:pStyle w:val="SCCNormalDoubleSpacing"/>
        <w:widowControl w:val="0"/>
        <w:spacing w:after="720" w:line="240" w:lineRule="auto"/>
        <w:rPr>
          <w:lang w:val="en-US"/>
        </w:rPr>
      </w:pPr>
      <w:r w:rsidRPr="008F687C">
        <w:rPr>
          <w:rFonts w:eastAsiaTheme="majorEastAsia"/>
          <w:i/>
          <w:iCs/>
          <w:color w:val="000000"/>
        </w:rPr>
        <w:t>Canadian Charter of Rights and Freedoms</w:t>
      </w:r>
      <w:r w:rsidRPr="008F687C">
        <w:rPr>
          <w:color w:val="000000"/>
          <w:lang w:val="en-US"/>
        </w:rPr>
        <w:t>, ss. </w:t>
      </w:r>
      <w:r w:rsidRPr="008F687C">
        <w:rPr>
          <w:color w:val="000000"/>
        </w:rPr>
        <w:t>8, 24(2)</w:t>
      </w:r>
      <w:r w:rsidRPr="008F687C">
        <w:rPr>
          <w:color w:val="000000"/>
          <w:lang w:val="en-US"/>
        </w:rPr>
        <w:t>.</w:t>
      </w:r>
    </w:p>
    <w:p w:rsidR="008F687C" w:rsidRPr="008F687C" w:rsidRDefault="008F687C" w:rsidP="008F687C">
      <w:pPr>
        <w:pStyle w:val="SCCNormalDoubleSpacing"/>
        <w:spacing w:after="480"/>
      </w:pPr>
      <w:r w:rsidRPr="008F687C">
        <w:rPr>
          <w:lang w:val="en-US"/>
        </w:rPr>
        <w:tab/>
      </w:r>
      <w:r w:rsidRPr="008F687C">
        <w:t xml:space="preserve">APPEAL from a judgment of the </w:t>
      </w:r>
      <w:r w:rsidRPr="008F687C">
        <w:rPr>
          <w:color w:val="000000"/>
        </w:rPr>
        <w:t>British Columbia</w:t>
      </w:r>
      <w:r w:rsidRPr="008F687C">
        <w:t xml:space="preserve"> Court of Appeal (Willcock, Fenlon and Griffin JJ.A.), </w:t>
      </w:r>
      <w:hyperlink r:id="rId9" w:history="1">
        <w:r w:rsidRPr="008F687C">
          <w:rPr>
            <w:rStyle w:val="Hyperlink"/>
          </w:rPr>
          <w:t>2020 BCCA 369</w:t>
        </w:r>
      </w:hyperlink>
      <w:r w:rsidRPr="008F687C">
        <w:rPr>
          <w:color w:val="000000"/>
        </w:rPr>
        <w:t xml:space="preserve">, 397 C.C.C. (3d) 219, 70 C.R. (7th) 175, [2020] B.C.J. No. 2095 (QL), 2020 CarswellBC 3250 (WL), </w:t>
      </w:r>
      <w:r w:rsidRPr="008F687C">
        <w:t>setting aside the convictions of the accused and ordering a new trial</w:t>
      </w:r>
      <w:r w:rsidRPr="008F687C">
        <w:rPr>
          <w:bCs/>
        </w:rPr>
        <w:t>. Appeal dismissed.</w:t>
      </w:r>
    </w:p>
    <w:p w:rsidR="008F687C" w:rsidRPr="008F687C" w:rsidRDefault="008F687C" w:rsidP="008F687C">
      <w:pPr>
        <w:pStyle w:val="SCCLawFirm"/>
        <w:spacing w:after="480"/>
        <w:rPr>
          <w:lang w:val="en-US"/>
        </w:rPr>
      </w:pPr>
      <w:r w:rsidRPr="008F687C">
        <w:rPr>
          <w:iCs/>
          <w:lang w:val="en-US"/>
        </w:rPr>
        <w:tab/>
      </w:r>
      <w:r w:rsidRPr="008F687C">
        <w:rPr>
          <w:iCs/>
        </w:rPr>
        <w:t>Mark K. Levitz</w:t>
      </w:r>
      <w:r w:rsidRPr="008F687C">
        <w:rPr>
          <w:i w:val="0"/>
          <w:lang w:val="en-US"/>
        </w:rPr>
        <w:t>, for the appellant.</w:t>
      </w:r>
    </w:p>
    <w:p w:rsidR="008F687C" w:rsidRPr="008F687C" w:rsidRDefault="008F687C" w:rsidP="008F687C">
      <w:pPr>
        <w:pStyle w:val="SCCLawFirm"/>
        <w:spacing w:after="480"/>
        <w:rPr>
          <w:lang w:val="en-US"/>
        </w:rPr>
      </w:pPr>
      <w:r w:rsidRPr="008F687C">
        <w:rPr>
          <w:iCs/>
          <w:lang w:val="en-US"/>
        </w:rPr>
        <w:tab/>
      </w:r>
      <w:r w:rsidRPr="008F687C">
        <w:rPr>
          <w:iCs/>
        </w:rPr>
        <w:t>William E. Jessop</w:t>
      </w:r>
      <w:r w:rsidRPr="008F687C">
        <w:rPr>
          <w:i w:val="0"/>
          <w:lang w:val="en-US"/>
        </w:rPr>
        <w:t>, for the respondent.</w:t>
      </w:r>
    </w:p>
    <w:p w:rsidR="008F687C" w:rsidRPr="008F687C" w:rsidRDefault="008F687C" w:rsidP="008F687C">
      <w:pPr>
        <w:pStyle w:val="SCCNormalDoubleSpacing"/>
        <w:spacing w:after="480"/>
        <w:rPr>
          <w:lang w:val="en-US"/>
        </w:rPr>
      </w:pPr>
      <w:r w:rsidRPr="008F687C">
        <w:rPr>
          <w:lang w:val="en-US"/>
        </w:rPr>
        <w:tab/>
      </w:r>
      <w:r w:rsidRPr="008F687C">
        <w:rPr>
          <w:color w:val="000000"/>
        </w:rPr>
        <w:t>The judgment of the Court was delivered orally by</w:t>
      </w:r>
    </w:p>
    <w:p w:rsidR="008F687C" w:rsidRPr="008F687C" w:rsidRDefault="008F687C" w:rsidP="008F687C">
      <w:pPr>
        <w:pStyle w:val="ParaNoNdepar-AltN"/>
      </w:pPr>
      <w:r w:rsidRPr="008F687C">
        <w:rPr>
          <w:smallCaps/>
        </w:rPr>
        <w:t>[1]</w:t>
      </w:r>
      <w:r w:rsidRPr="008F687C">
        <w:rPr>
          <w:smallCaps/>
        </w:rPr>
        <w:tab/>
      </w:r>
      <w:r w:rsidRPr="008F687C">
        <w:rPr>
          <w:smallCaps/>
          <w:color w:val="000000"/>
        </w:rPr>
        <w:t>Moldaver</w:t>
      </w:r>
      <w:r w:rsidRPr="008F687C">
        <w:rPr>
          <w:color w:val="000000"/>
        </w:rPr>
        <w:t xml:space="preserve"> </w:t>
      </w:r>
      <w:r w:rsidRPr="008F687C">
        <w:rPr>
          <w:smallCaps/>
          <w:color w:val="000000"/>
        </w:rPr>
        <w:t>J.</w:t>
      </w:r>
      <w:r w:rsidRPr="008F687C">
        <w:t xml:space="preserve"> — </w:t>
      </w:r>
      <w:r w:rsidRPr="008F687C">
        <w:rPr>
          <w:color w:val="000000"/>
        </w:rPr>
        <w:t xml:space="preserve">We would dismiss this appeal, substantially for the thorough reasons of Justice Griffin on behalf of the majority of the Court of Appeal. We agree that the trial judge erred in his analysis under </w:t>
      </w:r>
      <w:r w:rsidRPr="008F687C">
        <w:rPr>
          <w:rFonts w:eastAsiaTheme="majorEastAsia"/>
        </w:rPr>
        <w:t>s. 24(2)</w:t>
      </w:r>
      <w:r w:rsidRPr="008F687C">
        <w:rPr>
          <w:color w:val="000000"/>
        </w:rPr>
        <w:t xml:space="preserve"> of </w:t>
      </w:r>
      <w:r w:rsidRPr="008F687C">
        <w:rPr>
          <w:iCs/>
          <w:color w:val="000000"/>
        </w:rPr>
        <w:t>the</w:t>
      </w:r>
      <w:r w:rsidRPr="008F687C">
        <w:rPr>
          <w:i/>
          <w:iCs/>
          <w:color w:val="000000"/>
        </w:rPr>
        <w:t xml:space="preserve"> </w:t>
      </w:r>
      <w:r w:rsidRPr="008F687C">
        <w:rPr>
          <w:rFonts w:eastAsiaTheme="majorEastAsia"/>
          <w:i/>
          <w:iCs/>
          <w:color w:val="000000"/>
        </w:rPr>
        <w:t>Canadian Charter of Rights and Freedoms</w:t>
      </w:r>
      <w:r w:rsidRPr="008F687C">
        <w:rPr>
          <w:color w:val="000000"/>
        </w:rPr>
        <w:t xml:space="preserve"> by considering </w:t>
      </w:r>
      <w:r w:rsidRPr="008F687C">
        <w:rPr>
          <w:i/>
          <w:iCs/>
          <w:color w:val="000000"/>
        </w:rPr>
        <w:t>Charter</w:t>
      </w:r>
      <w:r w:rsidRPr="008F687C">
        <w:rPr>
          <w:color w:val="000000"/>
        </w:rPr>
        <w:noBreakHyphen/>
        <w:t>compliant police behaviour as mitigating (</w:t>
      </w:r>
      <w:r w:rsidRPr="008F687C">
        <w:t>2018 BCPC 362)</w:t>
      </w:r>
      <w:r w:rsidRPr="008F687C">
        <w:rPr>
          <w:color w:val="000000"/>
        </w:rPr>
        <w:t>.</w:t>
      </w:r>
    </w:p>
    <w:p w:rsidR="008F687C" w:rsidRPr="008F687C" w:rsidRDefault="008F687C" w:rsidP="008F687C">
      <w:pPr>
        <w:pStyle w:val="ParaNoNdepar-AltN"/>
        <w:rPr>
          <w:color w:val="000000"/>
        </w:rPr>
      </w:pPr>
      <w:r w:rsidRPr="008F687C">
        <w:t>[2]</w:t>
      </w:r>
      <w:r w:rsidRPr="008F687C">
        <w:tab/>
      </w:r>
      <w:r w:rsidRPr="008F687C">
        <w:rPr>
          <w:color w:val="000000"/>
        </w:rPr>
        <w:t xml:space="preserve">We also agree that the trial judge erred by improperly conducting the overall balancing — whether including the evidence would bring the administration of justice into disrepute — within the first two factors in </w:t>
      </w:r>
      <w:r w:rsidRPr="008F687C">
        <w:rPr>
          <w:i/>
          <w:iCs/>
          <w:color w:val="000000"/>
        </w:rPr>
        <w:t>R. v. Grant</w:t>
      </w:r>
      <w:r w:rsidRPr="008F687C">
        <w:rPr>
          <w:color w:val="000000"/>
        </w:rPr>
        <w:t xml:space="preserve">, 2009 SCC 32, [2009] 2 S.C.R. 353. The language of </w:t>
      </w:r>
      <w:r w:rsidRPr="008F687C">
        <w:rPr>
          <w:i/>
          <w:iCs/>
          <w:color w:val="000000"/>
        </w:rPr>
        <w:t xml:space="preserve">Grant </w:t>
      </w:r>
      <w:r w:rsidRPr="008F687C">
        <w:rPr>
          <w:color w:val="000000"/>
        </w:rPr>
        <w:t xml:space="preserve">is clear: this overall balancing occurs at the end (para. 85). Judges must first consider whether each of the three factors weigh in favour of inclusion or exclusion of the evidence before asking whether — having regard to all factors — inclusion of the evidence would bring the administration of justice into disrepute. Conducting overall balancing within the first two </w:t>
      </w:r>
      <w:r w:rsidRPr="008F687C">
        <w:rPr>
          <w:i/>
          <w:iCs/>
          <w:color w:val="000000"/>
        </w:rPr>
        <w:t xml:space="preserve">Grant </w:t>
      </w:r>
      <w:r w:rsidRPr="008F687C">
        <w:rPr>
          <w:color w:val="000000"/>
        </w:rPr>
        <w:t xml:space="preserve">factors waters down any exclusionary power these factors may have. This type of analysis undermines the purpose and application of </w:t>
      </w:r>
      <w:r w:rsidRPr="008F687C">
        <w:rPr>
          <w:rFonts w:eastAsiaTheme="majorEastAsia"/>
        </w:rPr>
        <w:t>s. 24(2)</w:t>
      </w:r>
      <w:r w:rsidRPr="008F687C">
        <w:rPr>
          <w:color w:val="000000"/>
        </w:rPr>
        <w:t>.</w:t>
      </w:r>
    </w:p>
    <w:p w:rsidR="008F687C" w:rsidRPr="008F687C" w:rsidRDefault="008F687C" w:rsidP="008F687C">
      <w:pPr>
        <w:pStyle w:val="ParaNoNdepar-AltN"/>
      </w:pPr>
      <w:r w:rsidRPr="008F687C">
        <w:t>[3]</w:t>
      </w:r>
      <w:r w:rsidRPr="008F687C">
        <w:tab/>
        <w:t xml:space="preserve">With respect, however, we are unable to agree with the majority of the Court of Appeal that the trial judge properly considered all relevant </w:t>
      </w:r>
      <w:r w:rsidRPr="008F687C">
        <w:rPr>
          <w:i/>
          <w:iCs/>
        </w:rPr>
        <w:t>Charter</w:t>
      </w:r>
      <w:r w:rsidRPr="008F687C">
        <w:noBreakHyphen/>
        <w:t xml:space="preserve">infringing state conduct under the first </w:t>
      </w:r>
      <w:r w:rsidRPr="008F687C">
        <w:rPr>
          <w:i/>
          <w:iCs/>
        </w:rPr>
        <w:t xml:space="preserve">Grant </w:t>
      </w:r>
      <w:r w:rsidRPr="008F687C">
        <w:t xml:space="preserve">factor. The trial judge considered the </w:t>
      </w:r>
      <w:r w:rsidRPr="008F687C">
        <w:rPr>
          <w:i/>
          <w:iCs/>
        </w:rPr>
        <w:t>Charter</w:t>
      </w:r>
      <w:r w:rsidRPr="008F687C">
        <w:t xml:space="preserve">-infringing state conduct related to only two of the three s. 8 breaches. Failing to consider state conduct that resulted in the third breach — the clearing search — was an error. Regardless of whether the third breach was caused by the first two breaches, and regardless of the fact that it was considered necessary in the wake of Constable Sinclair’s unlawful entry, it was nonetheless a breach of Mr. Reilly’s s. 8 </w:t>
      </w:r>
      <w:r w:rsidRPr="008F687C">
        <w:rPr>
          <w:i/>
          <w:iCs/>
        </w:rPr>
        <w:t>Charter</w:t>
      </w:r>
      <w:r w:rsidRPr="008F687C">
        <w:noBreakHyphen/>
        <w:t xml:space="preserve">protected rights and must be considered under the first </w:t>
      </w:r>
      <w:r w:rsidRPr="008F687C">
        <w:rPr>
          <w:i/>
          <w:iCs/>
        </w:rPr>
        <w:t xml:space="preserve">Grant </w:t>
      </w:r>
      <w:r w:rsidRPr="008F687C">
        <w:t xml:space="preserve">factor. Trial judges cannot choose which relevant </w:t>
      </w:r>
      <w:r w:rsidRPr="008F687C">
        <w:rPr>
          <w:i/>
          <w:iCs/>
        </w:rPr>
        <w:t>Charter</w:t>
      </w:r>
      <w:r w:rsidRPr="008F687C">
        <w:noBreakHyphen/>
        <w:t>infringing state conduct to consider.</w:t>
      </w:r>
    </w:p>
    <w:p w:rsidR="008F687C" w:rsidRPr="008F687C" w:rsidRDefault="008F687C" w:rsidP="008F687C">
      <w:pPr>
        <w:pStyle w:val="ParaNoNdepar-AltN"/>
      </w:pPr>
      <w:r w:rsidRPr="008F687C">
        <w:t>[4]</w:t>
      </w:r>
      <w:r w:rsidRPr="008F687C">
        <w:tab/>
      </w:r>
      <w:r w:rsidRPr="008F687C">
        <w:rPr>
          <w:color w:val="000000"/>
        </w:rPr>
        <w:t xml:space="preserve">The trial judge committed errors that required the majority of the Court of Appeal to conduct a fresh </w:t>
      </w:r>
      <w:r w:rsidRPr="008F687C">
        <w:rPr>
          <w:rFonts w:eastAsiaTheme="majorEastAsia"/>
        </w:rPr>
        <w:t xml:space="preserve">s. 24(2) </w:t>
      </w:r>
      <w:r w:rsidRPr="008F687C">
        <w:rPr>
          <w:color w:val="000000"/>
        </w:rPr>
        <w:t>analysis. In our view, we do not lack jurisdiction to consider alleged errors in the majority’s fresh analysis. We see no reason to interfere with their fresh analysis. Accordingly, we would dismiss the appeal and affirm the exclusion of evidence and the order for a new trial.</w:t>
      </w:r>
    </w:p>
    <w:p w:rsidR="008F687C" w:rsidRPr="008F687C" w:rsidRDefault="008F687C" w:rsidP="008F687C">
      <w:pPr>
        <w:pStyle w:val="SCCNormalDoubleSpacing"/>
        <w:spacing w:after="480"/>
        <w:rPr>
          <w:i/>
          <w:iCs/>
          <w:color w:val="000000"/>
        </w:rPr>
      </w:pPr>
      <w:r w:rsidRPr="008F687C">
        <w:rPr>
          <w:i/>
          <w:iCs/>
          <w:color w:val="000000"/>
        </w:rPr>
        <w:tab/>
        <w:t>Judgment accordingly.</w:t>
      </w:r>
    </w:p>
    <w:p w:rsidR="008F687C" w:rsidRPr="008F687C" w:rsidRDefault="008F687C" w:rsidP="008F687C">
      <w:pPr>
        <w:pStyle w:val="SCCLawFirm"/>
        <w:spacing w:after="480"/>
        <w:rPr>
          <w:i w:val="0"/>
          <w:lang w:val="en-US"/>
        </w:rPr>
      </w:pPr>
      <w:r w:rsidRPr="008F687C">
        <w:rPr>
          <w:lang w:val="en-US"/>
        </w:rPr>
        <w:tab/>
        <w:t>Solicitor for the appellant:</w:t>
      </w:r>
      <w:r w:rsidRPr="008F687C">
        <w:rPr>
          <w:bCs/>
          <w:szCs w:val="24"/>
          <w:lang w:val="en-US" w:eastAsia="en-US"/>
        </w:rPr>
        <w:t xml:space="preserve"> </w:t>
      </w:r>
      <w:r w:rsidRPr="008F687C">
        <w:rPr>
          <w:bCs/>
          <w:lang w:val="en-US"/>
        </w:rPr>
        <w:t>Attorney General of British Columbia</w:t>
      </w:r>
      <w:r w:rsidRPr="008F687C">
        <w:rPr>
          <w:iCs/>
          <w:lang w:val="en-US"/>
        </w:rPr>
        <w:t>, Vancouver</w:t>
      </w:r>
      <w:r w:rsidRPr="008F687C">
        <w:rPr>
          <w:lang w:val="en-US"/>
        </w:rPr>
        <w:t>.</w:t>
      </w:r>
    </w:p>
    <w:p w:rsidR="008F687C" w:rsidRPr="00231880" w:rsidRDefault="008F687C" w:rsidP="008F687C">
      <w:pPr>
        <w:pStyle w:val="SCCLawFirm"/>
        <w:spacing w:after="480"/>
        <w:rPr>
          <w:i w:val="0"/>
          <w:iCs/>
          <w:color w:val="000000"/>
          <w:lang w:val="en-US"/>
        </w:rPr>
      </w:pPr>
      <w:r w:rsidRPr="008F687C">
        <w:rPr>
          <w:lang w:val="en-US"/>
        </w:rPr>
        <w:tab/>
        <w:t xml:space="preserve">Solicitors for the respondent: </w:t>
      </w:r>
      <w:r w:rsidRPr="008F687C">
        <w:rPr>
          <w:bCs/>
          <w:iCs/>
        </w:rPr>
        <w:t>Jessop Criminal Law</w:t>
      </w:r>
      <w:r w:rsidRPr="008F687C">
        <w:rPr>
          <w:lang w:val="en-US"/>
        </w:rPr>
        <w:t xml:space="preserve">, </w:t>
      </w:r>
      <w:r w:rsidRPr="008F687C">
        <w:rPr>
          <w:iCs/>
          <w:lang w:val="en-US"/>
        </w:rPr>
        <w:t>Vancouver</w:t>
      </w:r>
      <w:r w:rsidRPr="008F687C">
        <w:rPr>
          <w:lang w:val="en-US"/>
        </w:rPr>
        <w:t>.</w:t>
      </w:r>
      <w:bookmarkStart w:id="0" w:name="_GoBack"/>
      <w:bookmarkEnd w:id="0"/>
    </w:p>
    <w:p w:rsidR="00904937" w:rsidRPr="008F687C" w:rsidRDefault="00904937">
      <w:pPr>
        <w:rPr>
          <w:lang w:val="en-US"/>
        </w:rPr>
      </w:pPr>
    </w:p>
    <w:sectPr w:rsidR="00904937" w:rsidRPr="008F687C" w:rsidSect="00F720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C6" w:rsidRDefault="008B2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C6" w:rsidRDefault="008B2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C6" w:rsidRDefault="008B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C6" w:rsidRDefault="008B2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C6" w:rsidRDefault="008B2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C6" w:rsidRDefault="008B2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01F1"/>
    <w:rsid w:val="00001315"/>
    <w:rsid w:val="0003087F"/>
    <w:rsid w:val="00076773"/>
    <w:rsid w:val="00087E50"/>
    <w:rsid w:val="001311DA"/>
    <w:rsid w:val="001412E4"/>
    <w:rsid w:val="001648D4"/>
    <w:rsid w:val="001B0985"/>
    <w:rsid w:val="001B27ED"/>
    <w:rsid w:val="001B299D"/>
    <w:rsid w:val="001D6B8C"/>
    <w:rsid w:val="001F1F83"/>
    <w:rsid w:val="001F3E0C"/>
    <w:rsid w:val="001F7764"/>
    <w:rsid w:val="00205C5C"/>
    <w:rsid w:val="00205C5D"/>
    <w:rsid w:val="00252460"/>
    <w:rsid w:val="00273D07"/>
    <w:rsid w:val="0028675F"/>
    <w:rsid w:val="002C1DA9"/>
    <w:rsid w:val="002C5A33"/>
    <w:rsid w:val="002D4FC9"/>
    <w:rsid w:val="00307011"/>
    <w:rsid w:val="00355967"/>
    <w:rsid w:val="00384384"/>
    <w:rsid w:val="003B2BE1"/>
    <w:rsid w:val="003B3C63"/>
    <w:rsid w:val="00451668"/>
    <w:rsid w:val="00460AFC"/>
    <w:rsid w:val="004E69EC"/>
    <w:rsid w:val="004F090E"/>
    <w:rsid w:val="00524C08"/>
    <w:rsid w:val="00540106"/>
    <w:rsid w:val="00564C88"/>
    <w:rsid w:val="00582136"/>
    <w:rsid w:val="005D2CFA"/>
    <w:rsid w:val="005D4801"/>
    <w:rsid w:val="0061259C"/>
    <w:rsid w:val="006764F8"/>
    <w:rsid w:val="006B210C"/>
    <w:rsid w:val="00701ABD"/>
    <w:rsid w:val="007740CA"/>
    <w:rsid w:val="007D2516"/>
    <w:rsid w:val="007F54B7"/>
    <w:rsid w:val="00815561"/>
    <w:rsid w:val="00842677"/>
    <w:rsid w:val="00843369"/>
    <w:rsid w:val="00852D4E"/>
    <w:rsid w:val="00880B14"/>
    <w:rsid w:val="008B25C6"/>
    <w:rsid w:val="008F687C"/>
    <w:rsid w:val="00904937"/>
    <w:rsid w:val="0093524C"/>
    <w:rsid w:val="00962C82"/>
    <w:rsid w:val="00996510"/>
    <w:rsid w:val="0099776C"/>
    <w:rsid w:val="009B58B8"/>
    <w:rsid w:val="009E1B85"/>
    <w:rsid w:val="009E7065"/>
    <w:rsid w:val="00A15427"/>
    <w:rsid w:val="00A33C64"/>
    <w:rsid w:val="00A51D10"/>
    <w:rsid w:val="00A57778"/>
    <w:rsid w:val="00A94A4A"/>
    <w:rsid w:val="00AB2201"/>
    <w:rsid w:val="00BC2DFD"/>
    <w:rsid w:val="00BD4217"/>
    <w:rsid w:val="00C003E6"/>
    <w:rsid w:val="00C95DFF"/>
    <w:rsid w:val="00CE17A0"/>
    <w:rsid w:val="00D030DA"/>
    <w:rsid w:val="00D76BDF"/>
    <w:rsid w:val="00DA7B22"/>
    <w:rsid w:val="00DD347F"/>
    <w:rsid w:val="00DF15D7"/>
    <w:rsid w:val="00E22DBA"/>
    <w:rsid w:val="00E356C7"/>
    <w:rsid w:val="00E5364D"/>
    <w:rsid w:val="00E54E6E"/>
    <w:rsid w:val="00E64FA7"/>
    <w:rsid w:val="00E770CB"/>
    <w:rsid w:val="00EA6DB9"/>
    <w:rsid w:val="00EF0E44"/>
    <w:rsid w:val="00EF72F1"/>
    <w:rsid w:val="00F36AF0"/>
    <w:rsid w:val="00F46946"/>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paragraph" w:customStyle="1" w:styleId="SCCNormalDoubleSpacing">
    <w:name w:val="SCC.Normal.DoubleSpacing"/>
    <w:basedOn w:val="Normal"/>
    <w:link w:val="SCCNormalDoubleSpacingChar"/>
    <w:rsid w:val="008F687C"/>
    <w:pPr>
      <w:tabs>
        <w:tab w:val="left" w:pos="1168"/>
      </w:tabs>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8F687C"/>
    <w:rPr>
      <w:rFonts w:eastAsia="Times New Roman" w:cs="Times New Roman"/>
      <w:szCs w:val="20"/>
      <w:lang w:val="en-CA" w:eastAsia="en-CA"/>
    </w:rPr>
  </w:style>
  <w:style w:type="paragraph" w:customStyle="1" w:styleId="SCCSystemYear">
    <w:name w:val="SCC.SystemYear"/>
    <w:basedOn w:val="Normal"/>
    <w:next w:val="Normal"/>
    <w:link w:val="SCCSystemYearChar"/>
    <w:rsid w:val="008F687C"/>
    <w:rPr>
      <w:rFonts w:eastAsia="Times New Roman" w:cs="Times New Roman"/>
      <w:b/>
      <w:szCs w:val="20"/>
      <w:lang w:eastAsia="en-CA"/>
    </w:rPr>
  </w:style>
  <w:style w:type="character" w:customStyle="1" w:styleId="SCCSystemYearChar">
    <w:name w:val="SCC.SystemYear Char"/>
    <w:basedOn w:val="DefaultParagraphFont"/>
    <w:link w:val="SCCSystemYear"/>
    <w:rsid w:val="008F687C"/>
    <w:rPr>
      <w:rFonts w:eastAsia="Times New Roman" w:cs="Times New Roman"/>
      <w:b/>
      <w:szCs w:val="20"/>
      <w:lang w:val="en-CA" w:eastAsia="en-CA"/>
    </w:rPr>
  </w:style>
  <w:style w:type="paragraph" w:customStyle="1" w:styleId="SCCLowerCourtNameLowercase">
    <w:name w:val="SCC.LowerCourtNameLowercase"/>
    <w:basedOn w:val="SCCNormalDoubleSpacing"/>
    <w:next w:val="SCCNormalDoubleSpacing"/>
    <w:rsid w:val="008F687C"/>
    <w:rPr>
      <w:smallCaps/>
    </w:rPr>
  </w:style>
  <w:style w:type="paragraph" w:customStyle="1" w:styleId="SCCLawFirm">
    <w:name w:val="SCC.LawFirm"/>
    <w:basedOn w:val="SCCNormalDoubleSpacing"/>
    <w:next w:val="SCCNormalDoubleSpacing"/>
    <w:link w:val="SCCLawFirmChar"/>
    <w:rsid w:val="008F687C"/>
    <w:rPr>
      <w:i/>
    </w:rPr>
  </w:style>
  <w:style w:type="character" w:customStyle="1" w:styleId="SCCLawFirmChar">
    <w:name w:val="SCC.LawFirm Char"/>
    <w:basedOn w:val="SCCNormalDoubleSpacingChar"/>
    <w:link w:val="SCCLawFirm"/>
    <w:rsid w:val="008F687C"/>
    <w:rPr>
      <w:rFonts w:eastAsia="Times New Roman" w:cs="Times New Roman"/>
      <w:i/>
      <w:szCs w:val="20"/>
      <w:lang w:val="en-CA" w:eastAsia="en-CA"/>
    </w:rPr>
  </w:style>
  <w:style w:type="paragraph" w:customStyle="1" w:styleId="SCCLsocLastPartyInRole">
    <w:name w:val="SCC.Lsoc.LastPartyInRole"/>
    <w:basedOn w:val="Normal"/>
    <w:next w:val="Normal"/>
    <w:link w:val="SCCLsocLastPartyInRoleChar"/>
    <w:qFormat/>
    <w:rsid w:val="008F687C"/>
    <w:pPr>
      <w:tabs>
        <w:tab w:val="right" w:pos="8222"/>
      </w:tabs>
      <w:spacing w:after="720"/>
    </w:pPr>
    <w:rPr>
      <w:rFonts w:eastAsia="Times New Roman" w:cs="Times New Roman"/>
      <w:b/>
      <w:szCs w:val="20"/>
      <w:lang w:eastAsia="en-CA"/>
    </w:rPr>
  </w:style>
  <w:style w:type="character" w:customStyle="1" w:styleId="SCCLsocLastPartyInRoleChar">
    <w:name w:val="SCC.Lsoc.LastPartyInRole Char"/>
    <w:basedOn w:val="SCCLsocPartyChar"/>
    <w:link w:val="SCCLsocLastPartyInRole"/>
    <w:rsid w:val="008F687C"/>
    <w:rPr>
      <w:rFonts w:eastAsia="Times New Roman" w:cs="Times New Roman"/>
      <w:b/>
      <w:szCs w:val="20"/>
      <w:lang w:val="en-CA" w:eastAsia="en-CA"/>
    </w:rPr>
  </w:style>
  <w:style w:type="character" w:styleId="Hyperlink">
    <w:name w:val="Hyperlink"/>
    <w:basedOn w:val="DefaultParagraphFont"/>
    <w:uiPriority w:val="99"/>
    <w:unhideWhenUsed/>
    <w:rsid w:val="008F687C"/>
    <w:rPr>
      <w:color w:val="660000"/>
      <w:u w:val="none"/>
    </w:rPr>
  </w:style>
  <w:style w:type="paragraph" w:customStyle="1" w:styleId="ParaNoNdepar-AltN">
    <w:name w:val="Para. No. / Nº de par. - Alt N"/>
    <w:link w:val="ParaNoNdepar-AltNChar"/>
    <w:qFormat/>
    <w:rsid w:val="008F687C"/>
    <w:pPr>
      <w:tabs>
        <w:tab w:val="left" w:pos="1166"/>
      </w:tabs>
      <w:spacing w:before="480" w:after="480" w:line="48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rsid w:val="008F687C"/>
    <w:rPr>
      <w:rFonts w:eastAsiaTheme="minorEastAsia"/>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ccourts.ca/jdb-txt/ca/20/03/2020BCCA0369cor1.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A79D-CF2B-4142-95C2-4BFE8308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2022-12-22T18:08:00Z</dcterms:created>
  <dcterms:modified xsi:type="dcterms:W3CDTF">2022-12-22T18:08:00Z</dcterms:modified>
</cp:coreProperties>
</file>