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1346AE" w:rsidRPr="001346AE" w14:paraId="0917F9F6" w14:textId="77777777" w:rsidTr="008C5D38">
        <w:trPr>
          <w:trHeight w:val="2103"/>
        </w:trPr>
        <w:tc>
          <w:tcPr>
            <w:tcW w:w="5000" w:type="pct"/>
            <w:gridSpan w:val="4"/>
          </w:tcPr>
          <w:p w14:paraId="19F36AB4" w14:textId="77777777" w:rsidR="001346AE" w:rsidRPr="001346AE" w:rsidRDefault="001346AE" w:rsidP="001346AE">
            <w:pPr>
              <w:jc w:val="center"/>
              <w:rPr>
                <w:b/>
              </w:rPr>
            </w:pPr>
            <w:r w:rsidRPr="001346AE">
              <w:rPr>
                <w:b/>
                <w:noProof/>
                <w:lang w:val="fr-CA" w:eastAsia="fr-CA"/>
              </w:rPr>
              <w:drawing>
                <wp:inline distT="0" distB="0" distL="0" distR="0" wp14:anchorId="181FF685" wp14:editId="1D40FDC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2A513982" w14:textId="77777777" w:rsidR="001346AE" w:rsidRPr="001346AE" w:rsidRDefault="001346AE" w:rsidP="001346AE">
            <w:pPr>
              <w:spacing w:before="120" w:after="100" w:afterAutospacing="1"/>
              <w:jc w:val="center"/>
            </w:pPr>
            <w:r w:rsidRPr="001346AE">
              <w:rPr>
                <w:b/>
              </w:rPr>
              <w:t>SUPREME COURT OF CANADA</w:t>
            </w:r>
          </w:p>
        </w:tc>
      </w:tr>
      <w:tr w:rsidR="001346AE" w:rsidRPr="001346AE" w14:paraId="1EF8CFC4" w14:textId="77777777" w:rsidTr="008C5D38">
        <w:tblPrEx>
          <w:tblCellMar>
            <w:top w:w="58" w:type="dxa"/>
            <w:left w:w="58" w:type="dxa"/>
            <w:bottom w:w="58" w:type="dxa"/>
            <w:right w:w="58" w:type="dxa"/>
          </w:tblCellMar>
        </w:tblPrEx>
        <w:trPr>
          <w:cantSplit/>
        </w:trPr>
        <w:tc>
          <w:tcPr>
            <w:tcW w:w="2078" w:type="pct"/>
            <w:gridSpan w:val="2"/>
          </w:tcPr>
          <w:p w14:paraId="77DCFBA6" w14:textId="77777777" w:rsidR="001346AE" w:rsidRPr="001346AE" w:rsidRDefault="001346AE" w:rsidP="001346AE">
            <w:pPr>
              <w:rPr>
                <w:b/>
                <w:smallCaps/>
                <w:lang w:val="fr-CA"/>
              </w:rPr>
            </w:pPr>
          </w:p>
          <w:p w14:paraId="73AF12BA" w14:textId="77777777" w:rsidR="001346AE" w:rsidRPr="001346AE" w:rsidRDefault="001346AE" w:rsidP="001346AE">
            <w:pPr>
              <w:rPr>
                <w:b/>
                <w:smallCaps/>
                <w:lang w:val="fr-CA"/>
              </w:rPr>
            </w:pPr>
            <w:r w:rsidRPr="001346AE">
              <w:rPr>
                <w:b/>
                <w:smallCaps/>
                <w:lang w:val="fr-CA"/>
              </w:rPr>
              <w:t>Citation:</w:t>
            </w:r>
            <w:r w:rsidRPr="001346AE">
              <w:rPr>
                <w:lang w:val="fr-CA"/>
              </w:rPr>
              <w:t xml:space="preserve"> Canada </w:t>
            </w:r>
            <w:r w:rsidRPr="001346AE">
              <w:rPr>
                <w:i/>
                <w:lang w:val="fr-CA"/>
              </w:rPr>
              <w:t>v.</w:t>
            </w:r>
            <w:r w:rsidRPr="001346AE">
              <w:rPr>
                <w:lang w:val="fr-CA"/>
              </w:rPr>
              <w:t xml:space="preserve"> Alta Energy Luxembourg S.A.R.L., </w:t>
            </w:r>
            <w:r w:rsidRPr="001346AE">
              <w:t>2021 SCC 49</w:t>
            </w:r>
          </w:p>
        </w:tc>
        <w:tc>
          <w:tcPr>
            <w:tcW w:w="966" w:type="pct"/>
          </w:tcPr>
          <w:p w14:paraId="1E6E5A7D" w14:textId="77777777" w:rsidR="001346AE" w:rsidRPr="001346AE" w:rsidRDefault="001346AE" w:rsidP="001346AE">
            <w:pPr>
              <w:rPr>
                <w:lang w:val="fr-CA"/>
              </w:rPr>
            </w:pPr>
          </w:p>
        </w:tc>
        <w:tc>
          <w:tcPr>
            <w:tcW w:w="1956" w:type="pct"/>
          </w:tcPr>
          <w:p w14:paraId="0A923D10" w14:textId="77777777" w:rsidR="001346AE" w:rsidRPr="001346AE" w:rsidRDefault="001346AE" w:rsidP="001346AE">
            <w:pPr>
              <w:rPr>
                <w:b/>
                <w:smallCaps/>
              </w:rPr>
            </w:pPr>
          </w:p>
          <w:p w14:paraId="273D4583" w14:textId="77777777" w:rsidR="001346AE" w:rsidRPr="001346AE" w:rsidRDefault="001346AE" w:rsidP="001346AE">
            <w:pPr>
              <w:jc w:val="both"/>
            </w:pPr>
            <w:r w:rsidRPr="001346AE">
              <w:rPr>
                <w:b/>
                <w:smallCaps/>
              </w:rPr>
              <w:t>Appeal Heard:</w:t>
            </w:r>
            <w:r w:rsidRPr="001346AE">
              <w:t xml:space="preserve"> March 19, 2021</w:t>
            </w:r>
          </w:p>
          <w:p w14:paraId="74A07CFE" w14:textId="77777777" w:rsidR="001346AE" w:rsidRPr="001346AE" w:rsidRDefault="001346AE" w:rsidP="001346AE">
            <w:r w:rsidRPr="001346AE">
              <w:rPr>
                <w:b/>
                <w:smallCaps/>
              </w:rPr>
              <w:t>Judgment Rendered:</w:t>
            </w:r>
            <w:r w:rsidRPr="001346AE">
              <w:t xml:space="preserve"> November 26, 2021</w:t>
            </w:r>
          </w:p>
          <w:p w14:paraId="4BE80446" w14:textId="77777777" w:rsidR="001346AE" w:rsidRPr="001346AE" w:rsidRDefault="001346AE" w:rsidP="001346AE">
            <w:r w:rsidRPr="001346AE">
              <w:rPr>
                <w:b/>
                <w:smallCaps/>
              </w:rPr>
              <w:t>Docket:</w:t>
            </w:r>
            <w:r w:rsidRPr="001346AE">
              <w:t xml:space="preserve"> 39113</w:t>
            </w:r>
          </w:p>
        </w:tc>
      </w:tr>
      <w:tr w:rsidR="001346AE" w:rsidRPr="001346AE" w14:paraId="27A3B6A1" w14:textId="77777777" w:rsidTr="008C5D38">
        <w:tblPrEx>
          <w:tblCellMar>
            <w:top w:w="58" w:type="dxa"/>
            <w:left w:w="58" w:type="dxa"/>
            <w:bottom w:w="58" w:type="dxa"/>
            <w:right w:w="58" w:type="dxa"/>
          </w:tblCellMar>
        </w:tblPrEx>
        <w:trPr>
          <w:cantSplit/>
        </w:trPr>
        <w:tc>
          <w:tcPr>
            <w:tcW w:w="5000" w:type="pct"/>
            <w:gridSpan w:val="4"/>
          </w:tcPr>
          <w:p w14:paraId="4A475FFA" w14:textId="77777777" w:rsidR="001346AE" w:rsidRPr="001346AE" w:rsidRDefault="001346AE" w:rsidP="001346AE"/>
          <w:p w14:paraId="2F39E87E" w14:textId="77777777" w:rsidR="001346AE" w:rsidRPr="001346AE" w:rsidRDefault="001346AE" w:rsidP="001346AE">
            <w:pPr>
              <w:rPr>
                <w:b/>
                <w:smallCaps/>
              </w:rPr>
            </w:pPr>
            <w:r w:rsidRPr="001346AE">
              <w:rPr>
                <w:b/>
                <w:smallCaps/>
              </w:rPr>
              <w:t>Between:</w:t>
            </w:r>
          </w:p>
          <w:p w14:paraId="5B98E81D" w14:textId="77777777" w:rsidR="001346AE" w:rsidRPr="001346AE" w:rsidRDefault="001346AE" w:rsidP="001346AE"/>
          <w:p w14:paraId="140D7F2C" w14:textId="77777777" w:rsidR="001346AE" w:rsidRPr="001346AE" w:rsidRDefault="001346AE" w:rsidP="001346AE">
            <w:pPr>
              <w:jc w:val="center"/>
              <w:rPr>
                <w:b/>
              </w:rPr>
            </w:pPr>
            <w:r w:rsidRPr="001346AE">
              <w:rPr>
                <w:b/>
              </w:rPr>
              <w:t>Her Majesty The Queen</w:t>
            </w:r>
          </w:p>
          <w:p w14:paraId="64D47E45" w14:textId="77777777" w:rsidR="001346AE" w:rsidRPr="001346AE" w:rsidRDefault="001346AE" w:rsidP="001346AE">
            <w:pPr>
              <w:jc w:val="center"/>
            </w:pPr>
            <w:r w:rsidRPr="001346AE">
              <w:t>Appellant</w:t>
            </w:r>
          </w:p>
          <w:p w14:paraId="46FCFB40" w14:textId="77777777" w:rsidR="001346AE" w:rsidRPr="001346AE" w:rsidRDefault="001346AE" w:rsidP="001346AE"/>
          <w:p w14:paraId="723FAC73" w14:textId="77777777" w:rsidR="001346AE" w:rsidRPr="001346AE" w:rsidRDefault="001346AE" w:rsidP="001346AE">
            <w:pPr>
              <w:jc w:val="center"/>
            </w:pPr>
            <w:r w:rsidRPr="001346AE">
              <w:t>and</w:t>
            </w:r>
          </w:p>
          <w:p w14:paraId="0FC7AEB1" w14:textId="77777777" w:rsidR="001346AE" w:rsidRPr="001346AE" w:rsidRDefault="001346AE" w:rsidP="001346AE"/>
          <w:p w14:paraId="7A8579F7" w14:textId="77777777" w:rsidR="001346AE" w:rsidRPr="001346AE" w:rsidRDefault="001346AE" w:rsidP="001346AE">
            <w:pPr>
              <w:jc w:val="center"/>
              <w:rPr>
                <w:b/>
              </w:rPr>
            </w:pPr>
            <w:r w:rsidRPr="001346AE">
              <w:rPr>
                <w:b/>
              </w:rPr>
              <w:t>Alta Energy Luxembourg S.A.R.L.</w:t>
            </w:r>
          </w:p>
          <w:p w14:paraId="6DA4E560" w14:textId="77777777" w:rsidR="001346AE" w:rsidRPr="001346AE" w:rsidRDefault="001346AE" w:rsidP="001346AE">
            <w:pPr>
              <w:jc w:val="center"/>
            </w:pPr>
            <w:r w:rsidRPr="001346AE">
              <w:t>Respondent</w:t>
            </w:r>
          </w:p>
          <w:p w14:paraId="6A007C66" w14:textId="77777777" w:rsidR="001346AE" w:rsidRPr="001346AE" w:rsidRDefault="001346AE" w:rsidP="001346AE"/>
          <w:p w14:paraId="2FB13DE1" w14:textId="77777777" w:rsidR="001346AE" w:rsidRPr="001346AE" w:rsidRDefault="001346AE" w:rsidP="001346AE"/>
          <w:p w14:paraId="3D9FBF00" w14:textId="77777777" w:rsidR="001346AE" w:rsidRPr="001346AE" w:rsidRDefault="001346AE" w:rsidP="001346AE">
            <w:r w:rsidRPr="001346AE">
              <w:rPr>
                <w:b/>
                <w:smallCaps/>
              </w:rPr>
              <w:t>Coram:</w:t>
            </w:r>
            <w:r w:rsidRPr="001346AE">
              <w:t xml:space="preserve"> Wagner C.J. and Abella, Moldaver, Karakatsanis, Côté, Brown, Rowe, Martin and Kasirer JJ.</w:t>
            </w:r>
          </w:p>
          <w:p w14:paraId="346F29CF" w14:textId="77777777" w:rsidR="001346AE" w:rsidRPr="001346AE" w:rsidRDefault="001346AE" w:rsidP="001346AE">
            <w:pPr>
              <w:rPr>
                <w:b/>
                <w:smallCaps/>
              </w:rPr>
            </w:pPr>
          </w:p>
        </w:tc>
      </w:tr>
      <w:tr w:rsidR="001346AE" w:rsidRPr="001346AE" w14:paraId="34B0C9D0" w14:textId="77777777" w:rsidTr="008C5D38">
        <w:tblPrEx>
          <w:tblCellMar>
            <w:top w:w="58" w:type="dxa"/>
            <w:left w:w="58" w:type="dxa"/>
            <w:bottom w:w="58" w:type="dxa"/>
            <w:right w:w="58" w:type="dxa"/>
          </w:tblCellMar>
        </w:tblPrEx>
        <w:trPr>
          <w:cantSplit/>
        </w:trPr>
        <w:tc>
          <w:tcPr>
            <w:tcW w:w="1231" w:type="pct"/>
          </w:tcPr>
          <w:p w14:paraId="4EA1FC74" w14:textId="77777777" w:rsidR="001346AE" w:rsidRPr="001346AE" w:rsidRDefault="001346AE" w:rsidP="001346AE">
            <w:pPr>
              <w:rPr>
                <w:smallCaps/>
              </w:rPr>
            </w:pPr>
            <w:r w:rsidRPr="001346AE">
              <w:rPr>
                <w:b/>
                <w:smallCaps/>
              </w:rPr>
              <w:t>Reasons For Judgment:</w:t>
            </w:r>
            <w:r w:rsidRPr="001346AE">
              <w:rPr>
                <w:smallCaps/>
              </w:rPr>
              <w:t xml:space="preserve"> </w:t>
            </w:r>
          </w:p>
          <w:p w14:paraId="375ED04C" w14:textId="77777777" w:rsidR="001346AE" w:rsidRPr="001346AE" w:rsidRDefault="001346AE" w:rsidP="001346AE">
            <w:r w:rsidRPr="001346AE">
              <w:t>(paras. </w:t>
            </w:r>
            <w:r w:rsidRPr="001851DC">
              <w:t xml:space="preserve">1 to </w:t>
            </w:r>
            <w:r w:rsidRPr="001851DC">
              <w:rPr>
                <w:iCs/>
                <w:color w:val="000000" w:themeColor="text1"/>
                <w:szCs w:val="22"/>
                <w:lang w:bidi="en-US"/>
              </w:rPr>
              <w:t>97</w:t>
            </w:r>
            <w:r w:rsidRPr="001346AE">
              <w:t>)</w:t>
            </w:r>
          </w:p>
        </w:tc>
        <w:tc>
          <w:tcPr>
            <w:tcW w:w="3769" w:type="pct"/>
            <w:gridSpan w:val="3"/>
          </w:tcPr>
          <w:p w14:paraId="4B69CB80" w14:textId="77777777" w:rsidR="001346AE" w:rsidRPr="001346AE" w:rsidRDefault="001346AE" w:rsidP="001346AE">
            <w:r w:rsidRPr="001346AE">
              <w:t>Côté J. (Abella, Moldaver, Karakatsanis, Brown and Kasirer JJ. concurring)</w:t>
            </w:r>
          </w:p>
        </w:tc>
      </w:tr>
      <w:tr w:rsidR="001346AE" w:rsidRPr="001346AE" w14:paraId="46E86F24" w14:textId="77777777" w:rsidTr="008C5D38">
        <w:tblPrEx>
          <w:tblCellMar>
            <w:top w:w="58" w:type="dxa"/>
            <w:left w:w="58" w:type="dxa"/>
            <w:bottom w:w="58" w:type="dxa"/>
            <w:right w:w="58" w:type="dxa"/>
          </w:tblCellMar>
        </w:tblPrEx>
        <w:trPr>
          <w:cantSplit/>
        </w:trPr>
        <w:tc>
          <w:tcPr>
            <w:tcW w:w="1231" w:type="pct"/>
          </w:tcPr>
          <w:p w14:paraId="7D3B0202" w14:textId="77777777" w:rsidR="001346AE" w:rsidRPr="001346AE" w:rsidRDefault="001346AE" w:rsidP="001346AE"/>
        </w:tc>
        <w:tc>
          <w:tcPr>
            <w:tcW w:w="3769" w:type="pct"/>
            <w:gridSpan w:val="3"/>
          </w:tcPr>
          <w:p w14:paraId="5BC8F193" w14:textId="77777777" w:rsidR="001346AE" w:rsidRPr="001346AE" w:rsidRDefault="001346AE" w:rsidP="001346AE"/>
        </w:tc>
      </w:tr>
      <w:tr w:rsidR="001346AE" w:rsidRPr="001346AE" w14:paraId="0EBB59BF" w14:textId="77777777" w:rsidTr="008C5D38">
        <w:tblPrEx>
          <w:tblCellMar>
            <w:top w:w="58" w:type="dxa"/>
            <w:left w:w="58" w:type="dxa"/>
            <w:bottom w:w="58" w:type="dxa"/>
            <w:right w:w="58" w:type="dxa"/>
          </w:tblCellMar>
        </w:tblPrEx>
        <w:trPr>
          <w:cantSplit/>
        </w:trPr>
        <w:tc>
          <w:tcPr>
            <w:tcW w:w="1231" w:type="pct"/>
          </w:tcPr>
          <w:p w14:paraId="5DFC90A4" w14:textId="77777777" w:rsidR="001346AE" w:rsidRPr="001346AE" w:rsidRDefault="001346AE" w:rsidP="001346AE">
            <w:pPr>
              <w:rPr>
                <w:smallCaps/>
              </w:rPr>
            </w:pPr>
            <w:r w:rsidRPr="001346AE">
              <w:rPr>
                <w:b/>
                <w:smallCaps/>
              </w:rPr>
              <w:t>Joint Dissenting Reasons:</w:t>
            </w:r>
            <w:r w:rsidRPr="001346AE">
              <w:rPr>
                <w:smallCaps/>
              </w:rPr>
              <w:t xml:space="preserve"> </w:t>
            </w:r>
          </w:p>
          <w:p w14:paraId="3D45D83E" w14:textId="77777777" w:rsidR="001346AE" w:rsidRPr="001346AE" w:rsidRDefault="001346AE" w:rsidP="001346AE">
            <w:pPr>
              <w:rPr>
                <w:smallCaps/>
              </w:rPr>
            </w:pPr>
            <w:r w:rsidRPr="001346AE">
              <w:t>(paras</w:t>
            </w:r>
            <w:r w:rsidRPr="001851DC">
              <w:t>. </w:t>
            </w:r>
            <w:r w:rsidRPr="001851DC">
              <w:rPr>
                <w:iCs/>
                <w:color w:val="000000" w:themeColor="text1"/>
                <w:szCs w:val="22"/>
                <w:lang w:bidi="en-US"/>
              </w:rPr>
              <w:t xml:space="preserve">98 </w:t>
            </w:r>
            <w:r w:rsidRPr="001851DC">
              <w:t xml:space="preserve">to </w:t>
            </w:r>
            <w:r w:rsidRPr="001851DC">
              <w:rPr>
                <w:iCs/>
                <w:color w:val="000000" w:themeColor="text1"/>
                <w:szCs w:val="22"/>
                <w:lang w:bidi="en-US"/>
              </w:rPr>
              <w:t>189</w:t>
            </w:r>
            <w:r w:rsidRPr="001346AE">
              <w:t>)</w:t>
            </w:r>
          </w:p>
        </w:tc>
        <w:tc>
          <w:tcPr>
            <w:tcW w:w="3769" w:type="pct"/>
            <w:gridSpan w:val="3"/>
          </w:tcPr>
          <w:p w14:paraId="3B85953F" w14:textId="77777777" w:rsidR="001346AE" w:rsidRPr="001346AE" w:rsidRDefault="001346AE" w:rsidP="001346AE">
            <w:r w:rsidRPr="001346AE">
              <w:t>Rowe and Martin JJ. (Wagner C.J. concurring)</w:t>
            </w:r>
          </w:p>
        </w:tc>
      </w:tr>
    </w:tbl>
    <w:p w14:paraId="446EAF48" w14:textId="77777777" w:rsidR="001346AE" w:rsidRPr="001346AE" w:rsidRDefault="001346AE" w:rsidP="001346AE">
      <w:pPr>
        <w:rPr>
          <w:rFonts w:eastAsiaTheme="minorHAnsi" w:cstheme="minorBidi"/>
          <w:szCs w:val="24"/>
          <w:lang w:eastAsia="en-US"/>
        </w:rPr>
      </w:pPr>
    </w:p>
    <w:p w14:paraId="65472E27" w14:textId="77777777" w:rsidR="001346AE" w:rsidRPr="001346AE" w:rsidRDefault="001346AE" w:rsidP="001346AE">
      <w:pPr>
        <w:rPr>
          <w:rFonts w:eastAsiaTheme="minorHAnsi" w:cstheme="minorBidi"/>
          <w:szCs w:val="24"/>
          <w:lang w:eastAsia="en-US"/>
        </w:rPr>
      </w:pPr>
    </w:p>
    <w:p w14:paraId="76C27591" w14:textId="77777777" w:rsidR="001346AE" w:rsidRPr="001346AE" w:rsidRDefault="001346AE" w:rsidP="001346AE">
      <w:pPr>
        <w:rPr>
          <w:rFonts w:eastAsiaTheme="minorHAnsi" w:cstheme="minorBidi"/>
          <w:szCs w:val="24"/>
          <w:lang w:eastAsia="en-US"/>
        </w:rPr>
      </w:pPr>
    </w:p>
    <w:p w14:paraId="1D252EFE" w14:textId="77777777" w:rsidR="001346AE" w:rsidRPr="001346AE" w:rsidRDefault="001346AE" w:rsidP="001346AE">
      <w:pPr>
        <w:rPr>
          <w:rFonts w:eastAsiaTheme="minorHAnsi" w:cstheme="minorBidi"/>
          <w:szCs w:val="24"/>
          <w:lang w:eastAsia="en-US"/>
        </w:rPr>
      </w:pPr>
    </w:p>
    <w:p w14:paraId="36888EBB" w14:textId="77777777" w:rsidR="001346AE" w:rsidRPr="001346AE" w:rsidRDefault="001346AE" w:rsidP="001346AE">
      <w:pPr>
        <w:rPr>
          <w:rFonts w:eastAsiaTheme="minorHAnsi" w:cstheme="minorBidi"/>
          <w:szCs w:val="24"/>
          <w:lang w:eastAsia="en-US"/>
        </w:rPr>
      </w:pPr>
    </w:p>
    <w:p w14:paraId="2FD86836" w14:textId="77777777" w:rsidR="001346AE" w:rsidRPr="001346AE" w:rsidRDefault="001346AE" w:rsidP="001346AE">
      <w:pPr>
        <w:rPr>
          <w:rFonts w:eastAsiaTheme="minorHAnsi" w:cstheme="minorBidi"/>
          <w:szCs w:val="24"/>
          <w:lang w:eastAsia="en-US"/>
        </w:rPr>
      </w:pPr>
      <w:r w:rsidRPr="001346AE">
        <w:rPr>
          <w:rFonts w:eastAsiaTheme="minorHAnsi" w:cstheme="minorBidi"/>
          <w:b/>
          <w:smallCaps/>
          <w:szCs w:val="24"/>
          <w:lang w:eastAsia="en-US"/>
        </w:rPr>
        <w:lastRenderedPageBreak/>
        <w:t>Note:</w:t>
      </w:r>
      <w:r w:rsidRPr="001346AE">
        <w:rPr>
          <w:rFonts w:eastAsiaTheme="minorHAnsi" w:cstheme="minorBidi"/>
          <w:b/>
          <w:szCs w:val="24"/>
          <w:lang w:eastAsia="en-US"/>
        </w:rPr>
        <w:t xml:space="preserve"> </w:t>
      </w:r>
      <w:r w:rsidRPr="001346AE">
        <w:rPr>
          <w:rFonts w:eastAsiaTheme="minorHAnsi" w:cstheme="minorBidi"/>
          <w:szCs w:val="24"/>
          <w:lang w:eastAsia="en-US"/>
        </w:rPr>
        <w:t xml:space="preserve">This document is subject to editorial revision before its reproduction in final form in the </w:t>
      </w:r>
      <w:r w:rsidRPr="001346AE">
        <w:rPr>
          <w:rFonts w:eastAsiaTheme="minorHAnsi" w:cstheme="minorBidi"/>
          <w:i/>
          <w:szCs w:val="24"/>
          <w:lang w:eastAsia="en-US"/>
        </w:rPr>
        <w:t>Canada Supreme Court Reports</w:t>
      </w:r>
      <w:r w:rsidRPr="001346AE">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346AE" w:rsidRPr="001346AE" w14:paraId="4376D9A2" w14:textId="77777777" w:rsidTr="008C5D38">
        <w:tc>
          <w:tcPr>
            <w:tcW w:w="1500" w:type="pct"/>
            <w:tcMar>
              <w:top w:w="284" w:type="dxa"/>
            </w:tcMar>
          </w:tcPr>
          <w:p w14:paraId="1C22B603" w14:textId="77777777" w:rsidR="001346AE" w:rsidRPr="001346AE" w:rsidRDefault="001346AE" w:rsidP="001346AE"/>
        </w:tc>
        <w:tc>
          <w:tcPr>
            <w:tcW w:w="2000" w:type="pct"/>
            <w:tcBorders>
              <w:bottom w:val="single" w:sz="4" w:space="0" w:color="auto"/>
            </w:tcBorders>
            <w:tcMar>
              <w:top w:w="284" w:type="dxa"/>
            </w:tcMar>
          </w:tcPr>
          <w:p w14:paraId="7AAD551F" w14:textId="77777777" w:rsidR="001346AE" w:rsidRPr="001346AE" w:rsidRDefault="001346AE" w:rsidP="001346AE"/>
        </w:tc>
        <w:tc>
          <w:tcPr>
            <w:tcW w:w="1500" w:type="pct"/>
            <w:tcMar>
              <w:top w:w="284" w:type="dxa"/>
            </w:tcMar>
          </w:tcPr>
          <w:p w14:paraId="66A783C4" w14:textId="77777777" w:rsidR="001346AE" w:rsidRPr="001346AE" w:rsidRDefault="001346AE" w:rsidP="001346AE"/>
        </w:tc>
      </w:tr>
    </w:tbl>
    <w:p w14:paraId="4187F71D" w14:textId="77777777" w:rsidR="001346AE" w:rsidRPr="001346AE" w:rsidRDefault="001346AE" w:rsidP="001346AE">
      <w:pPr>
        <w:rPr>
          <w:rFonts w:eastAsiaTheme="minorHAnsi" w:cstheme="minorBidi"/>
          <w:szCs w:val="24"/>
          <w:lang w:eastAsia="en-US"/>
        </w:rPr>
      </w:pPr>
    </w:p>
    <w:p w14:paraId="4541F2AD" w14:textId="77777777" w:rsidR="001346AE" w:rsidRDefault="001346AE">
      <w:pPr>
        <w:rPr>
          <w:b/>
        </w:rPr>
      </w:pPr>
      <w:r>
        <w:br w:type="page"/>
      </w:r>
    </w:p>
    <w:p w14:paraId="367EED46" w14:textId="49EDDCF1" w:rsidR="00D87704" w:rsidRPr="00AB4F2E" w:rsidRDefault="00477F38">
      <w:pPr>
        <w:pStyle w:val="SCCLsocLastPartyInRole"/>
      </w:pPr>
      <w:r w:rsidRPr="00AB4F2E">
        <w:lastRenderedPageBreak/>
        <w:t>Her Majesty T</w:t>
      </w:r>
      <w:r w:rsidR="00026FE7" w:rsidRPr="00AB4F2E">
        <w:t>he Queen</w:t>
      </w:r>
      <w:r w:rsidR="00026FE7" w:rsidRPr="00AB4F2E">
        <w:rPr>
          <w:rStyle w:val="SCCLsocPartyRole"/>
        </w:rPr>
        <w:tab/>
        <w:t>Appellant</w:t>
      </w:r>
    </w:p>
    <w:p w14:paraId="3E6179DC" w14:textId="77777777" w:rsidR="00D87704" w:rsidRPr="00AB4F2E" w:rsidRDefault="00026FE7">
      <w:pPr>
        <w:pStyle w:val="SCCLsocVersus"/>
      </w:pPr>
      <w:r w:rsidRPr="00AB4F2E">
        <w:t>v.</w:t>
      </w:r>
    </w:p>
    <w:p w14:paraId="3C8CC82F" w14:textId="27335EB1" w:rsidR="00D87704" w:rsidRPr="00A75E4C" w:rsidRDefault="00026FE7" w:rsidP="00581C49">
      <w:pPr>
        <w:pStyle w:val="SCCLsocLastPartyInRole"/>
        <w:rPr>
          <w:lang w:val="fr-CA"/>
        </w:rPr>
      </w:pPr>
      <w:r w:rsidRPr="00A75E4C">
        <w:rPr>
          <w:lang w:val="fr-CA"/>
        </w:rPr>
        <w:t>Alta Energy Luxembourg S</w:t>
      </w:r>
      <w:r w:rsidR="002417F0" w:rsidRPr="00A75E4C">
        <w:rPr>
          <w:lang w:val="fr-CA"/>
        </w:rPr>
        <w:t>.</w:t>
      </w:r>
      <w:r w:rsidRPr="00A75E4C">
        <w:rPr>
          <w:lang w:val="fr-CA"/>
        </w:rPr>
        <w:t>A</w:t>
      </w:r>
      <w:r w:rsidR="002417F0" w:rsidRPr="00A75E4C">
        <w:rPr>
          <w:lang w:val="fr-CA"/>
        </w:rPr>
        <w:t>.</w:t>
      </w:r>
      <w:r w:rsidRPr="00A75E4C">
        <w:rPr>
          <w:lang w:val="fr-CA"/>
        </w:rPr>
        <w:t>R</w:t>
      </w:r>
      <w:r w:rsidR="002417F0" w:rsidRPr="00A75E4C">
        <w:rPr>
          <w:lang w:val="fr-CA"/>
        </w:rPr>
        <w:t>.</w:t>
      </w:r>
      <w:r w:rsidRPr="00A75E4C">
        <w:rPr>
          <w:lang w:val="fr-CA"/>
        </w:rPr>
        <w:t>L</w:t>
      </w:r>
      <w:r w:rsidR="002417F0" w:rsidRPr="00A75E4C">
        <w:rPr>
          <w:lang w:val="fr-CA"/>
        </w:rPr>
        <w:t>.</w:t>
      </w:r>
      <w:r w:rsidRPr="00A75E4C">
        <w:rPr>
          <w:rStyle w:val="SCCLsocPartyRole"/>
          <w:lang w:val="fr-CA"/>
        </w:rPr>
        <w:tab/>
        <w:t>Respondent</w:t>
      </w:r>
    </w:p>
    <w:p w14:paraId="330B04E9" w14:textId="03F31739" w:rsidR="00426659" w:rsidRPr="00AB4F2E" w:rsidRDefault="00426659" w:rsidP="00581C49">
      <w:pPr>
        <w:spacing w:after="720"/>
        <w:jc w:val="both"/>
        <w:rPr>
          <w:b/>
        </w:rPr>
      </w:pPr>
      <w:r w:rsidRPr="00AB4F2E">
        <w:rPr>
          <w:b/>
        </w:rPr>
        <w:t xml:space="preserve">Indexed as: </w:t>
      </w:r>
      <w:r w:rsidR="000170DA" w:rsidRPr="00AB4F2E">
        <w:rPr>
          <w:rStyle w:val="SCCAppellantForIndexChar"/>
        </w:rPr>
        <w:t>Canada</w:t>
      </w:r>
      <w:r w:rsidRPr="00AB4F2E">
        <w:rPr>
          <w:b/>
        </w:rPr>
        <w:t xml:space="preserve"> </w:t>
      </w:r>
      <w:r w:rsidRPr="00AB4F2E">
        <w:rPr>
          <w:b/>
          <w:i/>
        </w:rPr>
        <w:t>v.</w:t>
      </w:r>
      <w:r w:rsidRPr="00AB4F2E">
        <w:rPr>
          <w:b/>
        </w:rPr>
        <w:t xml:space="preserve"> </w:t>
      </w:r>
      <w:r w:rsidRPr="00AB4F2E">
        <w:rPr>
          <w:rStyle w:val="SCCRespondentForIndexChar"/>
        </w:rPr>
        <w:t>Alta Energy Luxembourg S</w:t>
      </w:r>
      <w:r w:rsidR="002417F0" w:rsidRPr="00AB4F2E">
        <w:rPr>
          <w:rStyle w:val="SCCRespondentForIndexChar"/>
        </w:rPr>
        <w:t>.</w:t>
      </w:r>
      <w:r w:rsidRPr="00AB4F2E">
        <w:rPr>
          <w:rStyle w:val="SCCRespondentForIndexChar"/>
        </w:rPr>
        <w:t>A</w:t>
      </w:r>
      <w:r w:rsidR="002417F0" w:rsidRPr="00AB4F2E">
        <w:rPr>
          <w:rStyle w:val="SCCRespondentForIndexChar"/>
        </w:rPr>
        <w:t>.</w:t>
      </w:r>
      <w:r w:rsidRPr="00AB4F2E">
        <w:rPr>
          <w:rStyle w:val="SCCRespondentForIndexChar"/>
        </w:rPr>
        <w:t>R</w:t>
      </w:r>
      <w:r w:rsidR="002417F0" w:rsidRPr="00AB4F2E">
        <w:rPr>
          <w:rStyle w:val="SCCRespondentForIndexChar"/>
        </w:rPr>
        <w:t>.</w:t>
      </w:r>
      <w:r w:rsidRPr="00AB4F2E">
        <w:rPr>
          <w:rStyle w:val="SCCRespondentForIndexChar"/>
        </w:rPr>
        <w:t>L</w:t>
      </w:r>
      <w:r w:rsidR="002417F0" w:rsidRPr="00AB4F2E">
        <w:rPr>
          <w:rStyle w:val="SCCRespondentForIndexChar"/>
        </w:rPr>
        <w:t>.</w:t>
      </w:r>
    </w:p>
    <w:p w14:paraId="4FF85B38" w14:textId="21B18C32" w:rsidR="00426659" w:rsidRPr="00AB4F2E" w:rsidRDefault="00AE4535" w:rsidP="00581C49">
      <w:pPr>
        <w:pStyle w:val="SCCSystemYear"/>
        <w:spacing w:after="720"/>
        <w:jc w:val="both"/>
      </w:pPr>
      <w:r w:rsidRPr="00AB4F2E">
        <w:t>2021</w:t>
      </w:r>
      <w:r w:rsidR="003D0399" w:rsidRPr="00AB4F2E">
        <w:t xml:space="preserve"> </w:t>
      </w:r>
      <w:r w:rsidR="00AD291A">
        <w:t xml:space="preserve">SCC </w:t>
      </w:r>
      <w:r w:rsidR="00F641B9" w:rsidRPr="00AB4F2E">
        <w:t>49</w:t>
      </w:r>
    </w:p>
    <w:p w14:paraId="34A1D049" w14:textId="77777777" w:rsidR="008322BD" w:rsidRPr="00AB4F2E" w:rsidRDefault="000170DA" w:rsidP="00581C49">
      <w:pPr>
        <w:spacing w:after="720"/>
        <w:jc w:val="both"/>
      </w:pPr>
      <w:r w:rsidRPr="00AB4F2E">
        <w:t xml:space="preserve">File No.: </w:t>
      </w:r>
      <w:r w:rsidR="009B57B3" w:rsidRPr="00AB4F2E">
        <w:t>39113.</w:t>
      </w:r>
    </w:p>
    <w:p w14:paraId="6E6D2D2F" w14:textId="42543249" w:rsidR="008322BD" w:rsidRPr="00AB4F2E" w:rsidRDefault="00AE4535" w:rsidP="00581C49">
      <w:pPr>
        <w:spacing w:after="720"/>
        <w:jc w:val="both"/>
      </w:pPr>
      <w:r w:rsidRPr="00AB4F2E">
        <w:t>2021: March 19</w:t>
      </w:r>
      <w:r w:rsidR="009B57B3" w:rsidRPr="00AB4F2E">
        <w:t xml:space="preserve">; </w:t>
      </w:r>
      <w:r w:rsidR="006C1186" w:rsidRPr="00AB4F2E">
        <w:t>2021</w:t>
      </w:r>
      <w:r w:rsidR="000170DA" w:rsidRPr="00AB4F2E">
        <w:t>:</w:t>
      </w:r>
      <w:r w:rsidR="00581C49" w:rsidRPr="00AB4F2E">
        <w:t xml:space="preserve"> </w:t>
      </w:r>
      <w:r w:rsidR="00E910E1" w:rsidRPr="00AB4F2E">
        <w:t>November 26</w:t>
      </w:r>
      <w:r w:rsidR="009B57B3" w:rsidRPr="00AB4F2E">
        <w:t>.</w:t>
      </w:r>
    </w:p>
    <w:p w14:paraId="06A0E75C" w14:textId="77777777" w:rsidR="008322BD" w:rsidRPr="00AB4F2E" w:rsidRDefault="000170DA" w:rsidP="00581C49">
      <w:pPr>
        <w:spacing w:after="720"/>
        <w:jc w:val="both"/>
      </w:pPr>
      <w:r w:rsidRPr="00AB4F2E">
        <w:t xml:space="preserve">Present: </w:t>
      </w:r>
      <w:r w:rsidR="009B57B3" w:rsidRPr="00AB4F2E">
        <w:t>Wagner C.J. and Abella, Moldaver, Karakatsanis, Côté, Brown, Rowe, Martin and Kasirer JJ.</w:t>
      </w:r>
    </w:p>
    <w:p w14:paraId="2DA93C17" w14:textId="77777777" w:rsidR="008322BD" w:rsidRPr="00AB4F2E" w:rsidRDefault="00656313" w:rsidP="00A75E4C">
      <w:pPr>
        <w:pStyle w:val="SCCLowerCourtNameLowercase"/>
        <w:spacing w:after="720" w:line="240" w:lineRule="auto"/>
      </w:pPr>
      <w:r w:rsidRPr="00AB4F2E">
        <w:t>o</w:t>
      </w:r>
      <w:r w:rsidR="00170592" w:rsidRPr="00AB4F2E">
        <w:t>n</w:t>
      </w:r>
      <w:r w:rsidR="00224FC0" w:rsidRPr="00AB4F2E">
        <w:t xml:space="preserve"> </w:t>
      </w:r>
      <w:r w:rsidRPr="00AB4F2E">
        <w:t>a</w:t>
      </w:r>
      <w:r w:rsidR="00170592" w:rsidRPr="00AB4F2E">
        <w:t>ppeal</w:t>
      </w:r>
      <w:r w:rsidR="00224FC0" w:rsidRPr="00AB4F2E">
        <w:t xml:space="preserve"> </w:t>
      </w:r>
      <w:r w:rsidR="00170592" w:rsidRPr="00AB4F2E">
        <w:t>from</w:t>
      </w:r>
      <w:r w:rsidR="009567AA" w:rsidRPr="00AB4F2E">
        <w:t xml:space="preserve"> the</w:t>
      </w:r>
      <w:r w:rsidR="00224FC0" w:rsidRPr="00AB4F2E">
        <w:t xml:space="preserve"> </w:t>
      </w:r>
      <w:r w:rsidR="009B57B3" w:rsidRPr="00AB4F2E">
        <w:t>federal court of appeal</w:t>
      </w:r>
    </w:p>
    <w:p w14:paraId="23A399B2" w14:textId="3EA1D41B" w:rsidR="00663E48" w:rsidRPr="00AB4F2E" w:rsidRDefault="00663E48" w:rsidP="00A75E4C">
      <w:pPr>
        <w:pStyle w:val="SCCNormalDoubleSpacing"/>
        <w:spacing w:after="480"/>
        <w:rPr>
          <w:i/>
        </w:rPr>
      </w:pPr>
      <w:r w:rsidRPr="00AB4F2E">
        <w:tab/>
      </w:r>
      <w:r w:rsidRPr="00AB4F2E">
        <w:rPr>
          <w:i/>
        </w:rPr>
        <w:t>Taxation — Income tax — Tax avoidanc</w:t>
      </w:r>
      <w:r w:rsidR="00A75E4C">
        <w:rPr>
          <w:i/>
        </w:rPr>
        <w:t>e — Application of general anti</w:t>
      </w:r>
      <w:r w:rsidR="00A75E4C">
        <w:rPr>
          <w:i/>
        </w:rPr>
        <w:noBreakHyphen/>
      </w:r>
      <w:r w:rsidRPr="00AB4F2E">
        <w:rPr>
          <w:i/>
        </w:rPr>
        <w:t>avoidance rule — Large capital gain realized by corporate resident of Luxembourg on sale of shares whose value derived principally from immovable property situated in Canada — Corporation claiming exemption from Canadian tax on basis that shares were protected property under tax treaty between Canada and Lu</w:t>
      </w:r>
      <w:r w:rsidR="00A75E4C">
        <w:rPr>
          <w:i/>
        </w:rPr>
        <w:t>xembourg — Whether general anti</w:t>
      </w:r>
      <w:r w:rsidR="00A75E4C">
        <w:rPr>
          <w:i/>
        </w:rPr>
        <w:noBreakHyphen/>
      </w:r>
      <w:r w:rsidRPr="00AB4F2E">
        <w:rPr>
          <w:i/>
        </w:rPr>
        <w:t>avoidance rule applicable to deny requested exemption — Income Tax Act, R.</w:t>
      </w:r>
      <w:r w:rsidR="00453F59">
        <w:rPr>
          <w:i/>
        </w:rPr>
        <w:t>S.C. 1985, c. </w:t>
      </w:r>
      <w:r w:rsidR="00A75E4C">
        <w:rPr>
          <w:i/>
        </w:rPr>
        <w:t>1 (5th Supp.), s. </w:t>
      </w:r>
      <w:r w:rsidRPr="00AB4F2E">
        <w:rPr>
          <w:i/>
        </w:rPr>
        <w:t xml:space="preserve">245 — Convention </w:t>
      </w:r>
      <w:r w:rsidRPr="00AB4F2E">
        <w:rPr>
          <w:i/>
        </w:rPr>
        <w:lastRenderedPageBreak/>
        <w:t>between the Government of Canada and the Government of the Grand Duchy of Luxembourg for the Avoidance of Double Taxation and the Prevention of Fiscal Evasion with Respect to Taxes on Income and on Capit</w:t>
      </w:r>
      <w:r w:rsidR="00453F59">
        <w:rPr>
          <w:i/>
        </w:rPr>
        <w:t>al, Can. T.S. 2000 No. </w:t>
      </w:r>
      <w:r w:rsidR="00A75E4C">
        <w:rPr>
          <w:i/>
        </w:rPr>
        <w:t>22, art. </w:t>
      </w:r>
      <w:r w:rsidRPr="00AB4F2E">
        <w:rPr>
          <w:i/>
        </w:rPr>
        <w:t>13.</w:t>
      </w:r>
    </w:p>
    <w:p w14:paraId="564C0A1E" w14:textId="01E9F44A"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r>
      <w:r w:rsidR="00E2469D">
        <w:rPr>
          <w:rFonts w:eastAsiaTheme="minorEastAsia"/>
          <w:szCs w:val="22"/>
          <w:lang w:eastAsia="en-US"/>
        </w:rPr>
        <w:t>In 2011, two American firms founded an American</w:t>
      </w:r>
      <w:r w:rsidRPr="00AB4F2E">
        <w:rPr>
          <w:rFonts w:eastAsiaTheme="minorEastAsia"/>
          <w:szCs w:val="22"/>
          <w:lang w:eastAsia="en-US"/>
        </w:rPr>
        <w:t xml:space="preserve"> company for the purpose of acquiring and developing unconventional oil and natural gas properties. Alta Energy Partners Canada Ltd. (“Alta Canada”), a wholly owned Canadian subsidiary of </w:t>
      </w:r>
      <w:r w:rsidR="00E2469D">
        <w:rPr>
          <w:rFonts w:eastAsiaTheme="minorEastAsia"/>
          <w:szCs w:val="22"/>
          <w:lang w:eastAsia="en-US"/>
        </w:rPr>
        <w:t>that</w:t>
      </w:r>
      <w:r w:rsidRPr="00AB4F2E">
        <w:rPr>
          <w:rFonts w:eastAsiaTheme="minorEastAsia"/>
          <w:szCs w:val="22"/>
          <w:lang w:eastAsia="en-US"/>
        </w:rPr>
        <w:t xml:space="preserve"> company, was incorporated in order to carry on that business. A restructuring of Alta Canada was undertaken in 2012. As part of the restructuring, Alta En</w:t>
      </w:r>
      <w:r w:rsidR="00AD291A">
        <w:rPr>
          <w:rFonts w:eastAsiaTheme="minorEastAsia"/>
          <w:szCs w:val="22"/>
          <w:lang w:eastAsia="en-US"/>
        </w:rPr>
        <w:t xml:space="preserve">ergy Luxembourg S.A.R.L. (“Alta </w:t>
      </w:r>
      <w:r w:rsidRPr="00AB4F2E">
        <w:rPr>
          <w:rFonts w:eastAsiaTheme="minorEastAsia"/>
          <w:szCs w:val="22"/>
          <w:lang w:eastAsia="en-US"/>
        </w:rPr>
        <w:t>Luxembourg”) was incorporate</w:t>
      </w:r>
      <w:r w:rsidR="00E2469D">
        <w:rPr>
          <w:rFonts w:eastAsiaTheme="minorEastAsia"/>
          <w:szCs w:val="22"/>
          <w:lang w:eastAsia="en-US"/>
        </w:rPr>
        <w:t xml:space="preserve">d under the laws of Luxembourg </w:t>
      </w:r>
      <w:r w:rsidRPr="00AB4F2E">
        <w:rPr>
          <w:rFonts w:eastAsiaTheme="minorEastAsia"/>
          <w:szCs w:val="22"/>
          <w:lang w:eastAsia="en-US"/>
        </w:rPr>
        <w:t xml:space="preserve">and its shares were issued to a new Canadian partnership. </w:t>
      </w:r>
      <w:r w:rsidR="00E2469D">
        <w:rPr>
          <w:rFonts w:eastAsiaTheme="minorEastAsia"/>
          <w:szCs w:val="22"/>
          <w:lang w:eastAsia="en-US"/>
        </w:rPr>
        <w:t xml:space="preserve">On the same day, </w:t>
      </w:r>
      <w:r w:rsidRPr="00AB4F2E">
        <w:rPr>
          <w:rFonts w:eastAsiaTheme="minorEastAsia"/>
          <w:szCs w:val="22"/>
          <w:lang w:eastAsia="en-US"/>
        </w:rPr>
        <w:t>Alta Lu</w:t>
      </w:r>
      <w:r w:rsidR="00E2469D">
        <w:rPr>
          <w:rFonts w:eastAsiaTheme="minorEastAsia"/>
          <w:szCs w:val="22"/>
          <w:lang w:eastAsia="en-US"/>
        </w:rPr>
        <w:t>xembourg purchased all of the</w:t>
      </w:r>
      <w:r w:rsidRPr="00AB4F2E">
        <w:rPr>
          <w:rFonts w:eastAsiaTheme="minorEastAsia"/>
          <w:szCs w:val="22"/>
          <w:lang w:eastAsia="en-US"/>
        </w:rPr>
        <w:t xml:space="preserve"> shares of Alta Canada. In 2013, it sold those</w:t>
      </w:r>
      <w:r w:rsidR="00E2469D">
        <w:rPr>
          <w:rFonts w:eastAsiaTheme="minorEastAsia"/>
          <w:szCs w:val="22"/>
          <w:lang w:eastAsia="en-US"/>
        </w:rPr>
        <w:t xml:space="preserve"> shares, realizing</w:t>
      </w:r>
      <w:r w:rsidRPr="00AB4F2E">
        <w:rPr>
          <w:rFonts w:eastAsiaTheme="minorEastAsia"/>
          <w:szCs w:val="22"/>
          <w:lang w:eastAsia="en-US"/>
        </w:rPr>
        <w:t xml:space="preserve"> a capital gain in excess of $380 million. Payment for the shares was organized so that Alta Luxembourg did not receive any of the sale proceeds. </w:t>
      </w:r>
      <w:r w:rsidR="00E2469D">
        <w:rPr>
          <w:rFonts w:eastAsiaTheme="minorEastAsia"/>
          <w:szCs w:val="22"/>
          <w:lang w:eastAsia="en-US"/>
        </w:rPr>
        <w:t xml:space="preserve">Following the </w:t>
      </w:r>
      <w:r w:rsidRPr="00AB4F2E">
        <w:rPr>
          <w:rFonts w:eastAsiaTheme="minorEastAsia"/>
          <w:szCs w:val="22"/>
          <w:lang w:eastAsia="en-US"/>
        </w:rPr>
        <w:t>sale, Alta Luxembourg did not conduct any other business or hold any other investments.</w:t>
      </w:r>
    </w:p>
    <w:p w14:paraId="3E2D138A" w14:textId="1B069CED"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t xml:space="preserve">The capital gain was reported to the Luxembourg tax authorities and was subject to full taxation under Luxembourg’s domestic laws. </w:t>
      </w:r>
      <w:r w:rsidR="00E2469D">
        <w:rPr>
          <w:rFonts w:eastAsiaTheme="minorEastAsia"/>
          <w:szCs w:val="22"/>
          <w:lang w:eastAsia="en-US"/>
        </w:rPr>
        <w:t xml:space="preserve">In its Canadian tax return </w:t>
      </w:r>
      <w:r w:rsidRPr="00AB4F2E">
        <w:rPr>
          <w:rFonts w:eastAsiaTheme="minorEastAsia"/>
          <w:szCs w:val="22"/>
          <w:lang w:eastAsia="en-US"/>
        </w:rPr>
        <w:t xml:space="preserve">for 2013, Alta Luxembourg claimed an exemption from Canadian tax on the basis that the gain was not included in its “taxable income earned in Canada” under s. 115(1)(b) of the </w:t>
      </w:r>
      <w:r w:rsidRPr="00AB4F2E">
        <w:rPr>
          <w:rFonts w:eastAsiaTheme="minorEastAsia"/>
          <w:i/>
          <w:szCs w:val="22"/>
          <w:lang w:eastAsia="en-US"/>
        </w:rPr>
        <w:t>Income Tax</w:t>
      </w:r>
      <w:r w:rsidRPr="00AB4F2E">
        <w:rPr>
          <w:rFonts w:eastAsiaTheme="minorEastAsia"/>
          <w:szCs w:val="22"/>
          <w:lang w:eastAsia="en-US"/>
        </w:rPr>
        <w:t xml:space="preserve"> </w:t>
      </w:r>
      <w:r w:rsidRPr="00AB4F2E">
        <w:rPr>
          <w:rFonts w:eastAsiaTheme="minorEastAsia"/>
          <w:i/>
          <w:szCs w:val="22"/>
          <w:lang w:eastAsia="en-US"/>
        </w:rPr>
        <w:t>Act</w:t>
      </w:r>
      <w:r w:rsidRPr="00AB4F2E">
        <w:rPr>
          <w:rFonts w:eastAsiaTheme="minorEastAsia"/>
          <w:szCs w:val="22"/>
          <w:lang w:eastAsia="en-US"/>
        </w:rPr>
        <w:t xml:space="preserve"> (“</w:t>
      </w:r>
      <w:r w:rsidRPr="00AB4F2E">
        <w:rPr>
          <w:rFonts w:eastAsiaTheme="minorEastAsia"/>
          <w:i/>
          <w:szCs w:val="22"/>
          <w:lang w:eastAsia="en-US"/>
        </w:rPr>
        <w:t>Act</w:t>
      </w:r>
      <w:r w:rsidRPr="00AB4F2E">
        <w:rPr>
          <w:rFonts w:eastAsiaTheme="minorEastAsia"/>
          <w:szCs w:val="22"/>
          <w:lang w:eastAsia="en-US"/>
        </w:rPr>
        <w:t>”)</w:t>
      </w:r>
      <w:r w:rsidRPr="00AB4F2E">
        <w:rPr>
          <w:rFonts w:eastAsiaTheme="minorEastAsia"/>
          <w:i/>
          <w:szCs w:val="22"/>
          <w:lang w:eastAsia="en-US"/>
        </w:rPr>
        <w:t xml:space="preserve"> </w:t>
      </w:r>
      <w:r w:rsidRPr="00AB4F2E">
        <w:rPr>
          <w:rFonts w:eastAsiaTheme="minorEastAsia"/>
          <w:szCs w:val="22"/>
          <w:lang w:eastAsia="en-US"/>
        </w:rPr>
        <w:t xml:space="preserve">because the shares were </w:t>
      </w:r>
      <w:r w:rsidR="00AD291A">
        <w:rPr>
          <w:rFonts w:eastAsiaTheme="minorEastAsia"/>
          <w:szCs w:val="22"/>
          <w:lang w:eastAsia="en-US"/>
        </w:rPr>
        <w:t>“treaty</w:t>
      </w:r>
      <w:r w:rsidR="00AD291A">
        <w:rPr>
          <w:rFonts w:eastAsiaTheme="minorEastAsia"/>
          <w:szCs w:val="22"/>
          <w:lang w:eastAsia="en-US"/>
        </w:rPr>
        <w:noBreakHyphen/>
      </w:r>
      <w:r w:rsidR="00E2469D">
        <w:rPr>
          <w:rFonts w:eastAsiaTheme="minorEastAsia"/>
          <w:szCs w:val="22"/>
          <w:lang w:eastAsia="en-US"/>
        </w:rPr>
        <w:t>protected property” under</w:t>
      </w:r>
      <w:r w:rsidRPr="00AB4F2E">
        <w:rPr>
          <w:rFonts w:eastAsiaTheme="minorEastAsia"/>
          <w:szCs w:val="22"/>
          <w:lang w:eastAsia="en-US"/>
        </w:rPr>
        <w:t xml:space="preserve"> art. 13(4) and (5) of the </w:t>
      </w:r>
      <w:r w:rsidRPr="00AB4F2E">
        <w:rPr>
          <w:rFonts w:eastAsiaTheme="minorEastAsia"/>
          <w:i/>
          <w:iCs/>
          <w:szCs w:val="22"/>
          <w:lang w:eastAsia="en-US"/>
        </w:rPr>
        <w:t xml:space="preserve">Convention between the Government of Canada and the </w:t>
      </w:r>
      <w:r w:rsidRPr="00AB4F2E">
        <w:rPr>
          <w:rFonts w:eastAsiaTheme="minorEastAsia"/>
          <w:i/>
          <w:iCs/>
          <w:szCs w:val="22"/>
          <w:lang w:eastAsia="en-US"/>
        </w:rPr>
        <w:lastRenderedPageBreak/>
        <w:t>Government of the Grand Duchy of Luxembourg for the Avoidance of Double Taxation and the Prevention of Fiscal Evasion with Respect to Taxes on Income and on Capital</w:t>
      </w:r>
      <w:r w:rsidRPr="00AB4F2E">
        <w:rPr>
          <w:rFonts w:eastAsiaTheme="minorEastAsia"/>
          <w:iCs/>
          <w:szCs w:val="22"/>
          <w:lang w:eastAsia="en-US"/>
        </w:rPr>
        <w:t xml:space="preserve"> </w:t>
      </w:r>
      <w:r w:rsidRPr="00AB4F2E">
        <w:rPr>
          <w:rFonts w:eastAsiaTheme="minorEastAsia"/>
          <w:szCs w:val="22"/>
          <w:lang w:eastAsia="en-US"/>
        </w:rPr>
        <w:t>(“</w:t>
      </w:r>
      <w:r w:rsidRPr="00AB4F2E">
        <w:rPr>
          <w:rFonts w:eastAsiaTheme="minorEastAsia"/>
          <w:i/>
          <w:szCs w:val="22"/>
          <w:lang w:eastAsia="en-US"/>
        </w:rPr>
        <w:t>Treaty</w:t>
      </w:r>
      <w:r w:rsidRPr="00AB4F2E">
        <w:rPr>
          <w:rFonts w:eastAsiaTheme="minorEastAsia"/>
          <w:szCs w:val="22"/>
          <w:lang w:eastAsia="en-US"/>
        </w:rPr>
        <w:t xml:space="preserve">”). Article 13(4) of the </w:t>
      </w:r>
      <w:r w:rsidRPr="00AB4F2E">
        <w:rPr>
          <w:rFonts w:eastAsiaTheme="minorEastAsia"/>
          <w:i/>
          <w:szCs w:val="22"/>
          <w:lang w:eastAsia="en-US"/>
        </w:rPr>
        <w:t>Treaty</w:t>
      </w:r>
      <w:r w:rsidRPr="00AB4F2E">
        <w:rPr>
          <w:rFonts w:eastAsiaTheme="minorEastAsia"/>
          <w:szCs w:val="22"/>
          <w:lang w:eastAsia="en-US"/>
        </w:rPr>
        <w:t xml:space="preserve"> creates</w:t>
      </w:r>
      <w:r w:rsidR="00E2469D">
        <w:rPr>
          <w:rFonts w:eastAsiaTheme="minorEastAsia"/>
          <w:szCs w:val="22"/>
          <w:lang w:eastAsia="en-US"/>
        </w:rPr>
        <w:t xml:space="preserve"> </w:t>
      </w:r>
      <w:r w:rsidRPr="00AB4F2E">
        <w:rPr>
          <w:rFonts w:eastAsiaTheme="minorEastAsia"/>
          <w:szCs w:val="22"/>
          <w:lang w:eastAsia="en-US"/>
        </w:rPr>
        <w:t>an exemption for residents of Luxembourg from Canadian tax arising from a capital gain on the alienation of shares the value of which is derived principally from immovable property situated in Canada and in which the business of the company was carried on.</w:t>
      </w:r>
    </w:p>
    <w:p w14:paraId="62536B86" w14:textId="3C383904" w:rsidR="00663E48" w:rsidRPr="00AB4F2E" w:rsidRDefault="00663E48" w:rsidP="00453F59">
      <w:pPr>
        <w:pStyle w:val="SCCNormalDoubleSpacing"/>
        <w:spacing w:after="480"/>
      </w:pPr>
      <w:r w:rsidRPr="00AB4F2E">
        <w:tab/>
        <w:t xml:space="preserve">The Minister denied the treaty exemption. Alta Luxembourg appealed to the Tax Court of Canada. The Minister argued that the business property exemption in </w:t>
      </w:r>
      <w:r w:rsidR="00AD291A">
        <w:t>art. </w:t>
      </w:r>
      <w:r w:rsidRPr="00AB4F2E">
        <w:t xml:space="preserve">13(4) of the </w:t>
      </w:r>
      <w:r w:rsidRPr="00AB4F2E">
        <w:rPr>
          <w:i/>
        </w:rPr>
        <w:t>Treaty</w:t>
      </w:r>
      <w:r w:rsidR="00E2469D">
        <w:t xml:space="preserve"> did not apply and,</w:t>
      </w:r>
      <w:r w:rsidRPr="00AB4F2E">
        <w:t xml:space="preserve"> in the alternative, if t</w:t>
      </w:r>
      <w:r w:rsidR="00AD291A">
        <w:t>he shares did qualify as treaty</w:t>
      </w:r>
      <w:r w:rsidR="00AD291A">
        <w:noBreakHyphen/>
      </w:r>
      <w:r w:rsidRPr="00AB4F2E">
        <w:t>protected p</w:t>
      </w:r>
      <w:r w:rsidR="00E2469D">
        <w:t xml:space="preserve">roperty, that the </w:t>
      </w:r>
      <w:r w:rsidR="00AD291A">
        <w:t>general anti</w:t>
      </w:r>
      <w:r w:rsidR="00AD291A">
        <w:noBreakHyphen/>
        <w:t>avoidance rule (“GAAR”) in s. </w:t>
      </w:r>
      <w:r w:rsidRPr="00AB4F2E">
        <w:t xml:space="preserve">245 of the </w:t>
      </w:r>
      <w:r w:rsidRPr="00AB4F2E">
        <w:rPr>
          <w:i/>
        </w:rPr>
        <w:t>Act</w:t>
      </w:r>
      <w:r w:rsidRPr="00AB4F2E">
        <w:t xml:space="preserve"> sh</w:t>
      </w:r>
      <w:r w:rsidR="00E2469D">
        <w:t>ould apply. The Tax Court</w:t>
      </w:r>
      <w:r w:rsidRPr="00AB4F2E">
        <w:t xml:space="preserve"> found that the shares were tre</w:t>
      </w:r>
      <w:r w:rsidR="00AD291A">
        <w:t>aty</w:t>
      </w:r>
      <w:r w:rsidR="00AD291A">
        <w:noBreakHyphen/>
      </w:r>
      <w:r w:rsidRPr="00AB4F2E">
        <w:t xml:space="preserve">protected property. With respect to the GAAR, the parties agreed that the restructuring was an “avoidance transaction” as defined in s. 245(3) of the </w:t>
      </w:r>
      <w:r w:rsidRPr="00AB4F2E">
        <w:rPr>
          <w:i/>
        </w:rPr>
        <w:t>Act</w:t>
      </w:r>
      <w:r w:rsidRPr="00AB4F2E">
        <w:t xml:space="preserve"> that resulted in a tax benefit. The Tax Court held that the avoidance transaction did not result in a misuse or abuse of the provisions of the Act or the </w:t>
      </w:r>
      <w:r w:rsidRPr="00AB4F2E">
        <w:rPr>
          <w:i/>
        </w:rPr>
        <w:t>Treaty</w:t>
      </w:r>
      <w:r w:rsidRPr="00AB4F2E">
        <w:t>. The Federal Court of Appeal</w:t>
      </w:r>
      <w:r w:rsidR="00E2469D">
        <w:t xml:space="preserve"> dismissed the Minister’s appeal, </w:t>
      </w:r>
      <w:r w:rsidRPr="00AB4F2E">
        <w:t>which raised only the issue of</w:t>
      </w:r>
      <w:r w:rsidR="00E2469D">
        <w:t xml:space="preserve"> </w:t>
      </w:r>
      <w:r w:rsidRPr="00AB4F2E">
        <w:t>whether the GAAR applied.</w:t>
      </w:r>
    </w:p>
    <w:p w14:paraId="3550DE14" w14:textId="77777777" w:rsidR="00663E48" w:rsidRPr="00AB4F2E" w:rsidRDefault="00663E48" w:rsidP="00453F59">
      <w:pPr>
        <w:pStyle w:val="SCCNormalDoubleSpacing"/>
        <w:spacing w:after="480"/>
      </w:pPr>
      <w:r w:rsidRPr="00AB4F2E">
        <w:tab/>
      </w:r>
      <w:r w:rsidRPr="00AB4F2E">
        <w:rPr>
          <w:i/>
          <w:iCs/>
          <w:color w:val="000000" w:themeColor="text1"/>
        </w:rPr>
        <w:t xml:space="preserve">Held </w:t>
      </w:r>
      <w:r w:rsidRPr="005161EF">
        <w:rPr>
          <w:iCs/>
          <w:color w:val="000000" w:themeColor="text1"/>
        </w:rPr>
        <w:t>(Wagner C.J. and Rowe and Martin JJ. dissenting):</w:t>
      </w:r>
      <w:r w:rsidRPr="00AB4F2E">
        <w:rPr>
          <w:i/>
        </w:rPr>
        <w:t xml:space="preserve"> </w:t>
      </w:r>
      <w:r w:rsidRPr="00AB4F2E">
        <w:t>The appeal should be dismissed.</w:t>
      </w:r>
    </w:p>
    <w:p w14:paraId="7A647C67" w14:textId="25C6AB97" w:rsidR="00663E48" w:rsidRPr="00AB4F2E" w:rsidRDefault="00663E48" w:rsidP="00453F59">
      <w:pPr>
        <w:pStyle w:val="SCCNormalDoubleSpacing"/>
        <w:spacing w:after="480"/>
        <w:rPr>
          <w:rFonts w:eastAsiaTheme="minorEastAsia" w:cstheme="minorBidi"/>
          <w:szCs w:val="22"/>
          <w:lang w:eastAsia="en-US"/>
        </w:rPr>
      </w:pPr>
      <w:r w:rsidRPr="00AB4F2E">
        <w:rPr>
          <w:rFonts w:eastAsiaTheme="minorEastAsia" w:cstheme="minorBidi"/>
          <w:szCs w:val="22"/>
          <w:lang w:eastAsia="en-US"/>
        </w:rPr>
        <w:tab/>
      </w:r>
      <w:r w:rsidRPr="00AB4F2E">
        <w:rPr>
          <w:rFonts w:eastAsiaTheme="minorEastAsia" w:cstheme="minorBidi"/>
          <w:i/>
          <w:szCs w:val="22"/>
          <w:lang w:eastAsia="en-US"/>
        </w:rPr>
        <w:t>Per</w:t>
      </w:r>
      <w:r w:rsidRPr="00AB4F2E">
        <w:rPr>
          <w:rFonts w:eastAsiaTheme="minorEastAsia" w:cstheme="minorBidi"/>
          <w:szCs w:val="22"/>
          <w:lang w:eastAsia="en-US"/>
        </w:rPr>
        <w:t xml:space="preserve"> Abella, Moldaver, Karakatsanis, </w:t>
      </w:r>
      <w:r w:rsidRPr="00AB4F2E">
        <w:rPr>
          <w:rFonts w:eastAsiaTheme="minorEastAsia" w:cstheme="minorBidi"/>
          <w:b/>
          <w:szCs w:val="22"/>
          <w:lang w:eastAsia="en-US"/>
        </w:rPr>
        <w:t>Côté</w:t>
      </w:r>
      <w:r w:rsidRPr="00AB4F2E">
        <w:rPr>
          <w:rFonts w:eastAsiaTheme="minorEastAsia" w:cstheme="minorBidi"/>
          <w:szCs w:val="22"/>
          <w:lang w:eastAsia="en-US"/>
        </w:rPr>
        <w:t xml:space="preserve">, Brown and Kasirer JJ.: </w:t>
      </w:r>
      <w:r w:rsidR="00E2469D">
        <w:rPr>
          <w:rFonts w:eastAsiaTheme="minorEastAsia" w:cstheme="minorBidi"/>
          <w:szCs w:val="22"/>
          <w:lang w:eastAsia="en-US"/>
        </w:rPr>
        <w:t>T</w:t>
      </w:r>
      <w:r w:rsidRPr="00AB4F2E">
        <w:rPr>
          <w:rFonts w:eastAsiaTheme="minorEastAsia" w:cstheme="minorBidi"/>
          <w:szCs w:val="22"/>
          <w:lang w:eastAsia="en-US"/>
        </w:rPr>
        <w:t>he Minister has not discharged her burden of proving abusive tax avoidance. In agreeing to in</w:t>
      </w:r>
      <w:r w:rsidR="00E2469D">
        <w:rPr>
          <w:rFonts w:eastAsiaTheme="minorEastAsia" w:cstheme="minorBidi"/>
          <w:szCs w:val="22"/>
          <w:lang w:eastAsia="en-US"/>
        </w:rPr>
        <w:t>clude a specific exemption</w:t>
      </w:r>
      <w:r w:rsidRPr="00AB4F2E">
        <w:rPr>
          <w:rFonts w:eastAsiaTheme="minorEastAsia" w:cstheme="minorBidi"/>
          <w:szCs w:val="22"/>
          <w:lang w:eastAsia="en-US"/>
        </w:rPr>
        <w:t xml:space="preserve"> for immovable property in the </w:t>
      </w:r>
      <w:r w:rsidRPr="00AB4F2E">
        <w:rPr>
          <w:rFonts w:eastAsiaTheme="minorEastAsia" w:cstheme="minorBidi"/>
          <w:i/>
          <w:szCs w:val="22"/>
          <w:lang w:eastAsia="en-US"/>
        </w:rPr>
        <w:t>Treaty</w:t>
      </w:r>
      <w:r w:rsidRPr="00AB4F2E">
        <w:rPr>
          <w:rFonts w:eastAsiaTheme="minorEastAsia" w:cstheme="minorBidi"/>
          <w:szCs w:val="22"/>
          <w:lang w:eastAsia="en-US"/>
        </w:rPr>
        <w:t xml:space="preserve">, Canada sought </w:t>
      </w:r>
      <w:r w:rsidRPr="00AB4F2E">
        <w:rPr>
          <w:rFonts w:eastAsiaTheme="minorEastAsia" w:cstheme="minorBidi"/>
          <w:szCs w:val="22"/>
          <w:lang w:eastAsia="en-US"/>
        </w:rPr>
        <w:lastRenderedPageBreak/>
        <w:t>to encourage investments by Luxembourg residents in business assets embodied in immovable property located in Canada and to reap the ensuing benefits. Alta Luxembourg made exactly such an investment. It is a resident of Luxembourg and, as such, is exempt from Canadian taxes on the capital gain realized on the disposition of shares of its wh</w:t>
      </w:r>
      <w:r w:rsidR="00AD291A">
        <w:rPr>
          <w:rFonts w:eastAsiaTheme="minorEastAsia" w:cstheme="minorBidi"/>
          <w:szCs w:val="22"/>
          <w:lang w:eastAsia="en-US"/>
        </w:rPr>
        <w:t>olly owned Canadian subsidiary.</w:t>
      </w:r>
    </w:p>
    <w:p w14:paraId="7C058522" w14:textId="26E5F4BB"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t xml:space="preserve">The GAAR </w:t>
      </w:r>
      <w:r w:rsidR="00E2469D">
        <w:rPr>
          <w:rFonts w:eastAsiaTheme="minorEastAsia"/>
          <w:szCs w:val="22"/>
          <w:lang w:eastAsia="en-US"/>
        </w:rPr>
        <w:t>acts as a legislative limit on both</w:t>
      </w:r>
      <w:r w:rsidRPr="00AB4F2E">
        <w:rPr>
          <w:rFonts w:eastAsiaTheme="minorEastAsia"/>
          <w:szCs w:val="22"/>
          <w:lang w:eastAsia="en-US"/>
        </w:rPr>
        <w:t xml:space="preserve"> tax certainty </w:t>
      </w:r>
      <w:r w:rsidR="00AD291A">
        <w:rPr>
          <w:rFonts w:eastAsiaTheme="minorEastAsia"/>
          <w:szCs w:val="22"/>
          <w:lang w:eastAsia="en-US"/>
        </w:rPr>
        <w:t>and the well</w:t>
      </w:r>
      <w:r w:rsidR="00AD291A">
        <w:rPr>
          <w:rFonts w:eastAsiaTheme="minorEastAsia"/>
          <w:szCs w:val="22"/>
          <w:lang w:eastAsia="en-US"/>
        </w:rPr>
        <w:noBreakHyphen/>
      </w:r>
      <w:r w:rsidRPr="00AB4F2E">
        <w:rPr>
          <w:rFonts w:eastAsiaTheme="minorEastAsia"/>
          <w:szCs w:val="22"/>
          <w:lang w:eastAsia="en-US"/>
        </w:rPr>
        <w:t>accepted principle that taxpayers are entitled to arrange their affairs to minimize the amount of tax payable. It bars abusive tax avoidance transactions, including those in which taxpayers seek to obtain treaty benefits that were never intended by the contracting states, but it cannot be used</w:t>
      </w:r>
      <w:r w:rsidR="00E2469D">
        <w:rPr>
          <w:rFonts w:eastAsiaTheme="minorEastAsia"/>
          <w:szCs w:val="22"/>
          <w:lang w:eastAsia="en-US"/>
        </w:rPr>
        <w:t xml:space="preserve"> to fundamentally </w:t>
      </w:r>
      <w:r w:rsidRPr="00AB4F2E">
        <w:rPr>
          <w:rFonts w:eastAsiaTheme="minorEastAsia"/>
          <w:szCs w:val="22"/>
          <w:lang w:eastAsia="en-US"/>
        </w:rPr>
        <w:t>alter the criteria under which a person is entitled to the benefits of a treaty</w:t>
      </w:r>
      <w:r w:rsidRPr="00AB4F2E">
        <w:rPr>
          <w:rFonts w:eastAsiaTheme="minorEastAsia" w:cstheme="minorBidi"/>
          <w:szCs w:val="22"/>
          <w:lang w:eastAsia="en-US"/>
        </w:rPr>
        <w:t>.</w:t>
      </w:r>
      <w:r w:rsidRPr="00AB4F2E">
        <w:rPr>
          <w:rFonts w:eastAsiaTheme="minorEastAsia"/>
          <w:szCs w:val="22"/>
          <w:lang w:eastAsia="en-US"/>
        </w:rPr>
        <w:t xml:space="preserve"> App</w:t>
      </w:r>
      <w:r w:rsidR="00AD291A">
        <w:rPr>
          <w:rFonts w:eastAsiaTheme="minorEastAsia"/>
          <w:szCs w:val="22"/>
          <w:lang w:eastAsia="en-US"/>
        </w:rPr>
        <w:t>lying the GAAR involves a three</w:t>
      </w:r>
      <w:r w:rsidR="00AD291A">
        <w:rPr>
          <w:rFonts w:eastAsiaTheme="minorEastAsia"/>
          <w:szCs w:val="22"/>
          <w:lang w:eastAsia="en-US"/>
        </w:rPr>
        <w:noBreakHyphen/>
      </w:r>
      <w:r w:rsidRPr="00AB4F2E">
        <w:rPr>
          <w:rFonts w:eastAsiaTheme="minorEastAsia"/>
          <w:szCs w:val="22"/>
          <w:lang w:eastAsia="en-US"/>
        </w:rPr>
        <w:t>part process meant to determine: (1) whether there is a tax benefit arising from a transaction; (2) whether the transaction is an avoidance transaction; and (3) whether the avoidance transaction is abusive. To determine whether a transaction is abusive</w:t>
      </w:r>
      <w:r w:rsidR="00AD291A">
        <w:rPr>
          <w:rFonts w:eastAsiaTheme="minorEastAsia"/>
          <w:szCs w:val="22"/>
          <w:lang w:eastAsia="en-US"/>
        </w:rPr>
        <w:t xml:space="preserve">, </w:t>
      </w:r>
      <w:r w:rsidR="005161EF">
        <w:rPr>
          <w:rFonts w:eastAsiaTheme="minorEastAsia"/>
          <w:szCs w:val="22"/>
          <w:lang w:eastAsia="en-US"/>
        </w:rPr>
        <w:t xml:space="preserve">the </w:t>
      </w:r>
      <w:r w:rsidR="00AD291A">
        <w:rPr>
          <w:rFonts w:eastAsiaTheme="minorEastAsia"/>
          <w:szCs w:val="22"/>
          <w:lang w:eastAsia="en-US"/>
        </w:rPr>
        <w:t>Court has set out a two</w:t>
      </w:r>
      <w:r w:rsidR="00AD291A">
        <w:rPr>
          <w:rFonts w:eastAsiaTheme="minorEastAsia"/>
          <w:szCs w:val="22"/>
          <w:lang w:eastAsia="en-US"/>
        </w:rPr>
        <w:noBreakHyphen/>
      </w:r>
      <w:r w:rsidRPr="00AB4F2E">
        <w:rPr>
          <w:rFonts w:eastAsiaTheme="minorEastAsia"/>
          <w:szCs w:val="22"/>
          <w:lang w:eastAsia="en-US"/>
        </w:rPr>
        <w:t>step inquiry. Under the first step, the provisions relied on for the tax benefit are interpreted to determine their object, spirit, and purpose. In cases of treaty interpretation, this must be done with a view to implementing the true intention of the parties. Under the second step, a factual analysis determines whether the avoidance transaction at issue frustrates the object, spirit, and purpose of the provisions.</w:t>
      </w:r>
    </w:p>
    <w:p w14:paraId="7AD16428" w14:textId="5C3284F9"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t xml:space="preserve">The object, spirit, and purpose of the business property exemption provided for in art. 13(4) and (5) of the </w:t>
      </w:r>
      <w:r w:rsidRPr="00AB4F2E">
        <w:rPr>
          <w:rFonts w:eastAsiaTheme="minorEastAsia"/>
          <w:i/>
          <w:szCs w:val="22"/>
          <w:lang w:eastAsia="en-US"/>
        </w:rPr>
        <w:t>Treaty</w:t>
      </w:r>
      <w:r w:rsidRPr="00AB4F2E">
        <w:rPr>
          <w:rFonts w:eastAsiaTheme="minorEastAsia"/>
          <w:szCs w:val="22"/>
          <w:lang w:eastAsia="en-US"/>
        </w:rPr>
        <w:t xml:space="preserve"> are to foster international investment. The object, spirit, and purpose of ar</w:t>
      </w:r>
      <w:r w:rsidR="00E2469D">
        <w:rPr>
          <w:rFonts w:eastAsiaTheme="minorEastAsia"/>
          <w:szCs w:val="22"/>
          <w:lang w:eastAsia="en-US"/>
        </w:rPr>
        <w:t>ts. 1 and 4, which make</w:t>
      </w:r>
      <w:r w:rsidRPr="00AB4F2E">
        <w:rPr>
          <w:rFonts w:eastAsiaTheme="minorEastAsia"/>
          <w:szCs w:val="22"/>
          <w:lang w:eastAsia="en-US"/>
        </w:rPr>
        <w:t xml:space="preserve"> residence central to the </w:t>
      </w:r>
      <w:r w:rsidRPr="00AB4F2E">
        <w:rPr>
          <w:rFonts w:eastAsiaTheme="minorEastAsia"/>
          <w:szCs w:val="22"/>
          <w:lang w:eastAsia="en-US"/>
        </w:rPr>
        <w:lastRenderedPageBreak/>
        <w:t xml:space="preserve">application of the </w:t>
      </w:r>
      <w:r w:rsidRPr="00AB4F2E">
        <w:rPr>
          <w:rFonts w:eastAsiaTheme="minorEastAsia"/>
          <w:i/>
          <w:szCs w:val="22"/>
          <w:lang w:eastAsia="en-US"/>
        </w:rPr>
        <w:t>Treaty</w:t>
      </w:r>
      <w:r w:rsidRPr="00AB4F2E">
        <w:rPr>
          <w:rFonts w:eastAsiaTheme="minorEastAsia"/>
          <w:szCs w:val="22"/>
          <w:lang w:eastAsia="en-US"/>
        </w:rPr>
        <w:t xml:space="preserve">, are to allow all persons who are residents under the laws of one or both of the contracting states to claim benefits under the </w:t>
      </w:r>
      <w:r w:rsidRPr="00AB4F2E">
        <w:rPr>
          <w:rFonts w:eastAsiaTheme="minorEastAsia"/>
          <w:i/>
          <w:szCs w:val="22"/>
          <w:lang w:eastAsia="en-US"/>
        </w:rPr>
        <w:t>Treaty</w:t>
      </w:r>
      <w:r w:rsidRPr="00AB4F2E">
        <w:rPr>
          <w:rFonts w:eastAsiaTheme="minorEastAsia"/>
          <w:szCs w:val="22"/>
          <w:lang w:eastAsia="en-US"/>
        </w:rPr>
        <w:t>, so long as their resident status could expose them to full tax lia</w:t>
      </w:r>
      <w:r w:rsidR="00AD291A">
        <w:rPr>
          <w:rFonts w:eastAsiaTheme="minorEastAsia"/>
          <w:szCs w:val="22"/>
          <w:lang w:eastAsia="en-US"/>
        </w:rPr>
        <w:t>bility. According to art. </w:t>
      </w:r>
      <w:r w:rsidR="00E2469D">
        <w:rPr>
          <w:rFonts w:eastAsiaTheme="minorEastAsia"/>
          <w:szCs w:val="22"/>
          <w:lang w:eastAsia="en-US"/>
        </w:rPr>
        <w:t>4, “residence”</w:t>
      </w:r>
      <w:r w:rsidRPr="00AB4F2E">
        <w:rPr>
          <w:rFonts w:eastAsiaTheme="minorEastAsia"/>
          <w:szCs w:val="22"/>
          <w:lang w:eastAsia="en-US"/>
        </w:rPr>
        <w:t xml:space="preserve"> under the </w:t>
      </w:r>
      <w:r w:rsidRPr="00AB4F2E">
        <w:rPr>
          <w:rFonts w:eastAsiaTheme="minorEastAsia"/>
          <w:i/>
          <w:szCs w:val="22"/>
          <w:lang w:eastAsia="en-US"/>
        </w:rPr>
        <w:t xml:space="preserve">Treaty </w:t>
      </w:r>
      <w:r w:rsidR="00E2469D">
        <w:rPr>
          <w:rFonts w:eastAsiaTheme="minorEastAsia"/>
          <w:szCs w:val="22"/>
          <w:lang w:eastAsia="en-US"/>
        </w:rPr>
        <w:t>is based on liability</w:t>
      </w:r>
      <w:r w:rsidRPr="00AB4F2E">
        <w:rPr>
          <w:rFonts w:eastAsiaTheme="minorEastAsia"/>
          <w:szCs w:val="22"/>
          <w:lang w:eastAsia="en-US"/>
        </w:rPr>
        <w:t xml:space="preserve"> to tax in one or both of the contracting states by reason of domicile, residence, place of management or another similar criterion. In the context of corporations, the “liable to tax” requirement is met where the domestic law of a contracting state exposes a corporation to full tax liability because it has its residence in that state. Residence is to be defined by the laws of the contracting state in which residence is claimed. Consistent with international practice, Luxembourg law grants resident status to corporations having either their legal seat or their central management in Luxembourg. This does not depart from accepted usage such that the bargain struck in the </w:t>
      </w:r>
      <w:r w:rsidRPr="00AB4F2E">
        <w:rPr>
          <w:rFonts w:eastAsiaTheme="minorEastAsia"/>
          <w:i/>
          <w:szCs w:val="22"/>
          <w:lang w:eastAsia="en-US"/>
        </w:rPr>
        <w:t xml:space="preserve">Treaty </w:t>
      </w:r>
      <w:r w:rsidRPr="00AB4F2E">
        <w:rPr>
          <w:rFonts w:eastAsiaTheme="minorEastAsia"/>
          <w:szCs w:val="22"/>
          <w:lang w:eastAsia="en-US"/>
        </w:rPr>
        <w:t xml:space="preserve">could be upheld only if Luxembourg residents claiming benefits have sufficient substantive economic connections to their country of residence. If the drafters had truly intended to include only corporations with sufficient substantive economic connections to their country of residence within the scope of the </w:t>
      </w:r>
      <w:r w:rsidRPr="00AB4F2E">
        <w:rPr>
          <w:rFonts w:eastAsiaTheme="minorEastAsia"/>
          <w:i/>
          <w:szCs w:val="22"/>
          <w:lang w:eastAsia="en-US"/>
        </w:rPr>
        <w:t>Treaty</w:t>
      </w:r>
      <w:r w:rsidRPr="00AB4F2E">
        <w:rPr>
          <w:rFonts w:eastAsiaTheme="minorEastAsia"/>
          <w:szCs w:val="22"/>
          <w:lang w:eastAsia="en-US"/>
        </w:rPr>
        <w:t xml:space="preserve">, they would have clearly signalled their </w:t>
      </w:r>
      <w:r w:rsidR="00AD291A">
        <w:rPr>
          <w:rFonts w:eastAsiaTheme="minorEastAsia"/>
          <w:szCs w:val="22"/>
          <w:lang w:eastAsia="en-US"/>
        </w:rPr>
        <w:t>intention to depart from a well</w:t>
      </w:r>
      <w:r w:rsidR="00AD291A">
        <w:rPr>
          <w:rFonts w:eastAsiaTheme="minorEastAsia"/>
          <w:szCs w:val="22"/>
          <w:lang w:eastAsia="en-US"/>
        </w:rPr>
        <w:noBreakHyphen/>
      </w:r>
      <w:r w:rsidRPr="00AB4F2E">
        <w:rPr>
          <w:rFonts w:eastAsiaTheme="minorEastAsia"/>
          <w:szCs w:val="22"/>
          <w:lang w:eastAsia="en-US"/>
        </w:rPr>
        <w:t>established criterion like the “place of incorporation” or “legal seat”.</w:t>
      </w:r>
    </w:p>
    <w:p w14:paraId="4DFC47A5" w14:textId="552CF0C4"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t>Another context</w:t>
      </w:r>
      <w:r w:rsidR="006D7754">
        <w:rPr>
          <w:rFonts w:eastAsiaTheme="minorEastAsia"/>
          <w:szCs w:val="22"/>
          <w:lang w:eastAsia="en-US"/>
        </w:rPr>
        <w:t xml:space="preserve">ual element further reinforces </w:t>
      </w:r>
      <w:r w:rsidRPr="00AB4F2E">
        <w:rPr>
          <w:rFonts w:eastAsiaTheme="minorEastAsia"/>
          <w:szCs w:val="22"/>
          <w:lang w:eastAsia="en-US"/>
        </w:rPr>
        <w:t>the conclu</w:t>
      </w:r>
      <w:r w:rsidR="006D7754">
        <w:rPr>
          <w:rFonts w:eastAsiaTheme="minorEastAsia"/>
          <w:szCs w:val="22"/>
          <w:lang w:eastAsia="en-US"/>
        </w:rPr>
        <w:t>sion</w:t>
      </w:r>
      <w:r w:rsidR="00AD291A">
        <w:rPr>
          <w:rFonts w:eastAsiaTheme="minorEastAsia"/>
          <w:szCs w:val="22"/>
          <w:lang w:eastAsia="en-US"/>
        </w:rPr>
        <w:t xml:space="preserve"> that the purpose of arts. </w:t>
      </w:r>
      <w:r w:rsidR="006D7754">
        <w:rPr>
          <w:rFonts w:eastAsiaTheme="minorEastAsia"/>
          <w:szCs w:val="22"/>
          <w:lang w:eastAsia="en-US"/>
        </w:rPr>
        <w:t xml:space="preserve">1 and 4 </w:t>
      </w:r>
      <w:r w:rsidRPr="00AB4F2E">
        <w:rPr>
          <w:rFonts w:eastAsiaTheme="minorEastAsia"/>
          <w:szCs w:val="22"/>
          <w:lang w:eastAsia="en-US"/>
        </w:rPr>
        <w:t xml:space="preserve">of the </w:t>
      </w:r>
      <w:r w:rsidRPr="00AB4F2E">
        <w:rPr>
          <w:rFonts w:eastAsiaTheme="minorEastAsia"/>
          <w:i/>
          <w:szCs w:val="22"/>
          <w:lang w:eastAsia="en-US"/>
        </w:rPr>
        <w:t>Treaty</w:t>
      </w:r>
      <w:r w:rsidRPr="00AB4F2E">
        <w:rPr>
          <w:rFonts w:eastAsiaTheme="minorEastAsia"/>
          <w:szCs w:val="22"/>
          <w:lang w:eastAsia="en-US"/>
        </w:rPr>
        <w:t xml:space="preserve"> is not to reserve benefits to corporations with sufficient substantive economic connections to their country of r</w:t>
      </w:r>
      <w:r w:rsidR="00AD291A">
        <w:rPr>
          <w:rFonts w:eastAsiaTheme="minorEastAsia"/>
          <w:szCs w:val="22"/>
          <w:lang w:eastAsia="en-US"/>
        </w:rPr>
        <w:t>esidence: the inclusion of art. </w:t>
      </w:r>
      <w:r w:rsidRPr="00AB4F2E">
        <w:rPr>
          <w:rFonts w:eastAsiaTheme="minorEastAsia"/>
          <w:szCs w:val="22"/>
          <w:lang w:eastAsia="en-US"/>
        </w:rPr>
        <w:t xml:space="preserve">28(3) in the </w:t>
      </w:r>
      <w:r w:rsidRPr="00AB4F2E">
        <w:rPr>
          <w:rFonts w:eastAsiaTheme="minorEastAsia"/>
          <w:i/>
          <w:szCs w:val="22"/>
          <w:lang w:eastAsia="en-US"/>
        </w:rPr>
        <w:t>Treaty</w:t>
      </w:r>
      <w:r w:rsidRPr="00AB4F2E">
        <w:rPr>
          <w:rFonts w:eastAsiaTheme="minorEastAsia"/>
          <w:szCs w:val="22"/>
          <w:lang w:eastAsia="en-US"/>
        </w:rPr>
        <w:t xml:space="preserve">, which denies benefits to certain Luxembourg holding companies. </w:t>
      </w:r>
      <w:r w:rsidR="006D7754">
        <w:rPr>
          <w:rFonts w:eastAsiaTheme="minorEastAsia"/>
          <w:szCs w:val="22"/>
          <w:lang w:eastAsia="en-US"/>
        </w:rPr>
        <w:t xml:space="preserve">The parties’ </w:t>
      </w:r>
      <w:r w:rsidRPr="00AB4F2E">
        <w:rPr>
          <w:rFonts w:eastAsiaTheme="minorEastAsia"/>
          <w:szCs w:val="22"/>
          <w:lang w:eastAsia="en-US"/>
        </w:rPr>
        <w:t xml:space="preserve">choice of this approach should be understood as a rejection of the relevance of economic ties for delineating which corporations should be entitled to </w:t>
      </w:r>
      <w:r w:rsidRPr="00AB4F2E">
        <w:rPr>
          <w:rFonts w:eastAsiaTheme="minorEastAsia"/>
          <w:szCs w:val="22"/>
          <w:lang w:eastAsia="en-US"/>
        </w:rPr>
        <w:lastRenderedPageBreak/>
        <w:t xml:space="preserve">benefits and which should not. </w:t>
      </w:r>
      <w:r w:rsidR="006D7754">
        <w:rPr>
          <w:rFonts w:eastAsiaTheme="minorEastAsia"/>
          <w:szCs w:val="22"/>
          <w:lang w:eastAsia="en-US"/>
        </w:rPr>
        <w:t xml:space="preserve">This </w:t>
      </w:r>
      <w:r w:rsidRPr="00AB4F2E">
        <w:rPr>
          <w:rFonts w:eastAsiaTheme="minorEastAsia"/>
          <w:szCs w:val="22"/>
          <w:lang w:eastAsia="en-US"/>
        </w:rPr>
        <w:t xml:space="preserve">choice suggests that the drafters intended to exclude a corporation with minimal economic connections to one of the contracting states only where the corporation is a holding company benefiting from Luxembourg’s well known international tax haven regime. In light of this clear intention, the spirit of arts. 1 and 4 was not to limit access to the benefits of the </w:t>
      </w:r>
      <w:r w:rsidRPr="00AB4F2E">
        <w:rPr>
          <w:rFonts w:eastAsiaTheme="minorEastAsia"/>
          <w:i/>
          <w:szCs w:val="22"/>
          <w:lang w:eastAsia="en-US"/>
        </w:rPr>
        <w:t xml:space="preserve">Treaty </w:t>
      </w:r>
      <w:r w:rsidRPr="00AB4F2E">
        <w:rPr>
          <w:rFonts w:eastAsiaTheme="minorEastAsia"/>
          <w:szCs w:val="22"/>
          <w:lang w:eastAsia="en-US"/>
        </w:rPr>
        <w:t>to corporations with sufficient substantive economic connections to their country of residence.</w:t>
      </w:r>
    </w:p>
    <w:p w14:paraId="62555B2F" w14:textId="24120963"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t>Although the absence of specific an</w:t>
      </w:r>
      <w:r w:rsidR="00AD291A">
        <w:rPr>
          <w:rFonts w:eastAsiaTheme="minorEastAsia"/>
          <w:szCs w:val="22"/>
          <w:lang w:eastAsia="en-US"/>
        </w:rPr>
        <w:t>ti</w:t>
      </w:r>
      <w:r w:rsidR="00AD291A">
        <w:rPr>
          <w:rFonts w:eastAsiaTheme="minorEastAsia"/>
          <w:szCs w:val="22"/>
          <w:lang w:eastAsia="en-US"/>
        </w:rPr>
        <w:noBreakHyphen/>
      </w:r>
      <w:r w:rsidRPr="00AB4F2E">
        <w:rPr>
          <w:rFonts w:eastAsiaTheme="minorEastAsia"/>
          <w:szCs w:val="22"/>
          <w:lang w:eastAsia="en-US"/>
        </w:rPr>
        <w:t xml:space="preserve">avoidance rules is not necessarily determinative of the application of the GAAR, their absence sheds light on the contracting states’ intention. This is not a case where Parliament did not or could not have foreseen the tax strategy employed by the taxpayer. The use of conduit corporations — legal entities created in a state essentially to obtain treaty benefits that would not be available directly — was not an unforeseen tax strategy at the time of the </w:t>
      </w:r>
      <w:r w:rsidRPr="00AB4F2E">
        <w:rPr>
          <w:rFonts w:eastAsiaTheme="minorEastAsia"/>
          <w:i/>
          <w:szCs w:val="22"/>
          <w:lang w:eastAsia="en-US"/>
        </w:rPr>
        <w:t>Treaty</w:t>
      </w:r>
      <w:r w:rsidRPr="00AB4F2E">
        <w:rPr>
          <w:rFonts w:eastAsiaTheme="minorEastAsia"/>
          <w:szCs w:val="22"/>
          <w:lang w:eastAsia="en-US"/>
        </w:rPr>
        <w:t>. Options to remediate the situation were available and known by the parties, but they made deliberate choices to guard some benefits against conduit corporations and to leave others unguarded. Had the parties truly intended to prevent such corporations from taking advantage of the</w:t>
      </w:r>
      <w:r w:rsidR="006D7754">
        <w:rPr>
          <w:rFonts w:eastAsiaTheme="minorEastAsia"/>
          <w:szCs w:val="22"/>
          <w:lang w:eastAsia="en-US"/>
        </w:rPr>
        <w:t xml:space="preserve"> business property exemption</w:t>
      </w:r>
      <w:r w:rsidRPr="00AB4F2E">
        <w:rPr>
          <w:rFonts w:eastAsiaTheme="minorEastAsia"/>
          <w:szCs w:val="22"/>
          <w:lang w:eastAsia="en-US"/>
        </w:rPr>
        <w:t xml:space="preserve">, they could have done so. Combined with Canada’s preference at the time of the </w:t>
      </w:r>
      <w:r w:rsidRPr="00AB4F2E">
        <w:rPr>
          <w:rFonts w:eastAsiaTheme="minorEastAsia"/>
          <w:i/>
          <w:szCs w:val="22"/>
          <w:lang w:eastAsia="en-US"/>
        </w:rPr>
        <w:t xml:space="preserve">Treaty </w:t>
      </w:r>
      <w:r w:rsidRPr="00AB4F2E">
        <w:rPr>
          <w:rFonts w:eastAsiaTheme="minorEastAsia"/>
          <w:szCs w:val="22"/>
          <w:lang w:eastAsia="en-US"/>
        </w:rPr>
        <w:t>for taking advantage of the economic benefits yielded by foreign investments rather than higher tax revenues, this makes the rationale of t</w:t>
      </w:r>
      <w:r w:rsidR="006D7754">
        <w:rPr>
          <w:rFonts w:eastAsiaTheme="minorEastAsia"/>
          <w:szCs w:val="22"/>
          <w:lang w:eastAsia="en-US"/>
        </w:rPr>
        <w:t>he business property exemption</w:t>
      </w:r>
      <w:r w:rsidRPr="00AB4F2E">
        <w:rPr>
          <w:rFonts w:eastAsiaTheme="minorEastAsia"/>
          <w:szCs w:val="22"/>
          <w:lang w:eastAsia="en-US"/>
        </w:rPr>
        <w:t xml:space="preserve"> even clearer. The fact that the capital gains may not be taxed in Lu</w:t>
      </w:r>
      <w:r w:rsidR="00AD291A">
        <w:rPr>
          <w:rFonts w:eastAsiaTheme="minorEastAsia"/>
          <w:szCs w:val="22"/>
          <w:lang w:eastAsia="en-US"/>
        </w:rPr>
        <w:t>xembourg, leading to double non</w:t>
      </w:r>
      <w:r w:rsidR="00AD291A">
        <w:rPr>
          <w:rFonts w:eastAsiaTheme="minorEastAsia"/>
          <w:szCs w:val="22"/>
          <w:lang w:eastAsia="en-US"/>
        </w:rPr>
        <w:noBreakHyphen/>
      </w:r>
      <w:r w:rsidRPr="00AB4F2E">
        <w:rPr>
          <w:rFonts w:eastAsiaTheme="minorEastAsia"/>
          <w:szCs w:val="22"/>
          <w:lang w:eastAsia="en-US"/>
        </w:rPr>
        <w:t>taxation, and the fact that conduit corporat</w:t>
      </w:r>
      <w:r w:rsidR="006D7754">
        <w:rPr>
          <w:rFonts w:eastAsiaTheme="minorEastAsia"/>
          <w:szCs w:val="22"/>
          <w:lang w:eastAsia="en-US"/>
        </w:rPr>
        <w:t xml:space="preserve">ions can take advantage of the </w:t>
      </w:r>
      <w:r w:rsidRPr="00AB4F2E">
        <w:rPr>
          <w:rFonts w:eastAsiaTheme="minorEastAsia"/>
          <w:szCs w:val="22"/>
          <w:lang w:eastAsia="en-US"/>
        </w:rPr>
        <w:t xml:space="preserve">business property </w:t>
      </w:r>
      <w:r w:rsidR="006D7754">
        <w:rPr>
          <w:rFonts w:eastAsiaTheme="minorEastAsia"/>
          <w:szCs w:val="22"/>
          <w:lang w:eastAsia="en-US"/>
        </w:rPr>
        <w:t>exemption</w:t>
      </w:r>
      <w:r w:rsidRPr="00AB4F2E">
        <w:rPr>
          <w:rFonts w:eastAsiaTheme="minorEastAsia"/>
          <w:szCs w:val="22"/>
          <w:lang w:eastAsia="en-US"/>
        </w:rPr>
        <w:t xml:space="preserve"> are tax planning outcomes consistent with the bargain struck between Canada and Luxembourg.</w:t>
      </w:r>
    </w:p>
    <w:p w14:paraId="7F97F688" w14:textId="10A37775"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lastRenderedPageBreak/>
        <w:tab/>
        <w:t>In raising the GAAR, Canada is now seeking to revisit its bargain in order to secure both foreign investments and tax revenues. Tax treaties are replete with choices. One key choice</w:t>
      </w:r>
      <w:r w:rsidR="006D7754">
        <w:rPr>
          <w:rFonts w:eastAsiaTheme="minorEastAsia"/>
          <w:szCs w:val="22"/>
          <w:lang w:eastAsia="en-US"/>
        </w:rPr>
        <w:t xml:space="preserve"> made by Canada and Luxembourg </w:t>
      </w:r>
      <w:r w:rsidRPr="00AB4F2E">
        <w:rPr>
          <w:rFonts w:eastAsiaTheme="minorEastAsia"/>
          <w:szCs w:val="22"/>
          <w:lang w:eastAsia="en-US"/>
        </w:rPr>
        <w:t xml:space="preserve">in negotiating the </w:t>
      </w:r>
      <w:r w:rsidRPr="00AB4F2E">
        <w:rPr>
          <w:rFonts w:eastAsiaTheme="minorEastAsia"/>
          <w:i/>
          <w:szCs w:val="22"/>
          <w:lang w:eastAsia="en-US"/>
        </w:rPr>
        <w:t>Treaty</w:t>
      </w:r>
      <w:r w:rsidRPr="00AB4F2E">
        <w:rPr>
          <w:rFonts w:eastAsiaTheme="minorEastAsia"/>
          <w:szCs w:val="22"/>
          <w:lang w:eastAsia="en-US"/>
        </w:rPr>
        <w:t xml:space="preserve"> was to deviate from the OECD </w:t>
      </w:r>
      <w:r w:rsidRPr="00AB4F2E">
        <w:rPr>
          <w:rFonts w:eastAsiaTheme="minorEastAsia"/>
          <w:i/>
          <w:szCs w:val="22"/>
          <w:lang w:eastAsia="en-US"/>
        </w:rPr>
        <w:t xml:space="preserve">Model Tax Convention on Income and on Capital </w:t>
      </w:r>
      <w:r w:rsidR="006D7754">
        <w:rPr>
          <w:rFonts w:eastAsiaTheme="minorEastAsia"/>
          <w:szCs w:val="22"/>
          <w:lang w:eastAsia="en-US"/>
        </w:rPr>
        <w:t>by allocat</w:t>
      </w:r>
      <w:r w:rsidRPr="00AB4F2E">
        <w:rPr>
          <w:rFonts w:eastAsiaTheme="minorEastAsia"/>
          <w:szCs w:val="22"/>
          <w:lang w:eastAsia="en-US"/>
        </w:rPr>
        <w:t>ing to a person’s residence state the right to tax capital gains realized on the disposition of shares or other similar interests deriving their value principally from immovable property used in a corporation’s business. The business property exemption is a clear departure from the theory of economic allegiance, under which the parties to a treaty avoid double taxation by allocat</w:t>
      </w:r>
      <w:r w:rsidR="006D7754">
        <w:rPr>
          <w:rFonts w:eastAsiaTheme="minorEastAsia"/>
          <w:szCs w:val="22"/>
          <w:lang w:eastAsia="en-US"/>
        </w:rPr>
        <w:t>ing the right to collect taxes</w:t>
      </w:r>
      <w:r w:rsidRPr="00AB4F2E">
        <w:rPr>
          <w:rFonts w:eastAsiaTheme="minorEastAsia"/>
          <w:szCs w:val="22"/>
          <w:lang w:eastAsia="en-US"/>
        </w:rPr>
        <w:t xml:space="preserve"> to the contracting state to which the income and the taxpayer are more closely connected.</w:t>
      </w:r>
      <w:r w:rsidRPr="00AB4F2E">
        <w:rPr>
          <w:rFonts w:eastAsiaTheme="minorEastAsia" w:cstheme="minorBidi"/>
          <w:szCs w:val="22"/>
          <w:lang w:eastAsia="en-US"/>
        </w:rPr>
        <w:t xml:space="preserve"> </w:t>
      </w:r>
      <w:r w:rsidRPr="00AB4F2E">
        <w:rPr>
          <w:rFonts w:eastAsiaTheme="minorEastAsia"/>
          <w:szCs w:val="22"/>
          <w:lang w:eastAsia="en-US"/>
        </w:rPr>
        <w:t>Canada effectively agreed to give up its right to tax certain entities incorporated in Luxembourg in exchange for the jobs and economic opportunities that the business property exemption would promote.</w:t>
      </w:r>
    </w:p>
    <w:p w14:paraId="03D9C528" w14:textId="420FBEAA"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r>
      <w:r w:rsidR="006D7754">
        <w:rPr>
          <w:rFonts w:eastAsiaTheme="minorEastAsia"/>
          <w:szCs w:val="22"/>
          <w:lang w:eastAsia="en-US"/>
        </w:rPr>
        <w:t xml:space="preserve">The provisions </w:t>
      </w:r>
      <w:r w:rsidRPr="00AB4F2E">
        <w:rPr>
          <w:rFonts w:eastAsiaTheme="minorEastAsia"/>
          <w:szCs w:val="22"/>
          <w:lang w:eastAsia="en-US"/>
        </w:rPr>
        <w:t xml:space="preserve">of the </w:t>
      </w:r>
      <w:r w:rsidRPr="00AB4F2E">
        <w:rPr>
          <w:rFonts w:eastAsiaTheme="minorEastAsia"/>
          <w:i/>
          <w:iCs/>
          <w:szCs w:val="22"/>
          <w:lang w:eastAsia="en-US"/>
        </w:rPr>
        <w:t>Treaty</w:t>
      </w:r>
      <w:r w:rsidRPr="00AB4F2E">
        <w:rPr>
          <w:rFonts w:eastAsiaTheme="minorEastAsia"/>
          <w:szCs w:val="22"/>
          <w:lang w:eastAsia="en-US"/>
        </w:rPr>
        <w:t xml:space="preserve"> operated as they were intended to operate —the</w:t>
      </w:r>
      <w:r w:rsidR="006D7754">
        <w:rPr>
          <w:rFonts w:eastAsiaTheme="minorEastAsia"/>
          <w:szCs w:val="22"/>
          <w:lang w:eastAsia="en-US"/>
        </w:rPr>
        <w:t xml:space="preserve"> avoidance transaction neither defeated </w:t>
      </w:r>
      <w:r w:rsidRPr="00AB4F2E">
        <w:rPr>
          <w:rFonts w:eastAsiaTheme="minorEastAsia"/>
          <w:szCs w:val="22"/>
          <w:lang w:eastAsia="en-US"/>
        </w:rPr>
        <w:t xml:space="preserve">nor frustrated the object, spirit, or purpose of the provisions in issue. </w:t>
      </w:r>
      <w:r w:rsidR="006D7754">
        <w:rPr>
          <w:rFonts w:eastAsiaTheme="minorEastAsia"/>
          <w:szCs w:val="22"/>
          <w:lang w:eastAsia="en-US"/>
        </w:rPr>
        <w:t xml:space="preserve">Therefore, there was no abuse, </w:t>
      </w:r>
      <w:r w:rsidRPr="00AB4F2E">
        <w:rPr>
          <w:rFonts w:eastAsiaTheme="minorEastAsia"/>
          <w:szCs w:val="22"/>
          <w:lang w:eastAsia="en-US"/>
        </w:rPr>
        <w:t xml:space="preserve">so the GAAR cannot be applied to deny the tax benefit claimed. The </w:t>
      </w:r>
      <w:r w:rsidRPr="00AB4F2E">
        <w:rPr>
          <w:rFonts w:eastAsiaTheme="minorEastAsia"/>
          <w:i/>
          <w:szCs w:val="22"/>
          <w:lang w:eastAsia="en-US"/>
        </w:rPr>
        <w:t>Treaty</w:t>
      </w:r>
      <w:r w:rsidRPr="00AB4F2E">
        <w:rPr>
          <w:rFonts w:eastAsiaTheme="minorEastAsia"/>
          <w:szCs w:val="22"/>
          <w:lang w:eastAsia="en-US"/>
        </w:rPr>
        <w:t xml:space="preserve"> makes it clear that Canada and Luxembourg agreed that the power to tax would be allocated to Luxembou</w:t>
      </w:r>
      <w:r w:rsidR="006D7754">
        <w:rPr>
          <w:rFonts w:eastAsiaTheme="minorEastAsia"/>
          <w:szCs w:val="22"/>
          <w:lang w:eastAsia="en-US"/>
        </w:rPr>
        <w:t xml:space="preserve">rg where the conditions of the </w:t>
      </w:r>
      <w:r w:rsidRPr="00AB4F2E">
        <w:rPr>
          <w:rFonts w:eastAsiaTheme="minorEastAsia"/>
          <w:szCs w:val="22"/>
          <w:lang w:eastAsia="en-US"/>
        </w:rPr>
        <w:t>business pr</w:t>
      </w:r>
      <w:r w:rsidR="006D7754">
        <w:rPr>
          <w:rFonts w:eastAsiaTheme="minorEastAsia"/>
          <w:szCs w:val="22"/>
          <w:lang w:eastAsia="en-US"/>
        </w:rPr>
        <w:t>operty exemption were met.</w:t>
      </w:r>
      <w:r w:rsidRPr="00AB4F2E">
        <w:rPr>
          <w:rFonts w:eastAsiaTheme="minorEastAsia"/>
          <w:szCs w:val="22"/>
          <w:lang w:eastAsia="en-US"/>
        </w:rPr>
        <w:t xml:space="preserve"> There is nothing in the </w:t>
      </w:r>
      <w:r w:rsidRPr="00AB4F2E">
        <w:rPr>
          <w:rFonts w:eastAsiaTheme="minorEastAsia"/>
          <w:i/>
          <w:szCs w:val="22"/>
          <w:lang w:eastAsia="en-US"/>
        </w:rPr>
        <w:t>Treaty</w:t>
      </w:r>
      <w:r w:rsidRPr="00AB4F2E">
        <w:rPr>
          <w:rFonts w:eastAsiaTheme="minorEastAsia"/>
          <w:szCs w:val="22"/>
          <w:lang w:eastAsia="en-US"/>
        </w:rPr>
        <w:t xml:space="preserve"> suggesting that a single</w:t>
      </w:r>
      <w:r w:rsidRPr="00AB4F2E">
        <w:rPr>
          <w:rFonts w:eastAsiaTheme="minorEastAsia"/>
          <w:szCs w:val="22"/>
          <w:lang w:eastAsia="en-US"/>
        </w:rPr>
        <w:noBreakHyphen/>
        <w:t xml:space="preserve">purpose conduit corporation resident in Luxembourg cannot avail itself of the benefits of the </w:t>
      </w:r>
      <w:r w:rsidRPr="00AB4F2E">
        <w:rPr>
          <w:rFonts w:eastAsiaTheme="minorEastAsia"/>
          <w:i/>
          <w:szCs w:val="22"/>
          <w:lang w:eastAsia="en-US"/>
        </w:rPr>
        <w:t>Treaty</w:t>
      </w:r>
      <w:r w:rsidRPr="00AB4F2E">
        <w:rPr>
          <w:rFonts w:eastAsiaTheme="minorEastAsia"/>
          <w:szCs w:val="22"/>
          <w:lang w:eastAsia="en-US"/>
        </w:rPr>
        <w:t xml:space="preserve"> due to some other cons</w:t>
      </w:r>
      <w:r w:rsidR="006D7754">
        <w:rPr>
          <w:rFonts w:eastAsiaTheme="minorEastAsia"/>
          <w:szCs w:val="22"/>
          <w:lang w:eastAsia="en-US"/>
        </w:rPr>
        <w:t xml:space="preserve">ideration. The provisions </w:t>
      </w:r>
      <w:r w:rsidRPr="00AB4F2E">
        <w:rPr>
          <w:rFonts w:eastAsiaTheme="minorEastAsia"/>
          <w:szCs w:val="22"/>
          <w:lang w:eastAsia="en-US"/>
        </w:rPr>
        <w:t xml:space="preserve">of the </w:t>
      </w:r>
      <w:r w:rsidRPr="00AB4F2E">
        <w:rPr>
          <w:rFonts w:eastAsiaTheme="minorEastAsia"/>
          <w:i/>
          <w:szCs w:val="22"/>
          <w:lang w:eastAsia="en-US"/>
        </w:rPr>
        <w:t>Treaty</w:t>
      </w:r>
      <w:r w:rsidRPr="00AB4F2E">
        <w:rPr>
          <w:rFonts w:eastAsiaTheme="minorEastAsia"/>
          <w:szCs w:val="22"/>
          <w:lang w:eastAsia="en-US"/>
        </w:rPr>
        <w:t xml:space="preserve"> operated as they were intended to operate; there was no abuse, and, therefore, the GAAR cannot be applied to deny the tax benefit claimed.</w:t>
      </w:r>
    </w:p>
    <w:p w14:paraId="546D4BD9" w14:textId="0B328134" w:rsidR="00663E48" w:rsidRPr="00AB4F2E" w:rsidRDefault="00663E48" w:rsidP="00453F59">
      <w:pPr>
        <w:pStyle w:val="SCCNormalDoubleSpacing"/>
        <w:spacing w:after="480"/>
        <w:rPr>
          <w:rFonts w:eastAsiaTheme="minorEastAsia"/>
          <w:szCs w:val="22"/>
          <w:lang w:eastAsia="en-US"/>
        </w:rPr>
      </w:pPr>
      <w:r w:rsidRPr="00AB4F2E">
        <w:rPr>
          <w:i/>
          <w:iCs/>
        </w:rPr>
        <w:lastRenderedPageBreak/>
        <w:tab/>
        <w:t>Per</w:t>
      </w:r>
      <w:r w:rsidRPr="00AB4F2E">
        <w:t xml:space="preserve"> Wagner C.J. and </w:t>
      </w:r>
      <w:r w:rsidRPr="00AB4F2E">
        <w:rPr>
          <w:b/>
        </w:rPr>
        <w:t>Rowe</w:t>
      </w:r>
      <w:r w:rsidRPr="00AB4F2E">
        <w:t xml:space="preserve"> and </w:t>
      </w:r>
      <w:r w:rsidRPr="00AB4F2E">
        <w:rPr>
          <w:b/>
        </w:rPr>
        <w:t>Martin</w:t>
      </w:r>
      <w:r w:rsidRPr="00AB4F2E">
        <w:t xml:space="preserve"> JJ. (dissenting): </w:t>
      </w:r>
      <w:r w:rsidRPr="00AB4F2E">
        <w:rPr>
          <w:rFonts w:eastAsiaTheme="minorEastAsia"/>
          <w:szCs w:val="22"/>
          <w:lang w:eastAsia="en-US"/>
        </w:rPr>
        <w:t xml:space="preserve">The appeal should be allowed. Alta Luxembourg’s claim for a tax benefit under the </w:t>
      </w:r>
      <w:r w:rsidRPr="00AB4F2E">
        <w:rPr>
          <w:rFonts w:eastAsiaTheme="minorEastAsia"/>
          <w:i/>
          <w:szCs w:val="22"/>
          <w:lang w:eastAsia="en-US"/>
        </w:rPr>
        <w:t>Treaty</w:t>
      </w:r>
      <w:r w:rsidRPr="00AB4F2E">
        <w:rPr>
          <w:rFonts w:eastAsiaTheme="minorEastAsia"/>
          <w:szCs w:val="22"/>
          <w:lang w:eastAsia="en-US"/>
        </w:rPr>
        <w:t xml:space="preserve"> is the result of a</w:t>
      </w:r>
      <w:r w:rsidR="006D7754">
        <w:rPr>
          <w:rFonts w:eastAsiaTheme="minorEastAsia"/>
          <w:szCs w:val="22"/>
          <w:lang w:eastAsia="en-US"/>
        </w:rPr>
        <w:t xml:space="preserve">busive avoidance transactions. </w:t>
      </w:r>
      <w:r w:rsidRPr="00AB4F2E">
        <w:rPr>
          <w:rFonts w:eastAsiaTheme="minorEastAsia"/>
          <w:szCs w:val="22"/>
          <w:lang w:eastAsia="en-US"/>
        </w:rPr>
        <w:t xml:space="preserve">The courts below did not properly identify the rationale underlying the relevant provisions of the </w:t>
      </w:r>
      <w:r w:rsidRPr="00AB4F2E">
        <w:rPr>
          <w:rFonts w:eastAsiaTheme="minorEastAsia"/>
          <w:i/>
          <w:szCs w:val="22"/>
          <w:lang w:eastAsia="en-US"/>
        </w:rPr>
        <w:t>Treaty</w:t>
      </w:r>
      <w:r w:rsidRPr="00AB4F2E">
        <w:rPr>
          <w:rFonts w:eastAsiaTheme="minorEastAsia"/>
          <w:szCs w:val="22"/>
          <w:lang w:eastAsia="en-US"/>
        </w:rPr>
        <w:t>. They gave weight only to the text and failed to consider why the provisions were put in place. This is not the exercise mandated under the GAAR. Technical compliance with a tax treaty in a way that frustrates the underlying rationale of the provisions relied upon by the taxpayer is precisely what triggers the GAAR. Although it is a long standing principle in Canadian law that taxpayers may arrange their affairs to minimize their amount of tax payable, an unbridl</w:t>
      </w:r>
      <w:r w:rsidR="006D7754">
        <w:rPr>
          <w:rFonts w:eastAsiaTheme="minorEastAsia"/>
          <w:szCs w:val="22"/>
          <w:lang w:eastAsia="en-US"/>
        </w:rPr>
        <w:t>ed application of that</w:t>
      </w:r>
      <w:r w:rsidRPr="00AB4F2E">
        <w:rPr>
          <w:rFonts w:eastAsiaTheme="minorEastAsia"/>
          <w:szCs w:val="22"/>
          <w:lang w:eastAsia="en-US"/>
        </w:rPr>
        <w:t xml:space="preserve"> principle can mislead taxpayers into believing that tax plans that merely comply with the technical provisions of the </w:t>
      </w:r>
      <w:r w:rsidRPr="00AB4F2E">
        <w:rPr>
          <w:rFonts w:eastAsiaTheme="minorEastAsia"/>
          <w:i/>
          <w:szCs w:val="22"/>
          <w:lang w:eastAsia="en-US"/>
        </w:rPr>
        <w:t>Act</w:t>
      </w:r>
      <w:r w:rsidRPr="00AB4F2E">
        <w:rPr>
          <w:rFonts w:eastAsiaTheme="minorEastAsia"/>
          <w:szCs w:val="22"/>
          <w:lang w:eastAsia="en-US"/>
        </w:rPr>
        <w:t xml:space="preserve"> are acceptable. </w:t>
      </w:r>
      <w:r w:rsidR="006D7754">
        <w:rPr>
          <w:rFonts w:eastAsiaTheme="minorEastAsia"/>
          <w:szCs w:val="22"/>
          <w:lang w:eastAsia="en-US"/>
        </w:rPr>
        <w:t>Similarly,</w:t>
      </w:r>
      <w:r w:rsidRPr="00AB4F2E">
        <w:rPr>
          <w:rFonts w:eastAsiaTheme="minorEastAsia"/>
          <w:szCs w:val="22"/>
          <w:lang w:eastAsia="en-US"/>
        </w:rPr>
        <w:t xml:space="preserve"> treaty shopping is not inherently abusive, but where taxing rights in a tax treaty are allocated on the basis of economic allegiance and conduit entities claim tax benefits despite the absence of any genuine economic connection with the state of residen</w:t>
      </w:r>
      <w:r w:rsidR="00AD291A">
        <w:rPr>
          <w:rFonts w:eastAsiaTheme="minorEastAsia"/>
          <w:szCs w:val="22"/>
          <w:lang w:eastAsia="en-US"/>
        </w:rPr>
        <w:t>ce, treaty shopping is abusive.</w:t>
      </w:r>
    </w:p>
    <w:p w14:paraId="0003A624" w14:textId="76B2D138"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t>Canada has acted to curb abusive international tax avoidance by enacting the GAAR, which denies tax benefits when taxpayers engage in transactions that conform with the text of the tax rules relied upon, but do not accord with the</w:t>
      </w:r>
      <w:r w:rsidR="006D7754">
        <w:rPr>
          <w:rFonts w:eastAsiaTheme="minorEastAsia"/>
          <w:szCs w:val="22"/>
          <w:lang w:eastAsia="en-US"/>
        </w:rPr>
        <w:t>ir rationale. As such, the</w:t>
      </w:r>
      <w:r w:rsidRPr="00AB4F2E">
        <w:rPr>
          <w:rFonts w:eastAsiaTheme="minorEastAsia"/>
          <w:szCs w:val="22"/>
          <w:lang w:eastAsia="en-US"/>
        </w:rPr>
        <w:t xml:space="preserve"> GAAR vests upon courts the unusual duty to look beyond the words of the applicable provisions to determine whether the transactions in question frustrate their underlying rationale. An interpretation confined to the black letter of these legisla</w:t>
      </w:r>
      <w:r w:rsidR="006D7754">
        <w:rPr>
          <w:rFonts w:eastAsiaTheme="minorEastAsia"/>
          <w:szCs w:val="22"/>
          <w:lang w:eastAsia="en-US"/>
        </w:rPr>
        <w:t>tive provisions would defeat</w:t>
      </w:r>
      <w:r w:rsidRPr="00AB4F2E">
        <w:rPr>
          <w:rFonts w:eastAsiaTheme="minorEastAsia"/>
          <w:szCs w:val="22"/>
          <w:lang w:eastAsia="en-US"/>
        </w:rPr>
        <w:t xml:space="preserve"> P</w:t>
      </w:r>
      <w:r w:rsidR="006D7754">
        <w:rPr>
          <w:rFonts w:eastAsiaTheme="minorEastAsia"/>
          <w:szCs w:val="22"/>
          <w:lang w:eastAsia="en-US"/>
        </w:rPr>
        <w:t>arliament’s will and fail</w:t>
      </w:r>
      <w:r w:rsidRPr="00AB4F2E">
        <w:rPr>
          <w:rFonts w:eastAsiaTheme="minorEastAsia"/>
          <w:szCs w:val="22"/>
          <w:lang w:eastAsia="en-US"/>
        </w:rPr>
        <w:t xml:space="preserve"> to fulfil the courts’ role. As the question under the GAAR is not whether the taxpayer can claim a tax benefit, </w:t>
      </w:r>
      <w:r w:rsidRPr="00AB4F2E">
        <w:rPr>
          <w:rFonts w:eastAsiaTheme="minorEastAsia"/>
          <w:szCs w:val="22"/>
          <w:lang w:eastAsia="en-US"/>
        </w:rPr>
        <w:lastRenderedPageBreak/>
        <w:t xml:space="preserve">but rather why the benefit was conferred, a GAAR analysis is not constrained by the text in the same way as a traditional statutory interpretation. </w:t>
      </w:r>
      <w:r w:rsidR="006D7754">
        <w:rPr>
          <w:rFonts w:eastAsiaTheme="minorEastAsia"/>
          <w:szCs w:val="22"/>
          <w:lang w:eastAsia="en-US"/>
        </w:rPr>
        <w:t>While this</w:t>
      </w:r>
      <w:r w:rsidRPr="00AB4F2E">
        <w:rPr>
          <w:rFonts w:eastAsiaTheme="minorEastAsia"/>
          <w:szCs w:val="22"/>
          <w:lang w:eastAsia="en-US"/>
        </w:rPr>
        <w:t xml:space="preserve"> gives rise to a degree of uncertainty for taxpayers, allowing the GAAR to create this uncertainty was a deliberate choice that Parliament made when it enacted a provision that can defeat tax avoidance schemes that exploit Canada’s legislation and treaties. </w:t>
      </w:r>
      <w:r w:rsidR="006D7754">
        <w:rPr>
          <w:rFonts w:eastAsiaTheme="minorEastAsia"/>
          <w:szCs w:val="22"/>
          <w:lang w:eastAsia="en-US"/>
        </w:rPr>
        <w:t>Where those schemes</w:t>
      </w:r>
      <w:r w:rsidRPr="00AB4F2E">
        <w:rPr>
          <w:rFonts w:eastAsiaTheme="minorEastAsia"/>
          <w:szCs w:val="22"/>
          <w:lang w:eastAsia="en-US"/>
        </w:rPr>
        <w:t xml:space="preserve"> cross the line into abusive tax avoidance, a finding that the GAAR applies does not run counter to the principles of certainty, predictability and fairness.</w:t>
      </w:r>
    </w:p>
    <w:p w14:paraId="2709728B" w14:textId="4C905196" w:rsidR="00663E48" w:rsidRPr="00AB4F2E" w:rsidRDefault="00663E48" w:rsidP="00453F59">
      <w:pPr>
        <w:pStyle w:val="SCCNormalDoubleSpacing"/>
        <w:spacing w:after="480"/>
        <w:rPr>
          <w:rFonts w:eastAsiaTheme="minorEastAsia"/>
          <w:szCs w:val="22"/>
          <w:lang w:eastAsia="en-US"/>
        </w:rPr>
      </w:pPr>
      <w:r w:rsidRPr="00AB4F2E">
        <w:rPr>
          <w:rFonts w:eastAsiaTheme="minorEastAsia"/>
          <w:szCs w:val="22"/>
          <w:lang w:eastAsia="en-US"/>
        </w:rPr>
        <w:tab/>
        <w:t>The</w:t>
      </w:r>
      <w:r w:rsidR="006D7754">
        <w:rPr>
          <w:rFonts w:eastAsiaTheme="minorEastAsia"/>
          <w:szCs w:val="22"/>
          <w:lang w:eastAsia="en-US"/>
        </w:rPr>
        <w:t xml:space="preserve"> allocation of taxing powers </w:t>
      </w:r>
      <w:r w:rsidRPr="00AB4F2E">
        <w:rPr>
          <w:rFonts w:eastAsiaTheme="minorEastAsia"/>
          <w:szCs w:val="22"/>
          <w:lang w:eastAsia="en-US"/>
        </w:rPr>
        <w:t xml:space="preserve">in the </w:t>
      </w:r>
      <w:r w:rsidRPr="00AB4F2E">
        <w:rPr>
          <w:rFonts w:eastAsiaTheme="minorEastAsia"/>
          <w:i/>
          <w:szCs w:val="22"/>
          <w:lang w:eastAsia="en-US"/>
        </w:rPr>
        <w:t>Treaty</w:t>
      </w:r>
      <w:r w:rsidRPr="00AB4F2E">
        <w:rPr>
          <w:rFonts w:eastAsiaTheme="minorEastAsia"/>
          <w:szCs w:val="22"/>
          <w:lang w:eastAsia="en-US"/>
        </w:rPr>
        <w:t xml:space="preserve"> follows the theory of “economic allegiance”, so the object, spirit or purpose of the relevant provisions of the </w:t>
      </w:r>
      <w:r w:rsidRPr="00AB4F2E">
        <w:rPr>
          <w:rFonts w:eastAsiaTheme="minorEastAsia"/>
          <w:i/>
          <w:szCs w:val="22"/>
          <w:lang w:eastAsia="en-US"/>
        </w:rPr>
        <w:t>Treaty</w:t>
      </w:r>
      <w:r w:rsidRPr="00AB4F2E">
        <w:rPr>
          <w:rFonts w:eastAsiaTheme="minorEastAsia"/>
          <w:szCs w:val="22"/>
          <w:lang w:eastAsia="en-US"/>
        </w:rPr>
        <w:t xml:space="preserve"> is to assign taxing rights to the state with the closest economic connection to the tax</w:t>
      </w:r>
      <w:r w:rsidR="00AD291A">
        <w:rPr>
          <w:rFonts w:eastAsiaTheme="minorEastAsia"/>
          <w:szCs w:val="22"/>
          <w:lang w:eastAsia="en-US"/>
        </w:rPr>
        <w:t>payer’s income. Under art. </w:t>
      </w:r>
      <w:r w:rsidRPr="00AB4F2E">
        <w:rPr>
          <w:rFonts w:eastAsiaTheme="minorEastAsia"/>
          <w:szCs w:val="22"/>
          <w:lang w:eastAsia="en-US"/>
        </w:rPr>
        <w:t>13(5), the state of residence retains its jurisdiction to tax capital gain</w:t>
      </w:r>
      <w:r w:rsidR="00AD291A">
        <w:rPr>
          <w:rFonts w:eastAsiaTheme="minorEastAsia"/>
          <w:szCs w:val="22"/>
          <w:lang w:eastAsia="en-US"/>
        </w:rPr>
        <w:t>s unless the exceptions in art. </w:t>
      </w:r>
      <w:r w:rsidRPr="00AB4F2E">
        <w:rPr>
          <w:rFonts w:eastAsiaTheme="minorEastAsia"/>
          <w:szCs w:val="22"/>
          <w:lang w:eastAsia="en-US"/>
        </w:rPr>
        <w:t>13(1) to (4) apply. Article 13(1) preserves the right of the source state to tax gains derived from immovable property sit</w:t>
      </w:r>
      <w:r w:rsidR="006D7754">
        <w:rPr>
          <w:rFonts w:eastAsiaTheme="minorEastAsia"/>
          <w:szCs w:val="22"/>
          <w:lang w:eastAsia="en-US"/>
        </w:rPr>
        <w:t>uated in that state, and</w:t>
      </w:r>
      <w:r w:rsidR="00AD291A">
        <w:rPr>
          <w:rFonts w:eastAsiaTheme="minorEastAsia"/>
          <w:szCs w:val="22"/>
          <w:lang w:eastAsia="en-US"/>
        </w:rPr>
        <w:t xml:space="preserve"> art. </w:t>
      </w:r>
      <w:r w:rsidR="006D7754">
        <w:rPr>
          <w:rFonts w:eastAsiaTheme="minorEastAsia"/>
          <w:szCs w:val="22"/>
          <w:lang w:eastAsia="en-US"/>
        </w:rPr>
        <w:t>13(4) preserves the source state’s</w:t>
      </w:r>
      <w:r w:rsidRPr="00AB4F2E">
        <w:rPr>
          <w:rFonts w:eastAsiaTheme="minorEastAsia"/>
          <w:szCs w:val="22"/>
          <w:lang w:eastAsia="en-US"/>
        </w:rPr>
        <w:t xml:space="preserve"> right to tax capital gains arising from the disposition of shares the value of which is derived principally from immovable property situated in that state, unless the c</w:t>
      </w:r>
      <w:r w:rsidR="006D7754">
        <w:rPr>
          <w:rFonts w:eastAsiaTheme="minorEastAsia"/>
          <w:szCs w:val="22"/>
          <w:lang w:eastAsia="en-US"/>
        </w:rPr>
        <w:t xml:space="preserve">ompany carries on business </w:t>
      </w:r>
      <w:r w:rsidRPr="00AB4F2E">
        <w:rPr>
          <w:rFonts w:eastAsiaTheme="minorEastAsia"/>
          <w:szCs w:val="22"/>
          <w:lang w:eastAsia="en-US"/>
        </w:rPr>
        <w:t>in the property. T</w:t>
      </w:r>
      <w:r w:rsidR="006D7754">
        <w:rPr>
          <w:rFonts w:eastAsiaTheme="minorEastAsia"/>
          <w:szCs w:val="22"/>
          <w:lang w:eastAsia="en-US"/>
        </w:rPr>
        <w:t>he business property exemption</w:t>
      </w:r>
      <w:r w:rsidRPr="00AB4F2E">
        <w:rPr>
          <w:rFonts w:eastAsiaTheme="minorEastAsia"/>
          <w:szCs w:val="22"/>
          <w:lang w:eastAsia="en-US"/>
        </w:rPr>
        <w:t xml:space="preserve"> assigns the right to tax capital gains arising from the disposition of immovable property in which business is carried on to the resident state. The rationale behind </w:t>
      </w:r>
      <w:r w:rsidR="006D7754">
        <w:rPr>
          <w:rFonts w:eastAsiaTheme="minorEastAsia"/>
          <w:szCs w:val="22"/>
          <w:lang w:eastAsia="en-US"/>
        </w:rPr>
        <w:t xml:space="preserve">the </w:t>
      </w:r>
      <w:r w:rsidRPr="00AB4F2E">
        <w:rPr>
          <w:rFonts w:eastAsiaTheme="minorEastAsia"/>
          <w:szCs w:val="22"/>
          <w:lang w:eastAsia="en-US"/>
        </w:rPr>
        <w:t>business property exemption is to encourage investment; it reflects the fact that the business activity, rather than the immovable property itself, drives the valu</w:t>
      </w:r>
      <w:r w:rsidR="00AD291A">
        <w:rPr>
          <w:rFonts w:eastAsiaTheme="minorEastAsia"/>
          <w:szCs w:val="22"/>
          <w:lang w:eastAsia="en-US"/>
        </w:rPr>
        <w:t xml:space="preserve">e of the property. Article </w:t>
      </w:r>
      <w:r w:rsidR="006D7754">
        <w:rPr>
          <w:rFonts w:eastAsiaTheme="minorEastAsia"/>
          <w:szCs w:val="22"/>
          <w:lang w:eastAsia="en-US"/>
        </w:rPr>
        <w:t xml:space="preserve">13(4) </w:t>
      </w:r>
      <w:r w:rsidRPr="00AB4F2E">
        <w:rPr>
          <w:rFonts w:eastAsiaTheme="minorEastAsia"/>
          <w:szCs w:val="22"/>
          <w:lang w:eastAsia="en-US"/>
        </w:rPr>
        <w:t>therefore allocates to Luxembourg the right to tax its residents’ indirect gains from immovable property situate</w:t>
      </w:r>
      <w:r w:rsidR="00AD291A">
        <w:rPr>
          <w:rFonts w:eastAsiaTheme="minorEastAsia"/>
          <w:szCs w:val="22"/>
          <w:lang w:eastAsia="en-US"/>
        </w:rPr>
        <w:t>d in Canada used in a business.</w:t>
      </w:r>
    </w:p>
    <w:p w14:paraId="307C1291" w14:textId="4D600BDC" w:rsidR="00663E48" w:rsidRPr="00AB4F2E" w:rsidRDefault="006D7754" w:rsidP="00453F59">
      <w:pPr>
        <w:pStyle w:val="SCCNormalDoubleSpacing"/>
        <w:spacing w:after="480"/>
        <w:rPr>
          <w:rFonts w:eastAsiaTheme="minorEastAsia"/>
          <w:szCs w:val="22"/>
          <w:lang w:eastAsia="en-US"/>
        </w:rPr>
      </w:pPr>
      <w:r>
        <w:rPr>
          <w:rFonts w:eastAsiaTheme="minorEastAsia"/>
          <w:szCs w:val="22"/>
          <w:lang w:eastAsia="en-US"/>
        </w:rPr>
        <w:lastRenderedPageBreak/>
        <w:tab/>
        <w:t>In the instant</w:t>
      </w:r>
      <w:r w:rsidR="00663E48" w:rsidRPr="00AB4F2E">
        <w:rPr>
          <w:rFonts w:eastAsiaTheme="minorEastAsia"/>
          <w:szCs w:val="22"/>
          <w:lang w:eastAsia="en-US"/>
        </w:rPr>
        <w:t xml:space="preserve"> case, the abuse is clear. Alta Luxembourg had no genuine economic connections with Luxembourg as it was a mere conduit interposed in Lu</w:t>
      </w:r>
      <w:r w:rsidR="00AD291A">
        <w:rPr>
          <w:rFonts w:eastAsiaTheme="minorEastAsia"/>
          <w:szCs w:val="22"/>
          <w:lang w:eastAsia="en-US"/>
        </w:rPr>
        <w:t>xembourg for residents of third</w:t>
      </w:r>
      <w:r w:rsidR="00AD291A">
        <w:rPr>
          <w:rFonts w:eastAsiaTheme="minorEastAsia"/>
          <w:szCs w:val="22"/>
          <w:lang w:eastAsia="en-US"/>
        </w:rPr>
        <w:noBreakHyphen/>
      </w:r>
      <w:r w:rsidR="00663E48" w:rsidRPr="00AB4F2E">
        <w:rPr>
          <w:rFonts w:eastAsiaTheme="minorEastAsia"/>
          <w:szCs w:val="22"/>
          <w:lang w:eastAsia="en-US"/>
        </w:rPr>
        <w:t xml:space="preserve">party states to avail themselves of a tax exemption under the </w:t>
      </w:r>
      <w:r w:rsidR="00663E48" w:rsidRPr="00AB4F2E">
        <w:rPr>
          <w:rFonts w:eastAsiaTheme="minorEastAsia"/>
          <w:i/>
          <w:szCs w:val="22"/>
          <w:lang w:eastAsia="en-US"/>
        </w:rPr>
        <w:t>Treaty</w:t>
      </w:r>
      <w:r w:rsidR="00663E48" w:rsidRPr="00AB4F2E">
        <w:rPr>
          <w:rFonts w:eastAsiaTheme="minorEastAsia"/>
          <w:szCs w:val="22"/>
          <w:lang w:eastAsia="en-US"/>
        </w:rPr>
        <w:t xml:space="preserve">. This lack of any genuine economic connection to Luxembourg frustrates the rationale of the relevant provisions of the </w:t>
      </w:r>
      <w:r w:rsidR="00663E48" w:rsidRPr="00AB4F2E">
        <w:rPr>
          <w:rFonts w:eastAsiaTheme="minorEastAsia"/>
          <w:i/>
          <w:szCs w:val="22"/>
          <w:lang w:eastAsia="en-US"/>
        </w:rPr>
        <w:t>Treaty</w:t>
      </w:r>
      <w:r w:rsidR="00663E48" w:rsidRPr="00AB4F2E">
        <w:rPr>
          <w:rFonts w:eastAsiaTheme="minorEastAsia"/>
          <w:szCs w:val="22"/>
          <w:lang w:eastAsia="en-US"/>
        </w:rPr>
        <w:t xml:space="preserve">. The federal government </w:t>
      </w:r>
      <w:r>
        <w:rPr>
          <w:rFonts w:eastAsiaTheme="minorEastAsia"/>
          <w:szCs w:val="22"/>
          <w:lang w:eastAsia="en-US"/>
        </w:rPr>
        <w:t>did not</w:t>
      </w:r>
      <w:r w:rsidR="00663E48" w:rsidRPr="00AB4F2E">
        <w:rPr>
          <w:rFonts w:eastAsiaTheme="minorEastAsia"/>
          <w:szCs w:val="22"/>
          <w:lang w:eastAsia="en-US"/>
        </w:rPr>
        <w:t xml:space="preserve"> deliberately set out to create the conditions for unlimited tax avoidance by means of schemes such as that in which Alta Luxembourg was used. The Court should </w:t>
      </w:r>
      <w:r>
        <w:rPr>
          <w:rFonts w:eastAsiaTheme="minorEastAsia"/>
          <w:szCs w:val="22"/>
          <w:lang w:eastAsia="en-US"/>
        </w:rPr>
        <w:t>not legitimize such blatantly</w:t>
      </w:r>
      <w:r w:rsidR="00663E48" w:rsidRPr="00AB4F2E">
        <w:rPr>
          <w:rFonts w:eastAsiaTheme="minorEastAsia"/>
          <w:szCs w:val="22"/>
          <w:lang w:eastAsia="en-US"/>
        </w:rPr>
        <w:t xml:space="preserve"> abus</w:t>
      </w:r>
      <w:r>
        <w:rPr>
          <w:rFonts w:eastAsiaTheme="minorEastAsia"/>
          <w:szCs w:val="22"/>
          <w:lang w:eastAsia="en-US"/>
        </w:rPr>
        <w:t>ive tax avoidance based on the</w:t>
      </w:r>
      <w:r w:rsidR="00663E48" w:rsidRPr="00AB4F2E">
        <w:rPr>
          <w:rFonts w:eastAsiaTheme="minorEastAsia"/>
          <w:szCs w:val="22"/>
          <w:lang w:eastAsia="en-US"/>
        </w:rPr>
        <w:t xml:space="preserve"> view that Canada should have negotiated different treaty terms. </w:t>
      </w:r>
      <w:r w:rsidR="00663E48" w:rsidRPr="00AB4F2E">
        <w:rPr>
          <w:rFonts w:eastAsiaTheme="minorEastAsia"/>
          <w:i/>
          <w:szCs w:val="22"/>
          <w:lang w:eastAsia="en-US"/>
        </w:rPr>
        <w:t>E</w:t>
      </w:r>
      <w:r w:rsidR="00663E48" w:rsidRPr="00AB4F2E">
        <w:rPr>
          <w:rFonts w:eastAsiaTheme="minorEastAsia"/>
          <w:i/>
          <w:iCs/>
          <w:szCs w:val="22"/>
          <w:lang w:eastAsia="en-US"/>
        </w:rPr>
        <w:t xml:space="preserve">x ante </w:t>
      </w:r>
      <w:r w:rsidR="00663E48" w:rsidRPr="00AB4F2E">
        <w:rPr>
          <w:rFonts w:eastAsiaTheme="minorEastAsia"/>
          <w:szCs w:val="22"/>
          <w:lang w:eastAsia="en-US"/>
        </w:rPr>
        <w:t>speculation about how the treaty parties ought to have proceeded based on alternatives said to have been available to them gives primacy to what is not there.</w:t>
      </w:r>
      <w:r w:rsidR="00663E48" w:rsidRPr="00AB4F2E">
        <w:t xml:space="preserve"> </w:t>
      </w:r>
      <w:r w:rsidR="00663E48" w:rsidRPr="00AB4F2E">
        <w:rPr>
          <w:rFonts w:eastAsiaTheme="minorEastAsia"/>
          <w:szCs w:val="22"/>
          <w:lang w:eastAsia="en-US"/>
        </w:rPr>
        <w:t xml:space="preserve">Parliament was entitled to rely on the GAAR to address abusive uses of the </w:t>
      </w:r>
      <w:r w:rsidR="00663E48" w:rsidRPr="00AB4F2E">
        <w:rPr>
          <w:rFonts w:eastAsiaTheme="minorEastAsia"/>
          <w:i/>
          <w:szCs w:val="22"/>
          <w:lang w:eastAsia="en-US"/>
        </w:rPr>
        <w:t>Treaty</w:t>
      </w:r>
      <w:r w:rsidR="00663E48" w:rsidRPr="00AB4F2E">
        <w:rPr>
          <w:rFonts w:eastAsiaTheme="minorEastAsia"/>
          <w:szCs w:val="22"/>
          <w:lang w:eastAsia="en-US"/>
        </w:rPr>
        <w:t xml:space="preserve"> rather than negotiate the inclusion of a specific rule. The focus should be on what was actually agreed upon and whether the underlying rationale of the relevant provisions was frustrated by the avoidance transactions undertaken. In the give and take of treaty negotiation, Canada certainly did not give up the GAAR.</w:t>
      </w:r>
    </w:p>
    <w:p w14:paraId="22E124B3" w14:textId="33256F96" w:rsidR="00663E48" w:rsidRPr="00AB4F2E" w:rsidRDefault="00663E48" w:rsidP="00453F59">
      <w:pPr>
        <w:pStyle w:val="SCCNormalDoubleSpacing"/>
        <w:spacing w:after="480"/>
      </w:pPr>
      <w:r w:rsidRPr="00AB4F2E">
        <w:rPr>
          <w:rFonts w:eastAsiaTheme="minorEastAsia"/>
          <w:szCs w:val="22"/>
          <w:lang w:eastAsia="en-US"/>
        </w:rPr>
        <w:tab/>
        <w:t>The facts of this case are a patent example of a sophisticated taxpayer effecting a restructuring on the basis of professional tax advice to avoid Canadian tax. In such cases, the principle of fairness ought not to be ignored. As for the degree of uncertainty introduced by the GAAR, it is counterbalanced by the Crown’s burden to show that the avoidance transactions frustrates the object, spirit or purpose of the provisions relied on by the taxpayer and by the fact that any doubt under the GAAR analysis is to be resolved in favour of the taxpayer.</w:t>
      </w:r>
    </w:p>
    <w:p w14:paraId="5D8E3113" w14:textId="77777777" w:rsidR="007E1C47" w:rsidRPr="00AB4F2E" w:rsidRDefault="002E6705" w:rsidP="00AD291A">
      <w:pPr>
        <w:pStyle w:val="SCCNormalDoubleSpacing"/>
        <w:widowControl w:val="0"/>
        <w:spacing w:after="720" w:line="240" w:lineRule="auto"/>
        <w:rPr>
          <w:b/>
        </w:rPr>
      </w:pPr>
      <w:r w:rsidRPr="00AB4F2E">
        <w:rPr>
          <w:b/>
        </w:rPr>
        <w:lastRenderedPageBreak/>
        <w:t>Cases Cited</w:t>
      </w:r>
    </w:p>
    <w:p w14:paraId="32FD9F36" w14:textId="77777777" w:rsidR="00A149DF" w:rsidRPr="00AB4F2E" w:rsidRDefault="00CC6EBA" w:rsidP="00AD291A">
      <w:pPr>
        <w:pStyle w:val="SCCNormalDoubleSpacing"/>
        <w:widowControl w:val="0"/>
        <w:spacing w:after="720" w:line="240" w:lineRule="auto"/>
      </w:pPr>
      <w:r w:rsidRPr="00AB4F2E">
        <w:t>By Côté </w:t>
      </w:r>
      <w:r w:rsidR="005A3516" w:rsidRPr="00AB4F2E">
        <w:t>J.</w:t>
      </w:r>
    </w:p>
    <w:p w14:paraId="4277CA11" w14:textId="0359460F" w:rsidR="00E76254" w:rsidRPr="00AB4F2E" w:rsidRDefault="002E6705" w:rsidP="00AD291A">
      <w:pPr>
        <w:pStyle w:val="SCCNormalDoubleSpacing"/>
        <w:widowControl w:val="0"/>
        <w:spacing w:after="480"/>
      </w:pPr>
      <w:r w:rsidRPr="00AB4F2E">
        <w:tab/>
      </w:r>
      <w:r w:rsidR="005161EF" w:rsidRPr="005161EF">
        <w:rPr>
          <w:b/>
        </w:rPr>
        <w:t xml:space="preserve">Applied: </w:t>
      </w:r>
      <w:r w:rsidR="005161EF" w:rsidRPr="00AB4F2E">
        <w:rPr>
          <w:i/>
        </w:rPr>
        <w:t>Canada Trustco Mortgage Co. v. Canada</w:t>
      </w:r>
      <w:r w:rsidR="005161EF" w:rsidRPr="00AB4F2E">
        <w:t xml:space="preserve">, 2005 SCC 54, [2005] 2 S.C.R. 601; </w:t>
      </w:r>
      <w:r w:rsidR="005161EF" w:rsidRPr="00AB4F2E">
        <w:rPr>
          <w:i/>
        </w:rPr>
        <w:t>Copthorne Holdings Ltd. v. Canada</w:t>
      </w:r>
      <w:r w:rsidR="005161EF" w:rsidRPr="00AB4F2E">
        <w:t xml:space="preserve">, 2011 SCC 63, [2011] 3 S.C.R. 721; </w:t>
      </w:r>
      <w:r w:rsidR="005161EF" w:rsidRPr="005161EF">
        <w:rPr>
          <w:b/>
        </w:rPr>
        <w:t xml:space="preserve">approved: </w:t>
      </w:r>
      <w:r w:rsidR="005161EF" w:rsidRPr="00AB4F2E">
        <w:rPr>
          <w:bCs/>
          <w:i/>
        </w:rPr>
        <w:t>Prévost Car Inc. v. Canada</w:t>
      </w:r>
      <w:r w:rsidR="005161EF" w:rsidRPr="00AB4F2E">
        <w:rPr>
          <w:bCs/>
        </w:rPr>
        <w:t xml:space="preserve">, 2009 FCA 57, [2010] 2 F.C.R. 65; </w:t>
      </w:r>
      <w:r w:rsidR="005161EF" w:rsidRPr="005161EF">
        <w:rPr>
          <w:b/>
        </w:rPr>
        <w:t>r</w:t>
      </w:r>
      <w:r w:rsidRPr="005161EF">
        <w:rPr>
          <w:b/>
        </w:rPr>
        <w:t>eferred to</w:t>
      </w:r>
      <w:r w:rsidRPr="00AB4F2E">
        <w:rPr>
          <w:b/>
        </w:rPr>
        <w:t>:</w:t>
      </w:r>
      <w:r w:rsidR="00BD0E9E" w:rsidRPr="00AB4F2E">
        <w:t xml:space="preserve"> </w:t>
      </w:r>
      <w:r w:rsidR="00AD083A" w:rsidRPr="00AB4F2E">
        <w:rPr>
          <w:i/>
        </w:rPr>
        <w:t>R. v. MIL (Investments) S.A.</w:t>
      </w:r>
      <w:r w:rsidR="00AD083A" w:rsidRPr="00AB4F2E">
        <w:t xml:space="preserve">, 2007 FCA 236, [2007] 4 C.T.C. 235; </w:t>
      </w:r>
      <w:r w:rsidR="00AD083A" w:rsidRPr="00AB4F2E">
        <w:rPr>
          <w:i/>
        </w:rPr>
        <w:t>MIL (Investments) S.A. v. R.</w:t>
      </w:r>
      <w:r w:rsidR="00AD083A" w:rsidRPr="00AB4F2E">
        <w:t xml:space="preserve">, 2006 TCC 460, [2006] 5 C.T.C. 2552; </w:t>
      </w:r>
      <w:r w:rsidR="00AD083A" w:rsidRPr="00AB4F2E">
        <w:rPr>
          <w:i/>
          <w:iCs/>
        </w:rPr>
        <w:t>Commissioners of Inland Revenue v. Duke of Westminster</w:t>
      </w:r>
      <w:r w:rsidR="00AD083A" w:rsidRPr="00AB4F2E">
        <w:t xml:space="preserve">, [1936] A.C. 1; </w:t>
      </w:r>
      <w:r w:rsidR="00AD083A" w:rsidRPr="00AB4F2E">
        <w:rPr>
          <w:i/>
        </w:rPr>
        <w:t>Lipson v. Canada</w:t>
      </w:r>
      <w:r w:rsidR="00AD083A" w:rsidRPr="00AB4F2E">
        <w:t>,</w:t>
      </w:r>
      <w:r w:rsidR="00AD083A" w:rsidRPr="00AB4F2E">
        <w:rPr>
          <w:i/>
        </w:rPr>
        <w:t xml:space="preserve"> </w:t>
      </w:r>
      <w:r w:rsidR="00AD083A" w:rsidRPr="00AB4F2E">
        <w:t xml:space="preserve">2009 SCC 1, [2009] 1 S.C.R. 3; </w:t>
      </w:r>
      <w:r w:rsidR="00AD083A" w:rsidRPr="00AB4F2E">
        <w:rPr>
          <w:i/>
        </w:rPr>
        <w:t>R. v. Melford Developments Inc.</w:t>
      </w:r>
      <w:r w:rsidR="00AD083A" w:rsidRPr="00AB4F2E">
        <w:t>, [1982] 2 S.C.R. 504;</w:t>
      </w:r>
      <w:r w:rsidR="00614B5F" w:rsidRPr="00AB4F2E">
        <w:t xml:space="preserve"> </w:t>
      </w:r>
      <w:r w:rsidR="00614B5F" w:rsidRPr="00AB4F2E">
        <w:rPr>
          <w:i/>
        </w:rPr>
        <w:t>Crown Forest Industries Ltd. v. Canada</w:t>
      </w:r>
      <w:r w:rsidR="00614B5F" w:rsidRPr="00AB4F2E">
        <w:t xml:space="preserve">, [1995] 2 S.C.R. 802; </w:t>
      </w:r>
      <w:r w:rsidR="00614B5F" w:rsidRPr="00AB4F2E">
        <w:rPr>
          <w:i/>
        </w:rPr>
        <w:t>Stubart Investments Ltd. v. The Queen</w:t>
      </w:r>
      <w:r w:rsidR="00614B5F" w:rsidRPr="00AB4F2E">
        <w:t xml:space="preserve">, [1984] 1 S.C.R. 536; </w:t>
      </w:r>
      <w:r w:rsidR="00614B5F" w:rsidRPr="00AB4F2E">
        <w:rPr>
          <w:i/>
        </w:rPr>
        <w:t>J. N. Gladden Estate v. The Queen</w:t>
      </w:r>
      <w:r w:rsidR="00614B5F" w:rsidRPr="00AB4F2E">
        <w:t xml:space="preserve">, [1985] 1 C.T.C. 163; </w:t>
      </w:r>
      <w:r w:rsidR="000F6A15" w:rsidRPr="00AB4F2E">
        <w:rPr>
          <w:i/>
        </w:rPr>
        <w:t>Cudd Pressure Control Inc. v. R.</w:t>
      </w:r>
      <w:r w:rsidR="000F6A15" w:rsidRPr="00AB4F2E">
        <w:t>, [1999] 1 C.T.C. 1</w:t>
      </w:r>
      <w:r w:rsidR="00614B5F" w:rsidRPr="00AB4F2E">
        <w:t xml:space="preserve">; </w:t>
      </w:r>
      <w:r w:rsidR="00614B5F" w:rsidRPr="00AB4F2E">
        <w:rPr>
          <w:i/>
        </w:rPr>
        <w:t>SA Andritz</w:t>
      </w:r>
      <w:r w:rsidR="00AD291A">
        <w:t>, No. </w:t>
      </w:r>
      <w:r w:rsidR="00614B5F" w:rsidRPr="00AB4F2E">
        <w:t xml:space="preserve">233894, Conseil d’État (Section du Contentieux), December 30, 2003; </w:t>
      </w:r>
      <w:r w:rsidR="00614B5F" w:rsidRPr="00AB4F2E">
        <w:rPr>
          <w:bCs/>
          <w:i/>
        </w:rPr>
        <w:t>R. v. Hauser</w:t>
      </w:r>
      <w:r w:rsidR="00614B5F" w:rsidRPr="00AB4F2E">
        <w:rPr>
          <w:bCs/>
        </w:rPr>
        <w:t xml:space="preserve">, [1979] 1 S.C.R. 984; </w:t>
      </w:r>
      <w:r w:rsidR="00614B5F" w:rsidRPr="00AB4F2E">
        <w:rPr>
          <w:i/>
        </w:rPr>
        <w:t>R. v. McLeod</w:t>
      </w:r>
      <w:r w:rsidR="00614B5F" w:rsidRPr="00AB4F2E">
        <w:t xml:space="preserve"> (1950), 97 C.C.C. 366;</w:t>
      </w:r>
      <w:r w:rsidR="00E7754E" w:rsidRPr="00AB4F2E">
        <w:t xml:space="preserve"> </w:t>
      </w:r>
      <w:r w:rsidR="00E7754E" w:rsidRPr="00AB4F2E">
        <w:rPr>
          <w:i/>
        </w:rPr>
        <w:t>Dilworth v. Commissioner of Stamps</w:t>
      </w:r>
      <w:r w:rsidR="00E7754E" w:rsidRPr="00AB4F2E">
        <w:t>, [1899] A.C. 99;</w:t>
      </w:r>
      <w:r w:rsidR="00E76254" w:rsidRPr="00AB4F2E">
        <w:t xml:space="preserve"> </w:t>
      </w:r>
      <w:r w:rsidR="00E76254" w:rsidRPr="00AB4F2E">
        <w:rPr>
          <w:i/>
        </w:rPr>
        <w:t>Shell Canada Ltd. v. Canada</w:t>
      </w:r>
      <w:r w:rsidR="00E76254" w:rsidRPr="00AB4F2E">
        <w:t xml:space="preserve">, [1999] 3 S.C.R. 622; </w:t>
      </w:r>
      <w:r w:rsidR="00E76254" w:rsidRPr="00AB4F2E">
        <w:rPr>
          <w:i/>
        </w:rPr>
        <w:t>Sun Indalex Finance, LLC v. United Steelworkers</w:t>
      </w:r>
      <w:r w:rsidR="00E76254" w:rsidRPr="00AB4F2E">
        <w:t>, 2013 SCC 6, [2013] 1 S.C.R. 271</w:t>
      </w:r>
      <w:r w:rsidR="00A0177D" w:rsidRPr="00AB4F2E">
        <w:t>.</w:t>
      </w:r>
    </w:p>
    <w:p w14:paraId="7BBABF78" w14:textId="77777777" w:rsidR="005A3516" w:rsidRPr="00AB4F2E" w:rsidRDefault="00CC6EBA" w:rsidP="00581C49">
      <w:pPr>
        <w:pStyle w:val="SCCNormalDoubleSpacing"/>
        <w:spacing w:after="720" w:line="240" w:lineRule="auto"/>
      </w:pPr>
      <w:r w:rsidRPr="00AB4F2E">
        <w:t>By Rowe and Martin </w:t>
      </w:r>
      <w:r w:rsidR="005A3516" w:rsidRPr="00AB4F2E">
        <w:t>JJ. (dissenting)</w:t>
      </w:r>
    </w:p>
    <w:p w14:paraId="465061CB" w14:textId="18610F00" w:rsidR="005A3516" w:rsidRPr="00AB4F2E" w:rsidRDefault="005A3516" w:rsidP="00581C49">
      <w:pPr>
        <w:pStyle w:val="SCCNormalDoubleSpacing"/>
        <w:spacing w:after="480"/>
      </w:pPr>
      <w:r w:rsidRPr="00AB4F2E">
        <w:tab/>
      </w:r>
      <w:r w:rsidR="00C54A09" w:rsidRPr="00AB4F2E">
        <w:rPr>
          <w:i/>
          <w:iCs/>
        </w:rPr>
        <w:t xml:space="preserve">Commissioners of </w:t>
      </w:r>
      <w:r w:rsidR="00370CED" w:rsidRPr="00AB4F2E">
        <w:rPr>
          <w:i/>
          <w:iCs/>
        </w:rPr>
        <w:t xml:space="preserve">Inland Revenue v. </w:t>
      </w:r>
      <w:r w:rsidR="00415E1B" w:rsidRPr="00AB4F2E">
        <w:rPr>
          <w:i/>
          <w:iCs/>
        </w:rPr>
        <w:t xml:space="preserve">Duke of </w:t>
      </w:r>
      <w:r w:rsidR="00370CED" w:rsidRPr="00AB4F2E">
        <w:rPr>
          <w:i/>
          <w:iCs/>
        </w:rPr>
        <w:t>Westminster</w:t>
      </w:r>
      <w:r w:rsidR="00581C49" w:rsidRPr="00AB4F2E">
        <w:t xml:space="preserve">, [1936] A.C. </w:t>
      </w:r>
      <w:r w:rsidR="00370CED" w:rsidRPr="00AB4F2E">
        <w:t xml:space="preserve">1; </w:t>
      </w:r>
      <w:r w:rsidR="00E22A3F" w:rsidRPr="00AB4F2E">
        <w:rPr>
          <w:i/>
        </w:rPr>
        <w:t>Canada Trustco Mortgage Co. v. Canada</w:t>
      </w:r>
      <w:r w:rsidR="00E22A3F" w:rsidRPr="00AB4F2E">
        <w:t xml:space="preserve">, 2005 SCC 54, [2005] 2 S.C.R. 601; </w:t>
      </w:r>
      <w:r w:rsidR="00E104EA" w:rsidRPr="00AB4F2E">
        <w:rPr>
          <w:i/>
        </w:rPr>
        <w:t xml:space="preserve">Shell Canada Ltd. </w:t>
      </w:r>
      <w:r w:rsidR="00E104EA" w:rsidRPr="00AB4F2E">
        <w:rPr>
          <w:i/>
          <w:iCs/>
        </w:rPr>
        <w:t>v</w:t>
      </w:r>
      <w:r w:rsidR="00E104EA" w:rsidRPr="00AB4F2E">
        <w:rPr>
          <w:i/>
        </w:rPr>
        <w:t>. Canada</w:t>
      </w:r>
      <w:r w:rsidR="00E104EA" w:rsidRPr="00AB4F2E">
        <w:t xml:space="preserve">, [1999] 3 S.C.R. 622; </w:t>
      </w:r>
      <w:r w:rsidR="00A63C78" w:rsidRPr="00AB4F2E">
        <w:rPr>
          <w:i/>
          <w:shd w:val="clear" w:color="auto" w:fill="FFFFFF"/>
        </w:rPr>
        <w:t xml:space="preserve">Copthorne Holdings Ltd. </w:t>
      </w:r>
      <w:r w:rsidR="00A63C78" w:rsidRPr="00AB4F2E">
        <w:rPr>
          <w:i/>
          <w:iCs/>
          <w:shd w:val="clear" w:color="auto" w:fill="FFFFFF"/>
        </w:rPr>
        <w:t>v.</w:t>
      </w:r>
      <w:r w:rsidR="00A63C78" w:rsidRPr="00AB4F2E">
        <w:rPr>
          <w:i/>
          <w:shd w:val="clear" w:color="auto" w:fill="FFFFFF"/>
        </w:rPr>
        <w:t xml:space="preserve"> Canada</w:t>
      </w:r>
      <w:r w:rsidR="00A63C78" w:rsidRPr="00AB4F2E">
        <w:rPr>
          <w:shd w:val="clear" w:color="auto" w:fill="FFFFFF"/>
        </w:rPr>
        <w:t xml:space="preserve">, </w:t>
      </w:r>
      <w:r w:rsidR="00A63C78" w:rsidRPr="00AB4F2E">
        <w:rPr>
          <w:shd w:val="clear" w:color="auto" w:fill="FFFFFF"/>
        </w:rPr>
        <w:lastRenderedPageBreak/>
        <w:t xml:space="preserve">2011 SCC 63, [2011] 3 S.C.R. 721; </w:t>
      </w:r>
      <w:r w:rsidR="00F02123" w:rsidRPr="00AB4F2E">
        <w:rPr>
          <w:i/>
          <w:shd w:val="clear" w:color="auto" w:fill="FFFFFF"/>
        </w:rPr>
        <w:t>Lipson</w:t>
      </w:r>
      <w:r w:rsidR="00F02123" w:rsidRPr="00AB4F2E">
        <w:rPr>
          <w:shd w:val="clear" w:color="auto" w:fill="FFFFFF"/>
        </w:rPr>
        <w:t xml:space="preserve"> </w:t>
      </w:r>
      <w:r w:rsidR="00F02123" w:rsidRPr="00AB4F2E">
        <w:rPr>
          <w:i/>
          <w:iCs/>
          <w:shd w:val="clear" w:color="auto" w:fill="FFFFFF"/>
        </w:rPr>
        <w:t>v.</w:t>
      </w:r>
      <w:r w:rsidR="00F02123" w:rsidRPr="00AB4F2E">
        <w:rPr>
          <w:shd w:val="clear" w:color="auto" w:fill="FFFFFF"/>
        </w:rPr>
        <w:t xml:space="preserve"> </w:t>
      </w:r>
      <w:r w:rsidR="00F02123" w:rsidRPr="00AB4F2E">
        <w:rPr>
          <w:i/>
          <w:shd w:val="clear" w:color="auto" w:fill="FFFFFF"/>
        </w:rPr>
        <w:t>Canada</w:t>
      </w:r>
      <w:r w:rsidR="00F02123" w:rsidRPr="00AB4F2E">
        <w:rPr>
          <w:shd w:val="clear" w:color="auto" w:fill="FFFFFF"/>
        </w:rPr>
        <w:t xml:space="preserve">, 2009 SCC 1, </w:t>
      </w:r>
      <w:r w:rsidR="00F02123" w:rsidRPr="00AB4F2E">
        <w:t xml:space="preserve">[2009] 1 S.C.R. 3; </w:t>
      </w:r>
      <w:r w:rsidR="00B1717F" w:rsidRPr="00AB4F2E">
        <w:rPr>
          <w:i/>
        </w:rPr>
        <w:t>RMM Canadian Enterprises Inc. v. R.</w:t>
      </w:r>
      <w:r w:rsidR="00B1717F" w:rsidRPr="00AB4F2E">
        <w:t>, [1998] 1 C.T.C. 2300</w:t>
      </w:r>
      <w:r w:rsidR="005A6675" w:rsidRPr="00AB4F2E">
        <w:t xml:space="preserve">; </w:t>
      </w:r>
      <w:r w:rsidR="00FB7822" w:rsidRPr="00AB4F2E">
        <w:rPr>
          <w:i/>
        </w:rPr>
        <w:t>McNichol v. The Queen</w:t>
      </w:r>
      <w:r w:rsidR="00E910E1" w:rsidRPr="00AB4F2E">
        <w:t>, 97 D.T.C. 111</w:t>
      </w:r>
      <w:r w:rsidR="00B1717F" w:rsidRPr="00AB4F2E">
        <w:t xml:space="preserve">; </w:t>
      </w:r>
      <w:r w:rsidR="00415E1B" w:rsidRPr="00AB4F2E">
        <w:rPr>
          <w:i/>
        </w:rPr>
        <w:t>MIL (Investments) S.A. v. R.</w:t>
      </w:r>
      <w:r w:rsidR="00415E1B" w:rsidRPr="00AB4F2E">
        <w:t>, 2006 TCC 460, [2006] 5 C.T.C. 2552</w:t>
      </w:r>
      <w:r w:rsidR="00757A2F" w:rsidRPr="00AB4F2E">
        <w:t xml:space="preserve">; </w:t>
      </w:r>
      <w:r w:rsidR="006C6D5A" w:rsidRPr="00AB4F2E">
        <w:rPr>
          <w:i/>
        </w:rPr>
        <w:t>Prévost</w:t>
      </w:r>
      <w:r w:rsidR="006C6D5A" w:rsidRPr="00AB4F2E">
        <w:t xml:space="preserve"> </w:t>
      </w:r>
      <w:r w:rsidR="006C6D5A" w:rsidRPr="00AB4F2E">
        <w:rPr>
          <w:i/>
        </w:rPr>
        <w:t>Car Inc. v. Canada</w:t>
      </w:r>
      <w:r w:rsidR="006C6D5A" w:rsidRPr="00AB4F2E">
        <w:t xml:space="preserve">, 2009 FCA 57, [2010] 2 F.C.R. 65; </w:t>
      </w:r>
      <w:r w:rsidR="000B74F1" w:rsidRPr="00AB4F2E">
        <w:rPr>
          <w:i/>
        </w:rPr>
        <w:t xml:space="preserve">Crown Forest </w:t>
      </w:r>
      <w:r w:rsidR="000B74F1" w:rsidRPr="00AB4F2E">
        <w:rPr>
          <w:i/>
          <w:spacing w:val="-3"/>
          <w:shd w:val="clear" w:color="auto" w:fill="FFFFFF"/>
        </w:rPr>
        <w:t xml:space="preserve">Industries Ltd. </w:t>
      </w:r>
      <w:r w:rsidR="000B74F1" w:rsidRPr="00AB4F2E">
        <w:rPr>
          <w:i/>
          <w:iCs/>
          <w:spacing w:val="-3"/>
          <w:shd w:val="clear" w:color="auto" w:fill="FFFFFF"/>
        </w:rPr>
        <w:t>v</w:t>
      </w:r>
      <w:r w:rsidR="000B74F1" w:rsidRPr="00AB4F2E">
        <w:rPr>
          <w:i/>
          <w:spacing w:val="-3"/>
          <w:shd w:val="clear" w:color="auto" w:fill="FFFFFF"/>
        </w:rPr>
        <w:t>. Canada</w:t>
      </w:r>
      <w:r w:rsidR="000B74F1" w:rsidRPr="00AB4F2E">
        <w:rPr>
          <w:spacing w:val="-3"/>
          <w:shd w:val="clear" w:color="auto" w:fill="FFFFFF"/>
        </w:rPr>
        <w:t xml:space="preserve">, </w:t>
      </w:r>
      <w:r w:rsidR="000B74F1" w:rsidRPr="00AB4F2E">
        <w:rPr>
          <w:spacing w:val="-3"/>
        </w:rPr>
        <w:t xml:space="preserve">[1995] 2 S.C.R. 802; </w:t>
      </w:r>
      <w:r w:rsidR="006E3729" w:rsidRPr="00AB4F2E">
        <w:rPr>
          <w:i/>
        </w:rPr>
        <w:t>Fundy Settlement v. Canada</w:t>
      </w:r>
      <w:r w:rsidR="006E3729" w:rsidRPr="00AB4F2E">
        <w:t xml:space="preserve">, 2010 FCA 309, [2012] 2 F.C.R. 374; </w:t>
      </w:r>
      <w:r w:rsidR="00AD2074" w:rsidRPr="00AB4F2E">
        <w:rPr>
          <w:i/>
        </w:rPr>
        <w:t>R. v.</w:t>
      </w:r>
      <w:r w:rsidR="00AD2074" w:rsidRPr="00AB4F2E">
        <w:t xml:space="preserve"> </w:t>
      </w:r>
      <w:r w:rsidR="00AD2074" w:rsidRPr="00AB4F2E">
        <w:rPr>
          <w:i/>
        </w:rPr>
        <w:t>MIL (Investments) S.A.</w:t>
      </w:r>
      <w:r w:rsidR="00AD2074" w:rsidRPr="00AB4F2E">
        <w:t xml:space="preserve">, 2007 FCA 236, [2007] 4 C.T.C. 235; </w:t>
      </w:r>
      <w:r w:rsidR="00D1129E" w:rsidRPr="00AB4F2E">
        <w:rPr>
          <w:i/>
        </w:rPr>
        <w:t>Fundy Settlement v. Canada</w:t>
      </w:r>
      <w:r w:rsidR="00D1129E" w:rsidRPr="00AB4F2E">
        <w:t xml:space="preserve">, 2012 SCC 14, [2012] 1 S.C.R. 520; </w:t>
      </w:r>
      <w:r w:rsidR="00910E31" w:rsidRPr="00AB4F2E">
        <w:rPr>
          <w:i/>
        </w:rPr>
        <w:t>Canada v.</w:t>
      </w:r>
      <w:r w:rsidR="00910E31" w:rsidRPr="00AB4F2E">
        <w:t xml:space="preserve"> </w:t>
      </w:r>
      <w:r w:rsidR="00910E31" w:rsidRPr="00AB4F2E">
        <w:rPr>
          <w:i/>
        </w:rPr>
        <w:t>594710 British Columbia Ltd.</w:t>
      </w:r>
      <w:r w:rsidR="00910E31" w:rsidRPr="00AB4F2E">
        <w:t>, 2018 FCA 166</w:t>
      </w:r>
      <w:r w:rsidR="00C54A09" w:rsidRPr="00AB4F2E">
        <w:t>, [2019] 5 C.T.C. 1.</w:t>
      </w:r>
    </w:p>
    <w:p w14:paraId="5223028B" w14:textId="77777777" w:rsidR="003B215F" w:rsidRPr="00AB4F2E" w:rsidRDefault="002E6705" w:rsidP="00581C49">
      <w:pPr>
        <w:pStyle w:val="SCCNormalDoubleSpacing"/>
        <w:spacing w:after="720" w:line="240" w:lineRule="auto"/>
      </w:pPr>
      <w:r w:rsidRPr="00AB4F2E">
        <w:rPr>
          <w:b/>
        </w:rPr>
        <w:t>Statutes and Regulations Cite</w:t>
      </w:r>
      <w:r w:rsidR="00A41805" w:rsidRPr="00AB4F2E">
        <w:rPr>
          <w:b/>
        </w:rPr>
        <w:t>d</w:t>
      </w:r>
    </w:p>
    <w:p w14:paraId="1526A34F" w14:textId="1F92CADE" w:rsidR="00384F5A" w:rsidRPr="00AB4F2E" w:rsidRDefault="00384F5A" w:rsidP="00581C49">
      <w:pPr>
        <w:pStyle w:val="SCCNormalDoubleSpacing"/>
        <w:spacing w:after="240" w:line="240" w:lineRule="auto"/>
        <w:ind w:left="547" w:hanging="547"/>
        <w:rPr>
          <w:i/>
        </w:rPr>
      </w:pPr>
      <w:r w:rsidRPr="00AB4F2E">
        <w:rPr>
          <w:i/>
        </w:rPr>
        <w:t>Budge</w:t>
      </w:r>
      <w:r w:rsidR="00581C49" w:rsidRPr="00AB4F2E">
        <w:rPr>
          <w:i/>
        </w:rPr>
        <w:t>t Implementation Act, 2004, No. </w:t>
      </w:r>
      <w:r w:rsidRPr="00AB4F2E">
        <w:rPr>
          <w:i/>
        </w:rPr>
        <w:t>2</w:t>
      </w:r>
      <w:r w:rsidRPr="00AB4F2E">
        <w:t>, S.C. 2005, c. 19, s. 52(2).</w:t>
      </w:r>
    </w:p>
    <w:p w14:paraId="58507B41" w14:textId="5FFE5B44" w:rsidR="00E22F1C" w:rsidRPr="00AB4F2E" w:rsidRDefault="00581C49" w:rsidP="00581C49">
      <w:pPr>
        <w:pStyle w:val="SCCNormalDoubleSpacing"/>
        <w:spacing w:after="240" w:line="240" w:lineRule="auto"/>
        <w:ind w:left="547" w:hanging="547"/>
        <w:rPr>
          <w:i/>
        </w:rPr>
      </w:pPr>
      <w:r w:rsidRPr="00AB4F2E">
        <w:rPr>
          <w:i/>
        </w:rPr>
        <w:t>Canada</w:t>
      </w:r>
      <w:r w:rsidRPr="00AB4F2E">
        <w:rPr>
          <w:i/>
        </w:rPr>
        <w:noBreakHyphen/>
      </w:r>
      <w:r w:rsidR="00E22F1C" w:rsidRPr="00AB4F2E">
        <w:rPr>
          <w:i/>
        </w:rPr>
        <w:t>United States Tax Convention Act, 1984</w:t>
      </w:r>
      <w:r w:rsidRPr="00AB4F2E">
        <w:t xml:space="preserve">, S.C. </w:t>
      </w:r>
      <w:r w:rsidR="00E22F1C" w:rsidRPr="00AB4F2E">
        <w:t>1984, c. 20, Sch. I</w:t>
      </w:r>
      <w:r w:rsidR="00B17DD6" w:rsidRPr="00AB4F2E">
        <w:t xml:space="preserve"> [the </w:t>
      </w:r>
      <w:r w:rsidR="00B17DD6" w:rsidRPr="00AB4F2E">
        <w:rPr>
          <w:i/>
        </w:rPr>
        <w:t>Convention Between Canada and the United States of America with Respect to Taxes on Income and on Capital</w:t>
      </w:r>
      <w:r w:rsidR="00B17DD6" w:rsidRPr="00AB4F2E">
        <w:t>]</w:t>
      </w:r>
      <w:r w:rsidR="00E22F1C" w:rsidRPr="00AB4F2E">
        <w:t>.</w:t>
      </w:r>
    </w:p>
    <w:p w14:paraId="07C2CA1D" w14:textId="09275854" w:rsidR="00DF6749" w:rsidRPr="00AB4F2E" w:rsidRDefault="00145843" w:rsidP="00581C49">
      <w:pPr>
        <w:pStyle w:val="SCCNormalDoubleSpacing"/>
        <w:spacing w:after="240" w:line="240" w:lineRule="auto"/>
        <w:ind w:left="547" w:hanging="547"/>
      </w:pPr>
      <w:r w:rsidRPr="00AB4F2E">
        <w:rPr>
          <w:i/>
        </w:rPr>
        <w:t>Income Tax Act</w:t>
      </w:r>
      <w:r w:rsidRPr="00AB4F2E">
        <w:t>,</w:t>
      </w:r>
      <w:r w:rsidRPr="00AB4F2E">
        <w:rPr>
          <w:i/>
        </w:rPr>
        <w:t xml:space="preserve"> </w:t>
      </w:r>
      <w:r w:rsidRPr="00AB4F2E">
        <w:t xml:space="preserve">R.S.C. 1985, c. 1 (5th Supp.), ss. 2(3), </w:t>
      </w:r>
      <w:r w:rsidR="00792157" w:rsidRPr="00AB4F2E">
        <w:t>38, 39, 66(15)</w:t>
      </w:r>
      <w:r w:rsidR="0062508E" w:rsidRPr="00AB4F2E">
        <w:t xml:space="preserve"> “principal</w:t>
      </w:r>
      <w:r w:rsidR="0062508E" w:rsidRPr="00AB4F2E">
        <w:noBreakHyphen/>
        <w:t>business corporation”</w:t>
      </w:r>
      <w:r w:rsidR="00792157" w:rsidRPr="00AB4F2E">
        <w:t xml:space="preserve">, </w:t>
      </w:r>
      <w:r w:rsidRPr="00AB4F2E">
        <w:t>115</w:t>
      </w:r>
      <w:r w:rsidR="004F0602" w:rsidRPr="00AB4F2E">
        <w:t>(1)(b)</w:t>
      </w:r>
      <w:r w:rsidR="00E22F1C" w:rsidRPr="00AB4F2E">
        <w:t>, 245</w:t>
      </w:r>
      <w:r w:rsidR="008D33A9" w:rsidRPr="00AB4F2E">
        <w:t xml:space="preserve"> [repl. 2005, c. 19, s. 52]</w:t>
      </w:r>
      <w:r w:rsidR="00792157" w:rsidRPr="00AB4F2E">
        <w:t>, 248(1), 250(4)(a)</w:t>
      </w:r>
      <w:r w:rsidRPr="00AB4F2E">
        <w:t>.</w:t>
      </w:r>
    </w:p>
    <w:p w14:paraId="2AFEA3C1" w14:textId="6C1A9125" w:rsidR="00A33CB1" w:rsidRPr="00AB4F2E" w:rsidRDefault="00A33CB1" w:rsidP="00581C49">
      <w:pPr>
        <w:pStyle w:val="SCCNormalDoubleSpacing"/>
        <w:spacing w:after="240" w:line="240" w:lineRule="auto"/>
        <w:ind w:left="547" w:hanging="547"/>
      </w:pPr>
      <w:r w:rsidRPr="00AB4F2E">
        <w:rPr>
          <w:i/>
        </w:rPr>
        <w:t>Income Tax Conventions Implementation Act</w:t>
      </w:r>
      <w:r w:rsidRPr="00AB4F2E">
        <w:t xml:space="preserve">, </w:t>
      </w:r>
      <w:r w:rsidRPr="00AB4F2E">
        <w:rPr>
          <w:i/>
          <w:iCs/>
        </w:rPr>
        <w:t>1999</w:t>
      </w:r>
      <w:r w:rsidRPr="00AB4F2E">
        <w:t>, S.C. 2000, c. 11, s. 51(2).</w:t>
      </w:r>
    </w:p>
    <w:p w14:paraId="291E5D4E" w14:textId="00BCA4D6" w:rsidR="002C48ED" w:rsidRPr="00AB4F2E" w:rsidRDefault="002C48ED" w:rsidP="00581C49">
      <w:pPr>
        <w:pStyle w:val="SCCNormalDoubleSpacing"/>
        <w:spacing w:after="240" w:line="240" w:lineRule="auto"/>
        <w:ind w:left="547" w:hanging="547"/>
      </w:pPr>
      <w:r w:rsidRPr="00AB4F2E">
        <w:rPr>
          <w:i/>
        </w:rPr>
        <w:t>Income Tax Conventions Interpretation Act</w:t>
      </w:r>
      <w:r w:rsidR="00581C49" w:rsidRPr="00AB4F2E">
        <w:t>, R.S.C. 1985, c. I</w:t>
      </w:r>
      <w:r w:rsidR="00581C49" w:rsidRPr="00AB4F2E">
        <w:noBreakHyphen/>
      </w:r>
      <w:r w:rsidRPr="00AB4F2E">
        <w:t>4, s. 4.1.</w:t>
      </w:r>
    </w:p>
    <w:p w14:paraId="5ED231D8" w14:textId="54742EC4" w:rsidR="000D1820" w:rsidRPr="00AB4F2E" w:rsidRDefault="000D1820" w:rsidP="00581C49">
      <w:pPr>
        <w:pStyle w:val="SCCNormalDoubleSpacing"/>
        <w:spacing w:after="720" w:line="240" w:lineRule="auto"/>
        <w:ind w:left="547" w:hanging="547"/>
      </w:pPr>
      <w:r w:rsidRPr="00AB4F2E">
        <w:rPr>
          <w:bCs/>
          <w:i/>
        </w:rPr>
        <w:t>Multilateral Instrument in Respect of Tax Conventions Act</w:t>
      </w:r>
      <w:r w:rsidR="00581C49" w:rsidRPr="00AB4F2E">
        <w:rPr>
          <w:bCs/>
        </w:rPr>
        <w:t xml:space="preserve">, S.C. </w:t>
      </w:r>
      <w:r w:rsidRPr="00AB4F2E">
        <w:rPr>
          <w:bCs/>
        </w:rPr>
        <w:t>2019, c. 12.</w:t>
      </w:r>
    </w:p>
    <w:p w14:paraId="4A03BE35" w14:textId="7C340865" w:rsidR="00A149DF" w:rsidRPr="00AB4F2E" w:rsidRDefault="00DF6749" w:rsidP="00581C49">
      <w:pPr>
        <w:pStyle w:val="SCCNormalDoubleSpacing"/>
        <w:spacing w:after="720" w:line="240" w:lineRule="auto"/>
        <w:ind w:left="547" w:hanging="547"/>
        <w:rPr>
          <w:b/>
          <w:bCs/>
          <w:color w:val="000000"/>
        </w:rPr>
      </w:pPr>
      <w:r w:rsidRPr="00AB4F2E">
        <w:rPr>
          <w:b/>
          <w:bCs/>
          <w:color w:val="000000"/>
        </w:rPr>
        <w:t>Treaties and Other International Instruments</w:t>
      </w:r>
    </w:p>
    <w:p w14:paraId="1D49E733" w14:textId="3C40EB73" w:rsidR="000D1820" w:rsidRPr="00AB4F2E" w:rsidRDefault="000D1820" w:rsidP="00581C49">
      <w:pPr>
        <w:pStyle w:val="SCCNormalDoubleSpacing"/>
        <w:spacing w:after="240" w:line="240" w:lineRule="auto"/>
        <w:ind w:left="540" w:hanging="540"/>
        <w:rPr>
          <w:bCs/>
          <w:i/>
          <w:iCs/>
          <w:shd w:val="clear" w:color="auto" w:fill="FFFFFF"/>
        </w:rPr>
      </w:pPr>
      <w:r w:rsidRPr="00AB4F2E">
        <w:rPr>
          <w:bCs/>
          <w:i/>
          <w:iCs/>
          <w:shd w:val="clear" w:color="auto" w:fill="FFFFFF"/>
        </w:rPr>
        <w:t>Agreement between the Government of Canada and the Government of the Federal Republic of Nigeria for the Avoidance of Double Taxation and the Prevention of Fiscal Evasion with Respect to Taxes on Income and on Capital Gains</w:t>
      </w:r>
      <w:r w:rsidR="004D3A37">
        <w:rPr>
          <w:bCs/>
          <w:iCs/>
          <w:shd w:val="clear" w:color="auto" w:fill="FFFFFF"/>
        </w:rPr>
        <w:t xml:space="preserve">, Can. </w:t>
      </w:r>
      <w:r w:rsidRPr="00AB4F2E">
        <w:rPr>
          <w:bCs/>
          <w:iCs/>
          <w:shd w:val="clear" w:color="auto" w:fill="FFFFFF"/>
        </w:rPr>
        <w:t>T.S. 1999 No. 48, arts. 10(7), 11(8), 12(7).</w:t>
      </w:r>
    </w:p>
    <w:p w14:paraId="5181C742" w14:textId="3564D3FA" w:rsidR="00F85A9B" w:rsidRPr="00AB4F2E" w:rsidRDefault="00DF6749" w:rsidP="00581C49">
      <w:pPr>
        <w:pStyle w:val="SCCNormalDoubleSpacing"/>
        <w:spacing w:after="240" w:line="240" w:lineRule="auto"/>
        <w:ind w:left="540" w:hanging="540"/>
      </w:pPr>
      <w:r w:rsidRPr="00AB4F2E">
        <w:rPr>
          <w:rStyle w:val="Emphasis"/>
          <w:shd w:val="clear" w:color="auto" w:fill="FFFFFF"/>
        </w:rPr>
        <w:lastRenderedPageBreak/>
        <w:t>Convention between the Government of Canada and the Government of the Grand Duchy of Luxembourg for the Avoidance of Double Taxation and the Prevention of Fiscal Evasion with Respect to Taxes on Income and on Capital</w:t>
      </w:r>
      <w:r w:rsidR="004D3A37">
        <w:t xml:space="preserve">, Can. </w:t>
      </w:r>
      <w:r w:rsidRPr="00AB4F2E">
        <w:t>T.S. 2000 No. 22, arts. </w:t>
      </w:r>
      <w:r w:rsidR="009E1542" w:rsidRPr="00AB4F2E">
        <w:t xml:space="preserve">1, </w:t>
      </w:r>
      <w:r w:rsidR="00F641B9" w:rsidRPr="00AB4F2E">
        <w:t>3</w:t>
      </w:r>
      <w:r w:rsidR="00792157" w:rsidRPr="00AB4F2E">
        <w:t xml:space="preserve">, </w:t>
      </w:r>
      <w:r w:rsidR="009E1542" w:rsidRPr="00AB4F2E">
        <w:t xml:space="preserve">4, </w:t>
      </w:r>
      <w:r w:rsidR="00792157" w:rsidRPr="00AB4F2E">
        <w:t xml:space="preserve">5, 6(2), 10 to 12, </w:t>
      </w:r>
      <w:r w:rsidRPr="00AB4F2E">
        <w:t>13</w:t>
      </w:r>
      <w:r w:rsidR="00792157" w:rsidRPr="00AB4F2E">
        <w:t>, 28(3)</w:t>
      </w:r>
      <w:r w:rsidRPr="00AB4F2E">
        <w:t>.</w:t>
      </w:r>
    </w:p>
    <w:p w14:paraId="4CD8771E" w14:textId="7A7747CC" w:rsidR="00F85A9B" w:rsidRPr="00AB4F2E" w:rsidRDefault="00F85A9B" w:rsidP="00581C49">
      <w:pPr>
        <w:pStyle w:val="SCCNormalDoubleSpacing"/>
        <w:spacing w:after="240" w:line="240" w:lineRule="auto"/>
        <w:ind w:left="540" w:hanging="540"/>
        <w:rPr>
          <w:bCs/>
          <w:iCs/>
        </w:rPr>
      </w:pPr>
      <w:r w:rsidRPr="00AB4F2E">
        <w:rPr>
          <w:bCs/>
          <w:i/>
          <w:iCs/>
        </w:rPr>
        <w:t>Convention between the Government of Canada and the Government of the Republic of Kazakhstan for the Avoidance of Double Taxation and the Prevention of Fiscal Evasion with Respect to Taxes on Income and on Capital</w:t>
      </w:r>
      <w:r w:rsidR="004D3A37">
        <w:rPr>
          <w:bCs/>
          <w:iCs/>
        </w:rPr>
        <w:t xml:space="preserve">, Can. </w:t>
      </w:r>
      <w:r w:rsidR="00792F07" w:rsidRPr="00AB4F2E">
        <w:rPr>
          <w:bCs/>
          <w:iCs/>
        </w:rPr>
        <w:t>T.S. 1998 No. 13, art</w:t>
      </w:r>
      <w:r w:rsidR="000D1820" w:rsidRPr="00AB4F2E">
        <w:rPr>
          <w:bCs/>
          <w:iCs/>
        </w:rPr>
        <w:t>s</w:t>
      </w:r>
      <w:r w:rsidR="00792F07" w:rsidRPr="00AB4F2E">
        <w:rPr>
          <w:bCs/>
          <w:iCs/>
        </w:rPr>
        <w:t>. </w:t>
      </w:r>
      <w:r w:rsidR="000D1820" w:rsidRPr="00AB4F2E">
        <w:rPr>
          <w:bCs/>
          <w:iCs/>
        </w:rPr>
        <w:t xml:space="preserve">11(8), 12(7), </w:t>
      </w:r>
      <w:r w:rsidRPr="00AB4F2E">
        <w:rPr>
          <w:bCs/>
          <w:iCs/>
        </w:rPr>
        <w:t>28(3).</w:t>
      </w:r>
    </w:p>
    <w:p w14:paraId="6A030792" w14:textId="7704B74F" w:rsidR="000D1820" w:rsidRPr="00AB4F2E" w:rsidRDefault="00F85A9B" w:rsidP="00581C49">
      <w:pPr>
        <w:pStyle w:val="SCCNormalDoubleSpacing"/>
        <w:spacing w:after="240" w:line="240" w:lineRule="auto"/>
        <w:ind w:left="540" w:hanging="540"/>
        <w:rPr>
          <w:bCs/>
        </w:rPr>
      </w:pPr>
      <w:r w:rsidRPr="00AB4F2E">
        <w:rPr>
          <w:bCs/>
          <w:i/>
        </w:rPr>
        <w:t>Convention between the Government of Canada and the Government of the Republic of Peru for the Avoidance of Double Taxation and the Pre</w:t>
      </w:r>
      <w:r w:rsidR="000D1820" w:rsidRPr="00AB4F2E">
        <w:rPr>
          <w:bCs/>
          <w:i/>
        </w:rPr>
        <w:t>vention of Fiscal Evasion with R</w:t>
      </w:r>
      <w:r w:rsidRPr="00AB4F2E">
        <w:rPr>
          <w:bCs/>
          <w:i/>
        </w:rPr>
        <w:t>espect to Taxes on Income and on Capital</w:t>
      </w:r>
      <w:r w:rsidRPr="00AB4F2E">
        <w:rPr>
          <w:bCs/>
        </w:rPr>
        <w:t>, Can. T.S. 2002 No. 23, art</w:t>
      </w:r>
      <w:r w:rsidR="000D1820" w:rsidRPr="00AB4F2E">
        <w:rPr>
          <w:bCs/>
        </w:rPr>
        <w:t>s</w:t>
      </w:r>
      <w:r w:rsidRPr="00AB4F2E">
        <w:rPr>
          <w:bCs/>
        </w:rPr>
        <w:t>. </w:t>
      </w:r>
      <w:r w:rsidR="000D1820" w:rsidRPr="00AB4F2E">
        <w:rPr>
          <w:bCs/>
        </w:rPr>
        <w:t xml:space="preserve">10(7), 11(7), 12(7), </w:t>
      </w:r>
      <w:r w:rsidRPr="00AB4F2E">
        <w:rPr>
          <w:bCs/>
        </w:rPr>
        <w:t>28(3).</w:t>
      </w:r>
    </w:p>
    <w:p w14:paraId="55A6E1AE" w14:textId="1EC4F92D" w:rsidR="000D1820" w:rsidRPr="00AB4F2E" w:rsidRDefault="000D1820" w:rsidP="00581C49">
      <w:pPr>
        <w:pStyle w:val="SCCNormalDoubleSpacing"/>
        <w:spacing w:after="240" w:line="240" w:lineRule="auto"/>
        <w:ind w:left="540" w:hanging="540"/>
        <w:rPr>
          <w:bCs/>
        </w:rPr>
      </w:pPr>
      <w:r w:rsidRPr="00AB4F2E">
        <w:rPr>
          <w:bCs/>
          <w:i/>
        </w:rPr>
        <w:t>Convention between the Government of Canada and the Government of the Republic of Uzbekistan for the Avoidance of Double Taxation and the Prevention of Fiscal Evasion with Respect to Taxes on Income and on Capital</w:t>
      </w:r>
      <w:r w:rsidR="004D3A37">
        <w:rPr>
          <w:bCs/>
        </w:rPr>
        <w:t xml:space="preserve">, Can. </w:t>
      </w:r>
      <w:r w:rsidRPr="00AB4F2E">
        <w:rPr>
          <w:bCs/>
        </w:rPr>
        <w:t>T.S. 2000 No. 18, arts. 11(8), 12(7).</w:t>
      </w:r>
    </w:p>
    <w:p w14:paraId="36B964CF" w14:textId="349523BE" w:rsidR="000D1820" w:rsidRPr="00AB4F2E" w:rsidRDefault="000D1820" w:rsidP="00581C49">
      <w:pPr>
        <w:pStyle w:val="SCCNormalDoubleSpacing"/>
        <w:spacing w:after="240" w:line="240" w:lineRule="auto"/>
        <w:ind w:left="540" w:hanging="540"/>
        <w:rPr>
          <w:bCs/>
        </w:rPr>
      </w:pPr>
      <w:r w:rsidRPr="00AB4F2E">
        <w:rPr>
          <w:bCs/>
          <w:i/>
        </w:rPr>
        <w:t>Convention between the Government of Canada and the Government of Ukraine for the Avoidance of Double Taxation and the Prevention of Fiscal Evasion with Respect to Taxes on Income and on Capital</w:t>
      </w:r>
      <w:r w:rsidR="004D3A37">
        <w:rPr>
          <w:bCs/>
        </w:rPr>
        <w:t xml:space="preserve">, Can. </w:t>
      </w:r>
      <w:r w:rsidRPr="00AB4F2E">
        <w:rPr>
          <w:bCs/>
        </w:rPr>
        <w:t>T.S. 1997 No. 39, arts. 11(8), 12(8).</w:t>
      </w:r>
    </w:p>
    <w:p w14:paraId="7A8F103D" w14:textId="186C8194" w:rsidR="000D1820" w:rsidRPr="00AB4F2E" w:rsidRDefault="000D1820" w:rsidP="00581C49">
      <w:pPr>
        <w:pStyle w:val="SCCNormalDoubleSpacing"/>
        <w:spacing w:after="240" w:line="240" w:lineRule="auto"/>
        <w:ind w:left="540" w:hanging="540"/>
        <w:rPr>
          <w:bCs/>
        </w:rPr>
      </w:pPr>
      <w:r w:rsidRPr="00AB4F2E">
        <w:rPr>
          <w:bCs/>
          <w:i/>
        </w:rPr>
        <w:t>Multilateral Convention to Implement Tax Treaty Related Measures to Prevent Base Erosion and Profit Shifting</w:t>
      </w:r>
      <w:r w:rsidR="004D3A37">
        <w:rPr>
          <w:bCs/>
        </w:rPr>
        <w:t xml:space="preserve">, Can. </w:t>
      </w:r>
      <w:r w:rsidRPr="00AB4F2E">
        <w:rPr>
          <w:bCs/>
        </w:rPr>
        <w:t>T.S. 2019 No. 26.</w:t>
      </w:r>
    </w:p>
    <w:p w14:paraId="79F3A3E8" w14:textId="2BDDFEF7" w:rsidR="00F02123" w:rsidRPr="00AB4F2E" w:rsidRDefault="00F02123" w:rsidP="00581C49">
      <w:pPr>
        <w:pStyle w:val="SCCNormalDoubleSpacing"/>
        <w:spacing w:after="720" w:line="240" w:lineRule="auto"/>
        <w:ind w:left="547" w:hanging="547"/>
      </w:pPr>
      <w:r w:rsidRPr="00AB4F2E">
        <w:rPr>
          <w:i/>
        </w:rPr>
        <w:t>Vienna Convention on the Law of Treaties</w:t>
      </w:r>
      <w:r w:rsidR="004D3A37">
        <w:t xml:space="preserve">, Can. </w:t>
      </w:r>
      <w:r w:rsidRPr="00AB4F2E">
        <w:t>T.S. 1980 No. 37, art</w:t>
      </w:r>
      <w:r w:rsidR="000D1820" w:rsidRPr="00AB4F2E">
        <w:t>s</w:t>
      </w:r>
      <w:r w:rsidRPr="00AB4F2E">
        <w:t>. </w:t>
      </w:r>
      <w:r w:rsidR="000D1820" w:rsidRPr="00AB4F2E">
        <w:t xml:space="preserve">26, </w:t>
      </w:r>
      <w:r w:rsidRPr="00AB4F2E">
        <w:t>31.</w:t>
      </w:r>
    </w:p>
    <w:p w14:paraId="2A525341" w14:textId="77777777" w:rsidR="002E6705" w:rsidRPr="00AB4F2E" w:rsidRDefault="002E6705" w:rsidP="00581C49">
      <w:pPr>
        <w:pStyle w:val="SCCNormalDoubleSpacing"/>
        <w:spacing w:after="720" w:line="240" w:lineRule="auto"/>
        <w:rPr>
          <w:b/>
        </w:rPr>
      </w:pPr>
      <w:r w:rsidRPr="00AB4F2E">
        <w:rPr>
          <w:b/>
        </w:rPr>
        <w:t>Authors Cited</w:t>
      </w:r>
    </w:p>
    <w:p w14:paraId="3912178F" w14:textId="7DA7B2E6" w:rsidR="00DB3450" w:rsidRPr="00AB4F2E" w:rsidRDefault="00DB3450" w:rsidP="00581C49">
      <w:pPr>
        <w:pStyle w:val="SCCNormalDoubleSpacing"/>
        <w:spacing w:after="240" w:line="240" w:lineRule="auto"/>
        <w:ind w:left="540" w:hanging="540"/>
      </w:pPr>
      <w:r w:rsidRPr="00AB4F2E">
        <w:t xml:space="preserve">Anonymous. </w:t>
      </w:r>
      <w:r w:rsidR="00E22A3F" w:rsidRPr="00AB4F2E">
        <w:t>“</w:t>
      </w:r>
      <w:r w:rsidR="00581C49" w:rsidRPr="00AB4F2E">
        <w:t>The big carve</w:t>
      </w:r>
      <w:r w:rsidR="00581C49" w:rsidRPr="00AB4F2E">
        <w:noBreakHyphen/>
      </w:r>
      <w:r w:rsidR="003B5B4E" w:rsidRPr="00AB4F2E">
        <w:t>up</w:t>
      </w:r>
      <w:r w:rsidR="00E22A3F" w:rsidRPr="00AB4F2E">
        <w:t xml:space="preserve">”, </w:t>
      </w:r>
      <w:r w:rsidR="00E22A3F" w:rsidRPr="00AB4F2E">
        <w:rPr>
          <w:i/>
        </w:rPr>
        <w:t>The</w:t>
      </w:r>
      <w:r w:rsidR="00581C49" w:rsidRPr="00AB4F2E">
        <w:rPr>
          <w:i/>
        </w:rPr>
        <w:t xml:space="preserve"> </w:t>
      </w:r>
      <w:r w:rsidR="00E22A3F" w:rsidRPr="00AB4F2E">
        <w:rPr>
          <w:i/>
        </w:rPr>
        <w:t>Economist</w:t>
      </w:r>
      <w:r w:rsidR="00AD291A">
        <w:t xml:space="preserve">, May </w:t>
      </w:r>
      <w:r w:rsidR="009A3160" w:rsidRPr="00AB4F2E">
        <w:t>15</w:t>
      </w:r>
      <w:r w:rsidR="00E22A3F" w:rsidRPr="00AB4F2E">
        <w:t xml:space="preserve">, 2021, </w:t>
      </w:r>
      <w:r w:rsidR="00581C49" w:rsidRPr="00AB4F2E">
        <w:t>pp. 65</w:t>
      </w:r>
      <w:r w:rsidR="00581C49" w:rsidRPr="00AB4F2E">
        <w:noBreakHyphen/>
      </w:r>
      <w:r w:rsidR="009A3160" w:rsidRPr="00AB4F2E">
        <w:t>66</w:t>
      </w:r>
      <w:r w:rsidR="00E22A3F" w:rsidRPr="00AB4F2E">
        <w:t>.</w:t>
      </w:r>
    </w:p>
    <w:p w14:paraId="16C8A813" w14:textId="641C27B9" w:rsidR="00F64F36" w:rsidRPr="00AB4F2E" w:rsidRDefault="00F64F36" w:rsidP="00581C49">
      <w:pPr>
        <w:pStyle w:val="SCCNormalDoubleSpacing"/>
        <w:spacing w:after="240" w:line="240" w:lineRule="auto"/>
        <w:ind w:left="540" w:hanging="540"/>
      </w:pPr>
      <w:r w:rsidRPr="00AB4F2E">
        <w:t>Arnold, Brian J. “Reflections on the Relationship Between Statutory Interpretatio</w:t>
      </w:r>
      <w:r w:rsidR="002828B4" w:rsidRPr="00AB4F2E">
        <w:t xml:space="preserve">n and Tax Avoidance” (2001), 49 </w:t>
      </w:r>
      <w:r w:rsidRPr="00AB4F2E">
        <w:rPr>
          <w:i/>
          <w:iCs/>
        </w:rPr>
        <w:t>Can. Tax J.</w:t>
      </w:r>
      <w:r w:rsidRPr="00AB4F2E">
        <w:rPr>
          <w:iCs/>
        </w:rPr>
        <w:t xml:space="preserve"> </w:t>
      </w:r>
      <w:r w:rsidRPr="00AB4F2E">
        <w:t>1.</w:t>
      </w:r>
    </w:p>
    <w:p w14:paraId="6B402034" w14:textId="33FFA2B8" w:rsidR="00E70BB2" w:rsidRPr="00AB4F2E" w:rsidRDefault="00E70BB2" w:rsidP="00581C49">
      <w:pPr>
        <w:pStyle w:val="SCCNormalDoubleSpacing"/>
        <w:spacing w:after="240" w:line="240" w:lineRule="auto"/>
        <w:ind w:left="540" w:hanging="540"/>
      </w:pPr>
      <w:r w:rsidRPr="00AB4F2E">
        <w:t xml:space="preserve">Arnold, Brian J. </w:t>
      </w:r>
      <w:r w:rsidRPr="00AB4F2E">
        <w:rPr>
          <w:i/>
        </w:rPr>
        <w:t>Reforming Canada’s International Tax System: Toward Coherence and Simplicity</w:t>
      </w:r>
      <w:r w:rsidRPr="00AB4F2E">
        <w:t>. Toronto: Canadian Tax Foundation, 2009.</w:t>
      </w:r>
    </w:p>
    <w:p w14:paraId="0589981D" w14:textId="15A90E4C" w:rsidR="00E70BB2" w:rsidRPr="00AB4F2E" w:rsidRDefault="00E70BB2" w:rsidP="00581C49">
      <w:pPr>
        <w:pStyle w:val="SCCNormalDoubleSpacing"/>
        <w:spacing w:after="240" w:line="240" w:lineRule="auto"/>
        <w:ind w:left="540" w:hanging="540"/>
      </w:pPr>
      <w:r w:rsidRPr="00AB4F2E">
        <w:t xml:space="preserve">Arnold, Brian J. “Tax Treaties and Tax Avoidance: The 2003 Revisions to the Commentary to the OECD Model” (2004), 58 </w:t>
      </w:r>
      <w:r w:rsidRPr="00AB4F2E">
        <w:rPr>
          <w:i/>
        </w:rPr>
        <w:t>I.B.F.D.</w:t>
      </w:r>
      <w:r w:rsidRPr="00AB4F2E">
        <w:t xml:space="preserve"> </w:t>
      </w:r>
      <w:r w:rsidRPr="00AB4F2E">
        <w:rPr>
          <w:i/>
        </w:rPr>
        <w:t>Bulletin</w:t>
      </w:r>
      <w:r w:rsidRPr="00AB4F2E">
        <w:t xml:space="preserve"> 244.</w:t>
      </w:r>
    </w:p>
    <w:p w14:paraId="272CDA85" w14:textId="69186014" w:rsidR="002828B4" w:rsidRPr="00AB4F2E" w:rsidRDefault="002828B4" w:rsidP="00581C49">
      <w:pPr>
        <w:pStyle w:val="SCCNormalDoubleSpacing"/>
        <w:spacing w:after="240" w:line="240" w:lineRule="auto"/>
        <w:ind w:left="540" w:hanging="540"/>
      </w:pPr>
      <w:r w:rsidRPr="00AB4F2E">
        <w:t>Arnold, Brian J., and James R. Wilson. “Aggressive International Tax Planning by Multinational Corporations: The Canadian Context a</w:t>
      </w:r>
      <w:r w:rsidR="006C23E5">
        <w:t>nd Possible Responses”, in</w:t>
      </w:r>
      <w:r w:rsidRPr="00AB4F2E">
        <w:t xml:space="preserve"> </w:t>
      </w:r>
      <w:r w:rsidR="00F93679" w:rsidRPr="00AB4F2E">
        <w:lastRenderedPageBreak/>
        <w:t>University of Calgary School of Public Policy</w:t>
      </w:r>
      <w:r w:rsidR="006C23E5">
        <w:t>, Vol. 7</w:t>
      </w:r>
      <w:r w:rsidR="00F93679" w:rsidRPr="00AB4F2E">
        <w:t>, Research Paper No. 29</w:t>
      </w:r>
      <w:r w:rsidR="006C23E5">
        <w:t>, 2014</w:t>
      </w:r>
      <w:r w:rsidRPr="00AB4F2E">
        <w:t>.</w:t>
      </w:r>
    </w:p>
    <w:p w14:paraId="2ADA83F3" w14:textId="78C79686" w:rsidR="00E70BB2" w:rsidRPr="00AB4F2E" w:rsidRDefault="00581C49" w:rsidP="00581C49">
      <w:pPr>
        <w:pStyle w:val="SCCNormalDoubleSpacing"/>
        <w:spacing w:after="240" w:line="240" w:lineRule="auto"/>
        <w:ind w:left="540" w:hanging="540"/>
      </w:pPr>
      <w:r w:rsidRPr="00A75E4C">
        <w:rPr>
          <w:lang w:val="fr-CA"/>
        </w:rPr>
        <w:t>Avi</w:t>
      </w:r>
      <w:r w:rsidRPr="00A75E4C">
        <w:rPr>
          <w:lang w:val="fr-CA"/>
        </w:rPr>
        <w:noBreakHyphen/>
      </w:r>
      <w:r w:rsidR="00E70BB2" w:rsidRPr="00A75E4C">
        <w:rPr>
          <w:lang w:val="fr-CA"/>
        </w:rPr>
        <w:t>Yonah, Reu</w:t>
      </w:r>
      <w:r w:rsidRPr="00A75E4C">
        <w:rPr>
          <w:lang w:val="fr-CA"/>
        </w:rPr>
        <w:t xml:space="preserve">ven S., Nicola Sartori and Omri </w:t>
      </w:r>
      <w:r w:rsidR="00E70BB2" w:rsidRPr="00A75E4C">
        <w:rPr>
          <w:lang w:val="fr-CA"/>
        </w:rPr>
        <w:t>Marian.</w:t>
      </w:r>
      <w:r w:rsidR="00E70BB2" w:rsidRPr="00A75E4C">
        <w:rPr>
          <w:i/>
          <w:lang w:val="fr-CA"/>
        </w:rPr>
        <w:t xml:space="preserve"> </w:t>
      </w:r>
      <w:r w:rsidR="00E70BB2" w:rsidRPr="00AB4F2E">
        <w:rPr>
          <w:i/>
        </w:rPr>
        <w:t>Global Perspectives on Income Taxation Law</w:t>
      </w:r>
      <w:r w:rsidR="00E70BB2" w:rsidRPr="00AB4F2E">
        <w:t>. New York: Oxford University Press, 2011.</w:t>
      </w:r>
    </w:p>
    <w:p w14:paraId="35F52AB3" w14:textId="445CEBAA" w:rsidR="00C253D5" w:rsidRPr="00AB4F2E" w:rsidRDefault="00C253D5" w:rsidP="00581C49">
      <w:pPr>
        <w:pStyle w:val="SCCNormalDoubleSpacing"/>
        <w:spacing w:after="240" w:line="240" w:lineRule="auto"/>
        <w:ind w:left="540" w:hanging="540"/>
      </w:pPr>
      <w:r w:rsidRPr="00AB4F2E">
        <w:t xml:space="preserve">Baker, Philip. </w:t>
      </w:r>
      <w:r w:rsidRPr="00AB4F2E">
        <w:rPr>
          <w:i/>
        </w:rPr>
        <w:t>The United Nations Model Double Taxation Convention Between Developed and Developing Countries: Possible Extension of the Beneficial Ownership Concept</w:t>
      </w:r>
      <w:r w:rsidRPr="00AB4F2E">
        <w:t xml:space="preserve">, U.N. Doc. E/C.18/2008/CRP.2/Add.1, </w:t>
      </w:r>
      <w:r w:rsidR="004E41C4" w:rsidRPr="00AB4F2E">
        <w:t xml:space="preserve">Ann., </w:t>
      </w:r>
      <w:r w:rsidRPr="00AB4F2E">
        <w:t>October 17, 2008.</w:t>
      </w:r>
    </w:p>
    <w:p w14:paraId="38C4A4CE" w14:textId="036C3B7C" w:rsidR="00831C72" w:rsidRPr="00A75E4C" w:rsidRDefault="00831C72" w:rsidP="00581C49">
      <w:pPr>
        <w:pStyle w:val="SCCNormalDoubleSpacing"/>
        <w:spacing w:after="240" w:line="240" w:lineRule="auto"/>
        <w:ind w:left="540" w:hanging="540"/>
        <w:rPr>
          <w:lang w:val="fr-CA"/>
        </w:rPr>
      </w:pPr>
      <w:r w:rsidRPr="001851DC">
        <w:rPr>
          <w:lang w:val="fr-CA"/>
        </w:rPr>
        <w:t xml:space="preserve">Bammens, Niels, and Luc De Broe. </w:t>
      </w:r>
      <w:r w:rsidRPr="00AB4F2E">
        <w:t>“Treaty Shopping and Avoidance of Abuse”, in</w:t>
      </w:r>
      <w:r w:rsidRPr="00AB4F2E">
        <w:rPr>
          <w:lang w:bidi="en-US"/>
        </w:rPr>
        <w:t xml:space="preserve"> Michael Lang et al.,</w:t>
      </w:r>
      <w:r w:rsidRPr="00AB4F2E">
        <w:rPr>
          <w:i/>
          <w:lang w:bidi="en-US"/>
        </w:rPr>
        <w:t xml:space="preserve"> </w:t>
      </w:r>
      <w:r w:rsidRPr="00AB4F2E">
        <w:rPr>
          <w:lang w:bidi="en-US"/>
        </w:rPr>
        <w:t xml:space="preserve">eds., </w:t>
      </w:r>
      <w:r w:rsidRPr="00AB4F2E">
        <w:rPr>
          <w:i/>
          <w:lang w:bidi="en-US"/>
        </w:rPr>
        <w:t>Tax Treaties: Building Bridges between Law and Economics</w:t>
      </w:r>
      <w:r w:rsidRPr="00AB4F2E">
        <w:rPr>
          <w:lang w:bidi="en-US"/>
        </w:rPr>
        <w:t xml:space="preserve">. </w:t>
      </w:r>
      <w:r w:rsidRPr="00A75E4C">
        <w:rPr>
          <w:lang w:val="fr-CA" w:bidi="en-US"/>
        </w:rPr>
        <w:t>Amsterdam: IBFD, 2010, 51.</w:t>
      </w:r>
    </w:p>
    <w:p w14:paraId="5E97853A" w14:textId="48448023" w:rsidR="001821AE" w:rsidRPr="00A75E4C" w:rsidRDefault="001821AE" w:rsidP="00581C49">
      <w:pPr>
        <w:pStyle w:val="SCCNormalDoubleSpacing"/>
        <w:spacing w:after="240" w:line="240" w:lineRule="auto"/>
        <w:ind w:left="540" w:hanging="540"/>
        <w:rPr>
          <w:lang w:val="fr-CA"/>
        </w:rPr>
      </w:pPr>
      <w:r w:rsidRPr="00A75E4C">
        <w:rPr>
          <w:lang w:val="fr-CA"/>
        </w:rPr>
        <w:t xml:space="preserve">Baruch, Jérémie, </w:t>
      </w:r>
      <w:r w:rsidR="00DA003E" w:rsidRPr="00A75E4C">
        <w:rPr>
          <w:lang w:val="fr-CA"/>
        </w:rPr>
        <w:t>et autres</w:t>
      </w:r>
      <w:r w:rsidRPr="00A75E4C">
        <w:rPr>
          <w:lang w:val="fr-CA"/>
        </w:rPr>
        <w:t xml:space="preserve">. </w:t>
      </w:r>
      <w:r w:rsidRPr="00A75E4C">
        <w:rPr>
          <w:i/>
          <w:lang w:val="fr-CA"/>
        </w:rPr>
        <w:t>OpenLux: Enquête sur le Luxembourg, coffre-fort de l’Europe</w:t>
      </w:r>
      <w:r w:rsidRPr="00A75E4C">
        <w:rPr>
          <w:lang w:val="fr-CA"/>
        </w:rPr>
        <w:t>, 8</w:t>
      </w:r>
      <w:r w:rsidR="005161EF">
        <w:rPr>
          <w:lang w:val="fr-CA"/>
        </w:rPr>
        <w:t xml:space="preserve"> février </w:t>
      </w:r>
      <w:r w:rsidRPr="00A75E4C">
        <w:rPr>
          <w:lang w:val="fr-CA"/>
        </w:rPr>
        <w:t>2021 (online: https://www.lemonde.fr/les-decodeurs/visuel/2021/02/08/openlux-enquete-sur-le-luxembourg-coffre-fort-de-l-europe_6069132_4355770.html</w:t>
      </w:r>
      <w:r w:rsidRPr="00A75E4C">
        <w:rPr>
          <w:color w:val="000000"/>
          <w:lang w:val="fr-CA"/>
        </w:rPr>
        <w:t>).</w:t>
      </w:r>
    </w:p>
    <w:p w14:paraId="74FB2DFE" w14:textId="76763F97" w:rsidR="0008787C" w:rsidRPr="00AB4F2E" w:rsidRDefault="0008787C" w:rsidP="00581C49">
      <w:pPr>
        <w:pStyle w:val="SCCNormalDoubleSpacing"/>
        <w:spacing w:after="240" w:line="240" w:lineRule="auto"/>
        <w:ind w:left="540" w:hanging="540"/>
      </w:pPr>
      <w:r w:rsidRPr="00AB4F2E">
        <w:rPr>
          <w:shd w:val="clear" w:color="auto" w:fill="FFFFFF"/>
        </w:rPr>
        <w:t xml:space="preserve">Brown, Catherine Anne, and Joseph Bogle. </w:t>
      </w:r>
      <w:r w:rsidRPr="00AB4F2E">
        <w:t xml:space="preserve">“Treaty Shopping and the New Multilateral Tax Agreement — Is it Business as Usual in Canada?” (2020), 43 </w:t>
      </w:r>
      <w:r w:rsidRPr="00AB4F2E">
        <w:rPr>
          <w:i/>
        </w:rPr>
        <w:t>Dal. L.J.</w:t>
      </w:r>
      <w:r w:rsidRPr="00AB4F2E">
        <w:t xml:space="preserve"> 1.</w:t>
      </w:r>
    </w:p>
    <w:p w14:paraId="19B73A0D" w14:textId="270D41EA" w:rsidR="00CF3E27" w:rsidRPr="00AB4F2E" w:rsidRDefault="00CF3E27" w:rsidP="00581C49">
      <w:pPr>
        <w:pStyle w:val="SCCNormalDoubleSpacing"/>
        <w:spacing w:after="240" w:line="240" w:lineRule="auto"/>
        <w:ind w:left="540" w:hanging="540"/>
      </w:pPr>
      <w:r w:rsidRPr="00AB4F2E">
        <w:t xml:space="preserve">Canada. </w:t>
      </w:r>
      <w:r w:rsidRPr="00AB4F2E">
        <w:rPr>
          <w:i/>
        </w:rPr>
        <w:t>Report of the Royal Commission on Taxation</w:t>
      </w:r>
      <w:r w:rsidRPr="00AB4F2E">
        <w:t>,</w:t>
      </w:r>
      <w:r w:rsidRPr="00AB4F2E">
        <w:rPr>
          <w:i/>
        </w:rPr>
        <w:t xml:space="preserve"> </w:t>
      </w:r>
      <w:r w:rsidRPr="00AB4F2E">
        <w:t>vol. 3</w:t>
      </w:r>
      <w:r w:rsidR="00604174" w:rsidRPr="00AB4F2E">
        <w:t>, part A</w:t>
      </w:r>
      <w:r w:rsidRPr="00AB4F2E">
        <w:t xml:space="preserve">, </w:t>
      </w:r>
      <w:r w:rsidRPr="00AB4F2E">
        <w:rPr>
          <w:i/>
        </w:rPr>
        <w:t>Taxation of Income</w:t>
      </w:r>
      <w:r w:rsidRPr="00AB4F2E">
        <w:t>. Ottawa, 1966.</w:t>
      </w:r>
    </w:p>
    <w:p w14:paraId="539254A6" w14:textId="3D0724F3" w:rsidR="00196629" w:rsidRPr="00AB4F2E" w:rsidRDefault="00196629" w:rsidP="00581C49">
      <w:pPr>
        <w:pStyle w:val="SCCNormalDoubleSpacing"/>
        <w:spacing w:after="240" w:line="240" w:lineRule="auto"/>
        <w:ind w:left="540" w:hanging="540"/>
      </w:pPr>
      <w:r w:rsidRPr="00AB4F2E">
        <w:t xml:space="preserve">Canada. Department of Finance. </w:t>
      </w:r>
      <w:r w:rsidRPr="00AB4F2E">
        <w:rPr>
          <w:i/>
        </w:rPr>
        <w:t>Consultation Paper on Treaty Shopping — The Problem and Possible Solutions</w:t>
      </w:r>
      <w:r w:rsidR="004D3A37">
        <w:t>, August </w:t>
      </w:r>
      <w:r w:rsidRPr="00AB4F2E">
        <w:t xml:space="preserve">12, 2013 (online: https://web.archive.org/web/20140304022356/http://www.fin.gc.ca/activty/consult/ts-cf-eng.asp; </w:t>
      </w:r>
      <w:r w:rsidRPr="00AB4F2E">
        <w:rPr>
          <w:color w:val="000000"/>
        </w:rPr>
        <w:t xml:space="preserve">archived version: </w:t>
      </w:r>
      <w:hyperlink r:id="rId9" w:history="1">
        <w:r w:rsidRPr="00A37947">
          <w:rPr>
            <w:rStyle w:val="Hyperlink"/>
            <w:rFonts w:eastAsiaTheme="majorEastAsia"/>
          </w:rPr>
          <w:t>https://www.scc-csc.ca/cso-dce/2021SCC-CSC</w:t>
        </w:r>
        <w:r w:rsidR="00F641B9" w:rsidRPr="00A37947">
          <w:rPr>
            <w:rStyle w:val="Hyperlink"/>
            <w:rFonts w:eastAsiaTheme="majorEastAsia"/>
          </w:rPr>
          <w:t>49</w:t>
        </w:r>
        <w:r w:rsidRPr="00A37947">
          <w:rPr>
            <w:rStyle w:val="Hyperlink"/>
            <w:rFonts w:eastAsiaTheme="majorEastAsia"/>
          </w:rPr>
          <w:t>_</w:t>
        </w:r>
        <w:r w:rsidR="00B03C62" w:rsidRPr="00A37947">
          <w:rPr>
            <w:rStyle w:val="Hyperlink"/>
            <w:rFonts w:eastAsiaTheme="majorEastAsia"/>
          </w:rPr>
          <w:t>1</w:t>
        </w:r>
        <w:r w:rsidRPr="00A37947">
          <w:rPr>
            <w:rStyle w:val="Hyperlink"/>
            <w:rFonts w:eastAsiaTheme="majorEastAsia"/>
          </w:rPr>
          <w:t>_eng.pdf</w:t>
        </w:r>
      </w:hyperlink>
      <w:r w:rsidRPr="00AB4F2E">
        <w:rPr>
          <w:rFonts w:eastAsiaTheme="majorEastAsia"/>
        </w:rPr>
        <w:t>).</w:t>
      </w:r>
    </w:p>
    <w:p w14:paraId="19DEE60F" w14:textId="44CC3457" w:rsidR="007A5A9A" w:rsidRPr="00AB4F2E" w:rsidRDefault="007A5A9A" w:rsidP="00581C49">
      <w:pPr>
        <w:pStyle w:val="SCCNormalDoubleSpacing"/>
        <w:spacing w:after="240" w:line="240" w:lineRule="auto"/>
        <w:ind w:left="540" w:hanging="540"/>
      </w:pPr>
      <w:r w:rsidRPr="00AB4F2E">
        <w:t>Canada. Department of Finance</w:t>
      </w:r>
      <w:r w:rsidR="00C84D12" w:rsidRPr="00AB4F2E">
        <w:t>.</w:t>
      </w:r>
      <w:r w:rsidRPr="00AB4F2E">
        <w:t xml:space="preserve"> </w:t>
      </w:r>
      <w:r w:rsidRPr="00AB4F2E">
        <w:rPr>
          <w:i/>
        </w:rPr>
        <w:t>Explanatory Notes to Legislation Relating to Income Tax</w:t>
      </w:r>
      <w:r w:rsidRPr="00AB4F2E">
        <w:t>. Ottawa, 1988.</w:t>
      </w:r>
    </w:p>
    <w:p w14:paraId="78216999" w14:textId="791928C6" w:rsidR="008C345A" w:rsidRPr="00AB4F2E" w:rsidRDefault="008C345A" w:rsidP="00581C49">
      <w:pPr>
        <w:pStyle w:val="SCCNormalDoubleSpacing"/>
        <w:spacing w:after="240" w:line="240" w:lineRule="auto"/>
        <w:ind w:left="540" w:hanging="540"/>
      </w:pPr>
      <w:r w:rsidRPr="00AB4F2E">
        <w:t xml:space="preserve">Canada. Office of the Auditor General. </w:t>
      </w:r>
      <w:r w:rsidRPr="00AB4F2E">
        <w:rPr>
          <w:i/>
        </w:rPr>
        <w:t>Report of the Auditor General of Canada to the House of Commons — Chapter 7 — Canada Customs and Revenue Agency, Intern</w:t>
      </w:r>
      <w:r w:rsidR="00581C49" w:rsidRPr="00AB4F2E">
        <w:rPr>
          <w:i/>
        </w:rPr>
        <w:t>ational Tax Administration: Non</w:t>
      </w:r>
      <w:r w:rsidR="00581C49" w:rsidRPr="00AB4F2E">
        <w:rPr>
          <w:i/>
        </w:rPr>
        <w:noBreakHyphen/>
      </w:r>
      <w:r w:rsidRPr="00AB4F2E">
        <w:rPr>
          <w:i/>
        </w:rPr>
        <w:t>Residents Subject to Canadian Income Tax</w:t>
      </w:r>
      <w:r w:rsidRPr="00AB4F2E">
        <w:t>. Ottawa, 2001.</w:t>
      </w:r>
    </w:p>
    <w:p w14:paraId="0CE3DF87" w14:textId="77777777" w:rsidR="003E364F" w:rsidRPr="00AB4F2E" w:rsidRDefault="003E364F" w:rsidP="00581C49">
      <w:pPr>
        <w:pStyle w:val="SCCNormalDoubleSpacing"/>
        <w:spacing w:after="240" w:line="240" w:lineRule="auto"/>
        <w:ind w:left="540" w:hanging="540"/>
      </w:pPr>
      <w:r w:rsidRPr="00AB4F2E">
        <w:t xml:space="preserve">Canada. Office of the Auditor General. </w:t>
      </w:r>
      <w:r w:rsidRPr="00AB4F2E">
        <w:rPr>
          <w:i/>
        </w:rPr>
        <w:t>Report of the Auditor General of Canada to the House of Commons, 1992</w:t>
      </w:r>
      <w:r w:rsidRPr="00AB4F2E">
        <w:t>. Ottawa, 1992.</w:t>
      </w:r>
    </w:p>
    <w:p w14:paraId="677C8B92" w14:textId="1C0F1D73" w:rsidR="005F1FC6" w:rsidRPr="00AB4F2E" w:rsidRDefault="005F1FC6" w:rsidP="00581C49">
      <w:pPr>
        <w:pStyle w:val="SCCNormalDoubleSpacing"/>
        <w:spacing w:after="240" w:line="240" w:lineRule="auto"/>
        <w:ind w:left="540" w:hanging="540"/>
        <w:rPr>
          <w:shd w:val="clear" w:color="auto" w:fill="FFFFFF"/>
        </w:rPr>
      </w:pPr>
      <w:r w:rsidRPr="00AB4F2E">
        <w:t xml:space="preserve">Canada. Senate. </w:t>
      </w:r>
      <w:r w:rsidRPr="00AB4F2E">
        <w:rPr>
          <w:shd w:val="clear" w:color="auto" w:fill="FFFFFF"/>
        </w:rPr>
        <w:t>Standing Senat</w:t>
      </w:r>
      <w:r w:rsidR="003B20F8" w:rsidRPr="00AB4F2E">
        <w:rPr>
          <w:shd w:val="clear" w:color="auto" w:fill="FFFFFF"/>
        </w:rPr>
        <w:t>e Committee on National Finance.</w:t>
      </w:r>
      <w:r w:rsidRPr="00AB4F2E">
        <w:rPr>
          <w:shd w:val="clear" w:color="auto" w:fill="FFFFFF"/>
        </w:rPr>
        <w:t xml:space="preserve"> </w:t>
      </w:r>
      <w:r w:rsidRPr="00AB4F2E">
        <w:rPr>
          <w:i/>
          <w:shd w:val="clear" w:color="auto" w:fill="FFFFFF"/>
        </w:rPr>
        <w:t>Proceedings of the Standing Senate Committee on National Finance</w:t>
      </w:r>
      <w:r w:rsidRPr="00AB4F2E">
        <w:rPr>
          <w:shd w:val="clear" w:color="auto" w:fill="FFFFFF"/>
        </w:rPr>
        <w:t>, No. 19, 1st Sess., 38th Parl., April 20, 2005.</w:t>
      </w:r>
    </w:p>
    <w:p w14:paraId="7E1010B4" w14:textId="5E9D32E4" w:rsidR="005F1FC6" w:rsidRPr="00AB4F2E" w:rsidRDefault="005F1FC6" w:rsidP="00581C49">
      <w:pPr>
        <w:pStyle w:val="SCCNormalDoubleSpacing"/>
        <w:spacing w:after="240" w:line="240" w:lineRule="auto"/>
        <w:ind w:left="540" w:hanging="540"/>
      </w:pPr>
      <w:r w:rsidRPr="00AB4F2E">
        <w:lastRenderedPageBreak/>
        <w:t xml:space="preserve">Canada. Senate. </w:t>
      </w:r>
      <w:r w:rsidRPr="00AB4F2E">
        <w:rPr>
          <w:shd w:val="clear" w:color="auto" w:fill="FFFFFF"/>
        </w:rPr>
        <w:t>Standing Senate Com</w:t>
      </w:r>
      <w:r w:rsidR="003B20F8" w:rsidRPr="00AB4F2E">
        <w:rPr>
          <w:shd w:val="clear" w:color="auto" w:fill="FFFFFF"/>
        </w:rPr>
        <w:t>mittee on National Finance.</w:t>
      </w:r>
      <w:r w:rsidRPr="00AB4F2E">
        <w:rPr>
          <w:shd w:val="clear" w:color="auto" w:fill="FFFFFF"/>
        </w:rPr>
        <w:t xml:space="preserve"> </w:t>
      </w:r>
      <w:r w:rsidRPr="00AB4F2E">
        <w:rPr>
          <w:i/>
          <w:shd w:val="clear" w:color="auto" w:fill="FFFFFF"/>
        </w:rPr>
        <w:t>Proceedings of the Standing Senate Committee on National Finance</w:t>
      </w:r>
      <w:r w:rsidRPr="00AB4F2E">
        <w:rPr>
          <w:shd w:val="clear" w:color="auto" w:fill="FFFFFF"/>
        </w:rPr>
        <w:t>, No. 20, 1st Sess., 38th Parl., May 2, 2005.</w:t>
      </w:r>
    </w:p>
    <w:p w14:paraId="4994536E" w14:textId="75341307" w:rsidR="00E70BB2" w:rsidRPr="00AB4F2E" w:rsidRDefault="00C074AF" w:rsidP="00581C49">
      <w:pPr>
        <w:pStyle w:val="SCCNormalDoubleSpacing"/>
        <w:spacing w:after="240" w:line="240" w:lineRule="auto"/>
        <w:ind w:left="540" w:hanging="540"/>
      </w:pPr>
      <w:r w:rsidRPr="00AB4F2E">
        <w:t>Christians, Allison, and Nicolas Benoî</w:t>
      </w:r>
      <w:r w:rsidR="00581C49" w:rsidRPr="00AB4F2E">
        <w:t>t</w:t>
      </w:r>
      <w:r w:rsidR="00581C49" w:rsidRPr="00AB4F2E">
        <w:noBreakHyphen/>
      </w:r>
      <w:r w:rsidRPr="00AB4F2E">
        <w:t>Guay. “Status and Structure of Tax Treaties”, in J</w:t>
      </w:r>
      <w:r w:rsidR="004959FA" w:rsidRPr="00AB4F2E">
        <w:t>ean</w:t>
      </w:r>
      <w:r w:rsidR="00581C49" w:rsidRPr="00AB4F2E">
        <w:noBreakHyphen/>
      </w:r>
      <w:r w:rsidRPr="00AB4F2E">
        <w:t>P</w:t>
      </w:r>
      <w:r w:rsidR="004959FA" w:rsidRPr="00AB4F2E">
        <w:t xml:space="preserve">ierre </w:t>
      </w:r>
      <w:r w:rsidRPr="00AB4F2E">
        <w:t xml:space="preserve">Vidal, ed., </w:t>
      </w:r>
      <w:r w:rsidRPr="00AB4F2E">
        <w:rPr>
          <w:i/>
        </w:rPr>
        <w:t>Introduction to International Tax in Canada</w:t>
      </w:r>
      <w:r w:rsidR="004959FA" w:rsidRPr="00AB4F2E">
        <w:t xml:space="preserve">, </w:t>
      </w:r>
      <w:r w:rsidRPr="00AB4F2E">
        <w:t xml:space="preserve">9th ed. </w:t>
      </w:r>
      <w:r w:rsidR="004959FA" w:rsidRPr="00AB4F2E">
        <w:t xml:space="preserve">Toronto: Thomson Reuters, </w:t>
      </w:r>
      <w:r w:rsidRPr="00AB4F2E">
        <w:t>2021.</w:t>
      </w:r>
    </w:p>
    <w:p w14:paraId="5A51886A" w14:textId="28D0D0E1" w:rsidR="00E70BB2" w:rsidRPr="00AB4F2E" w:rsidRDefault="00E70BB2" w:rsidP="00581C49">
      <w:pPr>
        <w:pStyle w:val="SCCNormalDoubleSpacing"/>
        <w:spacing w:after="240" w:line="240" w:lineRule="auto"/>
        <w:ind w:left="540" w:hanging="540"/>
      </w:pPr>
      <w:r w:rsidRPr="00AB4F2E">
        <w:t xml:space="preserve">Couzin, Robert. </w:t>
      </w:r>
      <w:r w:rsidRPr="00AB4F2E">
        <w:rPr>
          <w:i/>
        </w:rPr>
        <w:t>Corporate Residence and International Taxation</w:t>
      </w:r>
      <w:r w:rsidRPr="00AB4F2E">
        <w:t>. Amsterdam: IBFD, 2002.</w:t>
      </w:r>
    </w:p>
    <w:p w14:paraId="13EB1116" w14:textId="2A9990B0" w:rsidR="000D1820" w:rsidRPr="00AB4F2E" w:rsidRDefault="000D1820" w:rsidP="00581C49">
      <w:pPr>
        <w:pStyle w:val="SCCNormalDoubleSpacing"/>
        <w:spacing w:after="240" w:line="240" w:lineRule="auto"/>
        <w:ind w:left="540" w:hanging="540"/>
      </w:pPr>
      <w:r w:rsidRPr="00AB4F2E">
        <w:t xml:space="preserve">Davies, David R. </w:t>
      </w:r>
      <w:r w:rsidRPr="00AB4F2E">
        <w:rPr>
          <w:i/>
        </w:rPr>
        <w:t>Principles of International Double Taxation Relief</w:t>
      </w:r>
      <w:r w:rsidRPr="00AB4F2E">
        <w:t>.</w:t>
      </w:r>
      <w:r w:rsidR="00581C49" w:rsidRPr="00AB4F2E">
        <w:t xml:space="preserve"> London: Sweet &amp; Maxwell, 1985.</w:t>
      </w:r>
    </w:p>
    <w:p w14:paraId="0F0ECBAF" w14:textId="43A3AE62" w:rsidR="00AB3F24" w:rsidRPr="00AB4F2E" w:rsidRDefault="00AB3F24" w:rsidP="00581C49">
      <w:pPr>
        <w:pStyle w:val="SCCNormalDoubleSpacing"/>
        <w:spacing w:after="240" w:line="240" w:lineRule="auto"/>
        <w:ind w:left="540" w:hanging="540"/>
      </w:pPr>
      <w:r w:rsidRPr="00AB4F2E">
        <w:t>Diamo</w:t>
      </w:r>
      <w:r w:rsidR="00581C49" w:rsidRPr="00AB4F2E">
        <w:t xml:space="preserve">nd, Walter </w:t>
      </w:r>
      <w:r w:rsidRPr="00AB4F2E">
        <w:t xml:space="preserve">H., et al. </w:t>
      </w:r>
      <w:r w:rsidRPr="00AB4F2E">
        <w:rPr>
          <w:i/>
        </w:rPr>
        <w:t>Tax Havens of the World</w:t>
      </w:r>
      <w:r w:rsidRPr="00AB4F2E">
        <w:t>, vol. 2.</w:t>
      </w:r>
      <w:r w:rsidR="00581C49" w:rsidRPr="00AB4F2E">
        <w:t xml:space="preserve"> New </w:t>
      </w:r>
      <w:r w:rsidRPr="00AB4F2E">
        <w:t xml:space="preserve">York: </w:t>
      </w:r>
      <w:r w:rsidR="00581C49" w:rsidRPr="00AB4F2E">
        <w:t>Matthew Bender, 2020 (loose</w:t>
      </w:r>
      <w:r w:rsidR="00581C49" w:rsidRPr="00AB4F2E">
        <w:noBreakHyphen/>
      </w:r>
      <w:r w:rsidRPr="00AB4F2E">
        <w:t>leaf updated 2020, release </w:t>
      </w:r>
      <w:r w:rsidR="00581C49" w:rsidRPr="00AB4F2E">
        <w:t>170</w:t>
      </w:r>
      <w:r w:rsidR="00581C49" w:rsidRPr="00AB4F2E">
        <w:noBreakHyphen/>
      </w:r>
      <w:r w:rsidRPr="00AB4F2E">
        <w:t>3).</w:t>
      </w:r>
    </w:p>
    <w:p w14:paraId="40FB80CE" w14:textId="55CB9DB1" w:rsidR="001B43AA" w:rsidRPr="00AB4F2E" w:rsidRDefault="001B43AA" w:rsidP="00581C49">
      <w:pPr>
        <w:pStyle w:val="SCCNormalDoubleSpacing"/>
        <w:spacing w:after="240" w:line="240" w:lineRule="auto"/>
        <w:ind w:left="540" w:hanging="540"/>
      </w:pPr>
      <w:r w:rsidRPr="00AB4F2E">
        <w:rPr>
          <w:shd w:val="clear" w:color="auto" w:fill="FFFFFF"/>
        </w:rPr>
        <w:t>Dodge</w:t>
      </w:r>
      <w:r w:rsidRPr="00AB4F2E">
        <w:t>,</w:t>
      </w:r>
      <w:r w:rsidR="00581C49" w:rsidRPr="00AB4F2E">
        <w:t xml:space="preserve"> David </w:t>
      </w:r>
      <w:r w:rsidRPr="00AB4F2E">
        <w:t xml:space="preserve">A. “A New and More Coherent Approach to Tax Avoidance” (1988), 36 </w:t>
      </w:r>
      <w:r w:rsidRPr="00AB4F2E">
        <w:rPr>
          <w:i/>
        </w:rPr>
        <w:t>Can. Tax J.</w:t>
      </w:r>
      <w:r w:rsidRPr="00AB4F2E">
        <w:t xml:space="preserve"> 1.</w:t>
      </w:r>
    </w:p>
    <w:p w14:paraId="4177C469" w14:textId="7E381DC5" w:rsidR="0040172E" w:rsidRPr="00AB4F2E" w:rsidRDefault="0040172E" w:rsidP="00581C49">
      <w:pPr>
        <w:pStyle w:val="SCCNormalDoubleSpacing"/>
        <w:spacing w:after="240" w:line="240" w:lineRule="auto"/>
        <w:ind w:left="540" w:hanging="540"/>
      </w:pPr>
      <w:r w:rsidRPr="00AB4F2E">
        <w:t xml:space="preserve">Duff, </w:t>
      </w:r>
      <w:r w:rsidR="00581C49" w:rsidRPr="00AB4F2E">
        <w:t xml:space="preserve">David </w:t>
      </w:r>
      <w:r w:rsidRPr="00AB4F2E">
        <w:t>G. “Tax Treaty Abuse and th</w:t>
      </w:r>
      <w:r w:rsidR="004D3A37">
        <w:t xml:space="preserve">e Principal Purpose Test — Part </w:t>
      </w:r>
      <w:r w:rsidRPr="00AB4F2E">
        <w:t xml:space="preserve">1” (2018), 66 </w:t>
      </w:r>
      <w:r w:rsidRPr="00AB4F2E">
        <w:rPr>
          <w:i/>
        </w:rPr>
        <w:t>Can. Tax J.</w:t>
      </w:r>
      <w:r w:rsidRPr="00AB4F2E">
        <w:t xml:space="preserve"> 619.</w:t>
      </w:r>
    </w:p>
    <w:p w14:paraId="639FBE09" w14:textId="10D37ACD" w:rsidR="00134F48" w:rsidRPr="00AB4F2E" w:rsidRDefault="00134F48" w:rsidP="00581C49">
      <w:pPr>
        <w:pStyle w:val="SCCNormalDoubleSpacing"/>
        <w:spacing w:after="240" w:line="240" w:lineRule="auto"/>
        <w:ind w:left="540" w:hanging="540"/>
      </w:pPr>
      <w:r w:rsidRPr="00AB4F2E">
        <w:t>Duff,</w:t>
      </w:r>
      <w:r w:rsidR="00581C49" w:rsidRPr="00AB4F2E">
        <w:t xml:space="preserve"> David </w:t>
      </w:r>
      <w:r w:rsidRPr="00AB4F2E">
        <w:t>G. “The Interpretive Exercise Under the General Anti-Avoidance Rule”, in B</w:t>
      </w:r>
      <w:r w:rsidR="00581C49" w:rsidRPr="00AB4F2E">
        <w:t xml:space="preserve">rian </w:t>
      </w:r>
      <w:r w:rsidRPr="00AB4F2E">
        <w:t xml:space="preserve">J. Arnold, ed., </w:t>
      </w:r>
      <w:r w:rsidR="00581C49" w:rsidRPr="00AB4F2E">
        <w:rPr>
          <w:i/>
          <w:iCs/>
        </w:rPr>
        <w:t>The General Anti</w:t>
      </w:r>
      <w:r w:rsidR="00581C49" w:rsidRPr="00AB4F2E">
        <w:rPr>
          <w:i/>
          <w:iCs/>
        </w:rPr>
        <w:noBreakHyphen/>
      </w:r>
      <w:r w:rsidRPr="00AB4F2E">
        <w:rPr>
          <w:i/>
          <w:iCs/>
        </w:rPr>
        <w:t>Avoidance Rule — Past, Present, and Future</w:t>
      </w:r>
      <w:r w:rsidRPr="00AB4F2E">
        <w:t>. Toronto: Canadian Tax Foundation, 2021, 383.</w:t>
      </w:r>
    </w:p>
    <w:p w14:paraId="5852928D" w14:textId="1C1ACC69" w:rsidR="003E364F" w:rsidRPr="00AB4F2E" w:rsidRDefault="003E364F" w:rsidP="00581C49">
      <w:pPr>
        <w:pStyle w:val="SCCNormalDoubleSpacing"/>
        <w:spacing w:after="240" w:line="240" w:lineRule="auto"/>
        <w:ind w:left="540" w:hanging="540"/>
      </w:pPr>
      <w:r w:rsidRPr="00AB4F2E">
        <w:rPr>
          <w:i/>
        </w:rPr>
        <w:t>Grundy’s Tax Havens: A World Survey</w:t>
      </w:r>
      <w:r w:rsidRPr="00AB4F2E">
        <w:t>, 4th ed., by John Walters, ed. London: Sweet &amp; Maxwell, 1983.</w:t>
      </w:r>
    </w:p>
    <w:p w14:paraId="7B04B8E7" w14:textId="53B8854D" w:rsidR="00C87600" w:rsidRPr="00AB4F2E" w:rsidRDefault="00C87600" w:rsidP="00581C49">
      <w:pPr>
        <w:pStyle w:val="SCCNormalDoubleSpacing"/>
        <w:spacing w:after="240" w:line="240" w:lineRule="auto"/>
        <w:ind w:left="540" w:hanging="540"/>
      </w:pPr>
      <w:r w:rsidRPr="00AB4F2E">
        <w:t>Hattingh,</w:t>
      </w:r>
      <w:r w:rsidR="00581C49" w:rsidRPr="00AB4F2E">
        <w:t xml:space="preserve"> P. </w:t>
      </w:r>
      <w:r w:rsidRPr="00AB4F2E">
        <w:t>Johann. “Article</w:t>
      </w:r>
      <w:r w:rsidR="00581C49" w:rsidRPr="00AB4F2E">
        <w:t xml:space="preserve"> </w:t>
      </w:r>
      <w:r w:rsidRPr="00AB4F2E">
        <w:t xml:space="preserve">1 of the OECD Model: Historical Background and the Issues Surrounding It” (2003), 57 </w:t>
      </w:r>
      <w:r w:rsidRPr="00AB4F2E">
        <w:rPr>
          <w:i/>
        </w:rPr>
        <w:t>Bull. Int’l Fisc. Doc.</w:t>
      </w:r>
      <w:r w:rsidRPr="00AB4F2E">
        <w:t xml:space="preserve"> 215.</w:t>
      </w:r>
    </w:p>
    <w:p w14:paraId="3CD7A48D" w14:textId="7C9DF45F" w:rsidR="00465C31" w:rsidRPr="00AB4F2E" w:rsidRDefault="00465C31" w:rsidP="00581C49">
      <w:pPr>
        <w:pStyle w:val="SCCNormalDoubleSpacing"/>
        <w:spacing w:after="240" w:line="240" w:lineRule="auto"/>
        <w:ind w:left="540" w:hanging="540"/>
      </w:pPr>
      <w:r w:rsidRPr="00AB4F2E">
        <w:t>Innes, W</w:t>
      </w:r>
      <w:r w:rsidR="00581C49" w:rsidRPr="00AB4F2E">
        <w:t xml:space="preserve">illiam </w:t>
      </w:r>
      <w:r w:rsidRPr="00AB4F2E">
        <w:t>I., P</w:t>
      </w:r>
      <w:r w:rsidR="00581C49" w:rsidRPr="00AB4F2E">
        <w:t xml:space="preserve">atrick </w:t>
      </w:r>
      <w:r w:rsidRPr="00AB4F2E">
        <w:t>J.</w:t>
      </w:r>
      <w:r w:rsidR="00AD291A">
        <w:t> </w:t>
      </w:r>
      <w:r w:rsidRPr="00AB4F2E">
        <w:t>Boyle and J</w:t>
      </w:r>
      <w:r w:rsidR="00581C49" w:rsidRPr="00AB4F2E">
        <w:t xml:space="preserve">oel </w:t>
      </w:r>
      <w:r w:rsidRPr="00AB4F2E">
        <w:t>A.</w:t>
      </w:r>
      <w:r w:rsidR="00AD291A">
        <w:t> </w:t>
      </w:r>
      <w:r w:rsidRPr="00AB4F2E">
        <w:t xml:space="preserve">Nitikman. </w:t>
      </w:r>
      <w:r w:rsidRPr="00AB4F2E">
        <w:rPr>
          <w:i/>
        </w:rPr>
        <w:t xml:space="preserve">The Essential GAAR Manual: </w:t>
      </w:r>
      <w:r w:rsidRPr="00AB4F2E">
        <w:rPr>
          <w:bCs/>
          <w:i/>
        </w:rPr>
        <w:t>Policies, Principles and Procedures</w:t>
      </w:r>
      <w:r w:rsidRPr="00AB4F2E">
        <w:rPr>
          <w:bCs/>
        </w:rPr>
        <w:t>. Toronto: CCH Canadian,</w:t>
      </w:r>
      <w:r w:rsidRPr="00AB4F2E">
        <w:t xml:space="preserve"> 2006.</w:t>
      </w:r>
    </w:p>
    <w:p w14:paraId="310645B4" w14:textId="588B5B53" w:rsidR="00F26796" w:rsidRPr="00AB4F2E" w:rsidRDefault="00F26796" w:rsidP="00581C49">
      <w:pPr>
        <w:pStyle w:val="SCCNormalDoubleSpacing"/>
        <w:spacing w:after="240" w:line="240" w:lineRule="auto"/>
        <w:ind w:left="540" w:hanging="540"/>
      </w:pPr>
      <w:r w:rsidRPr="00AB4F2E">
        <w:rPr>
          <w:lang w:bidi="en-US"/>
        </w:rPr>
        <w:t>Kemmeren,</w:t>
      </w:r>
      <w:r w:rsidR="00581C49" w:rsidRPr="00AB4F2E">
        <w:rPr>
          <w:lang w:bidi="en-US"/>
        </w:rPr>
        <w:t xml:space="preserve"> Eric </w:t>
      </w:r>
      <w:r w:rsidRPr="00AB4F2E">
        <w:rPr>
          <w:lang w:bidi="en-US"/>
        </w:rPr>
        <w:t xml:space="preserve">C. C. M. “Legal and Economic Principles Support an Origin and Import </w:t>
      </w:r>
      <w:r w:rsidR="00581C49" w:rsidRPr="00AB4F2E">
        <w:rPr>
          <w:lang w:bidi="en-US"/>
        </w:rPr>
        <w:t>Neutrality</w:t>
      </w:r>
      <w:r w:rsidR="00581C49" w:rsidRPr="00AB4F2E">
        <w:rPr>
          <w:lang w:bidi="en-US"/>
        </w:rPr>
        <w:noBreakHyphen/>
      </w:r>
      <w:r w:rsidRPr="00AB4F2E">
        <w:rPr>
          <w:lang w:bidi="en-US"/>
        </w:rPr>
        <w:t>Based over a Residence and Export Neutrality</w:t>
      </w:r>
      <w:r w:rsidR="00581C49" w:rsidRPr="00AB4F2E">
        <w:rPr>
          <w:lang w:bidi="en-US"/>
        </w:rPr>
        <w:noBreakHyphen/>
      </w:r>
      <w:r w:rsidRPr="00AB4F2E">
        <w:rPr>
          <w:lang w:bidi="en-US"/>
        </w:rPr>
        <w:t>Based Tax Treaty Policy”, in Michael Lang et al.,</w:t>
      </w:r>
      <w:r w:rsidRPr="00AB4F2E">
        <w:rPr>
          <w:i/>
          <w:lang w:bidi="en-US"/>
        </w:rPr>
        <w:t xml:space="preserve"> </w:t>
      </w:r>
      <w:r w:rsidRPr="00AB4F2E">
        <w:rPr>
          <w:lang w:bidi="en-US"/>
        </w:rPr>
        <w:t xml:space="preserve">eds., </w:t>
      </w:r>
      <w:r w:rsidRPr="00AB4F2E">
        <w:rPr>
          <w:i/>
          <w:lang w:bidi="en-US"/>
        </w:rPr>
        <w:t>Tax Treaties: Building Bridges between Law and Economics</w:t>
      </w:r>
      <w:r w:rsidRPr="00AB4F2E">
        <w:rPr>
          <w:lang w:bidi="en-US"/>
        </w:rPr>
        <w:t>. Amsterdam: IBFD, 2010, 237.</w:t>
      </w:r>
    </w:p>
    <w:p w14:paraId="680253AA" w14:textId="39EFC36B" w:rsidR="00002B11" w:rsidRPr="00AB4F2E" w:rsidRDefault="00002B11" w:rsidP="00581C49">
      <w:pPr>
        <w:pStyle w:val="SCCNormalDoubleSpacing"/>
        <w:spacing w:after="240" w:line="240" w:lineRule="auto"/>
        <w:ind w:left="540" w:hanging="540"/>
      </w:pPr>
      <w:r w:rsidRPr="00AB4F2E">
        <w:t xml:space="preserve">Knechtle, Arnold A. </w:t>
      </w:r>
      <w:r w:rsidRPr="00AB4F2E">
        <w:rPr>
          <w:i/>
        </w:rPr>
        <w:t>Basic Problems in International Fiscal Law</w:t>
      </w:r>
      <w:r w:rsidRPr="00AB4F2E">
        <w:t xml:space="preserve">. </w:t>
      </w:r>
      <w:r w:rsidR="0073598B" w:rsidRPr="00AB4F2E">
        <w:t xml:space="preserve">Translated by W. E. Weisflog. </w:t>
      </w:r>
      <w:r w:rsidRPr="00AB4F2E">
        <w:t>Deventer, The Netherlands: Kluwer, 1979.</w:t>
      </w:r>
    </w:p>
    <w:p w14:paraId="7A9317D3" w14:textId="6B3992AC" w:rsidR="00B40D60" w:rsidRPr="00AB4F2E" w:rsidRDefault="00B40D60" w:rsidP="00581C49">
      <w:pPr>
        <w:pStyle w:val="SCCNormalDoubleSpacing"/>
        <w:spacing w:after="240" w:line="240" w:lineRule="auto"/>
        <w:ind w:left="540" w:hanging="540"/>
      </w:pPr>
      <w:r w:rsidRPr="00AB4F2E">
        <w:t xml:space="preserve">Krishna, Vern. </w:t>
      </w:r>
      <w:r w:rsidRPr="00AB4F2E">
        <w:rPr>
          <w:i/>
        </w:rPr>
        <w:t>Fundamentals of Canadian Income Tax</w:t>
      </w:r>
      <w:r w:rsidRPr="00AB4F2E">
        <w:t xml:space="preserve">, vol. 1, </w:t>
      </w:r>
      <w:r w:rsidRPr="00AB4F2E">
        <w:rPr>
          <w:i/>
        </w:rPr>
        <w:t>Personal Tax</w:t>
      </w:r>
      <w:r w:rsidRPr="00AB4F2E">
        <w:t>, 2n</w:t>
      </w:r>
      <w:r w:rsidR="009F2856" w:rsidRPr="00AB4F2E">
        <w:t>d</w:t>
      </w:r>
      <w:r w:rsidRPr="00AB4F2E">
        <w:t> ed. Toronto: Thomson Reuters, 2019.</w:t>
      </w:r>
    </w:p>
    <w:p w14:paraId="7EB05F96" w14:textId="6404F1D5" w:rsidR="007A4259" w:rsidRPr="00AB4F2E" w:rsidRDefault="007A4259" w:rsidP="00581C49">
      <w:pPr>
        <w:pStyle w:val="SCCNormalDoubleSpacing"/>
        <w:spacing w:after="240" w:line="240" w:lineRule="auto"/>
        <w:ind w:left="540" w:hanging="540"/>
      </w:pPr>
      <w:r w:rsidRPr="00AB4F2E">
        <w:t xml:space="preserve">Krishna, Vern. </w:t>
      </w:r>
      <w:r w:rsidRPr="00AB4F2E">
        <w:rPr>
          <w:i/>
        </w:rPr>
        <w:t>Income Tax Law</w:t>
      </w:r>
      <w:r w:rsidRPr="00AB4F2E">
        <w:t>, 2nd ed. Toronto: Irwin Law, 2012.</w:t>
      </w:r>
    </w:p>
    <w:p w14:paraId="15E5898F" w14:textId="0483E959" w:rsidR="006B7B7B" w:rsidRPr="00AB4F2E" w:rsidRDefault="006B7B7B" w:rsidP="00581C49">
      <w:pPr>
        <w:pStyle w:val="SCCNormalDoubleSpacing"/>
        <w:spacing w:after="240" w:line="240" w:lineRule="auto"/>
        <w:ind w:left="540" w:hanging="540"/>
      </w:pPr>
      <w:r w:rsidRPr="00AB4F2E">
        <w:lastRenderedPageBreak/>
        <w:t xml:space="preserve">Krishna, Vern. “Using Beneficial Ownership to Prevent Treaty Shopping” (2009), 56 </w:t>
      </w:r>
      <w:r w:rsidRPr="00AB4F2E">
        <w:rPr>
          <w:i/>
        </w:rPr>
        <w:t xml:space="preserve">Tax Notes Int’l </w:t>
      </w:r>
      <w:r w:rsidRPr="00AB4F2E">
        <w:t>537.</w:t>
      </w:r>
    </w:p>
    <w:p w14:paraId="5C89853C" w14:textId="06F49A95" w:rsidR="00E85730" w:rsidRPr="00AB4F2E" w:rsidRDefault="00E85730" w:rsidP="00581C49">
      <w:pPr>
        <w:pStyle w:val="SCCNormalDoubleSpacing"/>
        <w:spacing w:after="240" w:line="240" w:lineRule="auto"/>
        <w:ind w:left="540" w:hanging="540"/>
      </w:pPr>
      <w:r w:rsidRPr="00AB4F2E">
        <w:t xml:space="preserve">Li, Jinyan. “Beneficial Ownership in Tax Treaties: Judicial Interpretation and the Case for Clarity”, in Philip Baker and Catherine Bobbett, eds., </w:t>
      </w:r>
      <w:r w:rsidRPr="00AB4F2E">
        <w:rPr>
          <w:i/>
        </w:rPr>
        <w:t>Tax Polymath: A life in international taxation</w:t>
      </w:r>
      <w:r w:rsidRPr="00AB4F2E">
        <w:t>. Amsterdam: IBFD, 2011, 187</w:t>
      </w:r>
      <w:r w:rsidR="005161EF">
        <w:t>.</w:t>
      </w:r>
    </w:p>
    <w:p w14:paraId="572F2F0F" w14:textId="77777777" w:rsidR="004B093F" w:rsidRPr="00AB4F2E" w:rsidRDefault="00E56223" w:rsidP="00581C49">
      <w:pPr>
        <w:pStyle w:val="SCCNormalDoubleSpacing"/>
        <w:spacing w:after="240" w:line="240" w:lineRule="auto"/>
        <w:ind w:left="540" w:hanging="540"/>
      </w:pPr>
      <w:r w:rsidRPr="00AB4F2E">
        <w:t xml:space="preserve">Li, Jinyan. “‘Economic Substance’: Drawing the Line Between Legitimate Tax Minimization and Abusive Tax Avoidance” (2006), 54 </w:t>
      </w:r>
      <w:r w:rsidRPr="00AB4F2E">
        <w:rPr>
          <w:i/>
          <w:iCs/>
        </w:rPr>
        <w:t>Can. Tax J.</w:t>
      </w:r>
      <w:r w:rsidRPr="00AB4F2E">
        <w:t xml:space="preserve"> 23.</w:t>
      </w:r>
    </w:p>
    <w:p w14:paraId="0F2479DC" w14:textId="02B7A418" w:rsidR="004B093F" w:rsidRPr="00AB4F2E" w:rsidRDefault="004B093F" w:rsidP="00581C49">
      <w:pPr>
        <w:pStyle w:val="SCCNormalDoubleSpacing"/>
        <w:spacing w:after="240" w:line="240" w:lineRule="auto"/>
        <w:ind w:left="540" w:hanging="540"/>
      </w:pPr>
      <w:r w:rsidRPr="00AB4F2E">
        <w:t>Li, Jinyan, Arthur Cockfield and J.</w:t>
      </w:r>
      <w:r w:rsidR="00581C49" w:rsidRPr="00AB4F2E">
        <w:t xml:space="preserve"> </w:t>
      </w:r>
      <w:r w:rsidRPr="00AB4F2E">
        <w:t xml:space="preserve">Scott Wilkie. </w:t>
      </w:r>
      <w:r w:rsidRPr="00AB4F2E">
        <w:rPr>
          <w:i/>
        </w:rPr>
        <w:t>International Taxation in Canada</w:t>
      </w:r>
      <w:r w:rsidR="009A568E" w:rsidRPr="00AB4F2E">
        <w:rPr>
          <w:i/>
        </w:rPr>
        <w:t>: Principles and Practices</w:t>
      </w:r>
      <w:r w:rsidRPr="00AB4F2E">
        <w:t>, 2nd ed. Markham, Ont.: LexisNexis, 2011.</w:t>
      </w:r>
    </w:p>
    <w:p w14:paraId="25177365" w14:textId="00A7C709" w:rsidR="007050E7" w:rsidRPr="00AB4F2E" w:rsidRDefault="007050E7" w:rsidP="00581C49">
      <w:pPr>
        <w:pStyle w:val="SCCNormalDoubleSpacing"/>
        <w:spacing w:after="240" w:line="240" w:lineRule="auto"/>
        <w:ind w:left="540" w:hanging="540"/>
      </w:pPr>
      <w:r w:rsidRPr="00AB4F2E">
        <w:t xml:space="preserve">Li, Jinyan, and </w:t>
      </w:r>
      <w:r w:rsidR="00581C49" w:rsidRPr="00AB4F2E">
        <w:t xml:space="preserve">Arthur Cockfield, with J. Scott </w:t>
      </w:r>
      <w:r w:rsidRPr="00AB4F2E">
        <w:t xml:space="preserve">Wilkie. </w:t>
      </w:r>
      <w:r w:rsidRPr="00AB4F2E">
        <w:rPr>
          <w:i/>
        </w:rPr>
        <w:t>International Taxation in Canada: Principles and Practices</w:t>
      </w:r>
      <w:r w:rsidRPr="00AB4F2E">
        <w:t>, 4th ed. Toronto: LexisNexis, 2018.</w:t>
      </w:r>
    </w:p>
    <w:p w14:paraId="431B917D" w14:textId="552F5408" w:rsidR="003872DA" w:rsidRPr="00AB4F2E" w:rsidRDefault="003872DA" w:rsidP="00581C49">
      <w:pPr>
        <w:pStyle w:val="SCCNormalDoubleSpacing"/>
        <w:spacing w:after="240" w:line="240" w:lineRule="auto"/>
        <w:ind w:left="540" w:hanging="540"/>
      </w:pPr>
      <w:r w:rsidRPr="00AB4F2E">
        <w:t>Li</w:t>
      </w:r>
      <w:r w:rsidR="009554E9" w:rsidRPr="00AB4F2E">
        <w:t>, Jinyan,</w:t>
      </w:r>
      <w:r w:rsidRPr="00AB4F2E">
        <w:t xml:space="preserve"> and F</w:t>
      </w:r>
      <w:r w:rsidR="00F10403" w:rsidRPr="00AB4F2E">
        <w:t xml:space="preserve">rancesco </w:t>
      </w:r>
      <w:r w:rsidRPr="00AB4F2E">
        <w:t xml:space="preserve">Avella. “Article 13: Capital Gains”, in </w:t>
      </w:r>
      <w:r w:rsidRPr="00AB4F2E">
        <w:rPr>
          <w:i/>
        </w:rPr>
        <w:t>Global Tax Treaty Commentaries</w:t>
      </w:r>
      <w:r w:rsidRPr="00AB4F2E">
        <w:t xml:space="preserve">, last reviewed May 30, 2020 (online: </w:t>
      </w:r>
      <w:r w:rsidR="00DA77CF" w:rsidRPr="00AB4F2E">
        <w:t>https://research.ibfd.org/#/</w:t>
      </w:r>
      <w:r w:rsidRPr="00AB4F2E">
        <w:t>).</w:t>
      </w:r>
    </w:p>
    <w:p w14:paraId="4E2356ED" w14:textId="4C0BC3F0" w:rsidR="007D7C70" w:rsidRPr="00AB4F2E" w:rsidRDefault="007D7C70" w:rsidP="00581C49">
      <w:pPr>
        <w:pStyle w:val="SCCNormalDoubleSpacing"/>
        <w:spacing w:after="240" w:line="240" w:lineRule="auto"/>
        <w:ind w:left="540" w:hanging="540"/>
      </w:pPr>
      <w:r w:rsidRPr="00AB4F2E">
        <w:t>Loomer</w:t>
      </w:r>
      <w:r w:rsidR="00581C49" w:rsidRPr="00AB4F2E">
        <w:t xml:space="preserve">, Geoffrey </w:t>
      </w:r>
      <w:r w:rsidRPr="00AB4F2E">
        <w:t>T. “Tax Treaty Abuse: Is Canada Responding Effectively?”, in Oxford University Centre for Business Taxation, Working Paper No. 09/05</w:t>
      </w:r>
      <w:r w:rsidR="00581C49" w:rsidRPr="00AB4F2E">
        <w:t xml:space="preserve">, October </w:t>
      </w:r>
      <w:r w:rsidRPr="00AB4F2E">
        <w:t xml:space="preserve">2008, revised </w:t>
      </w:r>
      <w:r w:rsidR="009F2856" w:rsidRPr="00AB4F2E">
        <w:t>March</w:t>
      </w:r>
      <w:r w:rsidR="00581C49" w:rsidRPr="00AB4F2E">
        <w:t xml:space="preserve"> </w:t>
      </w:r>
      <w:r w:rsidRPr="00AB4F2E">
        <w:t>2009.</w:t>
      </w:r>
    </w:p>
    <w:p w14:paraId="19AE94E1" w14:textId="2E7294D6" w:rsidR="00E70BB2" w:rsidRPr="00AB4F2E" w:rsidRDefault="00E70BB2" w:rsidP="00581C49">
      <w:pPr>
        <w:pStyle w:val="SCCNormalDoubleSpacing"/>
        <w:spacing w:after="240" w:line="240" w:lineRule="auto"/>
        <w:ind w:left="540" w:hanging="540"/>
        <w:rPr>
          <w:bCs/>
        </w:rPr>
      </w:pPr>
      <w:r w:rsidRPr="00AB4F2E">
        <w:t xml:space="preserve">Malherbe, Philippe. </w:t>
      </w:r>
      <w:r w:rsidRPr="00AB4F2E">
        <w:rPr>
          <w:i/>
        </w:rPr>
        <w:t>Elements of International Income Taxation</w:t>
      </w:r>
      <w:r w:rsidRPr="00AB4F2E">
        <w:t xml:space="preserve">. </w:t>
      </w:r>
      <w:r w:rsidRPr="00AB4F2E">
        <w:rPr>
          <w:bCs/>
        </w:rPr>
        <w:t>Brussels: Bruylant, 2015.</w:t>
      </w:r>
    </w:p>
    <w:p w14:paraId="3079D930" w14:textId="0D0EFEBA" w:rsidR="00852F24" w:rsidRPr="00AB4F2E" w:rsidRDefault="00AD291A" w:rsidP="00581C49">
      <w:pPr>
        <w:pStyle w:val="SCCNormalDoubleSpacing"/>
        <w:spacing w:after="240" w:line="240" w:lineRule="auto"/>
        <w:ind w:left="540" w:hanging="540"/>
        <w:rPr>
          <w:bCs/>
        </w:rPr>
      </w:pPr>
      <w:r>
        <w:t>Organisation for Economic Co</w:t>
      </w:r>
      <w:r>
        <w:noBreakHyphen/>
      </w:r>
      <w:r w:rsidR="00852F24" w:rsidRPr="00AB4F2E">
        <w:t xml:space="preserve">operation and Development. </w:t>
      </w:r>
      <w:r w:rsidR="00852F24" w:rsidRPr="00AB4F2E">
        <w:rPr>
          <w:bCs/>
          <w:i/>
        </w:rPr>
        <w:t>Action</w:t>
      </w:r>
      <w:r w:rsidR="00581C49" w:rsidRPr="00AB4F2E">
        <w:rPr>
          <w:i/>
        </w:rPr>
        <w:t xml:space="preserve"> </w:t>
      </w:r>
      <w:r w:rsidR="00852F24" w:rsidRPr="00AB4F2E">
        <w:rPr>
          <w:bCs/>
          <w:i/>
        </w:rPr>
        <w:t xml:space="preserve">6 </w:t>
      </w:r>
      <w:r w:rsidR="00852F24" w:rsidRPr="00AB4F2E">
        <w:rPr>
          <w:i/>
        </w:rPr>
        <w:t>Prevention of tax treaty abuse</w:t>
      </w:r>
      <w:r w:rsidR="00852F24" w:rsidRPr="00AB4F2E">
        <w:t xml:space="preserve"> (online: https://www.oecd.org/tax/beps/beps-actions/action6/</w:t>
      </w:r>
      <w:r w:rsidR="00852F24" w:rsidRPr="00AB4F2E">
        <w:rPr>
          <w:color w:val="000000"/>
        </w:rPr>
        <w:t>).</w:t>
      </w:r>
    </w:p>
    <w:p w14:paraId="05F159EB" w14:textId="19E0556B" w:rsidR="001821AE" w:rsidRPr="00AB4F2E" w:rsidRDefault="00AD291A" w:rsidP="00581C49">
      <w:pPr>
        <w:pStyle w:val="SCCNormalDoubleSpacing"/>
        <w:spacing w:after="240" w:line="240" w:lineRule="auto"/>
        <w:ind w:left="540" w:hanging="540"/>
        <w:rPr>
          <w:color w:val="000000"/>
        </w:rPr>
      </w:pPr>
      <w:r>
        <w:t>Organisation for Economic Co</w:t>
      </w:r>
      <w:r>
        <w:noBreakHyphen/>
      </w:r>
      <w:r w:rsidR="006525FD" w:rsidRPr="00AB4F2E">
        <w:t xml:space="preserve">operation and Development. </w:t>
      </w:r>
      <w:r w:rsidR="006525FD" w:rsidRPr="00AB4F2E">
        <w:rPr>
          <w:i/>
        </w:rPr>
        <w:t>Background Brief: Inclusive Framework on BEPS</w:t>
      </w:r>
      <w:r w:rsidR="005161EF">
        <w:t xml:space="preserve">, January </w:t>
      </w:r>
      <w:r w:rsidR="006525FD" w:rsidRPr="00AB4F2E">
        <w:t>2017 (online: https://www.oecd.org/tax/beps/background-brief-inclusive-framework-on-beps.pdf</w:t>
      </w:r>
      <w:r w:rsidR="006525FD" w:rsidRPr="00AB4F2E">
        <w:rPr>
          <w:color w:val="000000"/>
        </w:rPr>
        <w:t>).</w:t>
      </w:r>
    </w:p>
    <w:p w14:paraId="0D82FEAF" w14:textId="49BF927C" w:rsidR="009F2856" w:rsidRPr="00AB4F2E" w:rsidRDefault="00581C49" w:rsidP="00581C49">
      <w:pPr>
        <w:pStyle w:val="SCCNormalDoubleSpacing"/>
        <w:spacing w:after="240" w:line="240" w:lineRule="auto"/>
        <w:ind w:left="540" w:hanging="540"/>
        <w:rPr>
          <w:shd w:val="clear" w:color="auto" w:fill="FFFFFF"/>
        </w:rPr>
      </w:pPr>
      <w:r w:rsidRPr="00AB4F2E">
        <w:rPr>
          <w:shd w:val="clear" w:color="auto" w:fill="FFFFFF"/>
        </w:rPr>
        <w:t>Organisation for Economic Co</w:t>
      </w:r>
      <w:r w:rsidRPr="00AB4F2E">
        <w:rPr>
          <w:shd w:val="clear" w:color="auto" w:fill="FFFFFF"/>
        </w:rPr>
        <w:noBreakHyphen/>
      </w:r>
      <w:r w:rsidR="009F2856" w:rsidRPr="00AB4F2E">
        <w:rPr>
          <w:shd w:val="clear" w:color="auto" w:fill="FFFFFF"/>
        </w:rPr>
        <w:t xml:space="preserve">operation and Development. Committee on Fiscal Affairs. </w:t>
      </w:r>
      <w:r w:rsidR="009F2856" w:rsidRPr="00AB4F2E">
        <w:rPr>
          <w:i/>
          <w:shd w:val="clear" w:color="auto" w:fill="FFFFFF"/>
        </w:rPr>
        <w:t>Model Double Taxation Convention on Income and on Capital</w:t>
      </w:r>
      <w:r w:rsidR="009F2856" w:rsidRPr="00AB4F2E">
        <w:rPr>
          <w:shd w:val="clear" w:color="auto" w:fill="FFFFFF"/>
        </w:rPr>
        <w:t>. Paris, 1977.</w:t>
      </w:r>
    </w:p>
    <w:p w14:paraId="1189D95D" w14:textId="63413839" w:rsidR="009F2856" w:rsidRPr="00AB4F2E" w:rsidRDefault="009F2856" w:rsidP="00581C49">
      <w:pPr>
        <w:pStyle w:val="SCCNormalDoubleSpacing"/>
        <w:spacing w:after="240" w:line="240" w:lineRule="auto"/>
        <w:ind w:left="540" w:hanging="540"/>
        <w:rPr>
          <w:shd w:val="clear" w:color="auto" w:fill="FFFFFF"/>
        </w:rPr>
      </w:pPr>
      <w:r w:rsidRPr="00AB4F2E">
        <w:rPr>
          <w:shd w:val="clear" w:color="auto" w:fill="FFFFFF"/>
        </w:rPr>
        <w:t>O</w:t>
      </w:r>
      <w:r w:rsidRPr="00AB4F2E">
        <w:t xml:space="preserve">rganisation for </w:t>
      </w:r>
      <w:r w:rsidRPr="00AB4F2E">
        <w:rPr>
          <w:shd w:val="clear" w:color="auto" w:fill="FFFFFF"/>
        </w:rPr>
        <w:t>E</w:t>
      </w:r>
      <w:r w:rsidRPr="00AB4F2E">
        <w:t xml:space="preserve">conomic </w:t>
      </w:r>
      <w:r w:rsidRPr="00AB4F2E">
        <w:rPr>
          <w:shd w:val="clear" w:color="auto" w:fill="FFFFFF"/>
        </w:rPr>
        <w:t>C</w:t>
      </w:r>
      <w:r w:rsidR="00581C49" w:rsidRPr="00AB4F2E">
        <w:t>o</w:t>
      </w:r>
      <w:r w:rsidR="00581C49" w:rsidRPr="00AB4F2E">
        <w:noBreakHyphen/>
      </w:r>
      <w:r w:rsidRPr="00AB4F2E">
        <w:t xml:space="preserve">operation and </w:t>
      </w:r>
      <w:r w:rsidRPr="00AB4F2E">
        <w:rPr>
          <w:shd w:val="clear" w:color="auto" w:fill="FFFFFF"/>
        </w:rPr>
        <w:t>D</w:t>
      </w:r>
      <w:r w:rsidRPr="00AB4F2E">
        <w:t>evelopment. Committee on Fiscal Affairs.</w:t>
      </w:r>
      <w:r w:rsidRPr="00AB4F2E">
        <w:rPr>
          <w:shd w:val="clear" w:color="auto" w:fill="FFFFFF"/>
        </w:rPr>
        <w:t xml:space="preserve"> </w:t>
      </w:r>
      <w:r w:rsidRPr="00AB4F2E">
        <w:rPr>
          <w:i/>
          <w:shd w:val="clear" w:color="auto" w:fill="FFFFFF"/>
        </w:rPr>
        <w:t>Model Tax</w:t>
      </w:r>
      <w:r w:rsidRPr="00AB4F2E">
        <w:rPr>
          <w:shd w:val="clear" w:color="auto" w:fill="FFFFFF"/>
        </w:rPr>
        <w:t xml:space="preserve"> </w:t>
      </w:r>
      <w:r w:rsidRPr="00AB4F2E">
        <w:rPr>
          <w:i/>
          <w:shd w:val="clear" w:color="auto" w:fill="FFFFFF"/>
        </w:rPr>
        <w:t>Convention on Income and on Capital: Condensed Version</w:t>
      </w:r>
      <w:r w:rsidRPr="00AB4F2E">
        <w:rPr>
          <w:shd w:val="clear" w:color="auto" w:fill="FFFFFF"/>
        </w:rPr>
        <w:t>. Paris, 1998.</w:t>
      </w:r>
    </w:p>
    <w:p w14:paraId="77EB8960" w14:textId="355B3088" w:rsidR="00E81A80" w:rsidRPr="00AB4F2E" w:rsidRDefault="00E81A80" w:rsidP="00581C49">
      <w:pPr>
        <w:pStyle w:val="SCCNormalDoubleSpacing"/>
        <w:spacing w:after="240" w:line="240" w:lineRule="auto"/>
        <w:ind w:left="540" w:hanging="540"/>
      </w:pPr>
      <w:r w:rsidRPr="00AB4F2E">
        <w:rPr>
          <w:shd w:val="clear" w:color="auto" w:fill="FFFFFF"/>
        </w:rPr>
        <w:t>O</w:t>
      </w:r>
      <w:r w:rsidRPr="00AB4F2E">
        <w:t xml:space="preserve">rganisation for </w:t>
      </w:r>
      <w:r w:rsidRPr="00AB4F2E">
        <w:rPr>
          <w:shd w:val="clear" w:color="auto" w:fill="FFFFFF"/>
        </w:rPr>
        <w:t>E</w:t>
      </w:r>
      <w:r w:rsidRPr="00AB4F2E">
        <w:t xml:space="preserve">conomic </w:t>
      </w:r>
      <w:r w:rsidRPr="00AB4F2E">
        <w:rPr>
          <w:shd w:val="clear" w:color="auto" w:fill="FFFFFF"/>
        </w:rPr>
        <w:t>C</w:t>
      </w:r>
      <w:r w:rsidR="00581C49" w:rsidRPr="00AB4F2E">
        <w:t>o</w:t>
      </w:r>
      <w:r w:rsidR="00581C49" w:rsidRPr="00AB4F2E">
        <w:noBreakHyphen/>
      </w:r>
      <w:r w:rsidRPr="00AB4F2E">
        <w:t xml:space="preserve">operation and </w:t>
      </w:r>
      <w:r w:rsidRPr="00AB4F2E">
        <w:rPr>
          <w:shd w:val="clear" w:color="auto" w:fill="FFFFFF"/>
        </w:rPr>
        <w:t>D</w:t>
      </w:r>
      <w:r w:rsidRPr="00AB4F2E">
        <w:t xml:space="preserve">evelopment. </w:t>
      </w:r>
      <w:r w:rsidRPr="00AB4F2E">
        <w:rPr>
          <w:i/>
        </w:rPr>
        <w:t>Glossary of Tax Terms</w:t>
      </w:r>
      <w:r w:rsidRPr="00AB4F2E">
        <w:t xml:space="preserve"> (online: https://www.oecd.org/ctp/glossaryoftaxterms.htm), “treaty shopping”.</w:t>
      </w:r>
    </w:p>
    <w:p w14:paraId="77644CAE" w14:textId="7D688037" w:rsidR="005227F5" w:rsidRPr="00AB4F2E" w:rsidRDefault="00581C49" w:rsidP="00581C49">
      <w:pPr>
        <w:pStyle w:val="SCCNormalDoubleSpacing"/>
        <w:spacing w:after="240" w:line="240" w:lineRule="auto"/>
        <w:ind w:left="540" w:hanging="540"/>
        <w:rPr>
          <w:color w:val="000000"/>
        </w:rPr>
      </w:pPr>
      <w:r w:rsidRPr="00AB4F2E">
        <w:rPr>
          <w:color w:val="000000"/>
        </w:rPr>
        <w:t>Organisation for Economic Co</w:t>
      </w:r>
      <w:r w:rsidRPr="00AB4F2E">
        <w:rPr>
          <w:color w:val="000000"/>
        </w:rPr>
        <w:noBreakHyphen/>
      </w:r>
      <w:r w:rsidR="005227F5" w:rsidRPr="00AB4F2E">
        <w:rPr>
          <w:color w:val="000000"/>
        </w:rPr>
        <w:t xml:space="preserve">operation and Development. </w:t>
      </w:r>
      <w:r w:rsidR="005227F5" w:rsidRPr="00AB4F2E">
        <w:rPr>
          <w:i/>
          <w:color w:val="000000"/>
        </w:rPr>
        <w:t>Model Tax Convention on Income and on Capital: Condensed Version</w:t>
      </w:r>
      <w:r w:rsidR="005227F5" w:rsidRPr="00AB4F2E">
        <w:rPr>
          <w:color w:val="000000"/>
        </w:rPr>
        <w:t>. Paris, 2003.</w:t>
      </w:r>
    </w:p>
    <w:p w14:paraId="3A116CAC" w14:textId="6966DEEA" w:rsidR="005227F5" w:rsidRPr="00AB4F2E" w:rsidRDefault="00B96415" w:rsidP="00581C49">
      <w:pPr>
        <w:pStyle w:val="SCCNormalDoubleSpacing"/>
        <w:spacing w:after="240" w:line="240" w:lineRule="auto"/>
        <w:ind w:left="540" w:hanging="540"/>
      </w:pPr>
      <w:r w:rsidRPr="00AB4F2E">
        <w:rPr>
          <w:shd w:val="clear" w:color="auto" w:fill="FFFFFF"/>
        </w:rPr>
        <w:lastRenderedPageBreak/>
        <w:t>O</w:t>
      </w:r>
      <w:r w:rsidRPr="00AB4F2E">
        <w:t xml:space="preserve">rganisation for </w:t>
      </w:r>
      <w:r w:rsidRPr="00AB4F2E">
        <w:rPr>
          <w:shd w:val="clear" w:color="auto" w:fill="FFFFFF"/>
        </w:rPr>
        <w:t>E</w:t>
      </w:r>
      <w:r w:rsidRPr="00AB4F2E">
        <w:t xml:space="preserve">conomic </w:t>
      </w:r>
      <w:r w:rsidRPr="00AB4F2E">
        <w:rPr>
          <w:shd w:val="clear" w:color="auto" w:fill="FFFFFF"/>
        </w:rPr>
        <w:t>C</w:t>
      </w:r>
      <w:r w:rsidR="00581C49" w:rsidRPr="00AB4F2E">
        <w:t>o</w:t>
      </w:r>
      <w:r w:rsidR="00581C49" w:rsidRPr="00AB4F2E">
        <w:noBreakHyphen/>
      </w:r>
      <w:r w:rsidRPr="00AB4F2E">
        <w:t xml:space="preserve">operation and </w:t>
      </w:r>
      <w:r w:rsidRPr="00AB4F2E">
        <w:rPr>
          <w:shd w:val="clear" w:color="auto" w:fill="FFFFFF"/>
        </w:rPr>
        <w:t>D</w:t>
      </w:r>
      <w:r w:rsidRPr="00AB4F2E">
        <w:t xml:space="preserve">evelopment. </w:t>
      </w:r>
      <w:r w:rsidRPr="00AB4F2E">
        <w:rPr>
          <w:i/>
        </w:rPr>
        <w:t>Model Tax Convention on Income and on Capital: Condensed Version</w:t>
      </w:r>
      <w:r w:rsidRPr="00AB4F2E">
        <w:t xml:space="preserve">. </w:t>
      </w:r>
      <w:r w:rsidRPr="00AB4F2E">
        <w:rPr>
          <w:shd w:val="clear" w:color="auto" w:fill="FFFFFF"/>
        </w:rPr>
        <w:t xml:space="preserve">Paris, </w:t>
      </w:r>
      <w:r w:rsidRPr="00AB4F2E">
        <w:t>2017</w:t>
      </w:r>
      <w:r w:rsidR="000F1E54" w:rsidRPr="00AB4F2E">
        <w:t>.</w:t>
      </w:r>
    </w:p>
    <w:p w14:paraId="4D0A21FB" w14:textId="47A73544" w:rsidR="001F3C48" w:rsidRPr="00AB4F2E" w:rsidRDefault="001F3C48" w:rsidP="00581C49">
      <w:pPr>
        <w:pStyle w:val="SCCNormalDoubleSpacing"/>
        <w:spacing w:after="240" w:line="240" w:lineRule="auto"/>
        <w:ind w:left="540" w:hanging="540"/>
      </w:pPr>
      <w:r w:rsidRPr="00AB4F2E">
        <w:t xml:space="preserve">Rosenbloom, H. David. “Tax Treaty Abuse: Policies and Issues” (1983), 15 </w:t>
      </w:r>
      <w:r w:rsidRPr="00AB4F2E">
        <w:rPr>
          <w:i/>
        </w:rPr>
        <w:t>Law &amp; Pol’y Int’l Bus.</w:t>
      </w:r>
      <w:r w:rsidRPr="00AB4F2E">
        <w:t xml:space="preserve"> 763.</w:t>
      </w:r>
    </w:p>
    <w:p w14:paraId="2761CE30" w14:textId="0358CF0A" w:rsidR="00841AFB" w:rsidRPr="00AB4F2E" w:rsidRDefault="00841AFB" w:rsidP="00581C49">
      <w:pPr>
        <w:pStyle w:val="SCCNormalDoubleSpacing"/>
        <w:spacing w:after="240" w:line="240" w:lineRule="auto"/>
        <w:ind w:left="540" w:hanging="540"/>
      </w:pPr>
      <w:r w:rsidRPr="00AB4F2E">
        <w:t>Sasseville, Jacques. “Implementation of the General Anti-Avoidance Rule”, in Corporate Management Tax Conference,</w:t>
      </w:r>
      <w:r w:rsidRPr="00AB4F2E">
        <w:rPr>
          <w:i/>
        </w:rPr>
        <w:t xml:space="preserve"> Income Tax Enforcement, Compliance, and Administration</w:t>
      </w:r>
      <w:r w:rsidRPr="00AB4F2E">
        <w:t>. Toronto: Canadian Tax Foundation, 1988, 4:1.</w:t>
      </w:r>
    </w:p>
    <w:p w14:paraId="18F4F3C2" w14:textId="03C96C61" w:rsidR="00114222" w:rsidRPr="00AB4F2E" w:rsidRDefault="00213E7C" w:rsidP="00581C49">
      <w:pPr>
        <w:pStyle w:val="SCCNormalDoubleSpacing"/>
        <w:spacing w:after="240" w:line="240" w:lineRule="auto"/>
        <w:ind w:left="540" w:hanging="540"/>
      </w:pPr>
      <w:r w:rsidRPr="00AB4F2E">
        <w:t xml:space="preserve">Simontacchi, Stefano. “Immovable Property Companies as Defined in Article 13(4) of the OECD Model” (2006), 60 </w:t>
      </w:r>
      <w:r w:rsidRPr="00AB4F2E">
        <w:rPr>
          <w:i/>
        </w:rPr>
        <w:t>Bull. Int’l Tax’n</w:t>
      </w:r>
      <w:r w:rsidRPr="00AB4F2E">
        <w:t xml:space="preserve"> 29.</w:t>
      </w:r>
    </w:p>
    <w:p w14:paraId="0838235C" w14:textId="6B240FF8" w:rsidR="00114222" w:rsidRPr="00AB4F2E" w:rsidRDefault="00114222" w:rsidP="00581C49">
      <w:pPr>
        <w:pStyle w:val="SCCNormalDoubleSpacing"/>
        <w:spacing w:after="240" w:line="240" w:lineRule="auto"/>
        <w:ind w:left="540" w:hanging="540"/>
      </w:pPr>
      <w:r w:rsidRPr="00AB4F2E">
        <w:t xml:space="preserve">Simontacchi, Stefano. </w:t>
      </w:r>
      <w:r w:rsidRPr="00AB4F2E">
        <w:rPr>
          <w:i/>
          <w:iCs/>
        </w:rPr>
        <w:t>Taxation of Capital Gains under the OECD Model Convention: With special regard to Immovable Property</w:t>
      </w:r>
      <w:r w:rsidR="00CE1BA6" w:rsidRPr="00AB4F2E">
        <w:rPr>
          <w:iCs/>
        </w:rPr>
        <w:t>,</w:t>
      </w:r>
      <w:r w:rsidR="008076E0" w:rsidRPr="00AB4F2E">
        <w:rPr>
          <w:i/>
          <w:iCs/>
        </w:rPr>
        <w:t xml:space="preserve"> </w:t>
      </w:r>
      <w:r w:rsidR="008076E0" w:rsidRPr="00AB4F2E">
        <w:rPr>
          <w:iCs/>
        </w:rPr>
        <w:t>in Series on International Taxation</w:t>
      </w:r>
      <w:r w:rsidRPr="00AB4F2E">
        <w:t>, vol. 29</w:t>
      </w:r>
      <w:r w:rsidR="008076E0" w:rsidRPr="00AB4F2E">
        <w:t>. Alphen aan den Rij</w:t>
      </w:r>
      <w:r w:rsidR="00250ABA" w:rsidRPr="00AB4F2E">
        <w:t xml:space="preserve">n, </w:t>
      </w:r>
      <w:r w:rsidR="008076E0" w:rsidRPr="00AB4F2E">
        <w:t>The Netherlands: Kluwer Law International, 2007.</w:t>
      </w:r>
    </w:p>
    <w:p w14:paraId="45AFA3F8" w14:textId="71DE43D0" w:rsidR="00CE2217" w:rsidRPr="00AB4F2E" w:rsidRDefault="00CE2217" w:rsidP="00581C49">
      <w:pPr>
        <w:pStyle w:val="SCCNormalDoubleSpacing"/>
        <w:spacing w:after="240" w:line="240" w:lineRule="auto"/>
        <w:ind w:left="540" w:hanging="540"/>
      </w:pPr>
      <w:r w:rsidRPr="00AB4F2E">
        <w:t xml:space="preserve">United Nations. </w:t>
      </w:r>
      <w:r w:rsidRPr="00AB4F2E">
        <w:rPr>
          <w:i/>
        </w:rPr>
        <w:t>Model Double Taxation Convention between Developed and Developing Countries</w:t>
      </w:r>
      <w:r w:rsidR="004D3A37">
        <w:t xml:space="preserve">. U.N. Doc. </w:t>
      </w:r>
      <w:r w:rsidRPr="00AB4F2E">
        <w:t>ST/ESA/PAD/SER.E/21</w:t>
      </w:r>
      <w:r w:rsidR="009F2856" w:rsidRPr="00AB4F2E">
        <w:t>. New York,</w:t>
      </w:r>
      <w:r w:rsidRPr="00AB4F2E">
        <w:t xml:space="preserve"> 2001.</w:t>
      </w:r>
    </w:p>
    <w:p w14:paraId="451C2270" w14:textId="7020ADCD" w:rsidR="00DE5D28" w:rsidRPr="00AB4F2E" w:rsidRDefault="00DE5D28" w:rsidP="00581C49">
      <w:pPr>
        <w:pStyle w:val="SCCNormalDoubleSpacing"/>
        <w:spacing w:after="240" w:line="240" w:lineRule="auto"/>
        <w:ind w:left="540" w:hanging="540"/>
      </w:pPr>
      <w:r w:rsidRPr="00AB4F2E">
        <w:t xml:space="preserve">United Nations. Committee of Experts on International Cooperation in Tax Matters. </w:t>
      </w:r>
      <w:r w:rsidRPr="00AB4F2E">
        <w:rPr>
          <w:i/>
        </w:rPr>
        <w:t>R</w:t>
      </w:r>
      <w:r w:rsidR="00581C49" w:rsidRPr="00AB4F2E">
        <w:rPr>
          <w:i/>
        </w:rPr>
        <w:t>eport on the fourth session (20</w:t>
      </w:r>
      <w:r w:rsidR="00581C49" w:rsidRPr="00AB4F2E">
        <w:rPr>
          <w:i/>
        </w:rPr>
        <w:noBreakHyphen/>
      </w:r>
      <w:r w:rsidRPr="00AB4F2E">
        <w:rPr>
          <w:i/>
        </w:rPr>
        <w:t>24 October 2008)</w:t>
      </w:r>
      <w:r w:rsidRPr="00AB4F2E">
        <w:t>. U.N. D</w:t>
      </w:r>
      <w:r w:rsidR="00FE73A0" w:rsidRPr="00AB4F2E">
        <w:t>oc. </w:t>
      </w:r>
      <w:r w:rsidRPr="00AB4F2E">
        <w:t>E/2008/45 (Supp.). New York, 2008.</w:t>
      </w:r>
    </w:p>
    <w:p w14:paraId="01F7F1FC" w14:textId="73986826" w:rsidR="002A4C1A" w:rsidRPr="00AB4F2E" w:rsidRDefault="002A4C1A" w:rsidP="00581C49">
      <w:pPr>
        <w:pStyle w:val="SCCNormalDoubleSpacing"/>
        <w:spacing w:after="240" w:line="240" w:lineRule="auto"/>
        <w:ind w:left="540" w:hanging="540"/>
        <w:rPr>
          <w:bCs/>
        </w:rPr>
      </w:pPr>
      <w:r w:rsidRPr="00AB4F2E">
        <w:t xml:space="preserve">Vogel, Klaus. “Double Tax Treaties and Their Interpretation” (1986), 4 </w:t>
      </w:r>
      <w:r w:rsidRPr="00AB4F2E">
        <w:rPr>
          <w:i/>
        </w:rPr>
        <w:t>Int’l Tax &amp; Bus. Law.</w:t>
      </w:r>
      <w:r w:rsidRPr="00AB4F2E">
        <w:t xml:space="preserve"> 1.</w:t>
      </w:r>
    </w:p>
    <w:p w14:paraId="7F4075F5" w14:textId="77777777" w:rsidR="00E70BB2" w:rsidRPr="00AB4F2E" w:rsidRDefault="00E70BB2" w:rsidP="00581C49">
      <w:pPr>
        <w:pStyle w:val="SCCNormalDoubleSpacing"/>
        <w:spacing w:after="240" w:line="240" w:lineRule="auto"/>
        <w:ind w:left="540" w:hanging="540"/>
      </w:pPr>
      <w:r w:rsidRPr="00AB4F2E">
        <w:t xml:space="preserve">Ward, David A. “Principles To Be Applied in Interpreting Tax Treaties” (1977), 25 </w:t>
      </w:r>
      <w:r w:rsidRPr="00AB4F2E">
        <w:rPr>
          <w:i/>
        </w:rPr>
        <w:t>Can. Tax J.</w:t>
      </w:r>
      <w:r w:rsidRPr="00AB4F2E">
        <w:t xml:space="preserve"> 263.</w:t>
      </w:r>
    </w:p>
    <w:p w14:paraId="20FFCE09" w14:textId="30AE6E91" w:rsidR="00AA53EE" w:rsidRPr="00AB4F2E" w:rsidRDefault="00581C49" w:rsidP="00581C49">
      <w:pPr>
        <w:pStyle w:val="SCCNormalDoubleSpacing"/>
        <w:spacing w:after="720" w:line="240" w:lineRule="auto"/>
        <w:ind w:left="547" w:hanging="547"/>
      </w:pPr>
      <w:r w:rsidRPr="001851DC">
        <w:rPr>
          <w:lang w:val="fr-CA"/>
        </w:rPr>
        <w:t xml:space="preserve">Ward, David </w:t>
      </w:r>
      <w:r w:rsidR="00AA53EE" w:rsidRPr="001851DC">
        <w:rPr>
          <w:lang w:val="fr-CA"/>
        </w:rPr>
        <w:t xml:space="preserve">A., et al. </w:t>
      </w:r>
      <w:r w:rsidR="00AA53EE" w:rsidRPr="00AB4F2E">
        <w:rPr>
          <w:i/>
        </w:rPr>
        <w:t>The Interpretation of Income Tax Treaties with Particular Reference to the Commentaries on the OECD Model</w:t>
      </w:r>
      <w:r w:rsidR="00AA53EE" w:rsidRPr="00AB4F2E">
        <w:t>.</w:t>
      </w:r>
      <w:r w:rsidR="00AA53EE" w:rsidRPr="00AB4F2E">
        <w:rPr>
          <w:i/>
        </w:rPr>
        <w:t xml:space="preserve"> </w:t>
      </w:r>
      <w:r w:rsidR="00AA53EE" w:rsidRPr="00AB4F2E">
        <w:t>Kingston: International Fiscal Association (Canadian Branch), 2005.</w:t>
      </w:r>
    </w:p>
    <w:p w14:paraId="58403C9B" w14:textId="0C86AD96" w:rsidR="00656313" w:rsidRPr="00AB4F2E" w:rsidRDefault="0072663D" w:rsidP="00F840A4">
      <w:pPr>
        <w:pStyle w:val="SCCNormalDoubleSpacing"/>
        <w:spacing w:after="480"/>
      </w:pPr>
      <w:r w:rsidRPr="00AB4F2E">
        <w:tab/>
      </w:r>
      <w:r w:rsidR="009B57B3" w:rsidRPr="00AB4F2E">
        <w:t>APPEAL from a judgment of the Federal Court of Appeal</w:t>
      </w:r>
      <w:r w:rsidRPr="00AB4F2E">
        <w:t xml:space="preserve"> (Webb, Near and Locke</w:t>
      </w:r>
      <w:r w:rsidR="00581C49" w:rsidRPr="00AB4F2E">
        <w:t xml:space="preserve"> </w:t>
      </w:r>
      <w:r w:rsidRPr="00AB4F2E">
        <w:t xml:space="preserve">JJ.A.), 2020 FCA 43, [2020] 5 C.T.C. 193, 2020 D.T.C. 5021, </w:t>
      </w:r>
      <w:r w:rsidR="005A3516" w:rsidRPr="00AB4F2E">
        <w:t>[2020] F.C.J. No. </w:t>
      </w:r>
      <w:r w:rsidRPr="00AB4F2E">
        <w:t>204 (QL)</w:t>
      </w:r>
      <w:r w:rsidR="00F26E56" w:rsidRPr="00AB4F2E">
        <w:t xml:space="preserve">, </w:t>
      </w:r>
      <w:r w:rsidRPr="00AB4F2E">
        <w:t>2020 CarswellNat 314 (WL Can.)</w:t>
      </w:r>
      <w:r w:rsidR="002E395A" w:rsidRPr="00AB4F2E">
        <w:t>, affirming</w:t>
      </w:r>
      <w:r w:rsidR="00581C49" w:rsidRPr="00AB4F2E">
        <w:t xml:space="preserve"> a decision of Hogan </w:t>
      </w:r>
      <w:r w:rsidR="002E395A" w:rsidRPr="00AB4F2E">
        <w:t xml:space="preserve">J., 2018 TCC 152, [2019] 5 C.T.C. 2183, 2018 D.T.C. 1120, </w:t>
      </w:r>
      <w:r w:rsidR="00F67DE3" w:rsidRPr="00AB4F2E">
        <w:t>[2018] T.C.J. No. </w:t>
      </w:r>
      <w:r w:rsidR="002E395A" w:rsidRPr="00AB4F2E">
        <w:t xml:space="preserve">124 (QL), 2018 CarswellNat 4615 (WL Can.). Appeal </w:t>
      </w:r>
      <w:r w:rsidR="00AB4F2E" w:rsidRPr="00AB4F2E">
        <w:t>dismissed</w:t>
      </w:r>
      <w:r w:rsidR="00AB4F2E">
        <w:t xml:space="preserve">, </w:t>
      </w:r>
      <w:r w:rsidR="00AB4F2E" w:rsidRPr="006C23E5">
        <w:t>Wagner C.J. and Rowe and Martin JJ. dissenting</w:t>
      </w:r>
      <w:r w:rsidR="002E395A" w:rsidRPr="00AB4F2E">
        <w:t>.</w:t>
      </w:r>
    </w:p>
    <w:p w14:paraId="50227DF9" w14:textId="77777777" w:rsidR="00D87704" w:rsidRPr="00AB4F2E" w:rsidRDefault="004B03AB" w:rsidP="00F840A4">
      <w:pPr>
        <w:pStyle w:val="SCCLawFirm"/>
        <w:spacing w:after="480"/>
      </w:pPr>
      <w:r w:rsidRPr="00AB4F2E">
        <w:rPr>
          <w:rStyle w:val="SCCCounselNameChar"/>
        </w:rPr>
        <w:lastRenderedPageBreak/>
        <w:tab/>
      </w:r>
      <w:r w:rsidRPr="00AB4F2E">
        <w:rPr>
          <w:rStyle w:val="SCCCounselNameChar"/>
          <w:i/>
        </w:rPr>
        <w:t>Michael Taylor</w:t>
      </w:r>
      <w:r w:rsidRPr="00AB4F2E">
        <w:rPr>
          <w:rStyle w:val="SCCCounselNameChar"/>
        </w:rPr>
        <w:t xml:space="preserve"> and</w:t>
      </w:r>
      <w:r w:rsidR="00026FE7" w:rsidRPr="00AB4F2E">
        <w:rPr>
          <w:rStyle w:val="SCCCounselNameChar"/>
        </w:rPr>
        <w:t xml:space="preserve"> </w:t>
      </w:r>
      <w:r w:rsidR="00026FE7" w:rsidRPr="00AB4F2E">
        <w:rPr>
          <w:rStyle w:val="SCCCounselNameChar"/>
          <w:i/>
        </w:rPr>
        <w:t>Natalie Goulard</w:t>
      </w:r>
      <w:r w:rsidR="00026FE7" w:rsidRPr="00AB4F2E">
        <w:rPr>
          <w:rStyle w:val="SCCCounselPartyRoleChar"/>
          <w:i w:val="0"/>
        </w:rPr>
        <w:t>, for the appellant.</w:t>
      </w:r>
    </w:p>
    <w:p w14:paraId="279AD591" w14:textId="5BFD3F64" w:rsidR="00F840A4" w:rsidRDefault="00026FE7" w:rsidP="00F840A4">
      <w:pPr>
        <w:pStyle w:val="SCCLawFirm"/>
        <w:spacing w:after="480"/>
        <w:rPr>
          <w:rStyle w:val="SCCCounselPartyRoleChar"/>
          <w:i w:val="0"/>
        </w:rPr>
      </w:pPr>
      <w:r w:rsidRPr="00AB4F2E">
        <w:rPr>
          <w:rStyle w:val="SCCCounselNameChar"/>
        </w:rPr>
        <w:tab/>
      </w:r>
      <w:r w:rsidRPr="00AB4F2E">
        <w:rPr>
          <w:rStyle w:val="SCCCounselNameChar"/>
          <w:i/>
        </w:rPr>
        <w:t>Matthew G. Williams</w:t>
      </w:r>
      <w:r w:rsidRPr="00AB4F2E">
        <w:rPr>
          <w:rStyle w:val="SCCCounselSeparatorChar"/>
        </w:rPr>
        <w:t xml:space="preserve"> </w:t>
      </w:r>
      <w:r w:rsidRPr="00AB4F2E">
        <w:rPr>
          <w:rStyle w:val="SCCCounselSeparatorChar"/>
          <w:i w:val="0"/>
        </w:rPr>
        <w:t>and</w:t>
      </w:r>
      <w:r w:rsidRPr="00AB4F2E">
        <w:rPr>
          <w:rStyle w:val="SCCCounselSeparatorChar"/>
        </w:rPr>
        <w:t xml:space="preserve"> </w:t>
      </w:r>
      <w:r w:rsidRPr="00AB4F2E">
        <w:rPr>
          <w:rStyle w:val="SCCCounselNameChar"/>
          <w:i/>
        </w:rPr>
        <w:t>E. Rebecca Potter</w:t>
      </w:r>
      <w:r w:rsidRPr="00AB4F2E">
        <w:rPr>
          <w:rStyle w:val="SCCCounselPartyRoleChar"/>
          <w:i w:val="0"/>
        </w:rPr>
        <w:t>,</w:t>
      </w:r>
      <w:r w:rsidRPr="00AB4F2E">
        <w:rPr>
          <w:rStyle w:val="SCCCounselPartyRoleChar"/>
        </w:rPr>
        <w:t xml:space="preserve"> </w:t>
      </w:r>
      <w:r w:rsidRPr="00AB4F2E">
        <w:rPr>
          <w:rStyle w:val="SCCCounselPartyRoleChar"/>
          <w:i w:val="0"/>
        </w:rPr>
        <w:t>for the respondent.</w:t>
      </w:r>
    </w:p>
    <w:p w14:paraId="6708A74C" w14:textId="77777777" w:rsidR="001346AE" w:rsidRDefault="001346AE" w:rsidP="001346AE">
      <w:pPr>
        <w:pStyle w:val="SCCNormalDoubleSpacing"/>
      </w:pPr>
    </w:p>
    <w:p w14:paraId="2A76D141" w14:textId="77777777" w:rsidR="001346AE" w:rsidRDefault="001346AE" w:rsidP="001346AE">
      <w:r w:rsidRPr="00173A02">
        <w:t xml:space="preserve">The judgment of </w:t>
      </w:r>
      <w:r w:rsidRPr="005E3812">
        <w:t>Abella, Moldaver, Karakatsanis</w:t>
      </w:r>
      <w:r>
        <w:t xml:space="preserve">, </w:t>
      </w:r>
      <w:r w:rsidRPr="005E3812">
        <w:t>Côté, Brown and Kasirer JJ.</w:t>
      </w:r>
      <w:r w:rsidRPr="00173A02">
        <w:t xml:space="preserve"> was delivered by</w:t>
      </w:r>
    </w:p>
    <w:p w14:paraId="2B467D43" w14:textId="77777777" w:rsidR="001346AE" w:rsidRDefault="001346AE" w:rsidP="001346AE"/>
    <w:p w14:paraId="725BC694" w14:textId="77777777" w:rsidR="001346AE" w:rsidRDefault="001346AE" w:rsidP="001346AE">
      <w:pPr>
        <w:pStyle w:val="JudgeJuge"/>
      </w:pPr>
      <w:r w:rsidRPr="000770DC">
        <w:tab/>
        <w:t xml:space="preserve">Côté J.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1346AE" w:rsidRPr="00D31FE3" w14:paraId="63AE618C" w14:textId="77777777" w:rsidTr="008C5D38">
        <w:trPr>
          <w:trHeight w:val="432"/>
        </w:trPr>
        <w:tc>
          <w:tcPr>
            <w:tcW w:w="9356" w:type="dxa"/>
            <w:gridSpan w:val="2"/>
          </w:tcPr>
          <w:p w14:paraId="45DE2389" w14:textId="77777777" w:rsidR="001346AE" w:rsidRPr="00D31FE3" w:rsidRDefault="001346AE" w:rsidP="008C5D38">
            <w:pPr>
              <w:tabs>
                <w:tab w:val="center" w:pos="4050"/>
              </w:tabs>
              <w:rPr>
                <w:b/>
                <w:szCs w:val="24"/>
                <w:lang w:val="fr-FR"/>
              </w:rPr>
            </w:pPr>
            <w:r w:rsidRPr="00D31FE3">
              <w:rPr>
                <w:b/>
                <w:szCs w:val="24"/>
              </w:rPr>
              <w:tab/>
            </w:r>
            <w:r w:rsidRPr="00D31FE3">
              <w:rPr>
                <w:b/>
                <w:szCs w:val="24"/>
                <w:lang w:val="fr-FR"/>
              </w:rPr>
              <w:t>TABLE OF CONTENTS</w:t>
            </w:r>
          </w:p>
          <w:p w14:paraId="76061DB3" w14:textId="77777777" w:rsidR="001346AE" w:rsidRPr="00D31FE3" w:rsidRDefault="001346AE" w:rsidP="008C5D38">
            <w:pPr>
              <w:tabs>
                <w:tab w:val="center" w:pos="4050"/>
              </w:tabs>
              <w:rPr>
                <w:b/>
                <w:szCs w:val="24"/>
              </w:rPr>
            </w:pPr>
          </w:p>
        </w:tc>
      </w:tr>
      <w:tr w:rsidR="001346AE" w:rsidRPr="00D31FE3" w14:paraId="6064A42D" w14:textId="77777777" w:rsidTr="008C5D38">
        <w:trPr>
          <w:trHeight w:val="432"/>
        </w:trPr>
        <w:tc>
          <w:tcPr>
            <w:tcW w:w="9356" w:type="dxa"/>
            <w:gridSpan w:val="2"/>
          </w:tcPr>
          <w:p w14:paraId="33E12C13" w14:textId="77777777" w:rsidR="001346AE" w:rsidRPr="00D31FE3" w:rsidRDefault="001346AE" w:rsidP="008C5D38">
            <w:pPr>
              <w:tabs>
                <w:tab w:val="center" w:pos="4050"/>
              </w:tabs>
              <w:jc w:val="right"/>
              <w:rPr>
                <w:szCs w:val="24"/>
              </w:rPr>
            </w:pPr>
            <w:r w:rsidRPr="00D31FE3">
              <w:rPr>
                <w:szCs w:val="24"/>
              </w:rPr>
              <w:t>Paragraph</w:t>
            </w:r>
          </w:p>
        </w:tc>
      </w:tr>
      <w:tr w:rsidR="001346AE" w:rsidRPr="00D31FE3" w14:paraId="7E3AE8B8" w14:textId="77777777" w:rsidTr="008C5D38">
        <w:trPr>
          <w:trHeight w:val="432"/>
        </w:trPr>
        <w:tc>
          <w:tcPr>
            <w:tcW w:w="8505" w:type="dxa"/>
          </w:tcPr>
          <w:p w14:paraId="0FFB32EF" w14:textId="77777777" w:rsidR="001346AE" w:rsidRPr="00D31FE3" w:rsidRDefault="001346AE" w:rsidP="008C5D38">
            <w:pPr>
              <w:tabs>
                <w:tab w:val="left" w:pos="480"/>
                <w:tab w:val="right" w:leader="dot" w:pos="8270"/>
              </w:tabs>
              <w:spacing w:after="100"/>
              <w:rPr>
                <w:noProof/>
                <w:szCs w:val="24"/>
                <w:lang w:val="en-US"/>
              </w:rPr>
            </w:pPr>
            <w:r w:rsidRPr="00D31FE3">
              <w:rPr>
                <w:noProof/>
                <w:szCs w:val="24"/>
                <w:lang w:bidi="en-US"/>
              </w:rPr>
              <w:t>I.</w:t>
            </w:r>
            <w:r w:rsidRPr="00D31FE3">
              <w:rPr>
                <w:noProof/>
                <w:szCs w:val="24"/>
                <w:lang w:val="en-US"/>
              </w:rPr>
              <w:tab/>
            </w:r>
            <w:r w:rsidRPr="00D31FE3">
              <w:rPr>
                <w:noProof/>
                <w:szCs w:val="24"/>
                <w:u w:val="single"/>
                <w:lang w:val="en-US"/>
              </w:rPr>
              <w:t>Overview</w:t>
            </w:r>
          </w:p>
        </w:tc>
        <w:tc>
          <w:tcPr>
            <w:tcW w:w="851" w:type="dxa"/>
          </w:tcPr>
          <w:p w14:paraId="32DDB379"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1</w:t>
            </w:r>
          </w:p>
        </w:tc>
      </w:tr>
      <w:tr w:rsidR="001346AE" w:rsidRPr="00D31FE3" w14:paraId="49F062C3" w14:textId="77777777" w:rsidTr="008C5D38">
        <w:trPr>
          <w:trHeight w:val="432"/>
        </w:trPr>
        <w:tc>
          <w:tcPr>
            <w:tcW w:w="8505" w:type="dxa"/>
          </w:tcPr>
          <w:p w14:paraId="34FECACA" w14:textId="77777777" w:rsidR="001346AE" w:rsidRPr="00D31FE3" w:rsidRDefault="001346AE" w:rsidP="008C5D38">
            <w:pPr>
              <w:tabs>
                <w:tab w:val="left" w:pos="480"/>
                <w:tab w:val="right" w:leader="dot" w:pos="8270"/>
              </w:tabs>
              <w:spacing w:after="100"/>
              <w:rPr>
                <w:noProof/>
                <w:szCs w:val="24"/>
              </w:rPr>
            </w:pPr>
            <w:r w:rsidRPr="00D31FE3">
              <w:rPr>
                <w:noProof/>
                <w:szCs w:val="24"/>
                <w:lang w:bidi="en-US"/>
              </w:rPr>
              <w:t>II.</w:t>
            </w:r>
            <w:r w:rsidRPr="00D31FE3">
              <w:rPr>
                <w:noProof/>
                <w:szCs w:val="24"/>
                <w:lang w:val="en-US"/>
              </w:rPr>
              <w:tab/>
            </w:r>
            <w:r>
              <w:rPr>
                <w:noProof/>
                <w:szCs w:val="24"/>
                <w:u w:val="single"/>
                <w:lang w:val="en-US"/>
              </w:rPr>
              <w:t>Background</w:t>
            </w:r>
          </w:p>
        </w:tc>
        <w:tc>
          <w:tcPr>
            <w:tcW w:w="851" w:type="dxa"/>
          </w:tcPr>
          <w:p w14:paraId="2DB6693F"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11</w:t>
            </w:r>
          </w:p>
        </w:tc>
      </w:tr>
      <w:tr w:rsidR="001346AE" w:rsidRPr="00D31FE3" w14:paraId="32E48728" w14:textId="77777777" w:rsidTr="008C5D38">
        <w:trPr>
          <w:trHeight w:val="432"/>
        </w:trPr>
        <w:tc>
          <w:tcPr>
            <w:tcW w:w="8505" w:type="dxa"/>
          </w:tcPr>
          <w:p w14:paraId="2609BA9E" w14:textId="77777777" w:rsidR="001346AE" w:rsidRPr="00D31FE3" w:rsidRDefault="001346AE" w:rsidP="008C5D38">
            <w:pPr>
              <w:tabs>
                <w:tab w:val="left" w:pos="480"/>
                <w:tab w:val="right" w:leader="dot" w:pos="8270"/>
              </w:tabs>
              <w:spacing w:after="100"/>
              <w:rPr>
                <w:noProof/>
                <w:szCs w:val="24"/>
              </w:rPr>
            </w:pPr>
            <w:r w:rsidRPr="00D31FE3">
              <w:rPr>
                <w:noProof/>
                <w:szCs w:val="24"/>
                <w:lang w:bidi="en-US"/>
              </w:rPr>
              <w:t>III.</w:t>
            </w:r>
            <w:r w:rsidRPr="00D31FE3">
              <w:rPr>
                <w:noProof/>
                <w:szCs w:val="24"/>
                <w:lang w:val="en-US"/>
              </w:rPr>
              <w:tab/>
            </w:r>
            <w:r>
              <w:rPr>
                <w:noProof/>
                <w:szCs w:val="24"/>
                <w:u w:val="single"/>
                <w:lang w:val="en-US"/>
              </w:rPr>
              <w:t>Judicial History</w:t>
            </w:r>
          </w:p>
        </w:tc>
        <w:tc>
          <w:tcPr>
            <w:tcW w:w="851" w:type="dxa"/>
          </w:tcPr>
          <w:p w14:paraId="5E4908D4"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18</w:t>
            </w:r>
          </w:p>
        </w:tc>
      </w:tr>
      <w:tr w:rsidR="001346AE" w:rsidRPr="00D31FE3" w14:paraId="55B136B0" w14:textId="77777777" w:rsidTr="008C5D38">
        <w:trPr>
          <w:trHeight w:val="432"/>
        </w:trPr>
        <w:tc>
          <w:tcPr>
            <w:tcW w:w="8505" w:type="dxa"/>
          </w:tcPr>
          <w:p w14:paraId="0421D0B8" w14:textId="77777777" w:rsidR="001346AE" w:rsidRPr="00D31FE3" w:rsidRDefault="001346AE" w:rsidP="008C5D38">
            <w:pPr>
              <w:tabs>
                <w:tab w:val="left" w:pos="480"/>
                <w:tab w:val="right" w:leader="dot" w:pos="8270"/>
              </w:tabs>
              <w:spacing w:after="100"/>
              <w:rPr>
                <w:noProof/>
                <w:szCs w:val="24"/>
                <w:lang w:val="en-US" w:bidi="en-US"/>
              </w:rPr>
            </w:pPr>
            <w:r w:rsidRPr="00D31FE3">
              <w:rPr>
                <w:noProof/>
                <w:szCs w:val="24"/>
                <w:lang w:val="en-US" w:bidi="en-US"/>
              </w:rPr>
              <w:t>A.</w:t>
            </w:r>
            <w:r w:rsidRPr="00D31FE3">
              <w:rPr>
                <w:noProof/>
                <w:szCs w:val="24"/>
                <w:lang w:val="en-US"/>
              </w:rPr>
              <w:tab/>
            </w:r>
            <w:r w:rsidRPr="00BD18D4">
              <w:rPr>
                <w:i/>
              </w:rPr>
              <w:t>Tax Court of Canada, 2018 TCC 152, [2019] 5 C.T.C. 2183 (Hogan J.)</w:t>
            </w:r>
          </w:p>
        </w:tc>
        <w:tc>
          <w:tcPr>
            <w:tcW w:w="851" w:type="dxa"/>
          </w:tcPr>
          <w:p w14:paraId="2050C563"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18</w:t>
            </w:r>
          </w:p>
        </w:tc>
      </w:tr>
      <w:tr w:rsidR="001346AE" w:rsidRPr="00D31FE3" w14:paraId="51D02440" w14:textId="77777777" w:rsidTr="008C5D38">
        <w:trPr>
          <w:trHeight w:val="432"/>
        </w:trPr>
        <w:tc>
          <w:tcPr>
            <w:tcW w:w="8505" w:type="dxa"/>
          </w:tcPr>
          <w:p w14:paraId="0A8BE1F8" w14:textId="77777777" w:rsidR="001346AE" w:rsidRPr="00D31FE3" w:rsidRDefault="001346AE" w:rsidP="008C5D38">
            <w:pPr>
              <w:tabs>
                <w:tab w:val="left" w:pos="480"/>
                <w:tab w:val="right" w:leader="dot" w:pos="8270"/>
              </w:tabs>
              <w:spacing w:after="100"/>
              <w:rPr>
                <w:noProof/>
                <w:szCs w:val="24"/>
                <w:lang w:val="en-US"/>
              </w:rPr>
            </w:pPr>
            <w:r w:rsidRPr="00D31FE3">
              <w:rPr>
                <w:noProof/>
                <w:szCs w:val="24"/>
                <w:lang w:val="en-US" w:bidi="en-US"/>
              </w:rPr>
              <w:t>B.</w:t>
            </w:r>
            <w:r w:rsidRPr="00D31FE3">
              <w:rPr>
                <w:noProof/>
                <w:szCs w:val="24"/>
                <w:lang w:val="en-US"/>
              </w:rPr>
              <w:tab/>
            </w:r>
            <w:r w:rsidRPr="00405E75">
              <w:rPr>
                <w:i/>
              </w:rPr>
              <w:t xml:space="preserve">Federal Court of Appeal, 2020 FCA 43, [2020] 5 C.T.C. 193 (Webb, Near and </w:t>
            </w:r>
            <w:r w:rsidRPr="00D31FE3">
              <w:rPr>
                <w:noProof/>
                <w:szCs w:val="24"/>
                <w:lang w:val="en-US"/>
              </w:rPr>
              <w:tab/>
            </w:r>
            <w:r>
              <w:rPr>
                <w:i/>
              </w:rPr>
              <w:t>Locke </w:t>
            </w:r>
            <w:r w:rsidRPr="00405E75">
              <w:rPr>
                <w:i/>
              </w:rPr>
              <w:t>JJ.A.)</w:t>
            </w:r>
          </w:p>
        </w:tc>
        <w:tc>
          <w:tcPr>
            <w:tcW w:w="851" w:type="dxa"/>
            <w:vAlign w:val="bottom"/>
          </w:tcPr>
          <w:p w14:paraId="3368AD61"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23</w:t>
            </w:r>
          </w:p>
        </w:tc>
      </w:tr>
      <w:tr w:rsidR="001346AE" w:rsidRPr="00D31FE3" w14:paraId="79DE6782" w14:textId="77777777" w:rsidTr="008C5D38">
        <w:trPr>
          <w:trHeight w:val="432"/>
        </w:trPr>
        <w:tc>
          <w:tcPr>
            <w:tcW w:w="8505" w:type="dxa"/>
          </w:tcPr>
          <w:p w14:paraId="390B8610" w14:textId="77777777" w:rsidR="001346AE" w:rsidRPr="00D31FE3" w:rsidRDefault="001346AE" w:rsidP="008C5D38">
            <w:pPr>
              <w:tabs>
                <w:tab w:val="left" w:pos="480"/>
                <w:tab w:val="right" w:leader="dot" w:pos="8270"/>
              </w:tabs>
              <w:spacing w:after="100"/>
              <w:rPr>
                <w:noProof/>
                <w:szCs w:val="24"/>
              </w:rPr>
            </w:pPr>
            <w:r w:rsidRPr="00D31FE3">
              <w:rPr>
                <w:noProof/>
                <w:szCs w:val="24"/>
                <w:lang w:bidi="en-US"/>
              </w:rPr>
              <w:t>IV.</w:t>
            </w:r>
            <w:r w:rsidRPr="00D31FE3">
              <w:rPr>
                <w:noProof/>
                <w:szCs w:val="24"/>
                <w:lang w:val="en-US"/>
              </w:rPr>
              <w:tab/>
            </w:r>
            <w:r w:rsidRPr="00D31FE3">
              <w:rPr>
                <w:noProof/>
                <w:szCs w:val="24"/>
                <w:u w:val="single"/>
                <w:lang w:val="en-US"/>
              </w:rPr>
              <w:t>Issues</w:t>
            </w:r>
          </w:p>
        </w:tc>
        <w:tc>
          <w:tcPr>
            <w:tcW w:w="851" w:type="dxa"/>
          </w:tcPr>
          <w:p w14:paraId="0A22F35A"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28</w:t>
            </w:r>
          </w:p>
        </w:tc>
      </w:tr>
      <w:tr w:rsidR="001346AE" w:rsidRPr="00D31FE3" w14:paraId="1C9954F4" w14:textId="77777777" w:rsidTr="008C5D38">
        <w:trPr>
          <w:trHeight w:val="432"/>
        </w:trPr>
        <w:tc>
          <w:tcPr>
            <w:tcW w:w="8505" w:type="dxa"/>
          </w:tcPr>
          <w:p w14:paraId="6435DFAF" w14:textId="77777777" w:rsidR="001346AE" w:rsidRPr="00D31FE3" w:rsidRDefault="001346AE" w:rsidP="008C5D38">
            <w:pPr>
              <w:tabs>
                <w:tab w:val="left" w:pos="480"/>
                <w:tab w:val="right" w:leader="dot" w:pos="8270"/>
              </w:tabs>
              <w:spacing w:after="100"/>
              <w:rPr>
                <w:noProof/>
                <w:szCs w:val="24"/>
              </w:rPr>
            </w:pPr>
            <w:r w:rsidRPr="00D31FE3">
              <w:rPr>
                <w:noProof/>
                <w:szCs w:val="24"/>
                <w:lang w:bidi="en-US"/>
              </w:rPr>
              <w:t>V.</w:t>
            </w:r>
            <w:r w:rsidRPr="00D31FE3">
              <w:rPr>
                <w:noProof/>
                <w:szCs w:val="24"/>
                <w:lang w:val="en-US"/>
              </w:rPr>
              <w:tab/>
            </w:r>
            <w:r w:rsidRPr="00D31FE3">
              <w:rPr>
                <w:noProof/>
                <w:szCs w:val="24"/>
                <w:u w:val="single"/>
                <w:lang w:val="en-US"/>
              </w:rPr>
              <w:t>Analysis</w:t>
            </w:r>
          </w:p>
        </w:tc>
        <w:tc>
          <w:tcPr>
            <w:tcW w:w="851" w:type="dxa"/>
          </w:tcPr>
          <w:p w14:paraId="01D3275A"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29</w:t>
            </w:r>
          </w:p>
        </w:tc>
      </w:tr>
      <w:tr w:rsidR="001346AE" w:rsidRPr="00D31FE3" w14:paraId="5B5EDAED" w14:textId="77777777" w:rsidTr="008C5D38">
        <w:trPr>
          <w:trHeight w:val="432"/>
        </w:trPr>
        <w:tc>
          <w:tcPr>
            <w:tcW w:w="8505" w:type="dxa"/>
          </w:tcPr>
          <w:p w14:paraId="415CE365" w14:textId="77777777" w:rsidR="001346AE" w:rsidRPr="00DE0F41" w:rsidRDefault="001346AE" w:rsidP="008C5D38">
            <w:pPr>
              <w:tabs>
                <w:tab w:val="left" w:pos="480"/>
                <w:tab w:val="right" w:leader="dot" w:pos="8270"/>
              </w:tabs>
              <w:spacing w:after="100"/>
              <w:rPr>
                <w:noProof/>
                <w:szCs w:val="24"/>
                <w:lang w:val="en-US"/>
              </w:rPr>
            </w:pPr>
            <w:r w:rsidRPr="00DE0F41">
              <w:rPr>
                <w:noProof/>
                <w:szCs w:val="24"/>
                <w:lang w:val="en-US" w:bidi="en-US"/>
              </w:rPr>
              <w:t>A.</w:t>
            </w:r>
            <w:r w:rsidRPr="00DE0F41">
              <w:rPr>
                <w:noProof/>
                <w:szCs w:val="24"/>
                <w:lang w:val="en-US"/>
              </w:rPr>
              <w:tab/>
            </w:r>
            <w:r w:rsidRPr="00DE0F41">
              <w:rPr>
                <w:i/>
                <w:noProof/>
                <w:szCs w:val="24"/>
                <w:lang w:val="en-US"/>
              </w:rPr>
              <w:t>General Anti-Avoidance Rule (“GAAR”)</w:t>
            </w:r>
          </w:p>
        </w:tc>
        <w:tc>
          <w:tcPr>
            <w:tcW w:w="851" w:type="dxa"/>
          </w:tcPr>
          <w:p w14:paraId="238C6080"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29</w:t>
            </w:r>
          </w:p>
        </w:tc>
      </w:tr>
      <w:tr w:rsidR="001346AE" w:rsidRPr="00D31FE3" w14:paraId="09E4A902" w14:textId="77777777" w:rsidTr="008C5D38">
        <w:trPr>
          <w:trHeight w:val="432"/>
        </w:trPr>
        <w:tc>
          <w:tcPr>
            <w:tcW w:w="8505" w:type="dxa"/>
          </w:tcPr>
          <w:p w14:paraId="61019A6D" w14:textId="77777777" w:rsidR="001346AE" w:rsidRPr="005A5058" w:rsidRDefault="001346AE" w:rsidP="008C5D38">
            <w:pPr>
              <w:tabs>
                <w:tab w:val="left" w:pos="480"/>
                <w:tab w:val="right" w:leader="dot" w:pos="8270"/>
              </w:tabs>
              <w:spacing w:after="100"/>
              <w:rPr>
                <w:noProof/>
                <w:szCs w:val="24"/>
                <w:lang w:val="en-US" w:bidi="en-US"/>
              </w:rPr>
            </w:pPr>
            <w:r w:rsidRPr="005A5058">
              <w:rPr>
                <w:noProof/>
                <w:szCs w:val="24"/>
                <w:lang w:val="en-US" w:bidi="en-US"/>
              </w:rPr>
              <w:t>B.</w:t>
            </w:r>
            <w:r w:rsidRPr="005A5058">
              <w:rPr>
                <w:noProof/>
                <w:szCs w:val="24"/>
                <w:lang w:val="en-US"/>
              </w:rPr>
              <w:tab/>
            </w:r>
            <w:r w:rsidRPr="005A5058">
              <w:rPr>
                <w:i/>
                <w:noProof/>
                <w:szCs w:val="24"/>
                <w:lang w:val="en-US"/>
              </w:rPr>
              <w:t>International Tax Treaties</w:t>
            </w:r>
          </w:p>
        </w:tc>
        <w:tc>
          <w:tcPr>
            <w:tcW w:w="851" w:type="dxa"/>
          </w:tcPr>
          <w:p w14:paraId="158E29C2"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34</w:t>
            </w:r>
          </w:p>
        </w:tc>
      </w:tr>
      <w:tr w:rsidR="001346AE" w:rsidRPr="00D31FE3" w14:paraId="2E8F0D18" w14:textId="77777777" w:rsidTr="008C5D38">
        <w:trPr>
          <w:trHeight w:val="432"/>
        </w:trPr>
        <w:tc>
          <w:tcPr>
            <w:tcW w:w="8505" w:type="dxa"/>
          </w:tcPr>
          <w:p w14:paraId="243467AD" w14:textId="77777777" w:rsidR="001346AE" w:rsidRPr="005A5058" w:rsidRDefault="001346AE" w:rsidP="008C5D38">
            <w:pPr>
              <w:tabs>
                <w:tab w:val="left" w:pos="1100"/>
                <w:tab w:val="right" w:leader="dot" w:pos="8270"/>
              </w:tabs>
              <w:spacing w:after="100"/>
              <w:ind w:left="480"/>
              <w:rPr>
                <w:noProof/>
                <w:szCs w:val="24"/>
                <w:lang w:val="en-US" w:bidi="en-US"/>
              </w:rPr>
            </w:pPr>
            <w:r w:rsidRPr="005A5058">
              <w:rPr>
                <w:noProof/>
                <w:szCs w:val="24"/>
                <w:lang w:val="en-US" w:bidi="en-US"/>
                <w14:scene3d>
                  <w14:camera w14:prst="orthographicFront"/>
                  <w14:lightRig w14:rig="threePt" w14:dir="t">
                    <w14:rot w14:lat="0" w14:lon="0" w14:rev="0"/>
                  </w14:lightRig>
                </w14:scene3d>
              </w:rPr>
              <w:t>(1)</w:t>
            </w:r>
            <w:r w:rsidRPr="005A5058">
              <w:rPr>
                <w:noProof/>
                <w:szCs w:val="24"/>
                <w:lang w:val="en-US"/>
              </w:rPr>
              <w:tab/>
            </w:r>
            <w:r w:rsidRPr="005A5058">
              <w:rPr>
                <w:noProof/>
                <w:szCs w:val="24"/>
                <w:u w:val="single"/>
                <w:lang w:val="en-US"/>
              </w:rPr>
              <w:t>General Principles</w:t>
            </w:r>
          </w:p>
        </w:tc>
        <w:tc>
          <w:tcPr>
            <w:tcW w:w="851" w:type="dxa"/>
          </w:tcPr>
          <w:p w14:paraId="097A294C"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34</w:t>
            </w:r>
          </w:p>
        </w:tc>
      </w:tr>
      <w:tr w:rsidR="001346AE" w:rsidRPr="00D31FE3" w14:paraId="2EB6760F" w14:textId="77777777" w:rsidTr="008C5D38">
        <w:trPr>
          <w:trHeight w:val="432"/>
        </w:trPr>
        <w:tc>
          <w:tcPr>
            <w:tcW w:w="8505" w:type="dxa"/>
          </w:tcPr>
          <w:p w14:paraId="40F62C4F" w14:textId="77777777" w:rsidR="001346AE" w:rsidRPr="00DE0F41" w:rsidRDefault="001346AE" w:rsidP="008C5D38">
            <w:pPr>
              <w:tabs>
                <w:tab w:val="left" w:pos="1100"/>
                <w:tab w:val="right" w:leader="dot" w:pos="8270"/>
              </w:tabs>
              <w:spacing w:after="100"/>
              <w:ind w:left="480"/>
              <w:rPr>
                <w:noProof/>
                <w:szCs w:val="24"/>
                <w:lang w:val="en-US" w:bidi="en-US"/>
                <w14:scene3d>
                  <w14:camera w14:prst="orthographicFront"/>
                  <w14:lightRig w14:rig="threePt" w14:dir="t">
                    <w14:rot w14:lat="0" w14:lon="0" w14:rev="0"/>
                  </w14:lightRig>
                </w14:scene3d>
              </w:rPr>
            </w:pPr>
            <w:r w:rsidRPr="00DE0F41">
              <w:rPr>
                <w:noProof/>
                <w:szCs w:val="24"/>
                <w:lang w:val="en-US" w:bidi="en-US"/>
                <w14:scene3d>
                  <w14:camera w14:prst="orthographicFront"/>
                  <w14:lightRig w14:rig="threePt" w14:dir="t">
                    <w14:rot w14:lat="0" w14:lon="0" w14:rev="0"/>
                  </w14:lightRig>
                </w14:scene3d>
              </w:rPr>
              <w:t>(2)</w:t>
            </w:r>
            <w:r w:rsidRPr="00DE0F41">
              <w:rPr>
                <w:noProof/>
                <w:szCs w:val="24"/>
                <w:lang w:val="en-US"/>
              </w:rPr>
              <w:tab/>
            </w:r>
            <w:r w:rsidRPr="00DE0F41">
              <w:rPr>
                <w:noProof/>
                <w:szCs w:val="24"/>
                <w:u w:val="single"/>
                <w:lang w:val="en-US"/>
              </w:rPr>
              <w:t>OECD Commentaries as Interpretative Aids</w:t>
            </w:r>
          </w:p>
        </w:tc>
        <w:tc>
          <w:tcPr>
            <w:tcW w:w="851" w:type="dxa"/>
          </w:tcPr>
          <w:p w14:paraId="3F0E9D54"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38</w:t>
            </w:r>
          </w:p>
        </w:tc>
      </w:tr>
      <w:tr w:rsidR="001346AE" w:rsidRPr="00D31FE3" w14:paraId="076FE976" w14:textId="77777777" w:rsidTr="008C5D38">
        <w:trPr>
          <w:trHeight w:val="432"/>
        </w:trPr>
        <w:tc>
          <w:tcPr>
            <w:tcW w:w="8505" w:type="dxa"/>
          </w:tcPr>
          <w:p w14:paraId="28DBEF6C" w14:textId="77777777" w:rsidR="001346AE" w:rsidRPr="00D31FE3" w:rsidRDefault="001346AE" w:rsidP="008C5D38">
            <w:pPr>
              <w:tabs>
                <w:tab w:val="left" w:pos="480"/>
                <w:tab w:val="right" w:leader="dot" w:pos="8270"/>
              </w:tabs>
              <w:spacing w:after="100"/>
              <w:rPr>
                <w:noProof/>
                <w:szCs w:val="24"/>
                <w:lang w:val="en-US" w:bidi="en-US"/>
              </w:rPr>
            </w:pPr>
            <w:r w:rsidRPr="00D31FE3">
              <w:rPr>
                <w:noProof/>
                <w:szCs w:val="24"/>
                <w:lang w:val="en-US" w:bidi="en-US"/>
              </w:rPr>
              <w:t>C.</w:t>
            </w:r>
            <w:r w:rsidRPr="00D31FE3">
              <w:rPr>
                <w:noProof/>
                <w:szCs w:val="24"/>
                <w:lang w:val="en-US"/>
              </w:rPr>
              <w:tab/>
            </w:r>
            <w:r w:rsidRPr="00DE0F41">
              <w:rPr>
                <w:i/>
                <w:noProof/>
                <w:szCs w:val="24"/>
                <w:lang w:val="en-US"/>
              </w:rPr>
              <w:t>Cautionary Preface to the GAAR Analysis</w:t>
            </w:r>
          </w:p>
        </w:tc>
        <w:tc>
          <w:tcPr>
            <w:tcW w:w="851" w:type="dxa"/>
          </w:tcPr>
          <w:p w14:paraId="187CD123"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46</w:t>
            </w:r>
          </w:p>
        </w:tc>
      </w:tr>
      <w:tr w:rsidR="001346AE" w:rsidRPr="00D31FE3" w14:paraId="66F4CB7C" w14:textId="77777777" w:rsidTr="008C5D38">
        <w:trPr>
          <w:trHeight w:val="432"/>
        </w:trPr>
        <w:tc>
          <w:tcPr>
            <w:tcW w:w="8505" w:type="dxa"/>
          </w:tcPr>
          <w:p w14:paraId="6B5BFAC1" w14:textId="77777777" w:rsidR="001346AE" w:rsidRPr="00DE0F41" w:rsidRDefault="001346AE" w:rsidP="008C5D38">
            <w:pPr>
              <w:tabs>
                <w:tab w:val="left" w:pos="480"/>
                <w:tab w:val="right" w:leader="dot" w:pos="8270"/>
              </w:tabs>
              <w:spacing w:after="100"/>
              <w:rPr>
                <w:noProof/>
                <w:szCs w:val="24"/>
                <w:lang w:val="en-US" w:bidi="en-US"/>
              </w:rPr>
            </w:pPr>
            <w:r w:rsidRPr="00DE0F41">
              <w:rPr>
                <w:noProof/>
                <w:szCs w:val="24"/>
                <w:lang w:val="en-US" w:bidi="en-US"/>
              </w:rPr>
              <w:t>D.</w:t>
            </w:r>
            <w:r w:rsidRPr="00DE0F41">
              <w:rPr>
                <w:noProof/>
                <w:szCs w:val="24"/>
                <w:lang w:val="en-US"/>
              </w:rPr>
              <w:tab/>
            </w:r>
            <w:r w:rsidRPr="00DE0F41">
              <w:rPr>
                <w:i/>
                <w:noProof/>
                <w:szCs w:val="24"/>
                <w:lang w:val="en-US"/>
              </w:rPr>
              <w:t>First Step: Object, Spirit</w:t>
            </w:r>
            <w:r>
              <w:rPr>
                <w:i/>
                <w:noProof/>
                <w:szCs w:val="24"/>
                <w:lang w:val="en-US"/>
              </w:rPr>
              <w:t>, and Purpose of the Relevant Provisions</w:t>
            </w:r>
          </w:p>
        </w:tc>
        <w:tc>
          <w:tcPr>
            <w:tcW w:w="851" w:type="dxa"/>
          </w:tcPr>
          <w:p w14:paraId="42AFA25E"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50</w:t>
            </w:r>
          </w:p>
        </w:tc>
      </w:tr>
      <w:tr w:rsidR="001346AE" w14:paraId="30401999" w14:textId="77777777" w:rsidTr="008C5D38">
        <w:trPr>
          <w:trHeight w:val="432"/>
        </w:trPr>
        <w:tc>
          <w:tcPr>
            <w:tcW w:w="8505" w:type="dxa"/>
          </w:tcPr>
          <w:p w14:paraId="582F3DFF" w14:textId="77777777" w:rsidR="001346AE" w:rsidRPr="00DE0F41" w:rsidRDefault="001346AE" w:rsidP="008C5D38">
            <w:pPr>
              <w:tabs>
                <w:tab w:val="left" w:pos="1100"/>
                <w:tab w:val="right" w:leader="dot" w:pos="8270"/>
              </w:tabs>
              <w:ind w:left="480"/>
              <w:rPr>
                <w:noProof/>
                <w:lang w:val="en-US" w:bidi="en-US"/>
                <w14:scene3d>
                  <w14:camera w14:prst="orthographicFront"/>
                  <w14:lightRig w14:rig="threePt" w14:dir="t">
                    <w14:rot w14:lat="0" w14:lon="0" w14:rev="0"/>
                  </w14:lightRig>
                </w14:scene3d>
              </w:rPr>
            </w:pPr>
            <w:r w:rsidRPr="005A5058">
              <w:rPr>
                <w:noProof/>
                <w:szCs w:val="24"/>
                <w:lang w:val="en-US" w:bidi="en-US"/>
                <w14:scene3d>
                  <w14:camera w14:prst="orthographicFront"/>
                  <w14:lightRig w14:rig="threePt" w14:dir="t">
                    <w14:rot w14:lat="0" w14:lon="0" w14:rev="0"/>
                  </w14:lightRig>
                </w14:scene3d>
              </w:rPr>
              <w:t>(1)</w:t>
            </w:r>
            <w:r w:rsidRPr="005A5058">
              <w:rPr>
                <w:noProof/>
                <w:szCs w:val="24"/>
                <w:lang w:val="en-US"/>
              </w:rPr>
              <w:tab/>
            </w:r>
            <w:r w:rsidRPr="005A5058">
              <w:rPr>
                <w:noProof/>
                <w:szCs w:val="24"/>
                <w:u w:val="single"/>
                <w:lang w:val="en-US"/>
              </w:rPr>
              <w:t>Residence (Arts. 1 and 4(1))</w:t>
            </w:r>
          </w:p>
        </w:tc>
        <w:tc>
          <w:tcPr>
            <w:tcW w:w="851" w:type="dxa"/>
          </w:tcPr>
          <w:p w14:paraId="276A3355" w14:textId="77777777" w:rsidR="001346AE" w:rsidRDefault="001346AE" w:rsidP="00AD4125">
            <w:pPr>
              <w:tabs>
                <w:tab w:val="left" w:pos="480"/>
                <w:tab w:val="right" w:leader="dot" w:pos="8270"/>
              </w:tabs>
              <w:jc w:val="center"/>
              <w:rPr>
                <w:lang w:val="en-US" w:bidi="en-US"/>
              </w:rPr>
            </w:pPr>
            <w:r>
              <w:rPr>
                <w:lang w:val="en-US" w:bidi="en-US"/>
              </w:rPr>
              <w:t>52</w:t>
            </w:r>
          </w:p>
        </w:tc>
      </w:tr>
      <w:tr w:rsidR="001346AE" w14:paraId="195E26B9" w14:textId="77777777" w:rsidTr="008C5D38">
        <w:trPr>
          <w:trHeight w:val="432"/>
        </w:trPr>
        <w:tc>
          <w:tcPr>
            <w:tcW w:w="8505" w:type="dxa"/>
          </w:tcPr>
          <w:p w14:paraId="2622D4A1" w14:textId="77777777" w:rsidR="001346AE" w:rsidRDefault="001346AE" w:rsidP="008C5D38">
            <w:pPr>
              <w:tabs>
                <w:tab w:val="left" w:pos="1100"/>
                <w:tab w:val="right" w:leader="dot" w:pos="8270"/>
              </w:tabs>
              <w:ind w:left="480"/>
              <w:rPr>
                <w:noProof/>
                <w:szCs w:val="24"/>
                <w:u w:val="single"/>
                <w:lang w:val="en-US"/>
              </w:rPr>
            </w:pPr>
            <w:r w:rsidRPr="00DE0F41">
              <w:rPr>
                <w:noProof/>
                <w:szCs w:val="24"/>
                <w:lang w:val="en-US" w:bidi="en-US"/>
                <w14:scene3d>
                  <w14:camera w14:prst="orthographicFront"/>
                  <w14:lightRig w14:rig="threePt" w14:dir="t">
                    <w14:rot w14:lat="0" w14:lon="0" w14:rev="0"/>
                  </w14:lightRig>
                </w14:scene3d>
              </w:rPr>
              <w:t>(2)</w:t>
            </w:r>
            <w:r w:rsidRPr="00DE0F41">
              <w:rPr>
                <w:noProof/>
                <w:szCs w:val="24"/>
                <w:lang w:val="en-US"/>
              </w:rPr>
              <w:tab/>
            </w:r>
            <w:r>
              <w:rPr>
                <w:noProof/>
                <w:szCs w:val="24"/>
                <w:u w:val="single"/>
                <w:lang w:val="en-US"/>
              </w:rPr>
              <w:t>Carve-Out from Source-Based Capital Gains Tax (“Business Property</w:t>
            </w:r>
          </w:p>
          <w:p w14:paraId="47E8550B" w14:textId="7ED5C1DE" w:rsidR="001346AE" w:rsidRPr="006161BB" w:rsidRDefault="001346AE" w:rsidP="00A37947">
            <w:pPr>
              <w:tabs>
                <w:tab w:val="left" w:pos="1100"/>
                <w:tab w:val="right" w:leader="dot" w:pos="8270"/>
              </w:tabs>
              <w:spacing w:after="100"/>
              <w:ind w:left="1134"/>
              <w:rPr>
                <w:noProof/>
                <w:u w:val="single"/>
                <w:lang w:val="en-US" w:bidi="en-US"/>
                <w14:scene3d>
                  <w14:camera w14:prst="orthographicFront"/>
                  <w14:lightRig w14:rig="threePt" w14:dir="t">
                    <w14:rot w14:lat="0" w14:lon="0" w14:rev="0"/>
                  </w14:lightRig>
                </w14:scene3d>
              </w:rPr>
            </w:pPr>
            <w:r w:rsidRPr="006161BB">
              <w:rPr>
                <w:noProof/>
                <w:szCs w:val="24"/>
                <w:u w:val="single"/>
                <w:lang w:val="en-US" w:bidi="en-US"/>
                <w14:scene3d>
                  <w14:camera w14:prst="orthographicFront"/>
                  <w14:lightRig w14:rig="threePt" w14:dir="t">
                    <w14:rot w14:lat="0" w14:lon="0" w14:rev="0"/>
                  </w14:lightRig>
                </w14:scene3d>
              </w:rPr>
              <w:t>Exemption” (Art. 13(4) and (5))</w:t>
            </w:r>
          </w:p>
        </w:tc>
        <w:tc>
          <w:tcPr>
            <w:tcW w:w="851" w:type="dxa"/>
          </w:tcPr>
          <w:p w14:paraId="1ADB4838" w14:textId="77777777" w:rsidR="00A37947" w:rsidRDefault="00A37947" w:rsidP="00AD4125">
            <w:pPr>
              <w:tabs>
                <w:tab w:val="left" w:pos="480"/>
                <w:tab w:val="right" w:leader="dot" w:pos="8270"/>
              </w:tabs>
              <w:jc w:val="center"/>
              <w:rPr>
                <w:lang w:val="en-US" w:bidi="en-US"/>
              </w:rPr>
            </w:pPr>
          </w:p>
          <w:p w14:paraId="7BA2387E" w14:textId="77777777" w:rsidR="001346AE" w:rsidRDefault="001346AE" w:rsidP="00AD4125">
            <w:pPr>
              <w:tabs>
                <w:tab w:val="left" w:pos="480"/>
                <w:tab w:val="right" w:leader="dot" w:pos="8270"/>
              </w:tabs>
              <w:jc w:val="center"/>
              <w:rPr>
                <w:lang w:val="en-US" w:bidi="en-US"/>
              </w:rPr>
            </w:pPr>
            <w:r>
              <w:rPr>
                <w:lang w:val="en-US" w:bidi="en-US"/>
              </w:rPr>
              <w:t>68</w:t>
            </w:r>
          </w:p>
        </w:tc>
      </w:tr>
      <w:tr w:rsidR="001346AE" w:rsidRPr="00D31FE3" w14:paraId="004DFD28" w14:textId="77777777" w:rsidTr="008C5D38">
        <w:trPr>
          <w:trHeight w:val="432"/>
        </w:trPr>
        <w:tc>
          <w:tcPr>
            <w:tcW w:w="8505" w:type="dxa"/>
          </w:tcPr>
          <w:p w14:paraId="4C003EE1" w14:textId="77777777" w:rsidR="001346AE" w:rsidRPr="00DE0F41" w:rsidRDefault="001346AE" w:rsidP="008C5D38">
            <w:pPr>
              <w:tabs>
                <w:tab w:val="left" w:pos="480"/>
                <w:tab w:val="right" w:leader="dot" w:pos="8270"/>
              </w:tabs>
              <w:spacing w:after="100"/>
              <w:rPr>
                <w:noProof/>
                <w:szCs w:val="24"/>
                <w:lang w:val="en-US" w:bidi="en-US"/>
              </w:rPr>
            </w:pPr>
            <w:r>
              <w:rPr>
                <w:noProof/>
                <w:szCs w:val="24"/>
                <w:lang w:val="en-US" w:bidi="en-US"/>
              </w:rPr>
              <w:t>E</w:t>
            </w:r>
            <w:r w:rsidRPr="00DE0F41">
              <w:rPr>
                <w:noProof/>
                <w:szCs w:val="24"/>
                <w:lang w:val="en-US" w:bidi="en-US"/>
              </w:rPr>
              <w:t>.</w:t>
            </w:r>
            <w:r w:rsidRPr="00DE0F41">
              <w:rPr>
                <w:noProof/>
                <w:szCs w:val="24"/>
                <w:lang w:val="en-US"/>
              </w:rPr>
              <w:tab/>
            </w:r>
            <w:r>
              <w:rPr>
                <w:i/>
                <w:noProof/>
                <w:szCs w:val="24"/>
                <w:lang w:val="en-US"/>
              </w:rPr>
              <w:t>Second Step: Abusiveness of the Transaction</w:t>
            </w:r>
          </w:p>
        </w:tc>
        <w:tc>
          <w:tcPr>
            <w:tcW w:w="851" w:type="dxa"/>
          </w:tcPr>
          <w:p w14:paraId="40791601" w14:textId="77777777" w:rsidR="001346AE" w:rsidRPr="00D31FE3" w:rsidRDefault="001346AE" w:rsidP="00AD4125">
            <w:pPr>
              <w:tabs>
                <w:tab w:val="left" w:pos="480"/>
                <w:tab w:val="right" w:leader="dot" w:pos="8270"/>
              </w:tabs>
              <w:spacing w:after="100"/>
              <w:jc w:val="center"/>
              <w:rPr>
                <w:szCs w:val="24"/>
                <w:lang w:val="en-US" w:bidi="en-US"/>
              </w:rPr>
            </w:pPr>
            <w:r>
              <w:rPr>
                <w:szCs w:val="24"/>
                <w:lang w:val="en-US" w:bidi="en-US"/>
              </w:rPr>
              <w:t>90</w:t>
            </w:r>
          </w:p>
        </w:tc>
      </w:tr>
      <w:tr w:rsidR="001346AE" w14:paraId="0CFB7E2B" w14:textId="77777777" w:rsidTr="008C5D38">
        <w:trPr>
          <w:trHeight w:val="432"/>
        </w:trPr>
        <w:tc>
          <w:tcPr>
            <w:tcW w:w="8505" w:type="dxa"/>
          </w:tcPr>
          <w:p w14:paraId="4AF5A45F" w14:textId="77777777" w:rsidR="001346AE" w:rsidRDefault="001346AE" w:rsidP="008C5D38">
            <w:pPr>
              <w:tabs>
                <w:tab w:val="left" w:pos="480"/>
                <w:tab w:val="right" w:leader="dot" w:pos="8270"/>
              </w:tabs>
              <w:spacing w:after="100"/>
              <w:rPr>
                <w:noProof/>
                <w:szCs w:val="24"/>
                <w:lang w:val="en-US" w:bidi="en-US"/>
              </w:rPr>
            </w:pPr>
            <w:r>
              <w:rPr>
                <w:noProof/>
                <w:szCs w:val="24"/>
                <w:lang w:val="en-US" w:bidi="en-US"/>
              </w:rPr>
              <w:lastRenderedPageBreak/>
              <w:t>VI.</w:t>
            </w:r>
            <w:r w:rsidRPr="00DE0F41">
              <w:rPr>
                <w:noProof/>
                <w:szCs w:val="24"/>
                <w:lang w:val="en-US"/>
              </w:rPr>
              <w:tab/>
            </w:r>
            <w:r w:rsidRPr="00710BAC">
              <w:rPr>
                <w:noProof/>
                <w:szCs w:val="24"/>
                <w:u w:val="single"/>
                <w:lang w:val="en-US"/>
              </w:rPr>
              <w:t>Conclusion</w:t>
            </w:r>
          </w:p>
        </w:tc>
        <w:tc>
          <w:tcPr>
            <w:tcW w:w="851" w:type="dxa"/>
          </w:tcPr>
          <w:p w14:paraId="4CAFBD3C" w14:textId="77777777" w:rsidR="001346AE" w:rsidRDefault="001346AE" w:rsidP="00AD4125">
            <w:pPr>
              <w:tabs>
                <w:tab w:val="left" w:pos="480"/>
                <w:tab w:val="right" w:leader="dot" w:pos="8270"/>
              </w:tabs>
              <w:spacing w:after="100"/>
              <w:jc w:val="center"/>
              <w:rPr>
                <w:szCs w:val="24"/>
                <w:lang w:val="en-US" w:bidi="en-US"/>
              </w:rPr>
            </w:pPr>
            <w:r>
              <w:rPr>
                <w:szCs w:val="24"/>
                <w:lang w:val="en-US" w:bidi="en-US"/>
              </w:rPr>
              <w:t>97</w:t>
            </w:r>
          </w:p>
        </w:tc>
      </w:tr>
    </w:tbl>
    <w:p w14:paraId="2723E328" w14:textId="77777777" w:rsidR="001346AE" w:rsidRPr="000770DC" w:rsidRDefault="001346AE" w:rsidP="001346AE">
      <w:pPr>
        <w:pStyle w:val="Title1LevelTitre1Niveau-AltL"/>
        <w:rPr>
          <w:rFonts w:cs="Times New Roman"/>
        </w:rPr>
      </w:pPr>
      <w:bookmarkStart w:id="0" w:name="_Toc77170371"/>
      <w:bookmarkStart w:id="1" w:name="_Toc77229371"/>
      <w:bookmarkStart w:id="2" w:name="_Toc78040582"/>
      <w:r w:rsidRPr="000770DC">
        <w:rPr>
          <w:rFonts w:cs="Times New Roman"/>
        </w:rPr>
        <w:t>Overview</w:t>
      </w:r>
      <w:bookmarkEnd w:id="0"/>
      <w:bookmarkEnd w:id="1"/>
      <w:bookmarkEnd w:id="2"/>
    </w:p>
    <w:p w14:paraId="26CE3D77" w14:textId="77777777" w:rsidR="001346AE" w:rsidRPr="000770DC" w:rsidRDefault="001346AE" w:rsidP="001346AE">
      <w:pPr>
        <w:pStyle w:val="ParaNoNdepar-AltN"/>
        <w:rPr>
          <w:rFonts w:cs="Times New Roman"/>
        </w:rPr>
      </w:pPr>
      <w:r w:rsidRPr="000770DC">
        <w:rPr>
          <w:rFonts w:cs="Times New Roman"/>
        </w:rPr>
        <w:t xml:space="preserve">The principles of predictability, certainty, and fairness and respect </w:t>
      </w:r>
      <w:r>
        <w:rPr>
          <w:rFonts w:cs="Times New Roman"/>
        </w:rPr>
        <w:t>for</w:t>
      </w:r>
      <w:r w:rsidRPr="000770DC">
        <w:rPr>
          <w:rFonts w:cs="Times New Roman"/>
        </w:rPr>
        <w:t xml:space="preserve"> the right of taxpayers to legitimate tax minimization are the bedrock of tax law. In the context of international tax treaties, respect for negotiated bargain</w:t>
      </w:r>
      <w:r>
        <w:rPr>
          <w:rFonts w:cs="Times New Roman"/>
        </w:rPr>
        <w:t>s</w:t>
      </w:r>
      <w:r w:rsidRPr="000770DC">
        <w:rPr>
          <w:rFonts w:cs="Times New Roman"/>
        </w:rPr>
        <w:t xml:space="preserve"> between contracting states is fundamental to ensure tax certainty and predictability and to uphold the principle of </w:t>
      </w:r>
      <w:r w:rsidRPr="000770DC">
        <w:rPr>
          <w:rFonts w:cs="Times New Roman"/>
          <w:i/>
        </w:rPr>
        <w:t>pacta sunt servanda</w:t>
      </w:r>
      <w:r>
        <w:rPr>
          <w:rFonts w:cs="Times New Roman"/>
        </w:rPr>
        <w:t>,</w:t>
      </w:r>
      <w:r w:rsidRPr="000770DC">
        <w:rPr>
          <w:rFonts w:cs="Times New Roman"/>
          <w:i/>
        </w:rPr>
        <w:t xml:space="preserve"> </w:t>
      </w:r>
      <w:r w:rsidRPr="000770DC">
        <w:rPr>
          <w:rFonts w:cs="Times New Roman"/>
        </w:rPr>
        <w:t>pursuant to which parties to a treaty must keep their sides of the bargain.</w:t>
      </w:r>
    </w:p>
    <w:p w14:paraId="5118C017" w14:textId="77777777" w:rsidR="001346AE" w:rsidRPr="000770DC" w:rsidRDefault="001346AE" w:rsidP="001346AE">
      <w:pPr>
        <w:pStyle w:val="ParaNoNdepar-AltN"/>
        <w:rPr>
          <w:rFonts w:cs="Times New Roman"/>
        </w:rPr>
      </w:pPr>
      <w:r>
        <w:rPr>
          <w:rFonts w:cs="Times New Roman"/>
        </w:rPr>
        <w:t>Section</w:t>
      </w:r>
      <w:r w:rsidRPr="000770DC">
        <w:rPr>
          <w:rFonts w:cs="Times New Roman"/>
        </w:rPr>
        <w:t xml:space="preserve"> 245 of the </w:t>
      </w:r>
      <w:r w:rsidRPr="000770DC">
        <w:rPr>
          <w:rFonts w:cs="Times New Roman"/>
          <w:i/>
          <w:iCs/>
        </w:rPr>
        <w:t>Income Tax Act</w:t>
      </w:r>
      <w:r>
        <w:rPr>
          <w:rFonts w:cs="Times New Roman"/>
          <w:iCs/>
        </w:rPr>
        <w:t>, R.S.C. 1985, c. 1 (5</w:t>
      </w:r>
      <w:r w:rsidRPr="00BD18D4">
        <w:rPr>
          <w:rFonts w:cs="Times New Roman"/>
          <w:iCs/>
        </w:rPr>
        <w:t>th </w:t>
      </w:r>
      <w:r>
        <w:rPr>
          <w:rFonts w:cs="Times New Roman"/>
          <w:iCs/>
        </w:rPr>
        <w:t>Supp.)</w:t>
      </w:r>
      <w:r w:rsidRPr="000770DC">
        <w:rPr>
          <w:rFonts w:cs="Times New Roman"/>
        </w:rPr>
        <w:t xml:space="preserve"> (“</w:t>
      </w:r>
      <w:r w:rsidRPr="000770DC">
        <w:rPr>
          <w:rFonts w:cs="Times New Roman"/>
          <w:i/>
          <w:iCs/>
        </w:rPr>
        <w:t>Act</w:t>
      </w:r>
      <w:r w:rsidRPr="000770DC">
        <w:rPr>
          <w:rFonts w:cs="Times New Roman"/>
        </w:rPr>
        <w:t xml:space="preserve">”), known as the general anti-avoidance rule (“GAAR”), acts as a legislative limit </w:t>
      </w:r>
      <w:r>
        <w:rPr>
          <w:rFonts w:cs="Times New Roman"/>
        </w:rPr>
        <w:t>on</w:t>
      </w:r>
      <w:r w:rsidRPr="000770DC">
        <w:rPr>
          <w:rFonts w:cs="Times New Roman"/>
        </w:rPr>
        <w:t xml:space="preserve"> tax certainty </w:t>
      </w:r>
      <w:r>
        <w:rPr>
          <w:rFonts w:cs="Times New Roman"/>
        </w:rPr>
        <w:t>by barring</w:t>
      </w:r>
      <w:r w:rsidRPr="000770DC">
        <w:rPr>
          <w:rFonts w:cs="Times New Roman"/>
        </w:rPr>
        <w:t xml:space="preserve"> abusive tax avoidance transactions</w:t>
      </w:r>
      <w:r>
        <w:rPr>
          <w:rFonts w:cs="Times New Roman"/>
        </w:rPr>
        <w:t>, including those in which</w:t>
      </w:r>
      <w:r w:rsidRPr="000770DC">
        <w:rPr>
          <w:rFonts w:cs="Times New Roman"/>
        </w:rPr>
        <w:t xml:space="preserve"> taxpayers seek to obtain treaty benefits that were never intended by the contracting states. This intention is found by going behind the text of the provisions under which a tax benefit is claimed in order to determine their object, spirit, and purpose. In the bilateral treaty context, there are two sovereign states whose intentions are relevant; a robust analysis must take both into consideration in order to give proper effect to the tax treaty as a c</w:t>
      </w:r>
      <w:r>
        <w:rPr>
          <w:rFonts w:cs="Times New Roman"/>
        </w:rPr>
        <w:t>arefully negotiated instrument.</w:t>
      </w:r>
    </w:p>
    <w:p w14:paraId="3D8E2598" w14:textId="77777777" w:rsidR="001346AE" w:rsidRPr="000770DC" w:rsidRDefault="001346AE" w:rsidP="001346AE">
      <w:pPr>
        <w:pStyle w:val="ParaNoNdepar-AltN"/>
        <w:rPr>
          <w:rFonts w:cs="Times New Roman"/>
        </w:rPr>
      </w:pPr>
      <w:r w:rsidRPr="000770DC">
        <w:rPr>
          <w:rFonts w:cs="Times New Roman"/>
        </w:rPr>
        <w:t xml:space="preserve">In this case, the </w:t>
      </w:r>
      <w:r>
        <w:rPr>
          <w:rFonts w:cs="Times New Roman"/>
        </w:rPr>
        <w:t>a</w:t>
      </w:r>
      <w:r w:rsidRPr="000770DC">
        <w:rPr>
          <w:rFonts w:cs="Times New Roman"/>
        </w:rPr>
        <w:t>ppellant</w:t>
      </w:r>
      <w:r>
        <w:rPr>
          <w:rFonts w:cs="Times New Roman"/>
        </w:rPr>
        <w:t>,</w:t>
      </w:r>
      <w:r w:rsidRPr="000770DC">
        <w:rPr>
          <w:rFonts w:cs="Times New Roman"/>
        </w:rPr>
        <w:t xml:space="preserve"> Her Majesty </w:t>
      </w:r>
      <w:r>
        <w:rPr>
          <w:rFonts w:cs="Times New Roman"/>
        </w:rPr>
        <w:t>T</w:t>
      </w:r>
      <w:r w:rsidRPr="000770DC">
        <w:rPr>
          <w:rFonts w:cs="Times New Roman"/>
        </w:rPr>
        <w:t>he Queen</w:t>
      </w:r>
      <w:r>
        <w:rPr>
          <w:rFonts w:cs="Times New Roman"/>
        </w:rPr>
        <w:t>, as represented by the Minister of National Revenue (“</w:t>
      </w:r>
      <w:r w:rsidRPr="000770DC">
        <w:rPr>
          <w:rFonts w:cs="Times New Roman"/>
        </w:rPr>
        <w:t>Minister”)</w:t>
      </w:r>
      <w:r>
        <w:rPr>
          <w:rFonts w:cs="Times New Roman"/>
        </w:rPr>
        <w:t>,</w:t>
      </w:r>
      <w:r w:rsidRPr="000770DC">
        <w:rPr>
          <w:rFonts w:cs="Times New Roman"/>
        </w:rPr>
        <w:t xml:space="preserve"> submits that the transaction at issue abused the </w:t>
      </w:r>
      <w:r w:rsidRPr="000770DC">
        <w:rPr>
          <w:rFonts w:cs="Times New Roman"/>
          <w:i/>
          <w:iCs/>
        </w:rPr>
        <w:t xml:space="preserve">Convention between the Government of Canada and the Government of the Grand </w:t>
      </w:r>
      <w:r w:rsidRPr="000770DC">
        <w:rPr>
          <w:rFonts w:cs="Times New Roman"/>
          <w:i/>
          <w:iCs/>
        </w:rPr>
        <w:lastRenderedPageBreak/>
        <w:t>Duchy of Luxembourg for the Avoidance of Double Taxation and the Prevention of Fiscal Evasion with Respect to Taxes on Income and on Capital</w:t>
      </w:r>
      <w:r>
        <w:rPr>
          <w:rFonts w:cs="Times New Roman"/>
          <w:iCs/>
        </w:rPr>
        <w:t>, Can. T.S. 2000 No. 22</w:t>
      </w:r>
      <w:r w:rsidRPr="000770DC">
        <w:rPr>
          <w:rFonts w:cs="Times New Roman"/>
          <w:i/>
          <w:iCs/>
        </w:rPr>
        <w:t xml:space="preserve"> </w:t>
      </w:r>
      <w:r w:rsidRPr="000770DC">
        <w:rPr>
          <w:rFonts w:cs="Times New Roman"/>
        </w:rPr>
        <w:t>(“</w:t>
      </w:r>
      <w:r w:rsidRPr="000770DC">
        <w:rPr>
          <w:rFonts w:cs="Times New Roman"/>
          <w:i/>
        </w:rPr>
        <w:t>Treaty</w:t>
      </w:r>
      <w:r w:rsidRPr="000770DC">
        <w:rPr>
          <w:rFonts w:cs="Times New Roman"/>
        </w:rPr>
        <w:t xml:space="preserve">”). According to the Minister, the drafters did not intend the </w:t>
      </w:r>
      <w:r w:rsidRPr="000770DC">
        <w:rPr>
          <w:rFonts w:cs="Times New Roman"/>
          <w:i/>
        </w:rPr>
        <w:t>Treaty</w:t>
      </w:r>
      <w:r w:rsidRPr="000770DC">
        <w:rPr>
          <w:rFonts w:cs="Times New Roman"/>
        </w:rPr>
        <w:t xml:space="preserve"> to benefit residents with</w:t>
      </w:r>
      <w:r>
        <w:rPr>
          <w:rFonts w:cs="Times New Roman"/>
        </w:rPr>
        <w:t>out</w:t>
      </w:r>
      <w:r w:rsidRPr="000770DC">
        <w:rPr>
          <w:rFonts w:cs="Times New Roman"/>
        </w:rPr>
        <w:t xml:space="preserve"> “sufficient substantive economic connections” to their state of residence</w:t>
      </w:r>
      <w:r>
        <w:rPr>
          <w:rFonts w:cs="Times New Roman"/>
        </w:rPr>
        <w:t xml:space="preserve"> (A.F., at para. 100)</w:t>
      </w:r>
      <w:r w:rsidRPr="000770DC">
        <w:rPr>
          <w:rFonts w:cs="Times New Roman"/>
        </w:rPr>
        <w:t xml:space="preserve">. In the </w:t>
      </w:r>
      <w:r>
        <w:rPr>
          <w:rFonts w:cs="Times New Roman"/>
        </w:rPr>
        <w:t>view of the r</w:t>
      </w:r>
      <w:r w:rsidRPr="000770DC">
        <w:rPr>
          <w:rFonts w:cs="Times New Roman"/>
        </w:rPr>
        <w:t>espondent</w:t>
      </w:r>
      <w:r>
        <w:rPr>
          <w:rFonts w:cs="Times New Roman"/>
        </w:rPr>
        <w:t>,</w:t>
      </w:r>
      <w:r w:rsidRPr="000770DC">
        <w:rPr>
          <w:rFonts w:cs="Times New Roman"/>
        </w:rPr>
        <w:t xml:space="preserve"> Alta Energy Luxembourg S</w:t>
      </w:r>
      <w:r>
        <w:rPr>
          <w:rFonts w:cs="Times New Roman"/>
        </w:rPr>
        <w:t>.</w:t>
      </w:r>
      <w:r w:rsidRPr="000770DC">
        <w:rPr>
          <w:rFonts w:cs="Times New Roman"/>
        </w:rPr>
        <w:t>A</w:t>
      </w:r>
      <w:r>
        <w:rPr>
          <w:rFonts w:cs="Times New Roman"/>
        </w:rPr>
        <w:t>.</w:t>
      </w:r>
      <w:r w:rsidRPr="000770DC">
        <w:rPr>
          <w:rFonts w:cs="Times New Roman"/>
        </w:rPr>
        <w:t>R</w:t>
      </w:r>
      <w:r>
        <w:rPr>
          <w:rFonts w:cs="Times New Roman"/>
        </w:rPr>
        <w:t>.</w:t>
      </w:r>
      <w:r w:rsidRPr="000770DC">
        <w:rPr>
          <w:rFonts w:cs="Times New Roman"/>
        </w:rPr>
        <w:t>L</w:t>
      </w:r>
      <w:r>
        <w:rPr>
          <w:rFonts w:cs="Times New Roman"/>
        </w:rPr>
        <w:t>.</w:t>
      </w:r>
      <w:r w:rsidRPr="000770DC">
        <w:rPr>
          <w:rFonts w:cs="Times New Roman"/>
        </w:rPr>
        <w:t xml:space="preserve"> (“Alta Luxembourg”), the Minister has failed to discharge </w:t>
      </w:r>
      <w:r>
        <w:rPr>
          <w:rFonts w:cs="Times New Roman"/>
        </w:rPr>
        <w:t>her</w:t>
      </w:r>
      <w:r w:rsidRPr="000770DC">
        <w:rPr>
          <w:rFonts w:cs="Times New Roman"/>
        </w:rPr>
        <w:t xml:space="preserve"> burden of establishing that the object, spirit, </w:t>
      </w:r>
      <w:r>
        <w:rPr>
          <w:rFonts w:cs="Times New Roman"/>
        </w:rPr>
        <w:t>or</w:t>
      </w:r>
      <w:r w:rsidRPr="000770DC">
        <w:rPr>
          <w:rFonts w:cs="Times New Roman"/>
        </w:rPr>
        <w:t xml:space="preserve"> purpose of the provisions was frustrated or defeated</w:t>
      </w:r>
      <w:r>
        <w:rPr>
          <w:rFonts w:cs="Times New Roman"/>
        </w:rPr>
        <w:t>.</w:t>
      </w:r>
    </w:p>
    <w:p w14:paraId="11451FFF" w14:textId="77777777" w:rsidR="001346AE" w:rsidRPr="000770DC" w:rsidRDefault="001346AE" w:rsidP="001346AE">
      <w:pPr>
        <w:pStyle w:val="ParaNoNdepar-AltN"/>
        <w:rPr>
          <w:rFonts w:cs="Times New Roman"/>
        </w:rPr>
      </w:pPr>
      <w:r w:rsidRPr="000770DC">
        <w:rPr>
          <w:rFonts w:cs="Times New Roman"/>
        </w:rPr>
        <w:t xml:space="preserve">In my view, the Minister is asking this Court to use the GAAR to change the result, not by </w:t>
      </w:r>
      <w:r>
        <w:rPr>
          <w:rFonts w:cs="Times New Roman"/>
        </w:rPr>
        <w:t>interpreting</w:t>
      </w:r>
      <w:r w:rsidRPr="000770DC">
        <w:rPr>
          <w:rFonts w:cs="Times New Roman"/>
        </w:rPr>
        <w:t xml:space="preserve"> the provisions of the </w:t>
      </w:r>
      <w:r w:rsidRPr="000770DC">
        <w:rPr>
          <w:rFonts w:cs="Times New Roman"/>
          <w:i/>
        </w:rPr>
        <w:t xml:space="preserve">Treaty </w:t>
      </w:r>
      <w:r w:rsidRPr="000770DC">
        <w:rPr>
          <w:rFonts w:cs="Times New Roman"/>
        </w:rPr>
        <w:t>through a unified textual, contextual, and purposive analysis</w:t>
      </w:r>
      <w:r>
        <w:rPr>
          <w:rFonts w:cs="Times New Roman"/>
        </w:rPr>
        <w:t>,</w:t>
      </w:r>
      <w:r w:rsidRPr="000770DC">
        <w:rPr>
          <w:rFonts w:cs="Times New Roman"/>
        </w:rPr>
        <w:t xml:space="preserve"> but by fundamentally altering the criteria under which a person is entitled to the benefits of the </w:t>
      </w:r>
      <w:r w:rsidRPr="000770DC">
        <w:rPr>
          <w:rFonts w:cs="Times New Roman"/>
          <w:i/>
        </w:rPr>
        <w:t>Treaty</w:t>
      </w:r>
      <w:r w:rsidRPr="000770DC">
        <w:rPr>
          <w:rFonts w:cs="Times New Roman"/>
        </w:rPr>
        <w:t>, thus frustrating the certainty and predictability sought by the drafters.</w:t>
      </w:r>
    </w:p>
    <w:p w14:paraId="23E94312" w14:textId="77777777" w:rsidR="001346AE" w:rsidRPr="000770DC" w:rsidRDefault="001346AE" w:rsidP="001346AE">
      <w:pPr>
        <w:pStyle w:val="ParaNoNdepar-AltN"/>
        <w:rPr>
          <w:rFonts w:cs="Times New Roman"/>
        </w:rPr>
      </w:pPr>
      <w:r w:rsidRPr="000770DC">
        <w:rPr>
          <w:rFonts w:cs="Times New Roman"/>
        </w:rPr>
        <w:t>Tax treaties are replete with choices. One key choice made by Canada and Luxembourg was to deviate from the O</w:t>
      </w:r>
      <w:r>
        <w:rPr>
          <w:rFonts w:cs="Times New Roman"/>
        </w:rPr>
        <w:t xml:space="preserve">rganisation for </w:t>
      </w:r>
      <w:r w:rsidRPr="000770DC">
        <w:rPr>
          <w:rFonts w:cs="Times New Roman"/>
        </w:rPr>
        <w:t>E</w:t>
      </w:r>
      <w:r>
        <w:rPr>
          <w:rFonts w:cs="Times New Roman"/>
        </w:rPr>
        <w:t xml:space="preserve">conomic </w:t>
      </w:r>
      <w:r w:rsidRPr="000770DC">
        <w:rPr>
          <w:rFonts w:cs="Times New Roman"/>
        </w:rPr>
        <w:t>C</w:t>
      </w:r>
      <w:r>
        <w:rPr>
          <w:rFonts w:cs="Times New Roman"/>
        </w:rPr>
        <w:t>o</w:t>
      </w:r>
      <w:r>
        <w:rPr>
          <w:rFonts w:cs="Times New Roman"/>
        </w:rPr>
        <w:noBreakHyphen/>
        <w:t xml:space="preserve">operation and </w:t>
      </w:r>
      <w:r w:rsidRPr="000770DC">
        <w:rPr>
          <w:rFonts w:cs="Times New Roman"/>
        </w:rPr>
        <w:t>D</w:t>
      </w:r>
      <w:r>
        <w:rPr>
          <w:rFonts w:cs="Times New Roman"/>
        </w:rPr>
        <w:t>evelopment (“OECD”)</w:t>
      </w:r>
      <w:r w:rsidRPr="000770DC">
        <w:rPr>
          <w:rFonts w:cs="Times New Roman"/>
        </w:rPr>
        <w:t xml:space="preserve"> </w:t>
      </w:r>
      <w:r w:rsidRPr="00BD18D4">
        <w:rPr>
          <w:rFonts w:cs="Times New Roman"/>
          <w:i/>
        </w:rPr>
        <w:t>Model Tax Convention on Income and on Capital</w:t>
      </w:r>
      <w:r w:rsidRPr="000770DC">
        <w:rPr>
          <w:rFonts w:cs="Times New Roman"/>
        </w:rPr>
        <w:t xml:space="preserve"> (“OECD </w:t>
      </w:r>
      <w:r w:rsidRPr="00BD18D4">
        <w:rPr>
          <w:rFonts w:cs="Times New Roman"/>
          <w:i/>
        </w:rPr>
        <w:t>Model Treaty</w:t>
      </w:r>
      <w:r w:rsidRPr="000770DC">
        <w:rPr>
          <w:rFonts w:cs="Times New Roman"/>
        </w:rPr>
        <w:t>”)</w:t>
      </w:r>
      <w:r w:rsidRPr="00A37947">
        <w:rPr>
          <w:rStyle w:val="Hyperlink"/>
          <w:vertAlign w:val="superscript"/>
        </w:rPr>
        <w:footnoteReference w:id="1"/>
      </w:r>
      <w:r w:rsidRPr="000770DC">
        <w:rPr>
          <w:rFonts w:cs="Times New Roman"/>
        </w:rPr>
        <w:t xml:space="preserve"> </w:t>
      </w:r>
      <w:r>
        <w:rPr>
          <w:rFonts w:cs="Times New Roman"/>
        </w:rPr>
        <w:t>by</w:t>
      </w:r>
      <w:r w:rsidRPr="000770DC">
        <w:rPr>
          <w:rFonts w:cs="Times New Roman"/>
        </w:rPr>
        <w:t xml:space="preserve"> including a specific carve-out provision for immovable property, </w:t>
      </w:r>
      <w:r w:rsidRPr="000770DC">
        <w:rPr>
          <w:rFonts w:cs="Times New Roman"/>
        </w:rPr>
        <w:lastRenderedPageBreak/>
        <w:t xml:space="preserve">also called the business property exemption. This carve-out allocates to </w:t>
      </w:r>
      <w:r>
        <w:rPr>
          <w:rFonts w:cs="Times New Roman"/>
        </w:rPr>
        <w:t>a person’s</w:t>
      </w:r>
      <w:r w:rsidRPr="000770DC">
        <w:rPr>
          <w:rFonts w:cs="Times New Roman"/>
        </w:rPr>
        <w:t xml:space="preserve"> residence state the right to tax capital gains realized on the disposition of shares or other similar interests deriving their value principally from immovable property used in </w:t>
      </w:r>
      <w:r>
        <w:rPr>
          <w:rFonts w:cs="Times New Roman"/>
        </w:rPr>
        <w:t>a</w:t>
      </w:r>
      <w:r w:rsidRPr="000770DC">
        <w:rPr>
          <w:rFonts w:cs="Times New Roman"/>
        </w:rPr>
        <w:t xml:space="preserve"> corporation’s business. The rationale of the carve-out is not connected to the theory of economic allegiance. In fact, this provision is a clear departure from this theory, for the source state normally has the greater economic claim to tax income derived from immovable property or a business situated </w:t>
      </w:r>
      <w:r>
        <w:rPr>
          <w:rFonts w:cs="Times New Roman"/>
        </w:rPr>
        <w:t>within</w:t>
      </w:r>
      <w:r w:rsidRPr="000770DC">
        <w:rPr>
          <w:rFonts w:cs="Times New Roman"/>
        </w:rPr>
        <w:t xml:space="preserve"> its territory</w:t>
      </w:r>
      <w:r>
        <w:rPr>
          <w:rFonts w:cs="Times New Roman"/>
        </w:rPr>
        <w:t>.</w:t>
      </w:r>
    </w:p>
    <w:p w14:paraId="46BEBD50" w14:textId="77777777" w:rsidR="001346AE" w:rsidRPr="000770DC" w:rsidRDefault="001346AE" w:rsidP="001346AE">
      <w:pPr>
        <w:pStyle w:val="ParaNoNdepar-AltN"/>
        <w:rPr>
          <w:rFonts w:cs="Times New Roman"/>
        </w:rPr>
      </w:pPr>
      <w:r w:rsidRPr="000770DC">
        <w:rPr>
          <w:rFonts w:cs="Times New Roman"/>
        </w:rPr>
        <w:t xml:space="preserve">Canada’s decision to forego its right to tax such capital gains realized in Canada </w:t>
      </w:r>
      <w:r>
        <w:rPr>
          <w:rFonts w:cs="Times New Roman"/>
        </w:rPr>
        <w:t>wa</w:t>
      </w:r>
      <w:r w:rsidRPr="000770DC">
        <w:rPr>
          <w:rFonts w:cs="Times New Roman"/>
        </w:rPr>
        <w:t xml:space="preserve">s based on economic considerations broader than generating tax revenues. Tax law is designed </w:t>
      </w:r>
      <w:r>
        <w:rPr>
          <w:rFonts w:cs="Times New Roman"/>
        </w:rPr>
        <w:t xml:space="preserve">not only to </w:t>
      </w:r>
      <w:r w:rsidRPr="000770DC">
        <w:rPr>
          <w:rFonts w:cs="Times New Roman"/>
        </w:rPr>
        <w:t>bring revenues in</w:t>
      </w:r>
      <w:r>
        <w:rPr>
          <w:rFonts w:cs="Times New Roman"/>
        </w:rPr>
        <w:t>to</w:t>
      </w:r>
      <w:r w:rsidRPr="000770DC">
        <w:rPr>
          <w:rFonts w:cs="Times New Roman"/>
        </w:rPr>
        <w:t xml:space="preserve"> </w:t>
      </w:r>
      <w:r>
        <w:rPr>
          <w:rFonts w:cs="Times New Roman"/>
        </w:rPr>
        <w:t>a</w:t>
      </w:r>
      <w:r w:rsidRPr="000770DC">
        <w:rPr>
          <w:rFonts w:cs="Times New Roman"/>
        </w:rPr>
        <w:t xml:space="preserve"> state’s coffers but also to incentivize or disincentivize certain behaviours (</w:t>
      </w:r>
      <w:r w:rsidRPr="000770DC">
        <w:rPr>
          <w:rFonts w:cs="Times New Roman"/>
          <w:i/>
        </w:rPr>
        <w:t>Canada Trustco Mortgage Co. v. Canada</w:t>
      </w:r>
      <w:r w:rsidRPr="000770DC">
        <w:rPr>
          <w:rFonts w:cs="Times New Roman"/>
        </w:rPr>
        <w:t xml:space="preserve">, 2005 SCC 54, </w:t>
      </w:r>
      <w:r>
        <w:rPr>
          <w:rFonts w:cs="Times New Roman"/>
        </w:rPr>
        <w:t xml:space="preserve">[2005] 2 S.C.R. 601, </w:t>
      </w:r>
      <w:r w:rsidRPr="000770DC">
        <w:rPr>
          <w:rFonts w:cs="Times New Roman"/>
        </w:rPr>
        <w:t xml:space="preserve">at para. 53). Indeed, in agreeing to include the carve-out in the </w:t>
      </w:r>
      <w:r w:rsidRPr="000770DC">
        <w:rPr>
          <w:rFonts w:cs="Times New Roman"/>
          <w:i/>
        </w:rPr>
        <w:t>Treaty</w:t>
      </w:r>
      <w:r w:rsidRPr="000770DC">
        <w:rPr>
          <w:rFonts w:cs="Times New Roman"/>
        </w:rPr>
        <w:t>, Canada</w:t>
      </w:r>
      <w:r w:rsidRPr="000770DC">
        <w:rPr>
          <w:rFonts w:cs="Times New Roman"/>
          <w:i/>
        </w:rPr>
        <w:t xml:space="preserve"> </w:t>
      </w:r>
      <w:r w:rsidRPr="000770DC">
        <w:rPr>
          <w:rFonts w:cs="Times New Roman"/>
        </w:rPr>
        <w:t xml:space="preserve">sought to encourage investments </w:t>
      </w:r>
      <w:r>
        <w:rPr>
          <w:rFonts w:cs="Times New Roman"/>
        </w:rPr>
        <w:t>by</w:t>
      </w:r>
      <w:r w:rsidRPr="000770DC">
        <w:rPr>
          <w:rFonts w:cs="Times New Roman"/>
        </w:rPr>
        <w:t xml:space="preserve"> Luxembourg residents in business assets embodied in immovable property located in Canada (</w:t>
      </w:r>
      <w:r w:rsidRPr="00BD18D4">
        <w:rPr>
          <w:rFonts w:cs="Times New Roman"/>
        </w:rPr>
        <w:t>e.g.</w:t>
      </w:r>
      <w:r w:rsidRPr="000770DC">
        <w:rPr>
          <w:rFonts w:cs="Times New Roman"/>
          <w:i/>
        </w:rPr>
        <w:t xml:space="preserve"> </w:t>
      </w:r>
      <w:r w:rsidRPr="000770DC">
        <w:rPr>
          <w:rFonts w:cs="Times New Roman"/>
        </w:rPr>
        <w:t xml:space="preserve">mines, hotels, </w:t>
      </w:r>
      <w:r>
        <w:rPr>
          <w:rFonts w:cs="Times New Roman"/>
        </w:rPr>
        <w:t>or</w:t>
      </w:r>
      <w:r w:rsidRPr="000770DC">
        <w:rPr>
          <w:rFonts w:cs="Times New Roman"/>
        </w:rPr>
        <w:t xml:space="preserve"> oil shales) and to reap the ensuing economic benefits. This incentive was never intended to be limited to Luxembourg residents with “sufficient substantive economic connections” to Luxembourg. Internationally, residency </w:t>
      </w:r>
      <w:r>
        <w:rPr>
          <w:rFonts w:cs="Times New Roman"/>
        </w:rPr>
        <w:t xml:space="preserve">typically </w:t>
      </w:r>
      <w:r w:rsidRPr="000770DC">
        <w:rPr>
          <w:rFonts w:cs="Times New Roman"/>
        </w:rPr>
        <w:t>does not depend on the existence of such connections; formal criteria</w:t>
      </w:r>
      <w:r>
        <w:rPr>
          <w:rFonts w:cs="Times New Roman"/>
        </w:rPr>
        <w:t xml:space="preserve"> for residency are just as well </w:t>
      </w:r>
      <w:r w:rsidRPr="000770DC">
        <w:rPr>
          <w:rFonts w:cs="Times New Roman"/>
        </w:rPr>
        <w:t>accepted as factual criteria.</w:t>
      </w:r>
    </w:p>
    <w:p w14:paraId="1E71939C" w14:textId="77777777" w:rsidR="001346AE" w:rsidRPr="000770DC" w:rsidRDefault="001346AE" w:rsidP="001346AE">
      <w:pPr>
        <w:pStyle w:val="ParaNoNdepar-AltN"/>
        <w:rPr>
          <w:rFonts w:cs="Times New Roman"/>
        </w:rPr>
      </w:pPr>
      <w:r w:rsidRPr="000770DC">
        <w:rPr>
          <w:rFonts w:cs="Times New Roman"/>
        </w:rPr>
        <w:t xml:space="preserve">In this case, Alta Luxembourg </w:t>
      </w:r>
      <w:r>
        <w:rPr>
          <w:rFonts w:cs="Times New Roman"/>
        </w:rPr>
        <w:t>made</w:t>
      </w:r>
      <w:r w:rsidRPr="000770DC">
        <w:rPr>
          <w:rFonts w:cs="Times New Roman"/>
        </w:rPr>
        <w:t xml:space="preserve"> exactly </w:t>
      </w:r>
      <w:r>
        <w:rPr>
          <w:rFonts w:cs="Times New Roman"/>
        </w:rPr>
        <w:t>such an investment</w:t>
      </w:r>
      <w:r w:rsidRPr="000770DC">
        <w:rPr>
          <w:rFonts w:cs="Times New Roman"/>
        </w:rPr>
        <w:t>. It is a resident of Luxembourg and</w:t>
      </w:r>
      <w:r>
        <w:rPr>
          <w:rFonts w:cs="Times New Roman"/>
        </w:rPr>
        <w:t>,</w:t>
      </w:r>
      <w:r w:rsidRPr="000770DC">
        <w:rPr>
          <w:rFonts w:cs="Times New Roman"/>
        </w:rPr>
        <w:t xml:space="preserve"> as such, is exempt from Canadian taxes on the capital gain realized on the disposition of shares of </w:t>
      </w:r>
      <w:r>
        <w:rPr>
          <w:rFonts w:cs="Times New Roman"/>
        </w:rPr>
        <w:t>its</w:t>
      </w:r>
      <w:r w:rsidRPr="000770DC">
        <w:rPr>
          <w:rFonts w:cs="Times New Roman"/>
        </w:rPr>
        <w:t xml:space="preserve"> who</w:t>
      </w:r>
      <w:r>
        <w:rPr>
          <w:rFonts w:cs="Times New Roman"/>
        </w:rPr>
        <w:t>lly owned Canadian subsidiary.</w:t>
      </w:r>
    </w:p>
    <w:p w14:paraId="06389095" w14:textId="77777777" w:rsidR="001346AE" w:rsidRPr="000770DC" w:rsidRDefault="001346AE" w:rsidP="001346AE">
      <w:pPr>
        <w:pStyle w:val="ParaNoNdepar-AltN"/>
        <w:rPr>
          <w:rFonts w:cs="Times New Roman"/>
        </w:rPr>
      </w:pPr>
      <w:r w:rsidRPr="000770DC">
        <w:rPr>
          <w:rFonts w:cs="Times New Roman"/>
        </w:rPr>
        <w:lastRenderedPageBreak/>
        <w:t>In my respectful view, my colleagues Rowe and Martin JJ. under</w:t>
      </w:r>
      <w:r>
        <w:rPr>
          <w:rFonts w:cs="Times New Roman"/>
        </w:rPr>
        <w:t>take</w:t>
      </w:r>
      <w:r w:rsidRPr="000770DC">
        <w:rPr>
          <w:rFonts w:cs="Times New Roman"/>
        </w:rPr>
        <w:t xml:space="preserve"> their analysis as though the </w:t>
      </w:r>
      <w:r w:rsidRPr="0068592B">
        <w:rPr>
          <w:rFonts w:cs="Times New Roman"/>
          <w:i/>
        </w:rPr>
        <w:t xml:space="preserve">Treaty </w:t>
      </w:r>
      <w:r w:rsidRPr="000770DC">
        <w:rPr>
          <w:rFonts w:cs="Times New Roman"/>
        </w:rPr>
        <w:t xml:space="preserve">were a simple statute rather than </w:t>
      </w:r>
      <w:r>
        <w:rPr>
          <w:rFonts w:cs="Times New Roman"/>
        </w:rPr>
        <w:t xml:space="preserve">a </w:t>
      </w:r>
      <w:r w:rsidRPr="000770DC">
        <w:rPr>
          <w:rFonts w:cs="Times New Roman"/>
        </w:rPr>
        <w:t>freely negotiated bargain whose interpretation must reflect the intentions of the parties that drafted it. Canada understood that it was dealing with a low-tax jurisdiction, and</w:t>
      </w:r>
      <w:r>
        <w:rPr>
          <w:rFonts w:cs="Times New Roman"/>
        </w:rPr>
        <w:t>,</w:t>
      </w:r>
      <w:r w:rsidRPr="000770DC">
        <w:rPr>
          <w:rFonts w:cs="Times New Roman"/>
        </w:rPr>
        <w:t xml:space="preserve"> in recognition of this reality, it agreed to specific terms in the </w:t>
      </w:r>
      <w:r w:rsidRPr="00E017BC">
        <w:rPr>
          <w:rFonts w:cs="Times New Roman"/>
          <w:i/>
        </w:rPr>
        <w:t>Treaty</w:t>
      </w:r>
      <w:r>
        <w:rPr>
          <w:rFonts w:cs="Times New Roman"/>
        </w:rPr>
        <w:t>,</w:t>
      </w:r>
      <w:r w:rsidRPr="000770DC">
        <w:rPr>
          <w:rFonts w:cs="Times New Roman"/>
        </w:rPr>
        <w:t xml:space="preserve"> such as the business property exemption. In this way, Canada effectively agreed to give up its right to tax certain entities incorporated in Luxembourg in exchange for the jobs and economic opportunities that the business property exemption </w:t>
      </w:r>
      <w:r>
        <w:rPr>
          <w:rFonts w:cs="Times New Roman"/>
        </w:rPr>
        <w:t xml:space="preserve">would </w:t>
      </w:r>
      <w:r w:rsidRPr="000770DC">
        <w:rPr>
          <w:rFonts w:cs="Times New Roman"/>
        </w:rPr>
        <w:t>promote. This dec</w:t>
      </w:r>
      <w:r>
        <w:rPr>
          <w:rFonts w:cs="Times New Roman"/>
        </w:rPr>
        <w:t>ision can hardly be questioned.</w:t>
      </w:r>
    </w:p>
    <w:p w14:paraId="430F4D7D" w14:textId="77777777" w:rsidR="001346AE" w:rsidRPr="000770DC" w:rsidRDefault="001346AE" w:rsidP="001346AE">
      <w:pPr>
        <w:pStyle w:val="ParaNoNdepar-AltN"/>
        <w:rPr>
          <w:rFonts w:cs="Times New Roman"/>
        </w:rPr>
      </w:pPr>
      <w:r w:rsidRPr="000770DC">
        <w:rPr>
          <w:rFonts w:cs="Times New Roman"/>
        </w:rPr>
        <w:t xml:space="preserve">In raising the GAAR, Canada is now seeking to revisit its bargain </w:t>
      </w:r>
      <w:r>
        <w:rPr>
          <w:rFonts w:cs="Times New Roman"/>
        </w:rPr>
        <w:t>in order to secure</w:t>
      </w:r>
      <w:r w:rsidRPr="000770DC">
        <w:rPr>
          <w:rFonts w:cs="Times New Roman"/>
        </w:rPr>
        <w:t xml:space="preserve"> both foreign investments and tax revenues. But if the GAAR is to remain a robust tool, it cannot be used to judicially</w:t>
      </w:r>
      <w:r>
        <w:rPr>
          <w:rFonts w:cs="Times New Roman"/>
        </w:rPr>
        <w:t xml:space="preserve"> amend or renegotiate a treaty.</w:t>
      </w:r>
    </w:p>
    <w:p w14:paraId="3D1C9871" w14:textId="77777777" w:rsidR="001346AE" w:rsidRPr="000770DC" w:rsidRDefault="001346AE" w:rsidP="001346AE">
      <w:pPr>
        <w:pStyle w:val="ParaNoNdepar-AltN"/>
        <w:rPr>
          <w:rFonts w:cs="Times New Roman"/>
        </w:rPr>
      </w:pPr>
      <w:r w:rsidRPr="000770DC">
        <w:rPr>
          <w:rFonts w:cs="Times New Roman"/>
        </w:rPr>
        <w:t xml:space="preserve">For the reasons that follow, I agree with the courts below that the Minister has not discharged </w:t>
      </w:r>
      <w:r>
        <w:rPr>
          <w:rFonts w:cs="Times New Roman"/>
        </w:rPr>
        <w:t>her</w:t>
      </w:r>
      <w:r w:rsidRPr="000770DC">
        <w:rPr>
          <w:rFonts w:cs="Times New Roman"/>
        </w:rPr>
        <w:t xml:space="preserve"> burden </w:t>
      </w:r>
      <w:r>
        <w:rPr>
          <w:rFonts w:cs="Times New Roman"/>
        </w:rPr>
        <w:t>of proving</w:t>
      </w:r>
      <w:r w:rsidRPr="000770DC">
        <w:rPr>
          <w:rFonts w:cs="Times New Roman"/>
        </w:rPr>
        <w:t xml:space="preserve"> abusive tax avoidance. Therefore, I would dismiss the appeal.</w:t>
      </w:r>
    </w:p>
    <w:p w14:paraId="0D10ED56" w14:textId="77777777" w:rsidR="001346AE" w:rsidRPr="000770DC" w:rsidRDefault="001346AE" w:rsidP="001346AE">
      <w:pPr>
        <w:pStyle w:val="Title1LevelTitre1Niveau-AltL"/>
        <w:rPr>
          <w:rFonts w:cs="Times New Roman"/>
        </w:rPr>
      </w:pPr>
      <w:bookmarkStart w:id="3" w:name="_Toc77170372"/>
      <w:bookmarkStart w:id="4" w:name="_Toc77229372"/>
      <w:bookmarkStart w:id="5" w:name="_Toc78040583"/>
      <w:r w:rsidRPr="000770DC">
        <w:rPr>
          <w:rFonts w:cs="Times New Roman"/>
        </w:rPr>
        <w:t>Background</w:t>
      </w:r>
      <w:bookmarkEnd w:id="3"/>
      <w:bookmarkEnd w:id="4"/>
      <w:bookmarkEnd w:id="5"/>
    </w:p>
    <w:p w14:paraId="5D6DBE41" w14:textId="77777777" w:rsidR="001346AE" w:rsidRPr="000770DC" w:rsidRDefault="001346AE" w:rsidP="001346AE">
      <w:pPr>
        <w:pStyle w:val="ParaNoNdepar-AltN"/>
        <w:rPr>
          <w:rFonts w:cs="Times New Roman"/>
        </w:rPr>
      </w:pPr>
      <w:r>
        <w:rPr>
          <w:rFonts w:cs="Times New Roman"/>
        </w:rPr>
        <w:t>In April </w:t>
      </w:r>
      <w:r w:rsidRPr="000770DC">
        <w:rPr>
          <w:rFonts w:cs="Times New Roman"/>
        </w:rPr>
        <w:t>2011, Alta Resources LLC, a Texas-based oil and gas firm</w:t>
      </w:r>
      <w:r>
        <w:rPr>
          <w:rFonts w:cs="Times New Roman"/>
        </w:rPr>
        <w:t>,</w:t>
      </w:r>
      <w:r w:rsidRPr="000770DC">
        <w:rPr>
          <w:rFonts w:cs="Times New Roman"/>
        </w:rPr>
        <w:t xml:space="preserve"> and Blackstone Group LP (“Blackstone”), a New York-based private equity firm, founded Alta Energy Partners, LLC, a Delawa</w:t>
      </w:r>
      <w:r>
        <w:rPr>
          <w:rFonts w:cs="Times New Roman"/>
        </w:rPr>
        <w:t>re limited liability company</w:t>
      </w:r>
      <w:r w:rsidRPr="000770DC">
        <w:rPr>
          <w:rFonts w:cs="Times New Roman"/>
        </w:rPr>
        <w:t xml:space="preserve">, for the purpose of acquiring and developing unconventional oil and natural gas properties in North </w:t>
      </w:r>
      <w:r w:rsidRPr="000770DC">
        <w:rPr>
          <w:rFonts w:cs="Times New Roman"/>
        </w:rPr>
        <w:lastRenderedPageBreak/>
        <w:t>America. One such property was the Duvernay shale formation in northwestern Alberta. Alta Energy Partners Canada Ltd. (“Alta Canada”), a wholly owned Canadian subsidiary of the Delaware limited liability co</w:t>
      </w:r>
      <w:r>
        <w:rPr>
          <w:rFonts w:cs="Times New Roman"/>
        </w:rPr>
        <w:t>mpany</w:t>
      </w:r>
      <w:r w:rsidRPr="000770DC">
        <w:rPr>
          <w:rFonts w:cs="Times New Roman"/>
        </w:rPr>
        <w:t>, was incorporated in order to carry on that business. Alta Canada invested almost $300 million in its Canadian business through its acquisition of the oil and natural gas drill and recovery rights in certain lands in Alberta.</w:t>
      </w:r>
    </w:p>
    <w:p w14:paraId="56289E6D" w14:textId="77777777" w:rsidR="001346AE" w:rsidRPr="000770DC" w:rsidRDefault="001346AE" w:rsidP="001346AE">
      <w:pPr>
        <w:pStyle w:val="ParaNoNdepar-AltN"/>
        <w:rPr>
          <w:rFonts w:cs="Times New Roman"/>
        </w:rPr>
      </w:pPr>
      <w:r w:rsidRPr="000770DC">
        <w:rPr>
          <w:rFonts w:cs="Times New Roman"/>
        </w:rPr>
        <w:t xml:space="preserve">A restructuring of Alta Canada was undertaken in 2012. As part of the restructuring, Alta Luxembourg was incorporated under the laws of Luxembourg to hold </w:t>
      </w:r>
      <w:r>
        <w:rPr>
          <w:rFonts w:cs="Times New Roman"/>
        </w:rPr>
        <w:t>interest</w:t>
      </w:r>
      <w:r w:rsidRPr="000770DC">
        <w:rPr>
          <w:rFonts w:cs="Times New Roman"/>
        </w:rPr>
        <w:t xml:space="preserve">s in Luxembourg and foreign companies. Prior to the restructuring, Blackstone’s counsel obtained a ruling from the Luxembourg tax authorities that the restructuring was in compliance with tax legislation and administrative policies in </w:t>
      </w:r>
      <w:r>
        <w:rPr>
          <w:rFonts w:cs="Times New Roman"/>
        </w:rPr>
        <w:t>Luxembourg</w:t>
      </w:r>
      <w:r w:rsidRPr="000770DC">
        <w:rPr>
          <w:rFonts w:cs="Times New Roman"/>
        </w:rPr>
        <w:t>. The shares of Alta Luxembourg were issued to a new Canadian partnership formed in Alberta, Alta Energy Canada Partnership (“Partnership”). On the same day, the Delaware limited liability co</w:t>
      </w:r>
      <w:r>
        <w:rPr>
          <w:rFonts w:cs="Times New Roman"/>
        </w:rPr>
        <w:t>mpany</w:t>
      </w:r>
      <w:r w:rsidRPr="000770DC">
        <w:rPr>
          <w:rFonts w:cs="Times New Roman"/>
        </w:rPr>
        <w:t xml:space="preserve"> sold all of its shares of Alta Canada to Alta Luxembourg. This was a taxable transaction in Canada under the </w:t>
      </w:r>
      <w:r w:rsidRPr="000770DC">
        <w:rPr>
          <w:rFonts w:cs="Times New Roman"/>
          <w:i/>
        </w:rPr>
        <w:t>Act</w:t>
      </w:r>
      <w:r w:rsidRPr="000770DC">
        <w:rPr>
          <w:rFonts w:cs="Times New Roman"/>
        </w:rPr>
        <w:t>,</w:t>
      </w:r>
      <w:r w:rsidRPr="000770DC">
        <w:rPr>
          <w:rFonts w:cs="Times New Roman"/>
          <w:i/>
        </w:rPr>
        <w:t xml:space="preserve"> </w:t>
      </w:r>
      <w:r w:rsidRPr="000770DC">
        <w:rPr>
          <w:rFonts w:cs="Times New Roman"/>
        </w:rPr>
        <w:t>as more than 5</w:t>
      </w:r>
      <w:r>
        <w:rPr>
          <w:rFonts w:cs="Times New Roman"/>
        </w:rPr>
        <w:t>0 percent</w:t>
      </w:r>
      <w:r w:rsidRPr="000770DC">
        <w:rPr>
          <w:rFonts w:cs="Times New Roman"/>
        </w:rPr>
        <w:t xml:space="preserve"> of the value </w:t>
      </w:r>
      <w:r>
        <w:rPr>
          <w:rFonts w:cs="Times New Roman"/>
        </w:rPr>
        <w:t xml:space="preserve">of the shares </w:t>
      </w:r>
      <w:r w:rsidRPr="000770DC">
        <w:rPr>
          <w:rFonts w:cs="Times New Roman"/>
        </w:rPr>
        <w:t>was derived fro</w:t>
      </w:r>
      <w:r>
        <w:rPr>
          <w:rFonts w:cs="Times New Roman"/>
        </w:rPr>
        <w:t>m Canadian resource properties.</w:t>
      </w:r>
    </w:p>
    <w:p w14:paraId="6F529B21" w14:textId="77777777" w:rsidR="001346AE" w:rsidRPr="000770DC" w:rsidRDefault="001346AE" w:rsidP="001346AE">
      <w:pPr>
        <w:pStyle w:val="ParaNoNdepar-AltN"/>
        <w:rPr>
          <w:rFonts w:cs="Times New Roman"/>
        </w:rPr>
      </w:pPr>
      <w:r>
        <w:rPr>
          <w:rFonts w:cs="Times New Roman"/>
        </w:rPr>
        <w:t>In August </w:t>
      </w:r>
      <w:r w:rsidRPr="000770DC">
        <w:rPr>
          <w:rFonts w:cs="Times New Roman"/>
        </w:rPr>
        <w:t>2013, Alta Luxembourg agreed to sell its shares of Alta Canada to Chevron Canada Ltd. When the sale closed on September 10, 2013</w:t>
      </w:r>
      <w:r>
        <w:rPr>
          <w:rFonts w:cs="Times New Roman"/>
        </w:rPr>
        <w:t>,</w:t>
      </w:r>
      <w:r w:rsidRPr="000770DC">
        <w:rPr>
          <w:rFonts w:cs="Times New Roman"/>
        </w:rPr>
        <w:t xml:space="preserve"> for $679,712,251.45, Alta Luxembourg realized a capital gain in excess of $380</w:t>
      </w:r>
      <w:r>
        <w:rPr>
          <w:rFonts w:cs="Times New Roman"/>
        </w:rPr>
        <w:t> </w:t>
      </w:r>
      <w:r w:rsidRPr="000770DC">
        <w:rPr>
          <w:rFonts w:cs="Times New Roman"/>
        </w:rPr>
        <w:t>million on the disposition.</w:t>
      </w:r>
      <w:r>
        <w:rPr>
          <w:rFonts w:cs="Times New Roman"/>
        </w:rPr>
        <w:t xml:space="preserve"> Pursuant to a d</w:t>
      </w:r>
      <w:r w:rsidRPr="000770DC">
        <w:rPr>
          <w:rFonts w:cs="Times New Roman"/>
        </w:rPr>
        <w:t xml:space="preserve">irection to </w:t>
      </w:r>
      <w:r>
        <w:rPr>
          <w:rFonts w:cs="Times New Roman"/>
        </w:rPr>
        <w:t>p</w:t>
      </w:r>
      <w:r w:rsidRPr="000770DC">
        <w:rPr>
          <w:rFonts w:cs="Times New Roman"/>
        </w:rPr>
        <w:t xml:space="preserve">ay, Alta Luxembourg directed its proceeds </w:t>
      </w:r>
      <w:r>
        <w:rPr>
          <w:rFonts w:cs="Times New Roman"/>
        </w:rPr>
        <w:t>from</w:t>
      </w:r>
      <w:r w:rsidRPr="000770DC">
        <w:rPr>
          <w:rFonts w:cs="Times New Roman"/>
        </w:rPr>
        <w:t xml:space="preserve"> the sale (less an amount paid to the Minister) to the Partnership. In </w:t>
      </w:r>
      <w:r w:rsidRPr="000770DC">
        <w:rPr>
          <w:rFonts w:cs="Times New Roman"/>
        </w:rPr>
        <w:lastRenderedPageBreak/>
        <w:t>exchange, the Partnership issued promissory notes to Alta Luxembourg</w:t>
      </w:r>
      <w:r>
        <w:rPr>
          <w:rFonts w:cs="Times New Roman"/>
        </w:rPr>
        <w:t>,</w:t>
      </w:r>
      <w:r w:rsidRPr="000770DC">
        <w:rPr>
          <w:rFonts w:cs="Times New Roman"/>
        </w:rPr>
        <w:t xml:space="preserve"> which were set off, in part, by an existing interest-free loan and </w:t>
      </w:r>
      <w:r>
        <w:rPr>
          <w:rFonts w:cs="Times New Roman"/>
        </w:rPr>
        <w:t>profit</w:t>
      </w:r>
      <w:r>
        <w:rPr>
          <w:rFonts w:cs="Times New Roman"/>
        </w:rPr>
        <w:noBreakHyphen/>
      </w:r>
      <w:r w:rsidRPr="000770DC">
        <w:rPr>
          <w:rFonts w:cs="Times New Roman"/>
        </w:rPr>
        <w:t>participating loan. In other words, Alta Luxembourg did not receive any of the sale proceeds. Following the disposition of its shares of Alta Canada, Alta Luxembourg did not conduct any other business or hold any other investments</w:t>
      </w:r>
      <w:r>
        <w:rPr>
          <w:rFonts w:cs="Times New Roman"/>
        </w:rPr>
        <w:t>.</w:t>
      </w:r>
    </w:p>
    <w:p w14:paraId="4F163188" w14:textId="77777777" w:rsidR="001346AE" w:rsidRPr="000770DC" w:rsidRDefault="001346AE" w:rsidP="001346AE">
      <w:pPr>
        <w:pStyle w:val="ParaNoNdepar-AltN"/>
        <w:rPr>
          <w:rFonts w:cs="Times New Roman"/>
        </w:rPr>
      </w:pPr>
      <w:r w:rsidRPr="000770DC">
        <w:rPr>
          <w:rFonts w:cs="Times New Roman"/>
        </w:rPr>
        <w:t xml:space="preserve">All tax was reported. Alta Luxembourg’s capital gain was reported to the Luxembourg tax authorities and was subject to full taxation by </w:t>
      </w:r>
      <w:r>
        <w:rPr>
          <w:rFonts w:cs="Times New Roman"/>
        </w:rPr>
        <w:t>them</w:t>
      </w:r>
      <w:r w:rsidRPr="000770DC">
        <w:rPr>
          <w:rFonts w:cs="Times New Roman"/>
        </w:rPr>
        <w:t xml:space="preserve"> under their domestic laws</w:t>
      </w:r>
      <w:r>
        <w:rPr>
          <w:rFonts w:cs="Times New Roman"/>
        </w:rPr>
        <w:t>.</w:t>
      </w:r>
    </w:p>
    <w:p w14:paraId="217701A7" w14:textId="77777777" w:rsidR="001346AE" w:rsidRPr="000770DC" w:rsidRDefault="001346AE" w:rsidP="001346AE">
      <w:pPr>
        <w:pStyle w:val="ParaNoNdepar-AltN"/>
        <w:rPr>
          <w:rFonts w:cs="Times New Roman"/>
        </w:rPr>
      </w:pPr>
      <w:r>
        <w:rPr>
          <w:rFonts w:cs="Times New Roman"/>
        </w:rPr>
        <w:t>In its</w:t>
      </w:r>
      <w:r w:rsidRPr="000770DC">
        <w:rPr>
          <w:rFonts w:cs="Times New Roman"/>
        </w:rPr>
        <w:t xml:space="preserve"> Canadian tax return filed for the 2013 taxation year, Alta Luxembourg claimed an exemption from Canadian tax on the basis that the gain was not included in its “taxable incom</w:t>
      </w:r>
      <w:r>
        <w:rPr>
          <w:rFonts w:cs="Times New Roman"/>
        </w:rPr>
        <w:t>e earned in Canada” under s</w:t>
      </w:r>
      <w:r w:rsidRPr="000770DC">
        <w:rPr>
          <w:rFonts w:cs="Times New Roman"/>
        </w:rPr>
        <w:t xml:space="preserve">. 115(1)(b) of the </w:t>
      </w:r>
      <w:r w:rsidRPr="000770DC">
        <w:rPr>
          <w:rFonts w:cs="Times New Roman"/>
          <w:i/>
        </w:rPr>
        <w:t xml:space="preserve">Act </w:t>
      </w:r>
      <w:r w:rsidRPr="000770DC">
        <w:rPr>
          <w:rFonts w:cs="Times New Roman"/>
        </w:rPr>
        <w:t>because the shares were “treaty-protected property”</w:t>
      </w:r>
      <w:r>
        <w:rPr>
          <w:rFonts w:cs="Times New Roman"/>
        </w:rPr>
        <w:t xml:space="preserve"> under</w:t>
      </w:r>
      <w:r w:rsidRPr="000770DC">
        <w:rPr>
          <w:rFonts w:cs="Times New Roman"/>
        </w:rPr>
        <w:t xml:space="preserve"> </w:t>
      </w:r>
      <w:r>
        <w:rPr>
          <w:rFonts w:cs="Times New Roman"/>
        </w:rPr>
        <w:t>a</w:t>
      </w:r>
      <w:r w:rsidRPr="000770DC">
        <w:rPr>
          <w:rFonts w:cs="Times New Roman"/>
        </w:rPr>
        <w:t xml:space="preserve">rt. 13(4) and (5) of the </w:t>
      </w:r>
      <w:r w:rsidRPr="000770DC">
        <w:rPr>
          <w:rFonts w:cs="Times New Roman"/>
          <w:i/>
        </w:rPr>
        <w:t>Treaty</w:t>
      </w:r>
      <w:r w:rsidRPr="000770DC">
        <w:rPr>
          <w:rFonts w:cs="Times New Roman"/>
        </w:rPr>
        <w:t xml:space="preserve">. These provisions </w:t>
      </w:r>
      <w:r>
        <w:rPr>
          <w:rFonts w:cs="Times New Roman"/>
        </w:rPr>
        <w:t>create a carve</w:t>
      </w:r>
      <w:r>
        <w:rPr>
          <w:rFonts w:cs="Times New Roman"/>
        </w:rPr>
        <w:noBreakHyphen/>
        <w:t>out for</w:t>
      </w:r>
      <w:r w:rsidRPr="000770DC">
        <w:rPr>
          <w:rFonts w:cs="Times New Roman"/>
        </w:rPr>
        <w:t xml:space="preserve"> residents of Luxembourg from Canadian tax arising from a capital gain on the alienation of “shares . . . the value of which . . . is derived principally </w:t>
      </w:r>
      <w:r w:rsidRPr="000770DC">
        <w:rPr>
          <w:rFonts w:cs="Times New Roman"/>
          <w:lang w:val="en-US"/>
        </w:rPr>
        <w:t>from immovable property situated in</w:t>
      </w:r>
      <w:r w:rsidRPr="000770DC">
        <w:rPr>
          <w:rFonts w:cs="Times New Roman"/>
        </w:rPr>
        <w:t xml:space="preserve"> [Canada]” and “</w:t>
      </w:r>
      <w:r w:rsidRPr="000770DC">
        <w:rPr>
          <w:rFonts w:cs="Times New Roman"/>
          <w:lang w:val="en-US"/>
        </w:rPr>
        <w:t>in which the business of the company . . . was carried on</w:t>
      </w:r>
      <w:r>
        <w:rPr>
          <w:rFonts w:cs="Times New Roman"/>
        </w:rPr>
        <w:t>” (a</w:t>
      </w:r>
      <w:r w:rsidRPr="000770DC">
        <w:rPr>
          <w:rFonts w:cs="Times New Roman"/>
        </w:rPr>
        <w:t xml:space="preserve">rt. 13(4) of the </w:t>
      </w:r>
      <w:r w:rsidRPr="000770DC">
        <w:rPr>
          <w:rFonts w:cs="Times New Roman"/>
          <w:i/>
        </w:rPr>
        <w:t>Treaty</w:t>
      </w:r>
      <w:r w:rsidRPr="000770DC">
        <w:rPr>
          <w:rFonts w:cs="Times New Roman"/>
        </w:rPr>
        <w:t>).</w:t>
      </w:r>
    </w:p>
    <w:p w14:paraId="6D8735F0" w14:textId="77777777" w:rsidR="001346AE" w:rsidRPr="000770DC" w:rsidRDefault="001346AE" w:rsidP="001346AE">
      <w:pPr>
        <w:pStyle w:val="ParaNoNdepar-AltN"/>
        <w:rPr>
          <w:rFonts w:cs="Times New Roman"/>
        </w:rPr>
      </w:pPr>
      <w:r w:rsidRPr="000770DC">
        <w:rPr>
          <w:rFonts w:cs="Times New Roman"/>
        </w:rPr>
        <w:t>The Minister denied the treaty exemption, and Alta Luxembourg appealed to the Tax Court</w:t>
      </w:r>
      <w:r>
        <w:rPr>
          <w:rFonts w:cs="Times New Roman"/>
        </w:rPr>
        <w:t xml:space="preserve"> of Canada</w:t>
      </w:r>
      <w:r w:rsidRPr="000770DC">
        <w:rPr>
          <w:rFonts w:cs="Times New Roman"/>
        </w:rPr>
        <w:t>.</w:t>
      </w:r>
    </w:p>
    <w:p w14:paraId="772D22F5" w14:textId="77777777" w:rsidR="001346AE" w:rsidRPr="000770DC" w:rsidRDefault="001346AE" w:rsidP="001346AE">
      <w:pPr>
        <w:pStyle w:val="ParaNoNdepar-AltN"/>
        <w:rPr>
          <w:rFonts w:cs="Times New Roman"/>
        </w:rPr>
      </w:pPr>
      <w:r w:rsidRPr="000770DC">
        <w:rPr>
          <w:rFonts w:cs="Times New Roman"/>
        </w:rPr>
        <w:t xml:space="preserve">In their lengthy Statement of Agreed Facts, the parties make important concessions. First and foremost, the Minister agrees that Alta Luxembourg is a resident </w:t>
      </w:r>
      <w:r w:rsidRPr="000770DC">
        <w:rPr>
          <w:rFonts w:cs="Times New Roman"/>
        </w:rPr>
        <w:lastRenderedPageBreak/>
        <w:t xml:space="preserve">of Luxembourg for the purposes of the </w:t>
      </w:r>
      <w:r w:rsidRPr="000770DC">
        <w:rPr>
          <w:rFonts w:cs="Times New Roman"/>
          <w:i/>
        </w:rPr>
        <w:t>Treaty</w:t>
      </w:r>
      <w:r w:rsidRPr="000770DC">
        <w:rPr>
          <w:rFonts w:cs="Times New Roman"/>
        </w:rPr>
        <w:t xml:space="preserve">. The Minister </w:t>
      </w:r>
      <w:r>
        <w:rPr>
          <w:rFonts w:cs="Times New Roman"/>
        </w:rPr>
        <w:t>and Alta Luxembourg also agree that Alta Canada wa</w:t>
      </w:r>
      <w:r w:rsidRPr="000770DC">
        <w:rPr>
          <w:rFonts w:cs="Times New Roman"/>
        </w:rPr>
        <w:t xml:space="preserve">s a “principal business corporation” pursuant to s. 66(15) of the </w:t>
      </w:r>
      <w:r w:rsidRPr="000770DC">
        <w:rPr>
          <w:rFonts w:cs="Times New Roman"/>
          <w:i/>
        </w:rPr>
        <w:t>Act</w:t>
      </w:r>
      <w:r>
        <w:rPr>
          <w:rFonts w:cs="Times New Roman"/>
        </w:rPr>
        <w:t>,</w:t>
      </w:r>
      <w:r w:rsidRPr="000770DC">
        <w:rPr>
          <w:rFonts w:cs="Times New Roman"/>
          <w:i/>
        </w:rPr>
        <w:t xml:space="preserve"> </w:t>
      </w:r>
      <w:r w:rsidRPr="000770DC">
        <w:rPr>
          <w:rFonts w:cs="Times New Roman"/>
        </w:rPr>
        <w:t xml:space="preserve">that its shares </w:t>
      </w:r>
      <w:r>
        <w:rPr>
          <w:rFonts w:cs="Times New Roman"/>
        </w:rPr>
        <w:t>were</w:t>
      </w:r>
      <w:r w:rsidRPr="000770DC">
        <w:rPr>
          <w:rFonts w:cs="Times New Roman"/>
        </w:rPr>
        <w:t xml:space="preserve"> taxable Canadian property within the meaning of s. 248(1) of the </w:t>
      </w:r>
      <w:r>
        <w:rPr>
          <w:rFonts w:cs="Times New Roman"/>
          <w:i/>
        </w:rPr>
        <w:t>Act</w:t>
      </w:r>
      <w:r w:rsidRPr="000770DC">
        <w:rPr>
          <w:rFonts w:cs="Times New Roman"/>
        </w:rPr>
        <w:t xml:space="preserve"> </w:t>
      </w:r>
      <w:r>
        <w:rPr>
          <w:rFonts w:cs="Times New Roman"/>
        </w:rPr>
        <w:t>and</w:t>
      </w:r>
      <w:r w:rsidRPr="000770DC">
        <w:rPr>
          <w:rFonts w:cs="Times New Roman"/>
        </w:rPr>
        <w:t xml:space="preserve"> that the series of </w:t>
      </w:r>
      <w:r>
        <w:rPr>
          <w:rFonts w:cs="Times New Roman"/>
        </w:rPr>
        <w:t xml:space="preserve">restructuring </w:t>
      </w:r>
      <w:r w:rsidRPr="000770DC">
        <w:rPr>
          <w:rFonts w:cs="Times New Roman"/>
        </w:rPr>
        <w:t xml:space="preserve">transactions and the sale of the shares of Alta Canada to Chevron </w:t>
      </w:r>
      <w:r>
        <w:rPr>
          <w:rFonts w:cs="Times New Roman"/>
        </w:rPr>
        <w:t>were</w:t>
      </w:r>
      <w:r w:rsidRPr="000770DC">
        <w:rPr>
          <w:rFonts w:cs="Times New Roman"/>
        </w:rPr>
        <w:t xml:space="preserve"> an “avoidance transaction” as defined in s. 2</w:t>
      </w:r>
      <w:r>
        <w:rPr>
          <w:rFonts w:cs="Times New Roman"/>
        </w:rPr>
        <w:t>4</w:t>
      </w:r>
      <w:r w:rsidRPr="000770DC">
        <w:rPr>
          <w:rFonts w:cs="Times New Roman"/>
        </w:rPr>
        <w:t xml:space="preserve">5(3) of the </w:t>
      </w:r>
      <w:r>
        <w:rPr>
          <w:rFonts w:cs="Times New Roman"/>
          <w:i/>
        </w:rPr>
        <w:t>Act</w:t>
      </w:r>
      <w:r>
        <w:rPr>
          <w:rFonts w:cs="Times New Roman"/>
        </w:rPr>
        <w:t>.</w:t>
      </w:r>
    </w:p>
    <w:p w14:paraId="19A30B11" w14:textId="77777777" w:rsidR="001346AE" w:rsidRPr="000770DC" w:rsidRDefault="001346AE" w:rsidP="001346AE">
      <w:pPr>
        <w:pStyle w:val="Title1LevelTitre1Niveau-AltL"/>
        <w:rPr>
          <w:rFonts w:cs="Times New Roman"/>
        </w:rPr>
      </w:pPr>
      <w:bookmarkStart w:id="6" w:name="_Toc77170373"/>
      <w:bookmarkStart w:id="7" w:name="_Toc77229373"/>
      <w:bookmarkStart w:id="8" w:name="_Toc78040584"/>
      <w:r w:rsidRPr="000770DC">
        <w:rPr>
          <w:rFonts w:cs="Times New Roman"/>
        </w:rPr>
        <w:t>Judicial History</w:t>
      </w:r>
      <w:bookmarkEnd w:id="6"/>
      <w:bookmarkEnd w:id="7"/>
      <w:bookmarkEnd w:id="8"/>
    </w:p>
    <w:p w14:paraId="1EEC3A9C" w14:textId="77777777" w:rsidR="001346AE" w:rsidRPr="000770DC" w:rsidRDefault="001346AE" w:rsidP="001346AE">
      <w:pPr>
        <w:pStyle w:val="Title2LevelTitre2Niveau"/>
        <w:rPr>
          <w:rFonts w:cs="Times New Roman"/>
        </w:rPr>
      </w:pPr>
      <w:bookmarkStart w:id="9" w:name="_Toc77170374"/>
      <w:bookmarkStart w:id="10" w:name="_Toc77229374"/>
      <w:bookmarkStart w:id="11" w:name="_Toc78040585"/>
      <w:r w:rsidRPr="000770DC">
        <w:rPr>
          <w:rFonts w:cs="Times New Roman"/>
        </w:rPr>
        <w:t>Tax Court of Canada</w:t>
      </w:r>
      <w:bookmarkEnd w:id="9"/>
      <w:bookmarkEnd w:id="10"/>
      <w:bookmarkEnd w:id="11"/>
      <w:r>
        <w:rPr>
          <w:rFonts w:cs="Times New Roman"/>
        </w:rPr>
        <w:t>, 2018 TCC 152, [2019] 5 C.T.C. 2183 (Hogan J.)</w:t>
      </w:r>
    </w:p>
    <w:p w14:paraId="67912552" w14:textId="77777777" w:rsidR="001346AE" w:rsidRPr="000770DC" w:rsidRDefault="001346AE" w:rsidP="001346AE">
      <w:pPr>
        <w:pStyle w:val="ParaNoNdepar-AltN"/>
        <w:rPr>
          <w:rFonts w:cs="Times New Roman"/>
        </w:rPr>
      </w:pPr>
      <w:r>
        <w:rPr>
          <w:rFonts w:cs="Times New Roman"/>
        </w:rPr>
        <w:t>Before</w:t>
      </w:r>
      <w:r w:rsidRPr="000770DC">
        <w:rPr>
          <w:rFonts w:cs="Times New Roman"/>
        </w:rPr>
        <w:t xml:space="preserve"> the Tax Court, the Minister raised two arguments. First, the Minister argued that Alta Canada did not carry on business in the </w:t>
      </w:r>
      <w:r>
        <w:rPr>
          <w:rFonts w:cs="Times New Roman"/>
        </w:rPr>
        <w:t>immovable</w:t>
      </w:r>
      <w:r w:rsidRPr="000770DC">
        <w:rPr>
          <w:rFonts w:cs="Times New Roman"/>
        </w:rPr>
        <w:t xml:space="preserve"> property </w:t>
      </w:r>
      <w:r>
        <w:rPr>
          <w:rFonts w:cs="Times New Roman"/>
        </w:rPr>
        <w:t xml:space="preserve">in question, </w:t>
      </w:r>
      <w:r w:rsidRPr="000770DC">
        <w:rPr>
          <w:rFonts w:cs="Times New Roman"/>
        </w:rPr>
        <w:t xml:space="preserve">such that the business property exemption in </w:t>
      </w:r>
      <w:r>
        <w:rPr>
          <w:rFonts w:cs="Times New Roman"/>
        </w:rPr>
        <w:t>a</w:t>
      </w:r>
      <w:r w:rsidRPr="000770DC">
        <w:rPr>
          <w:rFonts w:cs="Times New Roman"/>
        </w:rPr>
        <w:t xml:space="preserve">rt. 13(4) of the </w:t>
      </w:r>
      <w:r w:rsidRPr="000770DC">
        <w:rPr>
          <w:rFonts w:cs="Times New Roman"/>
          <w:i/>
        </w:rPr>
        <w:t>Treaty</w:t>
      </w:r>
      <w:r w:rsidRPr="000770DC">
        <w:rPr>
          <w:rFonts w:cs="Times New Roman"/>
        </w:rPr>
        <w:t xml:space="preserve"> did not apply. In the alternative, if the shares did qualify as treaty-protected property, the Minister argued </w:t>
      </w:r>
      <w:r>
        <w:rPr>
          <w:rFonts w:cs="Times New Roman"/>
        </w:rPr>
        <w:t>that the GAAR should apply.</w:t>
      </w:r>
    </w:p>
    <w:p w14:paraId="4651B2E6" w14:textId="77777777" w:rsidR="001346AE" w:rsidRPr="000770DC" w:rsidRDefault="001346AE" w:rsidP="001346AE">
      <w:pPr>
        <w:pStyle w:val="ParaNoNdepar-AltN"/>
        <w:rPr>
          <w:rFonts w:cs="Times New Roman"/>
        </w:rPr>
      </w:pPr>
      <w:r w:rsidRPr="000770DC">
        <w:rPr>
          <w:rFonts w:cs="Times New Roman"/>
        </w:rPr>
        <w:t>Hogan</w:t>
      </w:r>
      <w:r>
        <w:rPr>
          <w:rFonts w:cs="Times New Roman"/>
        </w:rPr>
        <w:t> </w:t>
      </w:r>
      <w:r w:rsidRPr="000770DC">
        <w:rPr>
          <w:rFonts w:cs="Times New Roman"/>
        </w:rPr>
        <w:t xml:space="preserve">J. found that Alta Canada carried on business in the immovable property; therefore, the carve-out in </w:t>
      </w:r>
      <w:r>
        <w:rPr>
          <w:rFonts w:cs="Times New Roman"/>
        </w:rPr>
        <w:t>a</w:t>
      </w:r>
      <w:r w:rsidRPr="000770DC">
        <w:rPr>
          <w:rFonts w:cs="Times New Roman"/>
        </w:rPr>
        <w:t xml:space="preserve">rt. 13(4) applied, and Alta Canada’s shares were treaty-protected property for the purposes of the </w:t>
      </w:r>
      <w:r w:rsidRPr="000770DC">
        <w:rPr>
          <w:rFonts w:cs="Times New Roman"/>
          <w:i/>
        </w:rPr>
        <w:t>Act</w:t>
      </w:r>
      <w:r w:rsidRPr="000770DC">
        <w:rPr>
          <w:rFonts w:cs="Times New Roman"/>
        </w:rPr>
        <w:t xml:space="preserve">. With respect to the GAAR, the parties agreed that the restructuring was an avoidance transaction that resulted in a tax benefit. Thus, the Tax Court had to determine if the GAAR applied, </w:t>
      </w:r>
      <w:r>
        <w:rPr>
          <w:rFonts w:cs="Times New Roman"/>
        </w:rPr>
        <w:t>that is,</w:t>
      </w:r>
      <w:r w:rsidRPr="000770DC">
        <w:rPr>
          <w:rFonts w:cs="Times New Roman"/>
        </w:rPr>
        <w:t xml:space="preserve"> whether the avoidance transaction resulted in a misuse or abuse of the provisions of </w:t>
      </w:r>
      <w:r>
        <w:rPr>
          <w:rFonts w:cs="Times New Roman"/>
        </w:rPr>
        <w:t xml:space="preserve">the </w:t>
      </w:r>
      <w:r w:rsidRPr="008F62F2">
        <w:rPr>
          <w:rFonts w:cs="Times New Roman"/>
          <w:i/>
        </w:rPr>
        <w:t>Act</w:t>
      </w:r>
      <w:r>
        <w:rPr>
          <w:rFonts w:cs="Times New Roman"/>
        </w:rPr>
        <w:t xml:space="preserve"> or </w:t>
      </w:r>
      <w:r w:rsidRPr="000770DC">
        <w:rPr>
          <w:rFonts w:cs="Times New Roman"/>
        </w:rPr>
        <w:t xml:space="preserve">the </w:t>
      </w:r>
      <w:r w:rsidRPr="000770DC">
        <w:rPr>
          <w:rFonts w:cs="Times New Roman"/>
          <w:i/>
        </w:rPr>
        <w:t>Treaty</w:t>
      </w:r>
      <w:r w:rsidRPr="000770DC">
        <w:rPr>
          <w:rFonts w:cs="Times New Roman"/>
        </w:rPr>
        <w:t>.</w:t>
      </w:r>
    </w:p>
    <w:p w14:paraId="474901EA" w14:textId="77777777" w:rsidR="001346AE" w:rsidRPr="000770DC" w:rsidRDefault="001346AE" w:rsidP="001346AE">
      <w:pPr>
        <w:pStyle w:val="ParaNoNdepar-AltN"/>
        <w:rPr>
          <w:rFonts w:cs="Times New Roman"/>
        </w:rPr>
      </w:pPr>
      <w:r w:rsidRPr="000770DC">
        <w:rPr>
          <w:rFonts w:cs="Times New Roman"/>
        </w:rPr>
        <w:lastRenderedPageBreak/>
        <w:t xml:space="preserve">With respect to the abuse analysis under the GAAR, Hogan J. held that the avoidance transaction did not result in </w:t>
      </w:r>
      <w:r>
        <w:rPr>
          <w:rFonts w:cs="Times New Roman"/>
        </w:rPr>
        <w:t>an</w:t>
      </w:r>
      <w:r w:rsidRPr="000770DC">
        <w:rPr>
          <w:rFonts w:cs="Times New Roman"/>
        </w:rPr>
        <w:t xml:space="preserve"> abuse of ss. </w:t>
      </w:r>
      <w:r>
        <w:rPr>
          <w:rFonts w:cs="Times New Roman"/>
        </w:rPr>
        <w:t xml:space="preserve">2(3), </w:t>
      </w:r>
      <w:r w:rsidRPr="000770DC">
        <w:rPr>
          <w:rFonts w:cs="Times New Roman"/>
        </w:rPr>
        <w:t>38</w:t>
      </w:r>
      <w:r>
        <w:rPr>
          <w:rFonts w:cs="Times New Roman"/>
        </w:rPr>
        <w:t>,</w:t>
      </w:r>
      <w:r w:rsidRPr="000770DC">
        <w:rPr>
          <w:rFonts w:cs="Times New Roman"/>
        </w:rPr>
        <w:t xml:space="preserve"> </w:t>
      </w:r>
      <w:r>
        <w:rPr>
          <w:rFonts w:cs="Times New Roman"/>
        </w:rPr>
        <w:t>3</w:t>
      </w:r>
      <w:r w:rsidRPr="000770DC">
        <w:rPr>
          <w:rFonts w:cs="Times New Roman"/>
        </w:rPr>
        <w:t>9, 115(1)(b)</w:t>
      </w:r>
      <w:r>
        <w:rPr>
          <w:rFonts w:cs="Times New Roman"/>
        </w:rPr>
        <w:t xml:space="preserve"> and 248(1)</w:t>
      </w:r>
      <w:r w:rsidRPr="000770DC">
        <w:rPr>
          <w:rFonts w:cs="Times New Roman"/>
        </w:rPr>
        <w:t xml:space="preserve"> of the </w:t>
      </w:r>
      <w:r w:rsidRPr="000770DC">
        <w:rPr>
          <w:rFonts w:cs="Times New Roman"/>
          <w:i/>
        </w:rPr>
        <w:t>Act</w:t>
      </w:r>
      <w:r w:rsidRPr="000770DC">
        <w:rPr>
          <w:rFonts w:cs="Times New Roman"/>
        </w:rPr>
        <w:t xml:space="preserve">, </w:t>
      </w:r>
      <w:r>
        <w:rPr>
          <w:rFonts w:cs="Times New Roman"/>
        </w:rPr>
        <w:t>or of</w:t>
      </w:r>
      <w:r w:rsidRPr="000770DC">
        <w:rPr>
          <w:rFonts w:cs="Times New Roman"/>
        </w:rPr>
        <w:t xml:space="preserve"> the </w:t>
      </w:r>
      <w:r w:rsidRPr="000770DC">
        <w:rPr>
          <w:rFonts w:cs="Times New Roman"/>
          <w:i/>
        </w:rPr>
        <w:t xml:space="preserve">Act </w:t>
      </w:r>
      <w:r w:rsidRPr="000770DC">
        <w:rPr>
          <w:rFonts w:cs="Times New Roman"/>
        </w:rPr>
        <w:t>as a whole.</w:t>
      </w:r>
      <w:r w:rsidRPr="000770DC">
        <w:rPr>
          <w:rFonts w:cs="Times New Roman"/>
          <w:i/>
        </w:rPr>
        <w:t xml:space="preserve"> </w:t>
      </w:r>
      <w:r w:rsidRPr="000770DC">
        <w:rPr>
          <w:rFonts w:cs="Times New Roman"/>
        </w:rPr>
        <w:t xml:space="preserve">In his view, the provisions of the </w:t>
      </w:r>
      <w:r w:rsidRPr="000770DC">
        <w:rPr>
          <w:rFonts w:cs="Times New Roman"/>
          <w:i/>
        </w:rPr>
        <w:t xml:space="preserve">Act </w:t>
      </w:r>
      <w:r>
        <w:rPr>
          <w:rFonts w:cs="Times New Roman"/>
        </w:rPr>
        <w:t xml:space="preserve">had </w:t>
      </w:r>
      <w:r w:rsidRPr="000770DC">
        <w:rPr>
          <w:rFonts w:cs="Times New Roman"/>
        </w:rPr>
        <w:t xml:space="preserve">operated in the manner intended by Parliament. </w:t>
      </w:r>
      <w:r>
        <w:rPr>
          <w:rFonts w:cs="Times New Roman"/>
        </w:rPr>
        <w:t xml:space="preserve">Without citing this Court’s decision in </w:t>
      </w:r>
      <w:r w:rsidRPr="006C039D">
        <w:rPr>
          <w:rFonts w:cs="Times New Roman"/>
          <w:i/>
        </w:rPr>
        <w:t>Canada Trustco</w:t>
      </w:r>
      <w:r>
        <w:rPr>
          <w:rFonts w:cs="Times New Roman"/>
        </w:rPr>
        <w:t xml:space="preserve">, </w:t>
      </w:r>
      <w:r w:rsidRPr="000770DC">
        <w:rPr>
          <w:rFonts w:cs="Times New Roman"/>
        </w:rPr>
        <w:t>Hogan J. followed the two-step approach</w:t>
      </w:r>
      <w:r>
        <w:rPr>
          <w:rFonts w:cs="Times New Roman"/>
        </w:rPr>
        <w:t xml:space="preserve"> it</w:t>
      </w:r>
      <w:r w:rsidRPr="000770DC">
        <w:rPr>
          <w:rFonts w:cs="Times New Roman"/>
        </w:rPr>
        <w:t xml:space="preserve"> established, acknowledging that a tax treaty, as an international convention, should be given a liberal interpretation with a view to implementing the true intention of the parties.</w:t>
      </w:r>
    </w:p>
    <w:p w14:paraId="56DB381C" w14:textId="77777777" w:rsidR="001346AE" w:rsidRPr="000770DC" w:rsidRDefault="001346AE" w:rsidP="001346AE">
      <w:pPr>
        <w:pStyle w:val="ParaNoNdepar-AltN"/>
        <w:rPr>
          <w:rFonts w:cs="Times New Roman"/>
        </w:rPr>
      </w:pPr>
      <w:r w:rsidRPr="000770DC">
        <w:rPr>
          <w:rFonts w:cs="Times New Roman"/>
        </w:rPr>
        <w:t>Hogan</w:t>
      </w:r>
      <w:r>
        <w:rPr>
          <w:rFonts w:cs="Times New Roman"/>
        </w:rPr>
        <w:t> </w:t>
      </w:r>
      <w:r w:rsidRPr="000770DC">
        <w:rPr>
          <w:rFonts w:cs="Times New Roman"/>
        </w:rPr>
        <w:t>J. conducted a textual, contextual</w:t>
      </w:r>
      <w:r>
        <w:rPr>
          <w:rFonts w:cs="Times New Roman"/>
        </w:rPr>
        <w:t>,</w:t>
      </w:r>
      <w:r w:rsidRPr="000770DC">
        <w:rPr>
          <w:rFonts w:cs="Times New Roman"/>
        </w:rPr>
        <w:t xml:space="preserve"> and purposive analysis of</w:t>
      </w:r>
      <w:r>
        <w:rPr>
          <w:rFonts w:cs="Times New Roman"/>
        </w:rPr>
        <w:t xml:space="preserve"> a</w:t>
      </w:r>
      <w:r w:rsidRPr="000770DC">
        <w:rPr>
          <w:rFonts w:cs="Times New Roman"/>
        </w:rPr>
        <w:t>rts. </w:t>
      </w:r>
      <w:r>
        <w:rPr>
          <w:rFonts w:cs="Times New Roman"/>
        </w:rPr>
        <w:t>1, 4</w:t>
      </w:r>
      <w:r w:rsidRPr="000770DC">
        <w:rPr>
          <w:rFonts w:cs="Times New Roman"/>
        </w:rPr>
        <w:t xml:space="preserve"> and 13 of the </w:t>
      </w:r>
      <w:r w:rsidRPr="000770DC">
        <w:rPr>
          <w:rFonts w:cs="Times New Roman"/>
          <w:i/>
        </w:rPr>
        <w:t>Treaty</w:t>
      </w:r>
      <w:r w:rsidRPr="000770DC">
        <w:rPr>
          <w:rFonts w:cs="Times New Roman"/>
        </w:rPr>
        <w:t xml:space="preserve"> and held that their rationale is “to exempt residents of Luxembourg from Canadian taxation where there is an investment in immovable property used in a business” (para. 100). He relied in part on the</w:t>
      </w:r>
      <w:r>
        <w:rPr>
          <w:rFonts w:cs="Times New Roman"/>
        </w:rPr>
        <w:t xml:space="preserve"> 2017</w:t>
      </w:r>
      <w:r w:rsidRPr="000770DC">
        <w:rPr>
          <w:rFonts w:cs="Times New Roman"/>
        </w:rPr>
        <w:t xml:space="preserve"> OECD </w:t>
      </w:r>
      <w:r w:rsidRPr="00405E75">
        <w:rPr>
          <w:rFonts w:cs="Times New Roman"/>
          <w:i/>
        </w:rPr>
        <w:t>Model Treaty</w:t>
      </w:r>
      <w:r w:rsidRPr="000770DC">
        <w:rPr>
          <w:rFonts w:cs="Times New Roman"/>
        </w:rPr>
        <w:t xml:space="preserve">, on which the </w:t>
      </w:r>
      <w:r w:rsidRPr="000770DC">
        <w:rPr>
          <w:rFonts w:cs="Times New Roman"/>
          <w:i/>
        </w:rPr>
        <w:t xml:space="preserve">Treaty </w:t>
      </w:r>
      <w:r>
        <w:rPr>
          <w:rFonts w:cs="Times New Roman"/>
        </w:rPr>
        <w:t xml:space="preserve">is </w:t>
      </w:r>
      <w:r w:rsidRPr="000770DC">
        <w:rPr>
          <w:rFonts w:cs="Times New Roman"/>
        </w:rPr>
        <w:t xml:space="preserve">modeled, and its Commentaries as interpretive aids. He observed that the </w:t>
      </w:r>
      <w:r>
        <w:rPr>
          <w:rFonts w:cs="Times New Roman"/>
        </w:rPr>
        <w:t>business property exemption in a</w:t>
      </w:r>
      <w:r w:rsidRPr="000770DC">
        <w:rPr>
          <w:rFonts w:cs="Times New Roman"/>
        </w:rPr>
        <w:t xml:space="preserve">rt. 13(4) of the </w:t>
      </w:r>
      <w:r w:rsidRPr="000770DC">
        <w:rPr>
          <w:rFonts w:cs="Times New Roman"/>
          <w:i/>
        </w:rPr>
        <w:t xml:space="preserve">Treaty </w:t>
      </w:r>
      <w:r w:rsidRPr="000770DC">
        <w:rPr>
          <w:rFonts w:cs="Times New Roman"/>
        </w:rPr>
        <w:t xml:space="preserve">does not exist in the OECD </w:t>
      </w:r>
      <w:r w:rsidRPr="00405E75">
        <w:rPr>
          <w:rFonts w:cs="Times New Roman"/>
          <w:i/>
        </w:rPr>
        <w:t>Model Treaty</w:t>
      </w:r>
      <w:r w:rsidRPr="000770DC">
        <w:rPr>
          <w:rFonts w:cs="Times New Roman"/>
        </w:rPr>
        <w:t xml:space="preserve">, which demonstrates an intention to depart from the </w:t>
      </w:r>
      <w:r w:rsidRPr="003E3AB0">
        <w:rPr>
          <w:rFonts w:cs="Times New Roman"/>
          <w:i/>
        </w:rPr>
        <w:t>Model Treaty</w:t>
      </w:r>
      <w:r>
        <w:rPr>
          <w:rFonts w:cs="Times New Roman"/>
        </w:rPr>
        <w:t xml:space="preserve"> </w:t>
      </w:r>
      <w:r w:rsidRPr="000770DC">
        <w:rPr>
          <w:rFonts w:cs="Times New Roman"/>
        </w:rPr>
        <w:t>in order to attract foreign investment in business property situated in Canada. Despite the Minister’s objections, Hogan</w:t>
      </w:r>
      <w:r>
        <w:rPr>
          <w:rFonts w:cs="Times New Roman"/>
        </w:rPr>
        <w:t> </w:t>
      </w:r>
      <w:r w:rsidRPr="000770DC">
        <w:rPr>
          <w:rFonts w:cs="Times New Roman"/>
        </w:rPr>
        <w:t xml:space="preserve">J. found nothing improper about </w:t>
      </w:r>
      <w:r>
        <w:rPr>
          <w:rFonts w:cs="Times New Roman"/>
        </w:rPr>
        <w:t>Alta Luxembourg, a single</w:t>
      </w:r>
      <w:r>
        <w:rPr>
          <w:rFonts w:cs="Times New Roman"/>
        </w:rPr>
        <w:noBreakHyphen/>
      </w:r>
      <w:r w:rsidRPr="000770DC">
        <w:rPr>
          <w:rFonts w:cs="Times New Roman"/>
        </w:rPr>
        <w:t xml:space="preserve">purpose holding corporation resident in Luxembourg, availing itself of the benefits of the </w:t>
      </w:r>
      <w:r w:rsidRPr="000770DC">
        <w:rPr>
          <w:rFonts w:cs="Times New Roman"/>
          <w:i/>
        </w:rPr>
        <w:t>Treaty</w:t>
      </w:r>
      <w:r w:rsidRPr="000770DC">
        <w:rPr>
          <w:rFonts w:cs="Times New Roman"/>
        </w:rPr>
        <w:t xml:space="preserve">. In his view, the Minister was seeking to achieve through the courts the same result with the GAAR as </w:t>
      </w:r>
      <w:r>
        <w:rPr>
          <w:rFonts w:cs="Times New Roman"/>
        </w:rPr>
        <w:t>wa</w:t>
      </w:r>
      <w:r w:rsidRPr="000770DC">
        <w:rPr>
          <w:rFonts w:cs="Times New Roman"/>
        </w:rPr>
        <w:t>s intended by the Minister of Finance’s proposed rule against tax treaty shopping, but the GAAR c</w:t>
      </w:r>
      <w:r>
        <w:rPr>
          <w:rFonts w:cs="Times New Roman"/>
        </w:rPr>
        <w:t>ould not be used in this way.</w:t>
      </w:r>
    </w:p>
    <w:p w14:paraId="33047CAA" w14:textId="77777777" w:rsidR="001346AE" w:rsidRPr="000770DC" w:rsidRDefault="001346AE" w:rsidP="001346AE">
      <w:pPr>
        <w:pStyle w:val="ParaNoNdepar-AltN"/>
        <w:rPr>
          <w:rFonts w:cs="Times New Roman"/>
        </w:rPr>
      </w:pPr>
      <w:r w:rsidRPr="000770DC">
        <w:rPr>
          <w:rFonts w:cs="Times New Roman"/>
        </w:rPr>
        <w:lastRenderedPageBreak/>
        <w:t>Hogan J. held that the overall result of the transaction was no</w:t>
      </w:r>
      <w:r>
        <w:rPr>
          <w:rFonts w:cs="Times New Roman"/>
        </w:rPr>
        <w:t>t contrary to the rationale of a</w:t>
      </w:r>
      <w:r w:rsidRPr="000770DC">
        <w:rPr>
          <w:rFonts w:cs="Times New Roman"/>
        </w:rPr>
        <w:t>rts. 1, 4 and 13 because the “significant investments of [Alta Luxembourg] to de-risk the Duvernay shale constitute an investment in immovable p</w:t>
      </w:r>
      <w:r>
        <w:rPr>
          <w:rFonts w:cs="Times New Roman"/>
        </w:rPr>
        <w:t>roperty used in a business” (</w:t>
      </w:r>
      <w:r w:rsidRPr="000770DC">
        <w:rPr>
          <w:rFonts w:cs="Times New Roman"/>
        </w:rPr>
        <w:t>para. 100). Therefore, the GAAR d</w:t>
      </w:r>
      <w:r>
        <w:rPr>
          <w:rFonts w:cs="Times New Roman"/>
        </w:rPr>
        <w:t>id</w:t>
      </w:r>
      <w:r w:rsidRPr="000770DC">
        <w:rPr>
          <w:rFonts w:cs="Times New Roman"/>
        </w:rPr>
        <w:t xml:space="preserve"> not preclude Alta Luxembourg from claiming the exemption provided for </w:t>
      </w:r>
      <w:r>
        <w:rPr>
          <w:rFonts w:cs="Times New Roman"/>
        </w:rPr>
        <w:t>in</w:t>
      </w:r>
      <w:r w:rsidRPr="000770DC">
        <w:rPr>
          <w:rFonts w:cs="Times New Roman"/>
        </w:rPr>
        <w:t xml:space="preserve"> </w:t>
      </w:r>
      <w:r>
        <w:rPr>
          <w:rFonts w:cs="Times New Roman"/>
        </w:rPr>
        <w:t>a</w:t>
      </w:r>
      <w:r w:rsidRPr="000770DC">
        <w:rPr>
          <w:rFonts w:cs="Times New Roman"/>
        </w:rPr>
        <w:t xml:space="preserve">rt. 13(5) of the </w:t>
      </w:r>
      <w:r w:rsidRPr="000770DC">
        <w:rPr>
          <w:rFonts w:cs="Times New Roman"/>
          <w:i/>
        </w:rPr>
        <w:t>Treaty</w:t>
      </w:r>
      <w:r w:rsidRPr="000770DC">
        <w:rPr>
          <w:rFonts w:cs="Times New Roman"/>
        </w:rPr>
        <w:t>, and the matter was referred back to the Minister for r</w:t>
      </w:r>
      <w:r>
        <w:rPr>
          <w:rFonts w:cs="Times New Roman"/>
        </w:rPr>
        <w:t>econsideration and reassessment</w:t>
      </w:r>
      <w:r w:rsidRPr="000770DC">
        <w:rPr>
          <w:rFonts w:cs="Times New Roman"/>
        </w:rPr>
        <w:t>.</w:t>
      </w:r>
    </w:p>
    <w:p w14:paraId="4E2F4E37" w14:textId="77777777" w:rsidR="001346AE" w:rsidRPr="000770DC" w:rsidRDefault="001346AE" w:rsidP="001346AE">
      <w:pPr>
        <w:pStyle w:val="Title2LevelTitre2Niveau"/>
        <w:rPr>
          <w:rFonts w:cs="Times New Roman"/>
        </w:rPr>
      </w:pPr>
      <w:bookmarkStart w:id="12" w:name="_Toc77170375"/>
      <w:bookmarkStart w:id="13" w:name="_Toc77229375"/>
      <w:bookmarkStart w:id="14" w:name="_Toc78040586"/>
      <w:r w:rsidRPr="000770DC">
        <w:rPr>
          <w:rFonts w:cs="Times New Roman"/>
        </w:rPr>
        <w:t>Federal Court of Appeal</w:t>
      </w:r>
      <w:r>
        <w:rPr>
          <w:rFonts w:cs="Times New Roman"/>
        </w:rPr>
        <w:t>, 2020 FCA 43, [2020] 5 C.T.C. 193</w:t>
      </w:r>
      <w:r w:rsidRPr="000770DC">
        <w:rPr>
          <w:rFonts w:cs="Times New Roman"/>
        </w:rPr>
        <w:t xml:space="preserve"> </w:t>
      </w:r>
      <w:r>
        <w:rPr>
          <w:rFonts w:cs="Times New Roman"/>
        </w:rPr>
        <w:t>(Webb, Near and Locke </w:t>
      </w:r>
      <w:r w:rsidRPr="000770DC">
        <w:rPr>
          <w:rFonts w:cs="Times New Roman"/>
        </w:rPr>
        <w:t>JJ.A.</w:t>
      </w:r>
      <w:bookmarkEnd w:id="12"/>
      <w:bookmarkEnd w:id="13"/>
      <w:bookmarkEnd w:id="14"/>
      <w:r w:rsidRPr="00EE6A50">
        <w:rPr>
          <w:rFonts w:cs="Times New Roman"/>
        </w:rPr>
        <w:t>)</w:t>
      </w:r>
    </w:p>
    <w:p w14:paraId="07D86043" w14:textId="77777777" w:rsidR="001346AE" w:rsidRPr="000770DC" w:rsidRDefault="001346AE" w:rsidP="001346AE">
      <w:pPr>
        <w:pStyle w:val="ParaNoNdepar-AltN"/>
        <w:rPr>
          <w:rFonts w:cs="Times New Roman"/>
        </w:rPr>
      </w:pPr>
      <w:r w:rsidRPr="000770DC">
        <w:rPr>
          <w:rFonts w:cs="Times New Roman"/>
        </w:rPr>
        <w:t>The Minister did not appeal the Tax Court</w:t>
      </w:r>
      <w:r>
        <w:rPr>
          <w:rFonts w:cs="Times New Roman"/>
        </w:rPr>
        <w:t>’s finding</w:t>
      </w:r>
      <w:r w:rsidRPr="000770DC">
        <w:rPr>
          <w:rFonts w:cs="Times New Roman"/>
        </w:rPr>
        <w:t xml:space="preserve"> that Alta Luxembourg satisfied the requirements for the business property exemption. Thus, the sole issue before the Federal Court of Appeal was whether the GAAR applied because of an abuse of the </w:t>
      </w:r>
      <w:r w:rsidRPr="000770DC">
        <w:rPr>
          <w:rFonts w:cs="Times New Roman"/>
          <w:i/>
        </w:rPr>
        <w:t xml:space="preserve">Act </w:t>
      </w:r>
      <w:r w:rsidRPr="000770DC">
        <w:rPr>
          <w:rFonts w:cs="Times New Roman"/>
        </w:rPr>
        <w:t xml:space="preserve">or the </w:t>
      </w:r>
      <w:r w:rsidRPr="000770DC">
        <w:rPr>
          <w:rFonts w:cs="Times New Roman"/>
          <w:i/>
        </w:rPr>
        <w:t>Treaty</w:t>
      </w:r>
      <w:r>
        <w:rPr>
          <w:rFonts w:cs="Times New Roman"/>
        </w:rPr>
        <w:t>.</w:t>
      </w:r>
    </w:p>
    <w:p w14:paraId="12F19A5F" w14:textId="77777777" w:rsidR="001346AE" w:rsidRPr="000770DC" w:rsidRDefault="001346AE" w:rsidP="001346AE">
      <w:pPr>
        <w:pStyle w:val="ParaNoNdepar-AltN"/>
        <w:rPr>
          <w:rFonts w:cs="Times New Roman"/>
        </w:rPr>
      </w:pPr>
      <w:r w:rsidRPr="000770DC">
        <w:rPr>
          <w:rFonts w:cs="Times New Roman"/>
        </w:rPr>
        <w:t xml:space="preserve">Webb J.A., </w:t>
      </w:r>
      <w:r>
        <w:rPr>
          <w:rFonts w:cs="Times New Roman"/>
        </w:rPr>
        <w:t xml:space="preserve">writing </w:t>
      </w:r>
      <w:r w:rsidRPr="000770DC">
        <w:rPr>
          <w:rFonts w:cs="Times New Roman"/>
        </w:rPr>
        <w:t xml:space="preserve">for </w:t>
      </w:r>
      <w:r>
        <w:rPr>
          <w:rFonts w:cs="Times New Roman"/>
        </w:rPr>
        <w:t>a</w:t>
      </w:r>
      <w:r w:rsidRPr="000770DC">
        <w:rPr>
          <w:rFonts w:cs="Times New Roman"/>
        </w:rPr>
        <w:t xml:space="preserve"> unanimous court, dismissed the appeal. In his analysis of the object, spirit, and purpose of the relevant provisions, Webb J.A. noted that most of the Minister’s submissions were in reference to general principles and failed to identify any clear rationale f</w:t>
      </w:r>
      <w:r>
        <w:rPr>
          <w:rFonts w:cs="Times New Roman"/>
        </w:rPr>
        <w:t>or the provisions at issue: a</w:t>
      </w:r>
      <w:r w:rsidRPr="000770DC">
        <w:rPr>
          <w:rFonts w:cs="Times New Roman"/>
        </w:rPr>
        <w:t>rts. </w:t>
      </w:r>
      <w:r>
        <w:rPr>
          <w:rFonts w:cs="Times New Roman"/>
        </w:rPr>
        <w:t>1, 4</w:t>
      </w:r>
      <w:r w:rsidRPr="000770DC">
        <w:rPr>
          <w:rFonts w:cs="Times New Roman"/>
        </w:rPr>
        <w:t xml:space="preserve"> and 13(4) of the </w:t>
      </w:r>
      <w:r w:rsidRPr="000770DC">
        <w:rPr>
          <w:rFonts w:cs="Times New Roman"/>
          <w:i/>
        </w:rPr>
        <w:t>Treaty</w:t>
      </w:r>
      <w:r w:rsidRPr="000770DC">
        <w:rPr>
          <w:rFonts w:cs="Times New Roman"/>
        </w:rPr>
        <w:t xml:space="preserve">. Relying on </w:t>
      </w:r>
      <w:r w:rsidRPr="00916E6E">
        <w:rPr>
          <w:rFonts w:cs="Times New Roman"/>
          <w:i/>
        </w:rPr>
        <w:t>R. v.</w:t>
      </w:r>
      <w:r>
        <w:rPr>
          <w:rFonts w:cs="Times New Roman"/>
        </w:rPr>
        <w:t xml:space="preserve"> </w:t>
      </w:r>
      <w:r w:rsidRPr="000770DC">
        <w:rPr>
          <w:rFonts w:cs="Times New Roman"/>
          <w:i/>
        </w:rPr>
        <w:t>MIL (Investments) S.A.</w:t>
      </w:r>
      <w:r w:rsidRPr="000770DC">
        <w:rPr>
          <w:rFonts w:cs="Times New Roman"/>
        </w:rPr>
        <w:t>, 20</w:t>
      </w:r>
      <w:r>
        <w:rPr>
          <w:rFonts w:cs="Times New Roman"/>
        </w:rPr>
        <w:t>07</w:t>
      </w:r>
      <w:r w:rsidRPr="000770DC">
        <w:rPr>
          <w:rFonts w:cs="Times New Roman"/>
        </w:rPr>
        <w:t xml:space="preserve"> FCA </w:t>
      </w:r>
      <w:r>
        <w:rPr>
          <w:rFonts w:cs="Times New Roman"/>
        </w:rPr>
        <w:t>236</w:t>
      </w:r>
      <w:r w:rsidRPr="000770DC">
        <w:rPr>
          <w:rFonts w:cs="Times New Roman"/>
        </w:rPr>
        <w:t xml:space="preserve">, </w:t>
      </w:r>
      <w:r>
        <w:rPr>
          <w:rFonts w:cs="Times New Roman"/>
        </w:rPr>
        <w:t xml:space="preserve">[2007] 4 C.T.C. 235, </w:t>
      </w:r>
      <w:r w:rsidRPr="000770DC">
        <w:rPr>
          <w:rFonts w:cs="Times New Roman"/>
        </w:rPr>
        <w:t>Webb J.A. concluded “that the object, spirit and purpose of the relevant provisions of the [</w:t>
      </w:r>
      <w:r w:rsidRPr="000770DC">
        <w:rPr>
          <w:rFonts w:cs="Times New Roman"/>
          <w:i/>
        </w:rPr>
        <w:t>Treaty</w:t>
      </w:r>
      <w:r w:rsidRPr="000770DC">
        <w:rPr>
          <w:rFonts w:cs="Times New Roman"/>
        </w:rPr>
        <w:t>] is reflected in the words as chosen by Canada and Luxembourg. Since the provisions operated as they were intended to operate</w:t>
      </w:r>
      <w:r>
        <w:rPr>
          <w:rFonts w:cs="Times New Roman"/>
        </w:rPr>
        <w:t>,</w:t>
      </w:r>
      <w:r w:rsidRPr="000770DC">
        <w:rPr>
          <w:rFonts w:cs="Times New Roman"/>
        </w:rPr>
        <w:t xml:space="preserve"> there was no abuse” (para. 80).</w:t>
      </w:r>
      <w:r w:rsidRPr="000770DC">
        <w:rPr>
          <w:rFonts w:cs="Times New Roman"/>
          <w:i/>
        </w:rPr>
        <w:t xml:space="preserve"> </w:t>
      </w:r>
      <w:r w:rsidRPr="000770DC">
        <w:rPr>
          <w:rFonts w:cs="Times New Roman"/>
        </w:rPr>
        <w:t xml:space="preserve">He also determined that Commentaries </w:t>
      </w:r>
      <w:r>
        <w:rPr>
          <w:rFonts w:cs="Times New Roman"/>
        </w:rPr>
        <w:t>on</w:t>
      </w:r>
      <w:r w:rsidRPr="000770DC">
        <w:rPr>
          <w:rFonts w:cs="Times New Roman"/>
        </w:rPr>
        <w:t xml:space="preserve"> the OECD </w:t>
      </w:r>
      <w:r w:rsidRPr="00916E6E">
        <w:rPr>
          <w:rFonts w:cs="Times New Roman"/>
          <w:i/>
        </w:rPr>
        <w:t>Model Treaty</w:t>
      </w:r>
      <w:r w:rsidRPr="000770DC">
        <w:rPr>
          <w:rFonts w:cs="Times New Roman"/>
        </w:rPr>
        <w:t xml:space="preserve"> </w:t>
      </w:r>
      <w:r w:rsidRPr="000770DC">
        <w:rPr>
          <w:rFonts w:cs="Times New Roman"/>
        </w:rPr>
        <w:lastRenderedPageBreak/>
        <w:t xml:space="preserve">published subsequently to the signature and ratification of the </w:t>
      </w:r>
      <w:r w:rsidRPr="000770DC">
        <w:rPr>
          <w:rFonts w:cs="Times New Roman"/>
          <w:i/>
        </w:rPr>
        <w:t xml:space="preserve">Treaty </w:t>
      </w:r>
      <w:r w:rsidRPr="000770DC">
        <w:rPr>
          <w:rFonts w:cs="Times New Roman"/>
        </w:rPr>
        <w:t>were “of little assistance in determining the rationale for the exemption” (para. </w:t>
      </w:r>
      <w:r>
        <w:rPr>
          <w:rFonts w:cs="Times New Roman"/>
        </w:rPr>
        <w:t>36).</w:t>
      </w:r>
    </w:p>
    <w:p w14:paraId="59BBF28C" w14:textId="77777777" w:rsidR="001346AE" w:rsidRPr="000770DC" w:rsidRDefault="001346AE" w:rsidP="001346AE">
      <w:pPr>
        <w:pStyle w:val="ParaNoNdepar-AltN"/>
        <w:rPr>
          <w:rFonts w:cs="Times New Roman"/>
        </w:rPr>
      </w:pPr>
      <w:r w:rsidRPr="000770DC">
        <w:rPr>
          <w:rFonts w:cs="Times New Roman"/>
        </w:rPr>
        <w:t xml:space="preserve">In addition to </w:t>
      </w:r>
      <w:r>
        <w:rPr>
          <w:rFonts w:cs="Times New Roman"/>
        </w:rPr>
        <w:t xml:space="preserve">finding that </w:t>
      </w:r>
      <w:r w:rsidRPr="000770DC">
        <w:rPr>
          <w:rFonts w:cs="Times New Roman"/>
        </w:rPr>
        <w:t>the Minister</w:t>
      </w:r>
      <w:r>
        <w:rPr>
          <w:rFonts w:cs="Times New Roman"/>
        </w:rPr>
        <w:t xml:space="preserve"> had failed</w:t>
      </w:r>
      <w:r w:rsidRPr="000770DC">
        <w:rPr>
          <w:rFonts w:cs="Times New Roman"/>
        </w:rPr>
        <w:t xml:space="preserve"> to id</w:t>
      </w:r>
      <w:r>
        <w:rPr>
          <w:rFonts w:cs="Times New Roman"/>
        </w:rPr>
        <w:t>entify any clear rationale for a</w:t>
      </w:r>
      <w:r w:rsidRPr="000770DC">
        <w:rPr>
          <w:rFonts w:cs="Times New Roman"/>
        </w:rPr>
        <w:t>rts. </w:t>
      </w:r>
      <w:r>
        <w:rPr>
          <w:rFonts w:cs="Times New Roman"/>
        </w:rPr>
        <w:t>1, 4</w:t>
      </w:r>
      <w:r w:rsidRPr="000770DC">
        <w:rPr>
          <w:rFonts w:cs="Times New Roman"/>
        </w:rPr>
        <w:t xml:space="preserve"> and 13(4) of the </w:t>
      </w:r>
      <w:r w:rsidRPr="000770DC">
        <w:rPr>
          <w:rFonts w:cs="Times New Roman"/>
          <w:i/>
        </w:rPr>
        <w:t>Treaty</w:t>
      </w:r>
      <w:r w:rsidRPr="000770DC">
        <w:rPr>
          <w:rFonts w:cs="Times New Roman"/>
        </w:rPr>
        <w:t xml:space="preserve">, Webb J.A. found that the Minister’s five further submissions did not withstand scrutiny, as they all added qualifications to or modified the words of the </w:t>
      </w:r>
      <w:r w:rsidRPr="000770DC">
        <w:rPr>
          <w:rFonts w:cs="Times New Roman"/>
          <w:i/>
        </w:rPr>
        <w:t>Treaty</w:t>
      </w:r>
      <w:r w:rsidRPr="000770DC">
        <w:rPr>
          <w:rFonts w:cs="Times New Roman"/>
        </w:rPr>
        <w:t>. The Minister’s submissions changed the identity of who w</w:t>
      </w:r>
      <w:r>
        <w:rPr>
          <w:rFonts w:cs="Times New Roman"/>
        </w:rPr>
        <w:t>ould</w:t>
      </w:r>
      <w:r w:rsidRPr="000770DC">
        <w:rPr>
          <w:rFonts w:cs="Times New Roman"/>
        </w:rPr>
        <w:t xml:space="preserve"> qualify for the exemption from “residents” to “investors” and added the qualification that </w:t>
      </w:r>
      <w:r>
        <w:rPr>
          <w:rFonts w:cs="Times New Roman"/>
        </w:rPr>
        <w:t>an</w:t>
      </w:r>
      <w:r w:rsidRPr="000770DC">
        <w:rPr>
          <w:rFonts w:cs="Times New Roman"/>
        </w:rPr>
        <w:t xml:space="preserve"> “entity” </w:t>
      </w:r>
      <w:r>
        <w:rPr>
          <w:rFonts w:cs="Times New Roman"/>
        </w:rPr>
        <w:t>had to</w:t>
      </w:r>
      <w:r w:rsidRPr="000770DC">
        <w:rPr>
          <w:rFonts w:cs="Times New Roman"/>
        </w:rPr>
        <w:t xml:space="preserve"> have the potential to earn income in Luxembourg </w:t>
      </w:r>
      <w:r>
        <w:rPr>
          <w:rFonts w:cs="Times New Roman"/>
        </w:rPr>
        <w:t xml:space="preserve">in order </w:t>
      </w:r>
      <w:r w:rsidRPr="000770DC">
        <w:rPr>
          <w:rFonts w:cs="Times New Roman"/>
        </w:rPr>
        <w:t xml:space="preserve">to be considered a resident of Luxembourg. In Webb J.A.’s view, the fact that the net effect </w:t>
      </w:r>
      <w:r>
        <w:rPr>
          <w:rFonts w:cs="Times New Roman"/>
        </w:rPr>
        <w:t>of the profit</w:t>
      </w:r>
      <w:r>
        <w:rPr>
          <w:rFonts w:cs="Times New Roman"/>
        </w:rPr>
        <w:noBreakHyphen/>
        <w:t xml:space="preserve">participating loan </w:t>
      </w:r>
      <w:r w:rsidRPr="000770DC">
        <w:rPr>
          <w:rFonts w:cs="Times New Roman"/>
        </w:rPr>
        <w:t>was that Alta Luxembourg never realized taxable income in Luxembourg “is a matter for the Luxembourg tax authorities” (para. 5</w:t>
      </w:r>
      <w:r>
        <w:rPr>
          <w:rFonts w:cs="Times New Roman"/>
        </w:rPr>
        <w:t>7</w:t>
      </w:r>
      <w:r w:rsidRPr="000770DC">
        <w:rPr>
          <w:rFonts w:cs="Times New Roman"/>
        </w:rPr>
        <w:t>). Additionally,</w:t>
      </w:r>
      <w:r>
        <w:rPr>
          <w:rFonts w:cs="Times New Roman"/>
        </w:rPr>
        <w:t xml:space="preserve"> there wa</w:t>
      </w:r>
      <w:r w:rsidRPr="000770DC">
        <w:rPr>
          <w:rFonts w:cs="Times New Roman"/>
        </w:rPr>
        <w:t xml:space="preserve">s no underlying requirement that the exemption benefit </w:t>
      </w:r>
      <w:r>
        <w:rPr>
          <w:rFonts w:cs="Times New Roman"/>
        </w:rPr>
        <w:t xml:space="preserve">only </w:t>
      </w:r>
      <w:r w:rsidRPr="000770DC">
        <w:rPr>
          <w:rFonts w:cs="Times New Roman"/>
        </w:rPr>
        <w:t>persons with commercial or economic ties to Luxembourg</w:t>
      </w:r>
      <w:r>
        <w:rPr>
          <w:rFonts w:cs="Times New Roman"/>
        </w:rPr>
        <w:t>, nor wa</w:t>
      </w:r>
      <w:r w:rsidRPr="000770DC">
        <w:rPr>
          <w:rFonts w:cs="Times New Roman"/>
        </w:rPr>
        <w:t xml:space="preserve">s the residence of the partners of Alta Luxembourg’s sole shareholder relevant to the analysis. He found that these qualifications </w:t>
      </w:r>
      <w:r>
        <w:rPr>
          <w:rFonts w:cs="Times New Roman"/>
        </w:rPr>
        <w:t>wer</w:t>
      </w:r>
      <w:r w:rsidRPr="000770DC">
        <w:rPr>
          <w:rFonts w:cs="Times New Roman"/>
        </w:rPr>
        <w:t>e not included in the exemption</w:t>
      </w:r>
      <w:r>
        <w:rPr>
          <w:rFonts w:cs="Times New Roman"/>
        </w:rPr>
        <w:t xml:space="preserve"> in the </w:t>
      </w:r>
      <w:r w:rsidRPr="000770DC">
        <w:rPr>
          <w:rFonts w:cs="Times New Roman"/>
          <w:i/>
        </w:rPr>
        <w:t>Treaty</w:t>
      </w:r>
      <w:r w:rsidRPr="000770DC">
        <w:rPr>
          <w:rFonts w:cs="Times New Roman"/>
        </w:rPr>
        <w:t xml:space="preserve">, even though they could </w:t>
      </w:r>
      <w:r>
        <w:rPr>
          <w:rFonts w:cs="Times New Roman"/>
        </w:rPr>
        <w:t xml:space="preserve">easily </w:t>
      </w:r>
      <w:r w:rsidRPr="000770DC">
        <w:rPr>
          <w:rFonts w:cs="Times New Roman"/>
        </w:rPr>
        <w:t>have been added.</w:t>
      </w:r>
    </w:p>
    <w:p w14:paraId="1A54BC01" w14:textId="77777777" w:rsidR="001346AE" w:rsidRPr="000770DC" w:rsidRDefault="001346AE" w:rsidP="001346AE">
      <w:pPr>
        <w:pStyle w:val="ParaNoNdepar-AltN"/>
        <w:rPr>
          <w:rFonts w:cs="Times New Roman"/>
        </w:rPr>
      </w:pPr>
      <w:r w:rsidRPr="000770DC">
        <w:rPr>
          <w:rFonts w:cs="Times New Roman"/>
        </w:rPr>
        <w:t xml:space="preserve">Webb J.A. declined to find that treaty shopping is abusive, agreeing with the Tax Court judge in </w:t>
      </w:r>
      <w:r w:rsidRPr="000770DC">
        <w:rPr>
          <w:rFonts w:cs="Times New Roman"/>
          <w:i/>
        </w:rPr>
        <w:t xml:space="preserve">MIL (Investments) S.A. v. </w:t>
      </w:r>
      <w:r>
        <w:rPr>
          <w:rFonts w:cs="Times New Roman"/>
          <w:i/>
        </w:rPr>
        <w:t>R.</w:t>
      </w:r>
      <w:r w:rsidRPr="000770DC">
        <w:rPr>
          <w:rFonts w:cs="Times New Roman"/>
        </w:rPr>
        <w:t>, 2006 TCC 460</w:t>
      </w:r>
      <w:r>
        <w:rPr>
          <w:rFonts w:cs="Times New Roman"/>
        </w:rPr>
        <w:t>, [2006] 5 C.T.C. 2552</w:t>
      </w:r>
      <w:r w:rsidRPr="000770DC">
        <w:rPr>
          <w:rFonts w:cs="Times New Roman"/>
        </w:rPr>
        <w:t xml:space="preserve"> (“</w:t>
      </w:r>
      <w:r w:rsidRPr="000770DC">
        <w:rPr>
          <w:rFonts w:cs="Times New Roman"/>
          <w:i/>
        </w:rPr>
        <w:t xml:space="preserve">MIL </w:t>
      </w:r>
      <w:r w:rsidRPr="008F62F2">
        <w:rPr>
          <w:rFonts w:cs="Times New Roman"/>
        </w:rPr>
        <w:t>(T</w:t>
      </w:r>
      <w:r>
        <w:rPr>
          <w:rFonts w:cs="Times New Roman"/>
        </w:rPr>
        <w:t>CC</w:t>
      </w:r>
      <w:r w:rsidRPr="008F62F2">
        <w:rPr>
          <w:rFonts w:cs="Times New Roman"/>
        </w:rPr>
        <w:t>)</w:t>
      </w:r>
      <w:r w:rsidRPr="000770DC">
        <w:rPr>
          <w:rFonts w:cs="Times New Roman"/>
        </w:rPr>
        <w:t>”), at para. </w:t>
      </w:r>
      <w:r>
        <w:rPr>
          <w:rFonts w:cs="Times New Roman"/>
        </w:rPr>
        <w:t>69</w:t>
      </w:r>
      <w:r w:rsidRPr="000770DC">
        <w:rPr>
          <w:rFonts w:cs="Times New Roman"/>
        </w:rPr>
        <w:t>, that “[t]here is nothing inherently proper or improper with selecting one foreign regime over another” and that</w:t>
      </w:r>
      <w:r>
        <w:rPr>
          <w:rFonts w:cs="Times New Roman"/>
        </w:rPr>
        <w:t>,</w:t>
      </w:r>
      <w:r w:rsidRPr="000770DC">
        <w:rPr>
          <w:rFonts w:cs="Times New Roman"/>
        </w:rPr>
        <w:t xml:space="preserve"> though “the selection of a low tax jurisdiction may speak persuasively as evidence of a tax purpose for an alleged </w:t>
      </w:r>
      <w:r w:rsidRPr="000770DC">
        <w:rPr>
          <w:rFonts w:cs="Times New Roman"/>
        </w:rPr>
        <w:lastRenderedPageBreak/>
        <w:t>avoidance transaction</w:t>
      </w:r>
      <w:r>
        <w:rPr>
          <w:rFonts w:cs="Times New Roman"/>
        </w:rPr>
        <w:t>,</w:t>
      </w:r>
      <w:r w:rsidRPr="000770DC">
        <w:rPr>
          <w:rFonts w:cs="Times New Roman"/>
        </w:rPr>
        <w:t xml:space="preserve"> . . . the shopping or selection of a treaty to minimize tax on its own cannot be viewed as being abusive”</w:t>
      </w:r>
      <w:r>
        <w:rPr>
          <w:rFonts w:cs="Times New Roman"/>
        </w:rPr>
        <w:t>.</w:t>
      </w:r>
    </w:p>
    <w:p w14:paraId="3FBD2F5B" w14:textId="77777777" w:rsidR="001346AE" w:rsidRPr="000770DC" w:rsidRDefault="001346AE" w:rsidP="001346AE">
      <w:pPr>
        <w:pStyle w:val="ParaNoNdepar-AltN"/>
        <w:rPr>
          <w:rFonts w:cs="Times New Roman"/>
        </w:rPr>
      </w:pPr>
      <w:r w:rsidRPr="000770DC">
        <w:rPr>
          <w:rFonts w:cs="Times New Roman"/>
        </w:rPr>
        <w:t xml:space="preserve">In short, Webb J.A. found that </w:t>
      </w:r>
      <w:r>
        <w:rPr>
          <w:rFonts w:cs="Times New Roman"/>
        </w:rPr>
        <w:t>“</w:t>
      </w:r>
      <w:r w:rsidRPr="000770DC">
        <w:rPr>
          <w:rFonts w:cs="Times New Roman"/>
        </w:rPr>
        <w:t xml:space="preserve">the object, spirit and purpose of the relevant provisions of the </w:t>
      </w:r>
      <w:r>
        <w:rPr>
          <w:rFonts w:cs="Times New Roman"/>
        </w:rPr>
        <w:t>[</w:t>
      </w:r>
      <w:r w:rsidRPr="000770DC">
        <w:rPr>
          <w:rFonts w:cs="Times New Roman"/>
          <w:i/>
        </w:rPr>
        <w:t>Treaty</w:t>
      </w:r>
      <w:r>
        <w:rPr>
          <w:rFonts w:cs="Times New Roman"/>
        </w:rPr>
        <w:t>]</w:t>
      </w:r>
      <w:r w:rsidRPr="000770DC">
        <w:rPr>
          <w:rFonts w:cs="Times New Roman"/>
        </w:rPr>
        <w:t xml:space="preserve"> </w:t>
      </w:r>
      <w:r>
        <w:rPr>
          <w:rFonts w:cs="Times New Roman"/>
        </w:rPr>
        <w:t>is</w:t>
      </w:r>
      <w:r w:rsidRPr="000770DC">
        <w:rPr>
          <w:rFonts w:cs="Times New Roman"/>
        </w:rPr>
        <w:t xml:space="preserve"> reflected in the words </w:t>
      </w:r>
      <w:r>
        <w:rPr>
          <w:rFonts w:cs="Times New Roman"/>
        </w:rPr>
        <w:t xml:space="preserve">as </w:t>
      </w:r>
      <w:r w:rsidRPr="000770DC">
        <w:rPr>
          <w:rFonts w:cs="Times New Roman"/>
        </w:rPr>
        <w:t xml:space="preserve">chosen by Canada and Luxembourg. </w:t>
      </w:r>
      <w:r>
        <w:rPr>
          <w:rFonts w:cs="Times New Roman"/>
        </w:rPr>
        <w:t>Since</w:t>
      </w:r>
      <w:r w:rsidRPr="000770DC">
        <w:rPr>
          <w:rFonts w:cs="Times New Roman"/>
        </w:rPr>
        <w:t xml:space="preserve"> the provisions </w:t>
      </w:r>
      <w:r>
        <w:rPr>
          <w:rFonts w:cs="Times New Roman"/>
        </w:rPr>
        <w:t xml:space="preserve">[had] </w:t>
      </w:r>
      <w:r w:rsidRPr="000770DC">
        <w:rPr>
          <w:rFonts w:cs="Times New Roman"/>
        </w:rPr>
        <w:t xml:space="preserve">operated </w:t>
      </w:r>
      <w:r>
        <w:rPr>
          <w:rFonts w:cs="Times New Roman"/>
        </w:rPr>
        <w:t>as</w:t>
      </w:r>
      <w:r w:rsidRPr="000770DC">
        <w:rPr>
          <w:rFonts w:cs="Times New Roman"/>
        </w:rPr>
        <w:t xml:space="preserve"> the</w:t>
      </w:r>
      <w:r>
        <w:rPr>
          <w:rFonts w:cs="Times New Roman"/>
        </w:rPr>
        <w:t>y</w:t>
      </w:r>
      <w:r w:rsidRPr="000770DC">
        <w:rPr>
          <w:rFonts w:cs="Times New Roman"/>
        </w:rPr>
        <w:t xml:space="preserve"> </w:t>
      </w:r>
      <w:r>
        <w:rPr>
          <w:rFonts w:cs="Times New Roman"/>
        </w:rPr>
        <w:t>were</w:t>
      </w:r>
      <w:r w:rsidRPr="000770DC">
        <w:rPr>
          <w:rFonts w:cs="Times New Roman"/>
        </w:rPr>
        <w:t xml:space="preserve"> intended</w:t>
      </w:r>
      <w:r>
        <w:rPr>
          <w:rFonts w:cs="Times New Roman"/>
        </w:rPr>
        <w:t xml:space="preserve"> to operate</w:t>
      </w:r>
      <w:r w:rsidRPr="000770DC">
        <w:rPr>
          <w:rFonts w:cs="Times New Roman"/>
        </w:rPr>
        <w:t>, there was no abuse</w:t>
      </w:r>
      <w:r>
        <w:rPr>
          <w:rFonts w:cs="Times New Roman"/>
        </w:rPr>
        <w:t>” (para. 80)</w:t>
      </w:r>
      <w:r w:rsidRPr="000770DC">
        <w:rPr>
          <w:rFonts w:cs="Times New Roman"/>
        </w:rPr>
        <w:t>. The appeal was therefore dismissed</w:t>
      </w:r>
      <w:r>
        <w:rPr>
          <w:rFonts w:cs="Times New Roman"/>
        </w:rPr>
        <w:t>.</w:t>
      </w:r>
    </w:p>
    <w:p w14:paraId="57CE8A5A" w14:textId="77777777" w:rsidR="001346AE" w:rsidRPr="000770DC" w:rsidRDefault="001346AE" w:rsidP="001346AE">
      <w:pPr>
        <w:pStyle w:val="Title1LevelTitre1Niveau-AltL"/>
        <w:rPr>
          <w:rFonts w:cs="Times New Roman"/>
        </w:rPr>
      </w:pPr>
      <w:bookmarkStart w:id="15" w:name="_Toc77170376"/>
      <w:bookmarkStart w:id="16" w:name="_Toc77229376"/>
      <w:bookmarkStart w:id="17" w:name="_Toc78040587"/>
      <w:r w:rsidRPr="000770DC">
        <w:rPr>
          <w:rFonts w:cs="Times New Roman"/>
        </w:rPr>
        <w:t>Issues</w:t>
      </w:r>
      <w:bookmarkEnd w:id="15"/>
      <w:bookmarkEnd w:id="16"/>
      <w:bookmarkEnd w:id="17"/>
    </w:p>
    <w:p w14:paraId="299E85CC" w14:textId="77777777" w:rsidR="001346AE" w:rsidRPr="000770DC" w:rsidRDefault="001346AE" w:rsidP="001346AE">
      <w:pPr>
        <w:pStyle w:val="ParaNoNdepar-AltN"/>
        <w:rPr>
          <w:rFonts w:cs="Times New Roman"/>
        </w:rPr>
      </w:pPr>
      <w:r w:rsidRPr="000770DC">
        <w:rPr>
          <w:rFonts w:cs="Times New Roman"/>
        </w:rPr>
        <w:t>The Minister has a</w:t>
      </w:r>
      <w:r>
        <w:rPr>
          <w:rFonts w:cs="Times New Roman"/>
        </w:rPr>
        <w:t>ccepted</w:t>
      </w:r>
      <w:r w:rsidRPr="000770DC">
        <w:rPr>
          <w:rFonts w:cs="Times New Roman"/>
        </w:rPr>
        <w:t xml:space="preserve"> that Alta Luxembourg is a resident of Luxembourg for the purposes of the </w:t>
      </w:r>
      <w:r w:rsidRPr="000770DC">
        <w:rPr>
          <w:rFonts w:cs="Times New Roman"/>
          <w:i/>
        </w:rPr>
        <w:t>Treaty</w:t>
      </w:r>
      <w:r w:rsidRPr="000770DC">
        <w:rPr>
          <w:rFonts w:cs="Times New Roman"/>
        </w:rPr>
        <w:t xml:space="preserve"> and that a business was being carried on in the </w:t>
      </w:r>
      <w:r>
        <w:rPr>
          <w:rFonts w:cs="Times New Roman"/>
        </w:rPr>
        <w:t xml:space="preserve">immovable </w:t>
      </w:r>
      <w:r w:rsidRPr="000770DC">
        <w:rPr>
          <w:rFonts w:cs="Times New Roman"/>
        </w:rPr>
        <w:t>property</w:t>
      </w:r>
      <w:r>
        <w:rPr>
          <w:rFonts w:cs="Times New Roman"/>
        </w:rPr>
        <w:t xml:space="preserve"> in question</w:t>
      </w:r>
      <w:r w:rsidRPr="000770DC">
        <w:rPr>
          <w:rFonts w:cs="Times New Roman"/>
        </w:rPr>
        <w:t xml:space="preserve">. Furthermore, Alta Luxembourg has admitted the existence of a tax benefit and an avoidance transaction. Therefore, the only element </w:t>
      </w:r>
      <w:r>
        <w:rPr>
          <w:rFonts w:cs="Times New Roman"/>
        </w:rPr>
        <w:t xml:space="preserve">in </w:t>
      </w:r>
      <w:r w:rsidRPr="000770DC">
        <w:rPr>
          <w:rFonts w:cs="Times New Roman"/>
        </w:rPr>
        <w:t>dispute is the abusive nature of the transaction, which raises the following issues:</w:t>
      </w:r>
    </w:p>
    <w:p w14:paraId="417FBA8D" w14:textId="77777777" w:rsidR="001346AE" w:rsidRDefault="001346AE" w:rsidP="001346AE">
      <w:pPr>
        <w:pStyle w:val="Citation-AltC"/>
        <w:spacing w:before="240" w:line="480" w:lineRule="auto"/>
        <w:ind w:left="1560" w:hanging="426"/>
      </w:pPr>
      <w:r>
        <w:t>a)</w:t>
      </w:r>
      <w:r>
        <w:tab/>
      </w:r>
      <w:r w:rsidRPr="000770DC">
        <w:t xml:space="preserve">What </w:t>
      </w:r>
      <w:r>
        <w:t>are</w:t>
      </w:r>
      <w:r w:rsidRPr="000770DC">
        <w:t xml:space="preserve"> the object, spirit, and purpose of the relevant</w:t>
      </w:r>
      <w:r>
        <w:t xml:space="preserve"> provisions of the</w:t>
      </w:r>
      <w:r w:rsidRPr="000770DC">
        <w:t xml:space="preserve"> </w:t>
      </w:r>
      <w:r w:rsidRPr="000770DC">
        <w:rPr>
          <w:i/>
        </w:rPr>
        <w:t>Treaty</w:t>
      </w:r>
      <w:r w:rsidRPr="000770DC">
        <w:t>?</w:t>
      </w:r>
    </w:p>
    <w:p w14:paraId="5C248C16" w14:textId="77777777" w:rsidR="001346AE" w:rsidRDefault="001346AE" w:rsidP="001346AE">
      <w:pPr>
        <w:pStyle w:val="Citation-AltC"/>
        <w:spacing w:line="480" w:lineRule="auto"/>
        <w:ind w:left="0"/>
      </w:pPr>
    </w:p>
    <w:p w14:paraId="011F122B" w14:textId="77777777" w:rsidR="001346AE" w:rsidRDefault="001346AE" w:rsidP="001346AE">
      <w:pPr>
        <w:pStyle w:val="Citation-AltC"/>
        <w:spacing w:line="480" w:lineRule="auto"/>
        <w:ind w:left="1560" w:hanging="426"/>
      </w:pPr>
      <w:r>
        <w:t>b)</w:t>
      </w:r>
      <w:r>
        <w:tab/>
      </w:r>
      <w:r w:rsidRPr="000770DC">
        <w:t>Did the courts below err in concluding that the avoidance transaction in this case did not resu</w:t>
      </w:r>
      <w:r>
        <w:t>lt in an abuse of those</w:t>
      </w:r>
      <w:r w:rsidRPr="000770DC">
        <w:t xml:space="preserve"> provisions</w:t>
      </w:r>
      <w:r>
        <w:t>?</w:t>
      </w:r>
    </w:p>
    <w:p w14:paraId="2008BDDC" w14:textId="77777777" w:rsidR="001346AE" w:rsidRPr="000770DC" w:rsidRDefault="001346AE" w:rsidP="001346AE">
      <w:pPr>
        <w:pStyle w:val="Citation-AltC"/>
        <w:spacing w:line="480" w:lineRule="auto"/>
        <w:ind w:left="1560" w:hanging="426"/>
      </w:pPr>
    </w:p>
    <w:p w14:paraId="0A686A48" w14:textId="77777777" w:rsidR="001346AE" w:rsidRPr="000770DC" w:rsidRDefault="001346AE" w:rsidP="001346AE">
      <w:pPr>
        <w:pStyle w:val="Title1LevelTitre1Niveau-AltL"/>
        <w:rPr>
          <w:rFonts w:cs="Times New Roman"/>
        </w:rPr>
      </w:pPr>
      <w:bookmarkStart w:id="18" w:name="_Toc77170377"/>
      <w:bookmarkStart w:id="19" w:name="_Toc77229377"/>
      <w:bookmarkStart w:id="20" w:name="_Toc78040588"/>
      <w:r w:rsidRPr="000770DC">
        <w:rPr>
          <w:rFonts w:cs="Times New Roman"/>
        </w:rPr>
        <w:t>Analysis</w:t>
      </w:r>
      <w:bookmarkEnd w:id="18"/>
      <w:bookmarkEnd w:id="19"/>
      <w:bookmarkEnd w:id="20"/>
    </w:p>
    <w:p w14:paraId="62C20477" w14:textId="77777777" w:rsidR="001346AE" w:rsidRPr="000770DC" w:rsidRDefault="001346AE" w:rsidP="001346AE">
      <w:pPr>
        <w:pStyle w:val="Title2LevelTitre2Niveau"/>
        <w:rPr>
          <w:rFonts w:cs="Times New Roman"/>
        </w:rPr>
      </w:pPr>
      <w:bookmarkStart w:id="21" w:name="_Toc77170378"/>
      <w:bookmarkStart w:id="22" w:name="_Toc77229378"/>
      <w:bookmarkStart w:id="23" w:name="_Toc78040589"/>
      <w:r w:rsidRPr="000770DC">
        <w:rPr>
          <w:rFonts w:cs="Times New Roman"/>
        </w:rPr>
        <w:lastRenderedPageBreak/>
        <w:t>General Anti-Avoidance Rule (“GAAR”)</w:t>
      </w:r>
      <w:bookmarkEnd w:id="21"/>
      <w:bookmarkEnd w:id="22"/>
      <w:bookmarkEnd w:id="23"/>
    </w:p>
    <w:p w14:paraId="4832232F" w14:textId="77777777" w:rsidR="001346AE" w:rsidRPr="000770DC" w:rsidRDefault="001346AE" w:rsidP="001346AE">
      <w:pPr>
        <w:pStyle w:val="ParaNoNdepar-AltN"/>
        <w:rPr>
          <w:rFonts w:cs="Times New Roman"/>
        </w:rPr>
      </w:pPr>
      <w:r w:rsidRPr="000770DC">
        <w:rPr>
          <w:rFonts w:cs="Times New Roman"/>
        </w:rPr>
        <w:t xml:space="preserve">Like all statutes, tax legislation must be interpreted </w:t>
      </w:r>
      <w:r>
        <w:rPr>
          <w:rFonts w:cs="Times New Roman"/>
        </w:rPr>
        <w:t xml:space="preserve">by conducting </w:t>
      </w:r>
      <w:r w:rsidRPr="000770DC">
        <w:rPr>
          <w:rFonts w:cs="Times New Roman"/>
        </w:rPr>
        <w:t>a “textual, contextual and purposive analysis to find a meaning that is harmonious with the Act as a whole” (</w:t>
      </w:r>
      <w:r w:rsidRPr="000770DC">
        <w:rPr>
          <w:rFonts w:cs="Times New Roman"/>
          <w:i/>
        </w:rPr>
        <w:t>Canada Trustco</w:t>
      </w:r>
      <w:r w:rsidRPr="000770DC">
        <w:rPr>
          <w:rFonts w:cs="Times New Roman"/>
        </w:rPr>
        <w:t xml:space="preserve">, at para. 10). However, where tax provisions are drafted with “particularity and detail”, a largely textual interpretation is appropriate in light of the well-accepted </w:t>
      </w:r>
      <w:r w:rsidRPr="000770DC">
        <w:rPr>
          <w:rFonts w:cs="Times New Roman"/>
          <w:i/>
        </w:rPr>
        <w:t xml:space="preserve">Duke of Westminster </w:t>
      </w:r>
      <w:r w:rsidRPr="000770DC">
        <w:rPr>
          <w:rFonts w:cs="Times New Roman"/>
        </w:rPr>
        <w:t>principle that “taxpayers are entitled to arrange their affairs to minimize the amount of tax payable” (</w:t>
      </w:r>
      <w:r w:rsidRPr="000770DC">
        <w:rPr>
          <w:rFonts w:cs="Times New Roman"/>
          <w:i/>
        </w:rPr>
        <w:t>Canada Trustco</w:t>
      </w:r>
      <w:r w:rsidRPr="000770DC">
        <w:rPr>
          <w:rFonts w:cs="Times New Roman"/>
        </w:rPr>
        <w:t xml:space="preserve">, at para. 11, citing </w:t>
      </w:r>
      <w:r w:rsidRPr="000770DC">
        <w:rPr>
          <w:rFonts w:eastAsia="Times New Roman" w:cs="Times New Roman"/>
          <w:i/>
          <w:iCs/>
          <w:szCs w:val="24"/>
          <w:lang w:eastAsia="fr-CA"/>
        </w:rPr>
        <w:t>Commissioners of Inland Revenue v. Duke of Westminster</w:t>
      </w:r>
      <w:r w:rsidRPr="000770DC">
        <w:rPr>
          <w:rFonts w:eastAsia="Times New Roman" w:cs="Times New Roman"/>
          <w:szCs w:val="24"/>
          <w:lang w:eastAsia="fr-CA"/>
        </w:rPr>
        <w:t>, [1936] A.C. 1 (H.L.)). This principle, derived from the rule of law, has been deemed the “foundation stone of Canadian law on tax avoidance” (B.</w:t>
      </w:r>
      <w:r>
        <w:rPr>
          <w:rFonts w:eastAsia="Times New Roman" w:cs="Times New Roman"/>
          <w:szCs w:val="24"/>
          <w:lang w:eastAsia="fr-CA"/>
        </w:rPr>
        <w:t> </w:t>
      </w:r>
      <w:r w:rsidRPr="000770DC">
        <w:rPr>
          <w:rFonts w:eastAsia="Times New Roman" w:cs="Times New Roman"/>
          <w:szCs w:val="24"/>
          <w:lang w:eastAsia="fr-CA"/>
        </w:rPr>
        <w:t>J. Arnold, “Reflections on the Relationship Between Statutory Interpretation and Tax Avoidance” (2001)</w:t>
      </w:r>
      <w:r>
        <w:rPr>
          <w:rFonts w:eastAsia="Times New Roman" w:cs="Times New Roman"/>
          <w:szCs w:val="24"/>
          <w:lang w:eastAsia="fr-CA"/>
        </w:rPr>
        <w:t xml:space="preserve">, 49 </w:t>
      </w:r>
      <w:r w:rsidRPr="00693C7A">
        <w:rPr>
          <w:rFonts w:eastAsia="Times New Roman" w:cs="Times New Roman"/>
          <w:i/>
          <w:iCs/>
          <w:szCs w:val="24"/>
          <w:lang w:eastAsia="fr-CA"/>
        </w:rPr>
        <w:t>Can. Tax J.</w:t>
      </w:r>
      <w:r w:rsidRPr="000770DC">
        <w:rPr>
          <w:rFonts w:eastAsia="Times New Roman" w:cs="Times New Roman"/>
          <w:iCs/>
          <w:szCs w:val="24"/>
          <w:lang w:eastAsia="fr-CA"/>
        </w:rPr>
        <w:t xml:space="preserve"> </w:t>
      </w:r>
      <w:r w:rsidRPr="000770DC">
        <w:rPr>
          <w:rFonts w:eastAsia="Times New Roman" w:cs="Times New Roman"/>
          <w:szCs w:val="24"/>
          <w:lang w:eastAsia="fr-CA"/>
        </w:rPr>
        <w:t>1, at p. </w:t>
      </w:r>
      <w:r>
        <w:rPr>
          <w:rFonts w:eastAsia="Times New Roman" w:cs="Times New Roman"/>
          <w:szCs w:val="24"/>
          <w:lang w:eastAsia="fr-CA"/>
        </w:rPr>
        <w:t>3).</w:t>
      </w:r>
    </w:p>
    <w:p w14:paraId="467C8B0E" w14:textId="77777777" w:rsidR="001346AE" w:rsidRPr="000770DC" w:rsidRDefault="001346AE" w:rsidP="001346AE">
      <w:pPr>
        <w:pStyle w:val="ParaNoNdepar-AltN"/>
        <w:rPr>
          <w:rFonts w:cs="Times New Roman"/>
        </w:rPr>
      </w:pPr>
      <w:r w:rsidRPr="000770DC">
        <w:rPr>
          <w:rFonts w:cs="Times New Roman"/>
        </w:rPr>
        <w:t xml:space="preserve">This established principle was affected by the enactment of s. 245 of the </w:t>
      </w:r>
      <w:r w:rsidRPr="000770DC">
        <w:rPr>
          <w:rFonts w:cs="Times New Roman"/>
          <w:i/>
        </w:rPr>
        <w:t>Act</w:t>
      </w:r>
      <w:r w:rsidRPr="000770DC">
        <w:rPr>
          <w:rFonts w:cs="Times New Roman"/>
        </w:rPr>
        <w:t>, also known as the GAAR, which “superimposed a prohibition on abusive tax avoidance, with the effect that the literal application of provisions of the Act may be seen as abusive in light of their context and purpose” (</w:t>
      </w:r>
      <w:r w:rsidRPr="000770DC">
        <w:rPr>
          <w:rFonts w:cs="Times New Roman"/>
          <w:i/>
        </w:rPr>
        <w:t>Canada Trustco</w:t>
      </w:r>
      <w:r w:rsidRPr="000770DC">
        <w:rPr>
          <w:rFonts w:cs="Times New Roman"/>
        </w:rPr>
        <w:t xml:space="preserve">, at para. 1). Thus, if the Minister can establish abusive tax avoidance under the GAAR, s. 245 of the </w:t>
      </w:r>
      <w:r w:rsidRPr="000770DC">
        <w:rPr>
          <w:rFonts w:cs="Times New Roman"/>
          <w:i/>
        </w:rPr>
        <w:t>Act</w:t>
      </w:r>
      <w:r w:rsidRPr="000770DC">
        <w:rPr>
          <w:rFonts w:cs="Times New Roman"/>
        </w:rPr>
        <w:t xml:space="preserve"> will apply to deny the tax benefit even where the tax arrangements are</w:t>
      </w:r>
      <w:r>
        <w:rPr>
          <w:rFonts w:cs="Times New Roman"/>
        </w:rPr>
        <w:t xml:space="preserve"> consistent</w:t>
      </w:r>
      <w:r w:rsidRPr="000770DC">
        <w:rPr>
          <w:rFonts w:cs="Times New Roman"/>
        </w:rPr>
        <w:t xml:space="preserve"> with a literal interpretation of the relevant provisions (</w:t>
      </w:r>
      <w:r w:rsidRPr="000770DC">
        <w:rPr>
          <w:rFonts w:cs="Times New Roman"/>
          <w:i/>
        </w:rPr>
        <w:t>Copthorne Holdings Ltd. v. Canada</w:t>
      </w:r>
      <w:r w:rsidRPr="000770DC">
        <w:rPr>
          <w:rFonts w:cs="Times New Roman"/>
        </w:rPr>
        <w:t xml:space="preserve">, 2011 SCC 63, </w:t>
      </w:r>
      <w:r>
        <w:rPr>
          <w:rFonts w:cs="Times New Roman"/>
        </w:rPr>
        <w:t xml:space="preserve">[2011] 3 S.C.R. 721, </w:t>
      </w:r>
      <w:r w:rsidRPr="000770DC">
        <w:rPr>
          <w:rFonts w:cs="Times New Roman"/>
        </w:rPr>
        <w:t xml:space="preserve">at para. 66). The GAAR applies both to the abuse of provisions found in the </w:t>
      </w:r>
      <w:r w:rsidRPr="000770DC">
        <w:rPr>
          <w:rFonts w:cs="Times New Roman"/>
          <w:i/>
        </w:rPr>
        <w:t xml:space="preserve">Act </w:t>
      </w:r>
      <w:r w:rsidRPr="000770DC">
        <w:rPr>
          <w:rFonts w:cs="Times New Roman"/>
        </w:rPr>
        <w:t xml:space="preserve">and </w:t>
      </w:r>
      <w:r>
        <w:rPr>
          <w:rFonts w:cs="Times New Roman"/>
        </w:rPr>
        <w:t xml:space="preserve">to the abuse of provisions found </w:t>
      </w:r>
      <w:r w:rsidRPr="000770DC">
        <w:rPr>
          <w:rFonts w:cs="Times New Roman"/>
        </w:rPr>
        <w:t xml:space="preserve">in a tax </w:t>
      </w:r>
      <w:r w:rsidRPr="000770DC">
        <w:rPr>
          <w:rFonts w:cs="Times New Roman"/>
        </w:rPr>
        <w:lastRenderedPageBreak/>
        <w:t>treaty (s. 245(4)(a)</w:t>
      </w:r>
      <w:r>
        <w:rPr>
          <w:rFonts w:cs="Times New Roman"/>
        </w:rPr>
        <w:t xml:space="preserve">(i) and </w:t>
      </w:r>
      <w:r w:rsidRPr="000770DC">
        <w:rPr>
          <w:rFonts w:cs="Times New Roman"/>
        </w:rPr>
        <w:t xml:space="preserve">(iv) of the </w:t>
      </w:r>
      <w:r w:rsidRPr="000770DC">
        <w:rPr>
          <w:rFonts w:cs="Times New Roman"/>
          <w:i/>
        </w:rPr>
        <w:t>Act</w:t>
      </w:r>
      <w:r w:rsidRPr="000770DC">
        <w:rPr>
          <w:rFonts w:cs="Times New Roman"/>
        </w:rPr>
        <w:t xml:space="preserve">; s. 4.1 of the </w:t>
      </w:r>
      <w:r w:rsidRPr="000770DC">
        <w:rPr>
          <w:rFonts w:cs="Times New Roman"/>
          <w:i/>
        </w:rPr>
        <w:t>Income Tax Conventions Interpretation Act</w:t>
      </w:r>
      <w:r w:rsidRPr="000770DC">
        <w:rPr>
          <w:rFonts w:cs="Times New Roman"/>
        </w:rPr>
        <w:t>, R.S.C. 1985, c. </w:t>
      </w:r>
      <w:r>
        <w:rPr>
          <w:rFonts w:cs="Times New Roman"/>
        </w:rPr>
        <w:t>I-4).</w:t>
      </w:r>
    </w:p>
    <w:p w14:paraId="32EF6EC7" w14:textId="77777777" w:rsidR="001346AE" w:rsidRPr="000770DC" w:rsidRDefault="001346AE" w:rsidP="001346AE">
      <w:pPr>
        <w:pStyle w:val="ParaNoNdepar-AltN"/>
        <w:rPr>
          <w:rFonts w:cs="Times New Roman"/>
        </w:rPr>
      </w:pPr>
      <w:r>
        <w:rPr>
          <w:rFonts w:cs="Times New Roman"/>
        </w:rPr>
        <w:t>Applying</w:t>
      </w:r>
      <w:r w:rsidRPr="000770DC">
        <w:rPr>
          <w:rFonts w:cs="Times New Roman"/>
        </w:rPr>
        <w:t xml:space="preserve"> the GAAR </w:t>
      </w:r>
      <w:r>
        <w:rPr>
          <w:rFonts w:cs="Times New Roman"/>
        </w:rPr>
        <w:t>involves</w:t>
      </w:r>
      <w:r w:rsidRPr="000770DC">
        <w:rPr>
          <w:rFonts w:cs="Times New Roman"/>
        </w:rPr>
        <w:t xml:space="preserve"> a three-</w:t>
      </w:r>
      <w:r>
        <w:rPr>
          <w:rFonts w:cs="Times New Roman"/>
        </w:rPr>
        <w:t>part</w:t>
      </w:r>
      <w:r w:rsidRPr="000770DC">
        <w:rPr>
          <w:rFonts w:cs="Times New Roman"/>
        </w:rPr>
        <w:t xml:space="preserve"> process</w:t>
      </w:r>
      <w:r>
        <w:rPr>
          <w:rFonts w:cs="Times New Roman"/>
        </w:rPr>
        <w:t xml:space="preserve"> meant to determine: (1) </w:t>
      </w:r>
      <w:r w:rsidRPr="000770DC">
        <w:rPr>
          <w:rFonts w:cs="Times New Roman"/>
        </w:rPr>
        <w:t>whether there is a tax benefit</w:t>
      </w:r>
      <w:r>
        <w:rPr>
          <w:rFonts w:cs="Times New Roman"/>
        </w:rPr>
        <w:t xml:space="preserve"> arising from a transaction; (2) </w:t>
      </w:r>
      <w:r w:rsidRPr="000770DC">
        <w:rPr>
          <w:rFonts w:cs="Times New Roman"/>
        </w:rPr>
        <w:t>whether the</w:t>
      </w:r>
      <w:r>
        <w:rPr>
          <w:rFonts w:cs="Times New Roman"/>
        </w:rPr>
        <w:t xml:space="preserve"> transaction</w:t>
      </w:r>
      <w:r w:rsidRPr="000770DC">
        <w:rPr>
          <w:rFonts w:cs="Times New Roman"/>
        </w:rPr>
        <w:t xml:space="preserve"> is an avoidance transaction; and (3)</w:t>
      </w:r>
      <w:r>
        <w:rPr>
          <w:rFonts w:cs="Times New Roman"/>
        </w:rPr>
        <w:t> </w:t>
      </w:r>
      <w:r w:rsidRPr="000770DC">
        <w:rPr>
          <w:rFonts w:cs="Times New Roman"/>
        </w:rPr>
        <w:t>whether the avoidance transaction is abusive (</w:t>
      </w:r>
      <w:r w:rsidRPr="000770DC">
        <w:rPr>
          <w:rFonts w:cs="Times New Roman"/>
          <w:i/>
        </w:rPr>
        <w:t>Canada Trustco</w:t>
      </w:r>
      <w:r w:rsidRPr="000770DC">
        <w:rPr>
          <w:rFonts w:cs="Times New Roman"/>
        </w:rPr>
        <w:t xml:space="preserve">, at para. 17). As mentioned above, the third </w:t>
      </w:r>
      <w:r>
        <w:rPr>
          <w:rFonts w:cs="Times New Roman"/>
        </w:rPr>
        <w:t>part</w:t>
      </w:r>
      <w:r w:rsidRPr="000770DC">
        <w:rPr>
          <w:rFonts w:cs="Times New Roman"/>
        </w:rPr>
        <w:t xml:space="preserve"> is the only </w:t>
      </w:r>
      <w:r>
        <w:rPr>
          <w:rFonts w:cs="Times New Roman"/>
        </w:rPr>
        <w:t xml:space="preserve">one in </w:t>
      </w:r>
      <w:r w:rsidRPr="000770DC">
        <w:rPr>
          <w:rFonts w:cs="Times New Roman"/>
        </w:rPr>
        <w:t xml:space="preserve">issue before this Court. To determine whether </w:t>
      </w:r>
      <w:r>
        <w:rPr>
          <w:rFonts w:cs="Times New Roman"/>
        </w:rPr>
        <w:t>a</w:t>
      </w:r>
      <w:r w:rsidRPr="000770DC">
        <w:rPr>
          <w:rFonts w:cs="Times New Roman"/>
        </w:rPr>
        <w:t xml:space="preserve"> transaction is abusive, this Court has set out a two-step inquiry</w:t>
      </w:r>
      <w:r>
        <w:rPr>
          <w:rFonts w:cs="Times New Roman"/>
        </w:rPr>
        <w:t xml:space="preserve"> (</w:t>
      </w:r>
      <w:r w:rsidRPr="00693C7A">
        <w:rPr>
          <w:rFonts w:cs="Times New Roman"/>
          <w:i/>
        </w:rPr>
        <w:t>Canad</w:t>
      </w:r>
      <w:r>
        <w:rPr>
          <w:rFonts w:cs="Times New Roman"/>
          <w:i/>
        </w:rPr>
        <w:t>a</w:t>
      </w:r>
      <w:r w:rsidRPr="00693C7A">
        <w:rPr>
          <w:rFonts w:cs="Times New Roman"/>
          <w:i/>
        </w:rPr>
        <w:t xml:space="preserve"> Trustco</w:t>
      </w:r>
      <w:r>
        <w:rPr>
          <w:rFonts w:cs="Times New Roman"/>
        </w:rPr>
        <w:t>, at paras. 44 and 55)</w:t>
      </w:r>
      <w:r w:rsidRPr="000770DC">
        <w:rPr>
          <w:rFonts w:cs="Times New Roman"/>
        </w:rPr>
        <w:t xml:space="preserve">. Under the first step, the provisions relied on for the tax benefit are interpreted to determine their object, spirit, and purpose. </w:t>
      </w:r>
      <w:r>
        <w:rPr>
          <w:rFonts w:cs="Times New Roman"/>
        </w:rPr>
        <w:t>T</w:t>
      </w:r>
      <w:r w:rsidRPr="00413FCA">
        <w:rPr>
          <w:rFonts w:cs="Times New Roman"/>
        </w:rPr>
        <w:t>he second step is to</w:t>
      </w:r>
      <w:r>
        <w:rPr>
          <w:rFonts w:cs="Times New Roman"/>
        </w:rPr>
        <w:t xml:space="preserve"> undertake a factual analysis </w:t>
      </w:r>
      <w:r w:rsidRPr="000770DC">
        <w:rPr>
          <w:rFonts w:cs="Times New Roman"/>
        </w:rPr>
        <w:t>to determine whether the avoidance transaction at issue is consistent with or frustrates the object, spirit,</w:t>
      </w:r>
      <w:r>
        <w:rPr>
          <w:rFonts w:cs="Times New Roman"/>
        </w:rPr>
        <w:t xml:space="preserve"> and purpose of the provisions.</w:t>
      </w:r>
    </w:p>
    <w:p w14:paraId="2679A834" w14:textId="77777777" w:rsidR="001346AE" w:rsidRPr="000770DC" w:rsidRDefault="001346AE" w:rsidP="001346AE">
      <w:pPr>
        <w:pStyle w:val="ParaNoNdepar-AltN"/>
        <w:rPr>
          <w:rFonts w:cs="Times New Roman"/>
        </w:rPr>
      </w:pPr>
      <w:r w:rsidRPr="000770DC">
        <w:rPr>
          <w:rFonts w:cs="Times New Roman"/>
        </w:rPr>
        <w:t>The onus rests on the Minister to demonstrate the object, spirit, and purpose of the relevant provisions and to establish that allowing Alta Luxembourg the benefit of the exemption would be a misuse or an abuse of the provisions (</w:t>
      </w:r>
      <w:r w:rsidRPr="000770DC">
        <w:rPr>
          <w:rFonts w:cs="Times New Roman"/>
          <w:i/>
        </w:rPr>
        <w:t>Canada Trustco</w:t>
      </w:r>
      <w:r w:rsidRPr="000770DC">
        <w:rPr>
          <w:rFonts w:cs="Times New Roman"/>
        </w:rPr>
        <w:t xml:space="preserve">, at para. 65). Abusive tax avoidance occurs “when a taxpayer relies on specific provisions of the </w:t>
      </w:r>
      <w:r w:rsidRPr="000770DC">
        <w:rPr>
          <w:rFonts w:cs="Times New Roman"/>
          <w:i/>
        </w:rPr>
        <w:t>Income Tax Act</w:t>
      </w:r>
      <w:r w:rsidRPr="000770DC">
        <w:rPr>
          <w:rFonts w:cs="Times New Roman"/>
        </w:rPr>
        <w:t xml:space="preserve"> </w:t>
      </w:r>
      <w:r>
        <w:rPr>
          <w:rFonts w:cs="Times New Roman"/>
        </w:rPr>
        <w:t xml:space="preserve">in order </w:t>
      </w:r>
      <w:r w:rsidRPr="000770DC">
        <w:rPr>
          <w:rFonts w:cs="Times New Roman"/>
        </w:rPr>
        <w:t>to achieve an outcome that those provisions seek to prevent” or when a transaction “defeats the underlying rationale of the provisions</w:t>
      </w:r>
      <w:r>
        <w:rPr>
          <w:rFonts w:cs="Times New Roman"/>
        </w:rPr>
        <w:t xml:space="preserve"> that are</w:t>
      </w:r>
      <w:r w:rsidRPr="000770DC">
        <w:rPr>
          <w:rFonts w:cs="Times New Roman"/>
        </w:rPr>
        <w:t xml:space="preserve"> relied upon” (</w:t>
      </w:r>
      <w:r w:rsidRPr="000770DC">
        <w:rPr>
          <w:rFonts w:cs="Times New Roman"/>
          <w:i/>
        </w:rPr>
        <w:t>Canada Trustco</w:t>
      </w:r>
      <w:r w:rsidRPr="00E82904">
        <w:rPr>
          <w:rFonts w:cs="Times New Roman"/>
        </w:rPr>
        <w:t>,</w:t>
      </w:r>
      <w:r w:rsidRPr="000770DC">
        <w:rPr>
          <w:rFonts w:cs="Times New Roman"/>
          <w:i/>
        </w:rPr>
        <w:t xml:space="preserve"> </w:t>
      </w:r>
      <w:r w:rsidRPr="000770DC">
        <w:rPr>
          <w:rFonts w:cs="Times New Roman"/>
        </w:rPr>
        <w:t>at paras. 45</w:t>
      </w:r>
      <w:r>
        <w:rPr>
          <w:rFonts w:cs="Times New Roman"/>
        </w:rPr>
        <w:t>; see also para. </w:t>
      </w:r>
      <w:r w:rsidRPr="000770DC">
        <w:rPr>
          <w:rFonts w:cs="Times New Roman"/>
        </w:rPr>
        <w:t>57</w:t>
      </w:r>
      <w:r>
        <w:rPr>
          <w:rFonts w:cs="Times New Roman"/>
        </w:rPr>
        <w:t xml:space="preserve">; </w:t>
      </w:r>
      <w:r w:rsidRPr="000770DC">
        <w:rPr>
          <w:rFonts w:cs="Times New Roman"/>
          <w:i/>
        </w:rPr>
        <w:t>Lipson</w:t>
      </w:r>
      <w:r>
        <w:rPr>
          <w:rFonts w:cs="Times New Roman"/>
          <w:i/>
        </w:rPr>
        <w:t xml:space="preserve"> v. Canada</w:t>
      </w:r>
      <w:r w:rsidRPr="000770DC">
        <w:rPr>
          <w:rFonts w:cs="Times New Roman"/>
        </w:rPr>
        <w:t>,</w:t>
      </w:r>
      <w:r w:rsidRPr="000770DC">
        <w:rPr>
          <w:rFonts w:cs="Times New Roman"/>
          <w:i/>
        </w:rPr>
        <w:t xml:space="preserve"> </w:t>
      </w:r>
      <w:r w:rsidRPr="000770DC">
        <w:rPr>
          <w:rFonts w:cs="Times New Roman"/>
        </w:rPr>
        <w:t xml:space="preserve">2009 SCC 1, </w:t>
      </w:r>
      <w:r>
        <w:rPr>
          <w:rFonts w:cs="Times New Roman"/>
        </w:rPr>
        <w:t xml:space="preserve">[2009] 1 S.C.R. 3, </w:t>
      </w:r>
      <w:r w:rsidRPr="000770DC">
        <w:rPr>
          <w:rFonts w:cs="Times New Roman"/>
        </w:rPr>
        <w:t>at para. 40). Abusive tax avoidance can also occur when an arrangement “circumvents the application of certain pr</w:t>
      </w:r>
      <w:r>
        <w:rPr>
          <w:rFonts w:cs="Times New Roman"/>
        </w:rPr>
        <w:t xml:space="preserve">ovisions, such as </w:t>
      </w:r>
      <w:r>
        <w:rPr>
          <w:rFonts w:cs="Times New Roman"/>
        </w:rPr>
        <w:lastRenderedPageBreak/>
        <w:t>specific anti</w:t>
      </w:r>
      <w:r>
        <w:rPr>
          <w:rFonts w:cs="Times New Roman"/>
        </w:rPr>
        <w:noBreakHyphen/>
      </w:r>
      <w:r w:rsidRPr="000770DC">
        <w:rPr>
          <w:rFonts w:cs="Times New Roman"/>
        </w:rPr>
        <w:t>avoidance rules, in a manner that frustrates or defeats the object, spirit or purpose of those provisions” (</w:t>
      </w:r>
      <w:r>
        <w:rPr>
          <w:rFonts w:cs="Times New Roman"/>
        </w:rPr>
        <w:t>para. 45</w:t>
      </w:r>
      <w:r w:rsidRPr="000770DC">
        <w:rPr>
          <w:rFonts w:cs="Times New Roman"/>
        </w:rPr>
        <w:t>).</w:t>
      </w:r>
    </w:p>
    <w:p w14:paraId="2436998D" w14:textId="77777777" w:rsidR="001346AE" w:rsidRPr="000770DC" w:rsidRDefault="001346AE" w:rsidP="001346AE">
      <w:pPr>
        <w:pStyle w:val="ParaNoNdepar-AltN"/>
        <w:rPr>
          <w:rFonts w:cs="Times New Roman"/>
        </w:rPr>
      </w:pPr>
      <w:r w:rsidRPr="000770DC">
        <w:rPr>
          <w:rFonts w:cs="Times New Roman"/>
          <w:i/>
        </w:rPr>
        <w:t xml:space="preserve">Canada Trustco </w:t>
      </w:r>
      <w:r w:rsidRPr="000770DC">
        <w:rPr>
          <w:rFonts w:cs="Times New Roman"/>
        </w:rPr>
        <w:t xml:space="preserve">recognized that the line between legitimate tax minimization and </w:t>
      </w:r>
      <w:r>
        <w:rPr>
          <w:rFonts w:cs="Times New Roman"/>
        </w:rPr>
        <w:t xml:space="preserve">abusive </w:t>
      </w:r>
      <w:r w:rsidRPr="000770DC">
        <w:rPr>
          <w:rFonts w:cs="Times New Roman"/>
        </w:rPr>
        <w:t xml:space="preserve">tax avoidance is “far from bright” (para. 16). </w:t>
      </w:r>
      <w:r>
        <w:rPr>
          <w:rFonts w:cs="Times New Roman"/>
        </w:rPr>
        <w:t>As a result</w:t>
      </w:r>
      <w:r w:rsidRPr="000770DC">
        <w:rPr>
          <w:rFonts w:cs="Times New Roman"/>
        </w:rPr>
        <w:t>, “[i]f the existence of abusive tax avoidance is unclear, the benefit of the doubt goes to the taxpayer” (</w:t>
      </w:r>
      <w:r w:rsidRPr="000770DC">
        <w:rPr>
          <w:rFonts w:cs="Times New Roman"/>
          <w:i/>
        </w:rPr>
        <w:t>Canada Trustco</w:t>
      </w:r>
      <w:r w:rsidRPr="000770DC">
        <w:rPr>
          <w:rFonts w:cs="Times New Roman"/>
        </w:rPr>
        <w:t>, at para. 66;</w:t>
      </w:r>
      <w:r w:rsidRPr="000770DC">
        <w:rPr>
          <w:rFonts w:cs="Times New Roman"/>
          <w:i/>
        </w:rPr>
        <w:t xml:space="preserve"> </w:t>
      </w:r>
      <w:r w:rsidRPr="000770DC">
        <w:rPr>
          <w:rFonts w:cs="Times New Roman"/>
        </w:rPr>
        <w:t xml:space="preserve">see also </w:t>
      </w:r>
      <w:r w:rsidRPr="000770DC">
        <w:rPr>
          <w:rFonts w:cs="Times New Roman"/>
          <w:i/>
        </w:rPr>
        <w:t>Copthorne</w:t>
      </w:r>
      <w:r w:rsidRPr="000770DC">
        <w:rPr>
          <w:rFonts w:cs="Times New Roman"/>
        </w:rPr>
        <w:t>, at para. 72).</w:t>
      </w:r>
    </w:p>
    <w:p w14:paraId="5DAD74B6" w14:textId="77777777" w:rsidR="001346AE" w:rsidRPr="000770DC" w:rsidRDefault="001346AE" w:rsidP="001346AE">
      <w:pPr>
        <w:pStyle w:val="Title2LevelTitre2Niveau"/>
        <w:rPr>
          <w:rFonts w:cs="Times New Roman"/>
        </w:rPr>
      </w:pPr>
      <w:bookmarkStart w:id="24" w:name="_Toc77170379"/>
      <w:bookmarkStart w:id="25" w:name="_Toc77229379"/>
      <w:bookmarkStart w:id="26" w:name="_Toc78040590"/>
      <w:r w:rsidRPr="000770DC">
        <w:rPr>
          <w:rFonts w:cs="Times New Roman"/>
        </w:rPr>
        <w:t>International Tax Treaties</w:t>
      </w:r>
      <w:bookmarkEnd w:id="24"/>
      <w:bookmarkEnd w:id="25"/>
      <w:bookmarkEnd w:id="26"/>
    </w:p>
    <w:p w14:paraId="626356B0" w14:textId="77777777" w:rsidR="001346AE" w:rsidRPr="000770DC" w:rsidRDefault="001346AE" w:rsidP="001346AE">
      <w:pPr>
        <w:pStyle w:val="Title3LevelTitre3Niveau"/>
        <w:rPr>
          <w:rFonts w:cs="Times New Roman"/>
        </w:rPr>
      </w:pPr>
      <w:bookmarkStart w:id="27" w:name="_Toc77170380"/>
      <w:bookmarkStart w:id="28" w:name="_Toc77229380"/>
      <w:bookmarkStart w:id="29" w:name="_Toc78040591"/>
      <w:r w:rsidRPr="000770DC">
        <w:rPr>
          <w:rFonts w:cs="Times New Roman"/>
        </w:rPr>
        <w:t>General Principles</w:t>
      </w:r>
      <w:bookmarkEnd w:id="27"/>
      <w:bookmarkEnd w:id="28"/>
      <w:bookmarkEnd w:id="29"/>
    </w:p>
    <w:p w14:paraId="18017F59" w14:textId="77777777" w:rsidR="001346AE" w:rsidRPr="000770DC" w:rsidRDefault="001346AE" w:rsidP="001346AE">
      <w:pPr>
        <w:pStyle w:val="ParaNoNdepar-AltN"/>
        <w:rPr>
          <w:rFonts w:cs="Times New Roman"/>
        </w:rPr>
      </w:pPr>
      <w:r>
        <w:rPr>
          <w:rFonts w:cs="Times New Roman"/>
        </w:rPr>
        <w:t xml:space="preserve">In </w:t>
      </w:r>
      <w:r w:rsidRPr="000770DC">
        <w:rPr>
          <w:rFonts w:cs="Times New Roman"/>
          <w:i/>
        </w:rPr>
        <w:t>R. v. Melford</w:t>
      </w:r>
      <w:r>
        <w:rPr>
          <w:rFonts w:cs="Times New Roman"/>
          <w:i/>
        </w:rPr>
        <w:t xml:space="preserve"> Developments Inc.</w:t>
      </w:r>
      <w:r w:rsidRPr="000770DC">
        <w:rPr>
          <w:rFonts w:cs="Times New Roman"/>
        </w:rPr>
        <w:t>, [1982] 2 S.C.R. 504, at p. 513</w:t>
      </w:r>
      <w:r>
        <w:rPr>
          <w:rFonts w:cs="Times New Roman"/>
        </w:rPr>
        <w:t>, this Court applied the principle that t</w:t>
      </w:r>
      <w:r w:rsidRPr="000770DC">
        <w:rPr>
          <w:rFonts w:cs="Times New Roman"/>
        </w:rPr>
        <w:t>ax treaties do not themselves levy new taxes</w:t>
      </w:r>
      <w:r>
        <w:rPr>
          <w:rFonts w:cs="Times New Roman"/>
        </w:rPr>
        <w:t>,</w:t>
      </w:r>
      <w:r w:rsidRPr="000770DC">
        <w:rPr>
          <w:rFonts w:cs="Times New Roman"/>
        </w:rPr>
        <w:t xml:space="preserve"> they simply authorize the contracting parties to do so</w:t>
      </w:r>
      <w:r>
        <w:rPr>
          <w:rFonts w:cs="Times New Roman"/>
        </w:rPr>
        <w:t xml:space="preserve">. </w:t>
      </w:r>
      <w:r w:rsidRPr="000770DC">
        <w:rPr>
          <w:rFonts w:cs="Times New Roman"/>
        </w:rPr>
        <w:t>Reciprocity is a fundamental principle underlying tax treaties, as they confer rights and impose obligations on each of the contracting states. Hogan</w:t>
      </w:r>
      <w:r>
        <w:rPr>
          <w:rFonts w:cs="Times New Roman"/>
        </w:rPr>
        <w:t> J.</w:t>
      </w:r>
      <w:r w:rsidRPr="000770DC">
        <w:rPr>
          <w:rFonts w:cs="Times New Roman"/>
        </w:rPr>
        <w:t xml:space="preserve"> observed that</w:t>
      </w:r>
      <w:r>
        <w:rPr>
          <w:rFonts w:cs="Times New Roman"/>
        </w:rPr>
        <w:t xml:space="preserve"> </w:t>
      </w:r>
      <w:r w:rsidRPr="000770DC">
        <w:rPr>
          <w:rFonts w:cs="Times New Roman"/>
        </w:rPr>
        <w:t xml:space="preserve">“[p]arties to a tax treaty are presumed to know the other country’s tax system when they negotiate a </w:t>
      </w:r>
      <w:r>
        <w:rPr>
          <w:rFonts w:cs="Times New Roman"/>
        </w:rPr>
        <w:t xml:space="preserve">tax </w:t>
      </w:r>
      <w:r w:rsidRPr="000770DC">
        <w:rPr>
          <w:rFonts w:cs="Times New Roman"/>
        </w:rPr>
        <w:t>treaty; they are presumed to know the tax consequences of a tax treaty when they negotiate amendments to that treaty” (para. 84). Th</w:t>
      </w:r>
      <w:r>
        <w:rPr>
          <w:rFonts w:cs="Times New Roman"/>
        </w:rPr>
        <w:t>is</w:t>
      </w:r>
      <w:r w:rsidRPr="000770DC">
        <w:rPr>
          <w:rFonts w:cs="Times New Roman"/>
        </w:rPr>
        <w:t xml:space="preserve"> only makes sense.</w:t>
      </w:r>
    </w:p>
    <w:p w14:paraId="0C7F31E8" w14:textId="77777777" w:rsidR="001346AE" w:rsidRPr="000770DC" w:rsidRDefault="001346AE" w:rsidP="001346AE">
      <w:pPr>
        <w:pStyle w:val="ParaNoNdepar-AltN"/>
        <w:rPr>
          <w:rFonts w:cs="Times New Roman"/>
        </w:rPr>
      </w:pPr>
      <w:r w:rsidRPr="000770DC">
        <w:rPr>
          <w:rFonts w:cs="Times New Roman"/>
        </w:rPr>
        <w:t xml:space="preserve">The objective of tax treaties, broadly stated, is to govern the interactions between national tax laws </w:t>
      </w:r>
      <w:r>
        <w:rPr>
          <w:rFonts w:cs="Times New Roman"/>
        </w:rPr>
        <w:t xml:space="preserve">in order </w:t>
      </w:r>
      <w:r w:rsidRPr="000770DC">
        <w:rPr>
          <w:rFonts w:cs="Times New Roman"/>
        </w:rPr>
        <w:t xml:space="preserve">to facilitate cross-border trade and investment. One of the most important operational </w:t>
      </w:r>
      <w:r>
        <w:rPr>
          <w:rFonts w:cs="Times New Roman"/>
        </w:rPr>
        <w:t>goals</w:t>
      </w:r>
      <w:r w:rsidRPr="000770DC">
        <w:rPr>
          <w:rFonts w:cs="Times New Roman"/>
        </w:rPr>
        <w:t xml:space="preserve"> is the elimination of double taxation, where the </w:t>
      </w:r>
      <w:r w:rsidRPr="000770DC">
        <w:rPr>
          <w:rFonts w:cs="Times New Roman"/>
        </w:rPr>
        <w:lastRenderedPageBreak/>
        <w:t>same source of income is taxed by two or more states without any relief. If left unchecked, double taxation risks creating barriers to international trade and investment</w:t>
      </w:r>
      <w:r>
        <w:rPr>
          <w:rFonts w:cs="Times New Roman"/>
        </w:rPr>
        <w:t>, which are</w:t>
      </w:r>
      <w:r w:rsidRPr="000770DC">
        <w:rPr>
          <w:rFonts w:cs="Times New Roman"/>
        </w:rPr>
        <w:t xml:space="preserve"> vital in a globalized</w:t>
      </w:r>
      <w:r>
        <w:rPr>
          <w:rFonts w:cs="Times New Roman"/>
        </w:rPr>
        <w:t xml:space="preserve"> economy. Thus, many substantive</w:t>
      </w:r>
      <w:r w:rsidRPr="000770DC">
        <w:rPr>
          <w:rFonts w:cs="Times New Roman"/>
        </w:rPr>
        <w:t xml:space="preserve"> provisions of the OECD </w:t>
      </w:r>
      <w:r w:rsidRPr="000D61E8">
        <w:rPr>
          <w:rFonts w:cs="Times New Roman"/>
          <w:i/>
        </w:rPr>
        <w:t>Model Treaty</w:t>
      </w:r>
      <w:r w:rsidRPr="000770DC">
        <w:rPr>
          <w:rFonts w:cs="Times New Roman"/>
        </w:rPr>
        <w:t>, a model for numerous bilateral tax treaties, are directed to achieving this goal and resolving conflicting claims between residence-based taxa</w:t>
      </w:r>
      <w:r>
        <w:rPr>
          <w:rFonts w:cs="Times New Roman"/>
        </w:rPr>
        <w:t>tion and source-based taxation.</w:t>
      </w:r>
    </w:p>
    <w:p w14:paraId="06AA4A15" w14:textId="77777777" w:rsidR="001346AE" w:rsidRPr="000770DC" w:rsidRDefault="001346AE" w:rsidP="001346AE">
      <w:pPr>
        <w:pStyle w:val="ParaNoNdepar-AltN"/>
        <w:rPr>
          <w:rFonts w:cs="Times New Roman"/>
        </w:rPr>
      </w:pPr>
      <w:r w:rsidRPr="000770DC">
        <w:rPr>
          <w:rFonts w:cs="Times New Roman"/>
        </w:rPr>
        <w:t>Another important consideration is the dual nature — contractual and statutory — of tax treaties. Consideration of the contractual element is crucial to the application of the GAAR because it focuses the analysis on whether the particular tax planning strategy is consistent with the compromises reached by the contracting states. As noted by international tax law scholars Jinyan</w:t>
      </w:r>
      <w:r>
        <w:rPr>
          <w:rFonts w:cs="Times New Roman"/>
        </w:rPr>
        <w:t> </w:t>
      </w:r>
      <w:r w:rsidRPr="000770DC">
        <w:rPr>
          <w:rFonts w:cs="Times New Roman"/>
        </w:rPr>
        <w:t>Li and Arthur</w:t>
      </w:r>
      <w:r>
        <w:rPr>
          <w:rFonts w:cs="Times New Roman"/>
        </w:rPr>
        <w:t> </w:t>
      </w:r>
      <w:r w:rsidRPr="000770DC">
        <w:rPr>
          <w:rFonts w:cs="Times New Roman"/>
        </w:rPr>
        <w:t xml:space="preserve">Cockfield: </w:t>
      </w:r>
    </w:p>
    <w:p w14:paraId="4DE8AEF7" w14:textId="77777777" w:rsidR="001346AE" w:rsidRDefault="001346AE" w:rsidP="001346AE">
      <w:pPr>
        <w:pStyle w:val="Citation-AltC"/>
      </w:pPr>
      <w:r w:rsidRPr="000770DC">
        <w:t xml:space="preserve">Whether the particular outcome of tax planning is defensible may depend on the understanding of the “bargain” struck by the two treaty partner countries. Every dispute involving the application of a tax treaty needs to ask the question of whether and how one treaty partner can dispute or should be allowed to upset the “bargain” struck in its own national interest that inheres in the treaty “contract”. Despite the offence that one treaty partner may take, in retrospect, to how a treaty provision is applied, the question remains: </w:t>
      </w:r>
      <w:r w:rsidRPr="000770DC">
        <w:rPr>
          <w:u w:val="single"/>
        </w:rPr>
        <w:t>Might the particular outcome be one that the other treaty partner foresaw or reflect the “contractual intention” of the other treaty partner?</w:t>
      </w:r>
      <w:r w:rsidRPr="000770DC">
        <w:t xml:space="preserve"> After all, the “bargain” was entered into by the parties out of mutual self-interest. </w:t>
      </w:r>
      <w:r w:rsidRPr="000770DC">
        <w:rPr>
          <w:u w:val="single"/>
        </w:rPr>
        <w:t>This is particularly re</w:t>
      </w:r>
      <w:r>
        <w:rPr>
          <w:u w:val="single"/>
        </w:rPr>
        <w:t>levant in applying general anti</w:t>
      </w:r>
      <w:r>
        <w:rPr>
          <w:u w:val="single"/>
        </w:rPr>
        <w:noBreakHyphen/>
      </w:r>
      <w:r w:rsidRPr="000770DC">
        <w:rPr>
          <w:u w:val="single"/>
        </w:rPr>
        <w:t>avoidance rules.</w:t>
      </w:r>
      <w:r w:rsidRPr="000770DC">
        <w:t xml:space="preserve"> </w:t>
      </w:r>
      <w:r>
        <w:t>[Emphasis added.]</w:t>
      </w:r>
    </w:p>
    <w:p w14:paraId="728D216E" w14:textId="77777777" w:rsidR="001346AE" w:rsidRDefault="001346AE" w:rsidP="001346AE">
      <w:pPr>
        <w:pStyle w:val="Citation-AltC"/>
      </w:pPr>
    </w:p>
    <w:p w14:paraId="2B4861CA" w14:textId="77777777" w:rsidR="001346AE" w:rsidRPr="000770DC" w:rsidRDefault="001346AE" w:rsidP="001346AE">
      <w:pPr>
        <w:pStyle w:val="Citation-AltC"/>
      </w:pPr>
      <w:r>
        <w:t>(J. Li and A. </w:t>
      </w:r>
      <w:r w:rsidRPr="000770DC">
        <w:t>Cockfield, with J.</w:t>
      </w:r>
      <w:r>
        <w:t> S. </w:t>
      </w:r>
      <w:r w:rsidRPr="000770DC">
        <w:t xml:space="preserve">Wilkie, </w:t>
      </w:r>
      <w:r w:rsidRPr="000770DC">
        <w:rPr>
          <w:i/>
        </w:rPr>
        <w:t>International Taxation in Canada</w:t>
      </w:r>
      <w:r>
        <w:rPr>
          <w:i/>
        </w:rPr>
        <w:t>: Principles and Practices</w:t>
      </w:r>
      <w:r w:rsidRPr="000770DC">
        <w:t xml:space="preserve"> </w:t>
      </w:r>
      <w:r>
        <w:t>(</w:t>
      </w:r>
      <w:r w:rsidRPr="000770DC">
        <w:t>4th ed. 2018), at p. </w:t>
      </w:r>
      <w:r>
        <w:t>376)</w:t>
      </w:r>
    </w:p>
    <w:p w14:paraId="12DC3A5B" w14:textId="77777777" w:rsidR="001346AE" w:rsidRPr="000770DC" w:rsidRDefault="001346AE" w:rsidP="001346AE">
      <w:pPr>
        <w:pStyle w:val="ParaNoNdepar-AltN"/>
        <w:rPr>
          <w:rFonts w:cs="Times New Roman"/>
        </w:rPr>
      </w:pPr>
      <w:r w:rsidRPr="000770DC">
        <w:rPr>
          <w:rFonts w:cs="Times New Roman"/>
        </w:rPr>
        <w:t xml:space="preserve">As tax treaties are treaties, their interpretation is governed by the </w:t>
      </w:r>
      <w:r w:rsidRPr="000770DC">
        <w:rPr>
          <w:rFonts w:cs="Times New Roman"/>
          <w:i/>
        </w:rPr>
        <w:t>Vienna Convention on the Law of Treaties</w:t>
      </w:r>
      <w:r>
        <w:rPr>
          <w:rFonts w:cs="Times New Roman"/>
        </w:rPr>
        <w:t>, Can. T.S. 1980 No. 37</w:t>
      </w:r>
      <w:r w:rsidRPr="000770DC">
        <w:rPr>
          <w:rFonts w:cs="Times New Roman"/>
          <w:i/>
        </w:rPr>
        <w:t xml:space="preserve"> </w:t>
      </w:r>
      <w:r w:rsidRPr="000770DC">
        <w:rPr>
          <w:rFonts w:cs="Times New Roman"/>
        </w:rPr>
        <w:t>(“</w:t>
      </w:r>
      <w:r w:rsidRPr="000770DC">
        <w:rPr>
          <w:rFonts w:cs="Times New Roman"/>
          <w:i/>
        </w:rPr>
        <w:t>Vienna Convention</w:t>
      </w:r>
      <w:r w:rsidRPr="000770DC">
        <w:rPr>
          <w:rFonts w:cs="Times New Roman"/>
        </w:rPr>
        <w:t xml:space="preserve">”), but </w:t>
      </w:r>
      <w:r w:rsidRPr="000770DC">
        <w:rPr>
          <w:rFonts w:cs="Times New Roman"/>
        </w:rPr>
        <w:lastRenderedPageBreak/>
        <w:t>the methodology prescribed is not radically different from the modern principle applicable</w:t>
      </w:r>
      <w:r>
        <w:rPr>
          <w:rFonts w:cs="Times New Roman"/>
        </w:rPr>
        <w:t xml:space="preserve"> to domestic statutes in Canada — t</w:t>
      </w:r>
      <w:r w:rsidRPr="000770DC">
        <w:rPr>
          <w:rFonts w:cs="Times New Roman"/>
        </w:rPr>
        <w:t>hat is, one must consider the ordinary meaning of the text in its context an</w:t>
      </w:r>
      <w:r>
        <w:rPr>
          <w:rFonts w:cs="Times New Roman"/>
        </w:rPr>
        <w:t>d in light of its purpose (a</w:t>
      </w:r>
      <w:r w:rsidRPr="000770DC">
        <w:rPr>
          <w:rFonts w:cs="Times New Roman"/>
        </w:rPr>
        <w:t xml:space="preserve">rt. 31(1) of the </w:t>
      </w:r>
      <w:r w:rsidRPr="000770DC">
        <w:rPr>
          <w:rFonts w:cs="Times New Roman"/>
          <w:i/>
        </w:rPr>
        <w:t>Vienna Convention</w:t>
      </w:r>
      <w:r w:rsidRPr="000770DC">
        <w:rPr>
          <w:rFonts w:cs="Times New Roman"/>
        </w:rPr>
        <w:t xml:space="preserve">; </w:t>
      </w:r>
      <w:r w:rsidRPr="000770DC">
        <w:rPr>
          <w:rFonts w:cs="Times New Roman"/>
          <w:i/>
        </w:rPr>
        <w:t>Crown Forest Industries Ltd. v. Canada</w:t>
      </w:r>
      <w:r w:rsidRPr="000770DC">
        <w:rPr>
          <w:rFonts w:cs="Times New Roman"/>
        </w:rPr>
        <w:t xml:space="preserve">, [1995] 2 S.C.R. 802, at para. 43; </w:t>
      </w:r>
      <w:r w:rsidRPr="000770DC">
        <w:rPr>
          <w:rFonts w:cs="Times New Roman"/>
          <w:i/>
        </w:rPr>
        <w:t>Stubart Investments Ltd. v. The Queen</w:t>
      </w:r>
      <w:r w:rsidRPr="000770DC">
        <w:rPr>
          <w:rFonts w:cs="Times New Roman"/>
        </w:rPr>
        <w:t>, [1984] 1 S.C.R. 536,</w:t>
      </w:r>
      <w:r w:rsidRPr="000770DC">
        <w:rPr>
          <w:rFonts w:cs="Times New Roman"/>
          <w:i/>
        </w:rPr>
        <w:t xml:space="preserve"> </w:t>
      </w:r>
      <w:r w:rsidRPr="000770DC">
        <w:rPr>
          <w:rFonts w:cs="Times New Roman"/>
        </w:rPr>
        <w:t>at p. 578). However, unlike statutes, treaties must be interpreted “with a view to implementing the true intentions of the parties” (</w:t>
      </w:r>
      <w:r w:rsidRPr="000770DC">
        <w:rPr>
          <w:rFonts w:cs="Times New Roman"/>
          <w:i/>
        </w:rPr>
        <w:t>J.</w:t>
      </w:r>
      <w:r>
        <w:rPr>
          <w:rFonts w:cs="Times New Roman"/>
          <w:i/>
        </w:rPr>
        <w:t> N. </w:t>
      </w:r>
      <w:r w:rsidRPr="000770DC">
        <w:rPr>
          <w:rFonts w:cs="Times New Roman"/>
          <w:i/>
        </w:rPr>
        <w:t>Gladden Estate v. The Queen</w:t>
      </w:r>
      <w:r w:rsidRPr="000770DC">
        <w:rPr>
          <w:rFonts w:cs="Times New Roman"/>
        </w:rPr>
        <w:t xml:space="preserve">, [1985] 1 C.T.C. 163 (F.C.T.D.), </w:t>
      </w:r>
      <w:r>
        <w:rPr>
          <w:rFonts w:cs="Times New Roman"/>
        </w:rPr>
        <w:t xml:space="preserve">at p. 166, </w:t>
      </w:r>
      <w:r w:rsidRPr="000770DC">
        <w:rPr>
          <w:rFonts w:cs="Times New Roman"/>
        </w:rPr>
        <w:t xml:space="preserve">quoted approvingly in </w:t>
      </w:r>
      <w:r w:rsidRPr="000770DC">
        <w:rPr>
          <w:rFonts w:cs="Times New Roman"/>
          <w:i/>
        </w:rPr>
        <w:t>Crown Forest</w:t>
      </w:r>
      <w:r w:rsidRPr="000770DC">
        <w:rPr>
          <w:rFonts w:cs="Times New Roman"/>
        </w:rPr>
        <w:t xml:space="preserve">, at para. 43). The national self-interest of </w:t>
      </w:r>
      <w:r w:rsidRPr="005E49C3">
        <w:rPr>
          <w:rFonts w:cs="Times New Roman"/>
          <w:i/>
        </w:rPr>
        <w:t>each</w:t>
      </w:r>
      <w:r w:rsidRPr="000770DC">
        <w:rPr>
          <w:rFonts w:cs="Times New Roman"/>
        </w:rPr>
        <w:t xml:space="preserve"> contracting state</w:t>
      </w:r>
      <w:r>
        <w:rPr>
          <w:rFonts w:cs="Times New Roman"/>
        </w:rPr>
        <w:t xml:space="preserve"> </w:t>
      </w:r>
      <w:r w:rsidRPr="000770DC">
        <w:rPr>
          <w:rFonts w:cs="Times New Roman"/>
        </w:rPr>
        <w:t xml:space="preserve">must be reconciled in the interpretive process in order to give full effect to the bargain codified by the treaty. This principle applies with equal force where </w:t>
      </w:r>
      <w:r>
        <w:rPr>
          <w:rFonts w:cs="Times New Roman"/>
        </w:rPr>
        <w:t>a court</w:t>
      </w:r>
      <w:r w:rsidRPr="000770DC">
        <w:rPr>
          <w:rFonts w:cs="Times New Roman"/>
        </w:rPr>
        <w:t xml:space="preserve"> is engaged in the process of ascertaining a treaty’s “object, spirit, and purpose” as part of the GAAR framework.</w:t>
      </w:r>
    </w:p>
    <w:p w14:paraId="25B782D6" w14:textId="77777777" w:rsidR="001346AE" w:rsidRPr="000770DC" w:rsidRDefault="001346AE" w:rsidP="001346AE">
      <w:pPr>
        <w:pStyle w:val="Title3LevelTitre3Niveau"/>
        <w:rPr>
          <w:rFonts w:cs="Times New Roman"/>
        </w:rPr>
      </w:pPr>
      <w:bookmarkStart w:id="30" w:name="_Toc77170381"/>
      <w:bookmarkStart w:id="31" w:name="_Toc77229381"/>
      <w:bookmarkStart w:id="32" w:name="_Toc78040592"/>
      <w:r w:rsidRPr="000770DC">
        <w:rPr>
          <w:rFonts w:cs="Times New Roman"/>
        </w:rPr>
        <w:t>OECD Commentaries as Interpretative Aids</w:t>
      </w:r>
      <w:bookmarkEnd w:id="30"/>
      <w:bookmarkEnd w:id="31"/>
      <w:bookmarkEnd w:id="32"/>
    </w:p>
    <w:p w14:paraId="0C23140D" w14:textId="77777777" w:rsidR="001346AE" w:rsidRPr="000770DC" w:rsidRDefault="001346AE" w:rsidP="001346AE">
      <w:pPr>
        <w:pStyle w:val="ParaNoNdepar-AltN"/>
        <w:rPr>
          <w:rFonts w:cs="Times New Roman"/>
        </w:rPr>
      </w:pPr>
      <w:r>
        <w:rPr>
          <w:rFonts w:cs="Times New Roman"/>
        </w:rPr>
        <w:t>Article </w:t>
      </w:r>
      <w:r w:rsidRPr="000770DC">
        <w:rPr>
          <w:rFonts w:cs="Times New Roman"/>
        </w:rPr>
        <w:t xml:space="preserve">31 of the </w:t>
      </w:r>
      <w:r w:rsidRPr="000770DC">
        <w:rPr>
          <w:rFonts w:cs="Times New Roman"/>
          <w:i/>
        </w:rPr>
        <w:t xml:space="preserve">Vienna Convention </w:t>
      </w:r>
      <w:r w:rsidRPr="000770DC">
        <w:rPr>
          <w:rFonts w:cs="Times New Roman"/>
        </w:rPr>
        <w:t xml:space="preserve">permits courts to consider contextual factors such as other agreements and instruments made by parties in connection with </w:t>
      </w:r>
      <w:r>
        <w:rPr>
          <w:rFonts w:cs="Times New Roman"/>
        </w:rPr>
        <w:t>a</w:t>
      </w:r>
      <w:r w:rsidRPr="000770DC">
        <w:rPr>
          <w:rFonts w:cs="Times New Roman"/>
        </w:rPr>
        <w:t xml:space="preserve"> treaty. In my view, the OECD </w:t>
      </w:r>
      <w:r w:rsidRPr="000D61E8">
        <w:rPr>
          <w:rFonts w:cs="Times New Roman"/>
          <w:i/>
        </w:rPr>
        <w:t>Model Treaty</w:t>
      </w:r>
      <w:r w:rsidRPr="000770DC">
        <w:rPr>
          <w:rFonts w:cs="Times New Roman"/>
        </w:rPr>
        <w:t xml:space="preserve"> and its Commentaries are relevant to the interpretation of treaties based on th</w:t>
      </w:r>
      <w:r>
        <w:rPr>
          <w:rFonts w:cs="Times New Roman"/>
        </w:rPr>
        <w:t>at model</w:t>
      </w:r>
      <w:r w:rsidRPr="000770DC">
        <w:rPr>
          <w:rFonts w:cs="Times New Roman"/>
        </w:rPr>
        <w:t xml:space="preserve">. The introduction to the OECD </w:t>
      </w:r>
      <w:r w:rsidRPr="000D61E8">
        <w:rPr>
          <w:rFonts w:cs="Times New Roman"/>
          <w:i/>
        </w:rPr>
        <w:t>Model Treaty</w:t>
      </w:r>
      <w:r>
        <w:rPr>
          <w:rFonts w:cs="Times New Roman"/>
        </w:rPr>
        <w:t xml:space="preserve"> </w:t>
      </w:r>
      <w:r w:rsidRPr="000770DC">
        <w:rPr>
          <w:rFonts w:cs="Times New Roman"/>
        </w:rPr>
        <w:t>indicates that the Commentaries “can . . . be of great assistance in the application and interpretation of the conventions and, i</w:t>
      </w:r>
      <w:r>
        <w:rPr>
          <w:rFonts w:cs="Times New Roman"/>
        </w:rPr>
        <w:t>n particular, in the settlement</w:t>
      </w:r>
      <w:r w:rsidRPr="000770DC">
        <w:rPr>
          <w:rFonts w:cs="Times New Roman"/>
        </w:rPr>
        <w:t xml:space="preserve"> of any disputes”, and this Court has affirmed the </w:t>
      </w:r>
      <w:r>
        <w:rPr>
          <w:rFonts w:cs="Times New Roman"/>
        </w:rPr>
        <w:t xml:space="preserve">“high persuasive value” of the </w:t>
      </w:r>
      <w:r w:rsidRPr="000770DC">
        <w:rPr>
          <w:rFonts w:cs="Times New Roman"/>
        </w:rPr>
        <w:t xml:space="preserve">OECD </w:t>
      </w:r>
      <w:r w:rsidRPr="000D61E8">
        <w:rPr>
          <w:rFonts w:cs="Times New Roman"/>
          <w:i/>
        </w:rPr>
        <w:t>Model Treaty</w:t>
      </w:r>
      <w:r w:rsidRPr="000770DC">
        <w:rPr>
          <w:rFonts w:cs="Times New Roman"/>
        </w:rPr>
        <w:t xml:space="preserve"> and its Commentaries (</w:t>
      </w:r>
      <w:r>
        <w:rPr>
          <w:rFonts w:cs="Times New Roman"/>
        </w:rPr>
        <w:t xml:space="preserve">“Introduction” to the OECD </w:t>
      </w:r>
      <w:r w:rsidRPr="000D61E8">
        <w:rPr>
          <w:rFonts w:cs="Times New Roman"/>
          <w:i/>
        </w:rPr>
        <w:t>Model Treaty</w:t>
      </w:r>
      <w:r>
        <w:rPr>
          <w:rFonts w:cs="Times New Roman"/>
        </w:rPr>
        <w:t xml:space="preserve"> (1998, 2003 and 2017), at para. 29; </w:t>
      </w:r>
      <w:r w:rsidRPr="000770DC">
        <w:rPr>
          <w:rFonts w:cs="Times New Roman"/>
          <w:i/>
        </w:rPr>
        <w:t>Crown Forest</w:t>
      </w:r>
      <w:r w:rsidRPr="000770DC">
        <w:rPr>
          <w:rFonts w:cs="Times New Roman"/>
        </w:rPr>
        <w:t>, at para. 55; see also D</w:t>
      </w:r>
      <w:r>
        <w:rPr>
          <w:rFonts w:cs="Times New Roman"/>
        </w:rPr>
        <w:t>. A. </w:t>
      </w:r>
      <w:r w:rsidRPr="000770DC">
        <w:rPr>
          <w:rFonts w:cs="Times New Roman"/>
        </w:rPr>
        <w:t xml:space="preserve">Ward, “Principles To </w:t>
      </w:r>
      <w:r w:rsidRPr="000770DC">
        <w:rPr>
          <w:rFonts w:cs="Times New Roman"/>
        </w:rPr>
        <w:lastRenderedPageBreak/>
        <w:t>Be Applied in Interpreting Tax Treaties” (1977)</w:t>
      </w:r>
      <w:r>
        <w:rPr>
          <w:rFonts w:cs="Times New Roman"/>
        </w:rPr>
        <w:t xml:space="preserve">, </w:t>
      </w:r>
      <w:r w:rsidRPr="000770DC">
        <w:rPr>
          <w:rFonts w:cs="Times New Roman"/>
        </w:rPr>
        <w:t xml:space="preserve">25 </w:t>
      </w:r>
      <w:r w:rsidRPr="000770DC">
        <w:rPr>
          <w:rFonts w:cs="Times New Roman"/>
          <w:i/>
        </w:rPr>
        <w:t>Can. Tax J.</w:t>
      </w:r>
      <w:r w:rsidRPr="000770DC">
        <w:rPr>
          <w:rFonts w:cs="Times New Roman"/>
        </w:rPr>
        <w:t xml:space="preserve"> 263, at p. 268). However, the relevance of Commentaries released subsequent to t</w:t>
      </w:r>
      <w:r>
        <w:rPr>
          <w:rFonts w:cs="Times New Roman"/>
        </w:rPr>
        <w:t>he</w:t>
      </w:r>
      <w:r w:rsidRPr="000770DC">
        <w:rPr>
          <w:rFonts w:cs="Times New Roman"/>
        </w:rPr>
        <w:t xml:space="preserve"> signing</w:t>
      </w:r>
      <w:r>
        <w:rPr>
          <w:rFonts w:cs="Times New Roman"/>
        </w:rPr>
        <w:t xml:space="preserve"> of a treaty</w:t>
      </w:r>
      <w:r w:rsidRPr="000770DC">
        <w:rPr>
          <w:rFonts w:cs="Times New Roman"/>
        </w:rPr>
        <w:t xml:space="preserve"> is disputed (see</w:t>
      </w:r>
      <w:r>
        <w:rPr>
          <w:rFonts w:cs="Times New Roman"/>
        </w:rPr>
        <w:t>,</w:t>
      </w:r>
      <w:r w:rsidRPr="000770DC">
        <w:rPr>
          <w:rFonts w:cs="Times New Roman"/>
        </w:rPr>
        <w:t xml:space="preserve"> </w:t>
      </w:r>
      <w:r w:rsidRPr="002F6253">
        <w:rPr>
          <w:rFonts w:cs="Times New Roman"/>
        </w:rPr>
        <w:t xml:space="preserve">e.g., </w:t>
      </w:r>
      <w:r>
        <w:rPr>
          <w:rFonts w:cs="Times New Roman"/>
        </w:rPr>
        <w:t xml:space="preserve">“Introduction” to the </w:t>
      </w:r>
      <w:r w:rsidRPr="000770DC">
        <w:rPr>
          <w:rFonts w:cs="Times New Roman"/>
        </w:rPr>
        <w:t xml:space="preserve">OECD </w:t>
      </w:r>
      <w:r w:rsidRPr="002F6253">
        <w:rPr>
          <w:rFonts w:cs="Times New Roman"/>
          <w:i/>
        </w:rPr>
        <w:t>Model Treaty</w:t>
      </w:r>
      <w:r>
        <w:rPr>
          <w:rFonts w:cs="Times New Roman"/>
          <w:i/>
        </w:rPr>
        <w:t xml:space="preserve"> </w:t>
      </w:r>
      <w:r>
        <w:rPr>
          <w:rFonts w:cs="Times New Roman"/>
        </w:rPr>
        <w:t>(1998, 2003 and 2017)</w:t>
      </w:r>
      <w:r w:rsidRPr="000770DC">
        <w:rPr>
          <w:rFonts w:cs="Times New Roman"/>
        </w:rPr>
        <w:t xml:space="preserve">, at para. 35; </w:t>
      </w:r>
      <w:r w:rsidRPr="000770DC">
        <w:rPr>
          <w:rFonts w:cs="Times New Roman"/>
          <w:i/>
        </w:rPr>
        <w:t xml:space="preserve">MIL </w:t>
      </w:r>
      <w:r w:rsidRPr="008F62F2">
        <w:rPr>
          <w:rFonts w:cs="Times New Roman"/>
        </w:rPr>
        <w:t>(T</w:t>
      </w:r>
      <w:r>
        <w:rPr>
          <w:rFonts w:cs="Times New Roman"/>
        </w:rPr>
        <w:t>CC</w:t>
      </w:r>
      <w:r w:rsidRPr="008F62F2">
        <w:rPr>
          <w:rFonts w:cs="Times New Roman"/>
        </w:rPr>
        <w:t>)</w:t>
      </w:r>
      <w:r>
        <w:rPr>
          <w:rFonts w:cs="Times New Roman"/>
        </w:rPr>
        <w:t>, at para. </w:t>
      </w:r>
      <w:r w:rsidRPr="000770DC">
        <w:rPr>
          <w:rFonts w:cs="Times New Roman"/>
        </w:rPr>
        <w:t>8</w:t>
      </w:r>
      <w:r>
        <w:rPr>
          <w:rFonts w:cs="Times New Roman"/>
        </w:rPr>
        <w:t>3</w:t>
      </w:r>
      <w:r w:rsidRPr="000770DC">
        <w:rPr>
          <w:rFonts w:cs="Times New Roman"/>
        </w:rPr>
        <w:t xml:space="preserve">; </w:t>
      </w:r>
      <w:r w:rsidRPr="000770DC">
        <w:rPr>
          <w:rFonts w:cs="Times New Roman"/>
          <w:i/>
        </w:rPr>
        <w:t xml:space="preserve">Cudd Pressure Control Inc. v. </w:t>
      </w:r>
      <w:r>
        <w:rPr>
          <w:rFonts w:cs="Times New Roman"/>
          <w:i/>
        </w:rPr>
        <w:t>R.</w:t>
      </w:r>
      <w:r w:rsidRPr="000770DC">
        <w:rPr>
          <w:rFonts w:cs="Times New Roman"/>
        </w:rPr>
        <w:t>, [1999] 1 C.T.C. 1 (F.C.A.), at para. 2</w:t>
      </w:r>
      <w:r>
        <w:rPr>
          <w:rFonts w:cs="Times New Roman"/>
        </w:rPr>
        <w:t xml:space="preserve">8, per </w:t>
      </w:r>
      <w:r w:rsidRPr="000770DC">
        <w:rPr>
          <w:rFonts w:cs="Times New Roman"/>
        </w:rPr>
        <w:t>McDonald</w:t>
      </w:r>
      <w:r>
        <w:rPr>
          <w:rFonts w:cs="Times New Roman"/>
        </w:rPr>
        <w:t> </w:t>
      </w:r>
      <w:r w:rsidRPr="000770DC">
        <w:rPr>
          <w:rFonts w:cs="Times New Roman"/>
        </w:rPr>
        <w:t xml:space="preserve">J.A.; </w:t>
      </w:r>
      <w:r w:rsidRPr="000770DC">
        <w:rPr>
          <w:rFonts w:cs="Times New Roman"/>
          <w:i/>
        </w:rPr>
        <w:t>SA Andritz</w:t>
      </w:r>
      <w:r w:rsidRPr="000770DC">
        <w:rPr>
          <w:rFonts w:cs="Times New Roman"/>
        </w:rPr>
        <w:t xml:space="preserve">, </w:t>
      </w:r>
      <w:r>
        <w:rPr>
          <w:rFonts w:cs="Times New Roman"/>
        </w:rPr>
        <w:t xml:space="preserve">No. 233894, </w:t>
      </w:r>
      <w:r w:rsidRPr="000770DC">
        <w:rPr>
          <w:rFonts w:cs="Times New Roman"/>
        </w:rPr>
        <w:t xml:space="preserve">Conseil d’État </w:t>
      </w:r>
      <w:r>
        <w:rPr>
          <w:rFonts w:cs="Times New Roman"/>
        </w:rPr>
        <w:t>(</w:t>
      </w:r>
      <w:r w:rsidRPr="000770DC">
        <w:rPr>
          <w:rFonts w:cs="Times New Roman"/>
        </w:rPr>
        <w:t>Section du Contentieux</w:t>
      </w:r>
      <w:r>
        <w:rPr>
          <w:rFonts w:cs="Times New Roman"/>
        </w:rPr>
        <w:t>)</w:t>
      </w:r>
      <w:r w:rsidRPr="000770DC">
        <w:rPr>
          <w:rFonts w:cs="Times New Roman"/>
        </w:rPr>
        <w:t xml:space="preserve">, </w:t>
      </w:r>
      <w:r>
        <w:rPr>
          <w:rFonts w:cs="Times New Roman"/>
        </w:rPr>
        <w:t>December 30, 2003 (France);</w:t>
      </w:r>
      <w:r w:rsidRPr="000770DC">
        <w:rPr>
          <w:rFonts w:cs="Times New Roman"/>
        </w:rPr>
        <w:t xml:space="preserve"> Li</w:t>
      </w:r>
      <w:r>
        <w:rPr>
          <w:rFonts w:cs="Times New Roman"/>
        </w:rPr>
        <w:t xml:space="preserve"> and Cockfield</w:t>
      </w:r>
      <w:r w:rsidRPr="000770DC">
        <w:rPr>
          <w:rFonts w:cs="Times New Roman"/>
        </w:rPr>
        <w:t>, at p. 57).</w:t>
      </w:r>
    </w:p>
    <w:p w14:paraId="38C4F510" w14:textId="77777777" w:rsidR="001346AE" w:rsidRPr="000770DC" w:rsidRDefault="001346AE" w:rsidP="001346AE">
      <w:pPr>
        <w:pStyle w:val="ParaNoNdepar-AltN"/>
        <w:rPr>
          <w:rFonts w:cs="Times New Roman"/>
        </w:rPr>
      </w:pPr>
      <w:r w:rsidRPr="000770DC">
        <w:rPr>
          <w:rFonts w:cs="Times New Roman"/>
        </w:rPr>
        <w:t xml:space="preserve">In the instant case, the Minister relies on revisions to the Commentaries </w:t>
      </w:r>
      <w:r>
        <w:rPr>
          <w:rFonts w:cs="Times New Roman"/>
        </w:rPr>
        <w:t>on</w:t>
      </w:r>
      <w:r w:rsidRPr="000770DC">
        <w:rPr>
          <w:rFonts w:cs="Times New Roman"/>
        </w:rPr>
        <w:t xml:space="preserve"> the OECD </w:t>
      </w:r>
      <w:r w:rsidRPr="006534CC">
        <w:rPr>
          <w:rFonts w:cs="Times New Roman"/>
          <w:i/>
        </w:rPr>
        <w:t>Model Treaty</w:t>
      </w:r>
      <w:r>
        <w:rPr>
          <w:rFonts w:cs="Times New Roman"/>
        </w:rPr>
        <w:t xml:space="preserve"> </w:t>
      </w:r>
      <w:r w:rsidRPr="000770DC">
        <w:rPr>
          <w:rFonts w:cs="Times New Roman"/>
        </w:rPr>
        <w:t xml:space="preserve">that were published in 2003 and 2017, several years after Canada and Luxembourg negotiated the </w:t>
      </w:r>
      <w:r w:rsidRPr="000770DC">
        <w:rPr>
          <w:rFonts w:cs="Times New Roman"/>
          <w:i/>
        </w:rPr>
        <w:t>Treaty</w:t>
      </w:r>
      <w:r w:rsidRPr="000770DC">
        <w:rPr>
          <w:rFonts w:cs="Times New Roman"/>
        </w:rPr>
        <w:t>. In the 2003 Commentar</w:t>
      </w:r>
      <w:r>
        <w:rPr>
          <w:rFonts w:cs="Times New Roman"/>
        </w:rPr>
        <w:t>ies</w:t>
      </w:r>
      <w:r w:rsidRPr="000770DC">
        <w:rPr>
          <w:rFonts w:cs="Times New Roman"/>
        </w:rPr>
        <w:t xml:space="preserve">, treaty shopping is characterized as an abuse of the concept </w:t>
      </w:r>
      <w:r>
        <w:rPr>
          <w:rFonts w:cs="Times New Roman"/>
        </w:rPr>
        <w:t>of residence, whereas previous C</w:t>
      </w:r>
      <w:r w:rsidRPr="000770DC">
        <w:rPr>
          <w:rFonts w:cs="Times New Roman"/>
        </w:rPr>
        <w:t xml:space="preserve">ommentaries published at the time the </w:t>
      </w:r>
      <w:r w:rsidRPr="000770DC">
        <w:rPr>
          <w:rFonts w:cs="Times New Roman"/>
          <w:i/>
        </w:rPr>
        <w:t>Treaty</w:t>
      </w:r>
      <w:r w:rsidRPr="000770DC">
        <w:rPr>
          <w:rFonts w:cs="Times New Roman"/>
        </w:rPr>
        <w:t xml:space="preserve"> </w:t>
      </w:r>
      <w:r>
        <w:rPr>
          <w:rFonts w:cs="Times New Roman"/>
        </w:rPr>
        <w:t xml:space="preserve">was </w:t>
      </w:r>
      <w:r w:rsidRPr="000770DC">
        <w:rPr>
          <w:rFonts w:cs="Times New Roman"/>
        </w:rPr>
        <w:t>sign</w:t>
      </w:r>
      <w:r>
        <w:rPr>
          <w:rFonts w:cs="Times New Roman"/>
        </w:rPr>
        <w:t>ed</w:t>
      </w:r>
      <w:r w:rsidRPr="000770DC">
        <w:rPr>
          <w:rFonts w:cs="Times New Roman"/>
        </w:rPr>
        <w:t xml:space="preserve"> were silent on this question. </w:t>
      </w:r>
      <w:r>
        <w:rPr>
          <w:rFonts w:cs="Times New Roman"/>
        </w:rPr>
        <w:t>A revision to t</w:t>
      </w:r>
      <w:r w:rsidRPr="000770DC">
        <w:rPr>
          <w:rFonts w:cs="Times New Roman"/>
        </w:rPr>
        <w:t>he 2017 Commentar</w:t>
      </w:r>
      <w:r>
        <w:rPr>
          <w:rFonts w:cs="Times New Roman"/>
        </w:rPr>
        <w:t>ies</w:t>
      </w:r>
      <w:r w:rsidRPr="000770DC">
        <w:rPr>
          <w:rFonts w:cs="Times New Roman"/>
        </w:rPr>
        <w:t xml:space="preserve">, made in connection with the addition of </w:t>
      </w:r>
      <w:r>
        <w:rPr>
          <w:rFonts w:cs="Times New Roman"/>
        </w:rPr>
        <w:t>a new a</w:t>
      </w:r>
      <w:r w:rsidRPr="000770DC">
        <w:rPr>
          <w:rFonts w:cs="Times New Roman"/>
        </w:rPr>
        <w:t xml:space="preserve">rt. 29 to the OECD </w:t>
      </w:r>
      <w:r w:rsidRPr="006534CC">
        <w:rPr>
          <w:rFonts w:cs="Times New Roman"/>
          <w:i/>
        </w:rPr>
        <w:t>Model Treaty</w:t>
      </w:r>
      <w:r w:rsidRPr="000770DC">
        <w:rPr>
          <w:rFonts w:cs="Times New Roman"/>
        </w:rPr>
        <w:t>, provides that legal residency alone is not an automatic entitlement to a</w:t>
      </w:r>
      <w:r>
        <w:rPr>
          <w:rFonts w:cs="Times New Roman"/>
        </w:rPr>
        <w:t>ll benefits under a tax treaty.</w:t>
      </w:r>
    </w:p>
    <w:p w14:paraId="76FA4572" w14:textId="77777777" w:rsidR="001346AE" w:rsidRPr="000770DC" w:rsidRDefault="001346AE" w:rsidP="001346AE">
      <w:pPr>
        <w:pStyle w:val="ParaNoNdepar-AltN"/>
        <w:rPr>
          <w:rFonts w:cs="Times New Roman"/>
        </w:rPr>
      </w:pPr>
      <w:r w:rsidRPr="000770DC">
        <w:rPr>
          <w:rFonts w:cs="Times New Roman"/>
        </w:rPr>
        <w:t xml:space="preserve">While revisions to the Commentaries are relevant to tax treaty interpretation, the key issue is the weight that they should receive. Although some scholars submit that the OECD has a tendency </w:t>
      </w:r>
      <w:r>
        <w:rPr>
          <w:rFonts w:cs="Times New Roman"/>
        </w:rPr>
        <w:t>of</w:t>
      </w:r>
      <w:r w:rsidRPr="000770DC">
        <w:rPr>
          <w:rFonts w:cs="Times New Roman"/>
        </w:rPr>
        <w:t xml:space="preserve"> revis</w:t>
      </w:r>
      <w:r>
        <w:rPr>
          <w:rFonts w:cs="Times New Roman"/>
        </w:rPr>
        <w:t>ing</w:t>
      </w:r>
      <w:r w:rsidRPr="000770DC">
        <w:rPr>
          <w:rFonts w:cs="Times New Roman"/>
        </w:rPr>
        <w:t xml:space="preserve"> the Commentaries too often and too dramatically, thereby sometimes diverging from the original intentions of the parties</w:t>
      </w:r>
      <w:r w:rsidRPr="000770DC">
        <w:rPr>
          <w:rFonts w:cs="Times New Roman"/>
          <w:bCs/>
          <w:szCs w:val="24"/>
        </w:rPr>
        <w:t>, I am not prepared to reject all subsequent Commentaries as interpretative aids</w:t>
      </w:r>
      <w:r>
        <w:rPr>
          <w:rFonts w:cs="Times New Roman"/>
          <w:bCs/>
          <w:szCs w:val="24"/>
        </w:rPr>
        <w:t xml:space="preserve"> </w:t>
      </w:r>
      <w:r w:rsidRPr="000770DC">
        <w:rPr>
          <w:rFonts w:cs="Times New Roman"/>
        </w:rPr>
        <w:t xml:space="preserve">(see Li </w:t>
      </w:r>
      <w:r>
        <w:rPr>
          <w:rFonts w:cs="Times New Roman"/>
        </w:rPr>
        <w:t>and Cockfield</w:t>
      </w:r>
      <w:r w:rsidRPr="000770DC">
        <w:rPr>
          <w:rFonts w:cs="Times New Roman"/>
        </w:rPr>
        <w:t>, at p. 57; P.</w:t>
      </w:r>
      <w:r>
        <w:rPr>
          <w:rFonts w:cs="Times New Roman"/>
        </w:rPr>
        <w:t> </w:t>
      </w:r>
      <w:r w:rsidRPr="000770DC">
        <w:rPr>
          <w:rFonts w:cs="Times New Roman"/>
        </w:rPr>
        <w:t xml:space="preserve">Malherbe, </w:t>
      </w:r>
      <w:r w:rsidRPr="000770DC">
        <w:rPr>
          <w:rFonts w:cs="Times New Roman"/>
          <w:i/>
        </w:rPr>
        <w:t>Elements of International Income Taxation</w:t>
      </w:r>
      <w:r w:rsidRPr="000770DC">
        <w:rPr>
          <w:rFonts w:cs="Times New Roman"/>
        </w:rPr>
        <w:t xml:space="preserve"> (</w:t>
      </w:r>
      <w:r w:rsidRPr="000770DC">
        <w:rPr>
          <w:rFonts w:cs="Times New Roman"/>
          <w:bCs/>
          <w:szCs w:val="24"/>
        </w:rPr>
        <w:t>2015), at pp. 49-50)</w:t>
      </w:r>
      <w:r>
        <w:rPr>
          <w:rFonts w:cs="Times New Roman"/>
          <w:bCs/>
          <w:szCs w:val="24"/>
        </w:rPr>
        <w:t>.</w:t>
      </w:r>
      <w:r w:rsidRPr="000770DC">
        <w:rPr>
          <w:rFonts w:cs="Times New Roman"/>
          <w:bCs/>
          <w:szCs w:val="24"/>
        </w:rPr>
        <w:t xml:space="preserve"> I instead prefer the nuanced approach adopted by the </w:t>
      </w:r>
      <w:r w:rsidRPr="000770DC">
        <w:rPr>
          <w:rFonts w:cs="Times New Roman"/>
          <w:bCs/>
          <w:szCs w:val="24"/>
        </w:rPr>
        <w:lastRenderedPageBreak/>
        <w:t xml:space="preserve">Federal Court of Appeal in </w:t>
      </w:r>
      <w:r w:rsidRPr="000770DC">
        <w:rPr>
          <w:rFonts w:cs="Times New Roman"/>
          <w:bCs/>
          <w:i/>
          <w:szCs w:val="24"/>
        </w:rPr>
        <w:t>Prévost Car Inc.</w:t>
      </w:r>
      <w:r>
        <w:rPr>
          <w:rFonts w:cs="Times New Roman"/>
          <w:bCs/>
          <w:i/>
          <w:szCs w:val="24"/>
        </w:rPr>
        <w:t xml:space="preserve"> v. Canada</w:t>
      </w:r>
      <w:r w:rsidRPr="000770DC">
        <w:rPr>
          <w:rFonts w:cs="Times New Roman"/>
          <w:bCs/>
          <w:szCs w:val="24"/>
        </w:rPr>
        <w:t>, 2009 FCA 57</w:t>
      </w:r>
      <w:r>
        <w:rPr>
          <w:rFonts w:cs="Times New Roman"/>
          <w:bCs/>
          <w:szCs w:val="24"/>
        </w:rPr>
        <w:t>, [2010] 2 F.C.R. 65</w:t>
      </w:r>
      <w:r w:rsidRPr="000770DC">
        <w:rPr>
          <w:rFonts w:cs="Times New Roman"/>
          <w:bCs/>
          <w:szCs w:val="24"/>
        </w:rPr>
        <w:t>.</w:t>
      </w:r>
    </w:p>
    <w:p w14:paraId="7A47100F" w14:textId="77777777" w:rsidR="001346AE" w:rsidRPr="000770DC" w:rsidRDefault="001346AE" w:rsidP="001346AE">
      <w:pPr>
        <w:pStyle w:val="ParaNoNdepar-AltN"/>
        <w:rPr>
          <w:rFonts w:cs="Times New Roman"/>
        </w:rPr>
      </w:pPr>
      <w:r w:rsidRPr="000770DC">
        <w:rPr>
          <w:rFonts w:cs="Times New Roman"/>
        </w:rPr>
        <w:t xml:space="preserve">Indeed, in </w:t>
      </w:r>
      <w:r w:rsidRPr="000770DC">
        <w:rPr>
          <w:rFonts w:cs="Times New Roman"/>
          <w:i/>
          <w:szCs w:val="24"/>
        </w:rPr>
        <w:t>Prévost Car</w:t>
      </w:r>
      <w:r w:rsidRPr="000770DC">
        <w:rPr>
          <w:rFonts w:cs="Times New Roman"/>
          <w:szCs w:val="24"/>
        </w:rPr>
        <w:t xml:space="preserve">, the Federal Court of Appeal held that subsequent Commentaries expanding or clarifying notions already captured by the OECD </w:t>
      </w:r>
      <w:r w:rsidRPr="006534CC">
        <w:rPr>
          <w:rFonts w:cs="Times New Roman"/>
          <w:i/>
          <w:szCs w:val="24"/>
        </w:rPr>
        <w:t>Model Treaty</w:t>
      </w:r>
      <w:r w:rsidRPr="000770DC">
        <w:rPr>
          <w:rFonts w:cs="Times New Roman"/>
          <w:szCs w:val="24"/>
        </w:rPr>
        <w:t xml:space="preserve"> are relevant</w:t>
      </w:r>
      <w:r>
        <w:rPr>
          <w:rFonts w:cs="Times New Roman"/>
          <w:szCs w:val="24"/>
        </w:rPr>
        <w:t>,</w:t>
      </w:r>
      <w:r w:rsidRPr="000770DC">
        <w:rPr>
          <w:rFonts w:cs="Times New Roman"/>
          <w:szCs w:val="24"/>
        </w:rPr>
        <w:t xml:space="preserve"> but not those that extend the scope of provisions in a manner that could not have been considered by the drafters (paras. 10-12; see also Li </w:t>
      </w:r>
      <w:r>
        <w:rPr>
          <w:rFonts w:cs="Times New Roman"/>
          <w:szCs w:val="24"/>
        </w:rPr>
        <w:t>and Cockfield</w:t>
      </w:r>
      <w:r w:rsidRPr="000770DC">
        <w:rPr>
          <w:rFonts w:cs="Times New Roman"/>
          <w:szCs w:val="24"/>
        </w:rPr>
        <w:t xml:space="preserve">, at p. 57). Thus, while later amendments </w:t>
      </w:r>
      <w:r>
        <w:rPr>
          <w:rFonts w:cs="Times New Roman"/>
          <w:szCs w:val="24"/>
        </w:rPr>
        <w:t xml:space="preserve">to the Commentaries </w:t>
      </w:r>
      <w:r w:rsidRPr="000770DC">
        <w:rPr>
          <w:rFonts w:cs="Times New Roman"/>
          <w:szCs w:val="24"/>
        </w:rPr>
        <w:t>are not part of</w:t>
      </w:r>
      <w:r>
        <w:rPr>
          <w:rFonts w:cs="Times New Roman"/>
          <w:szCs w:val="24"/>
        </w:rPr>
        <w:t xml:space="preserve"> the context as defined in a</w:t>
      </w:r>
      <w:r w:rsidRPr="000770DC">
        <w:rPr>
          <w:rFonts w:cs="Times New Roman"/>
          <w:szCs w:val="24"/>
        </w:rPr>
        <w:t xml:space="preserve">rt. 31(2) of the </w:t>
      </w:r>
      <w:r w:rsidRPr="000770DC">
        <w:rPr>
          <w:rFonts w:cs="Times New Roman"/>
          <w:i/>
          <w:szCs w:val="24"/>
        </w:rPr>
        <w:t>Vienna Convention</w:t>
      </w:r>
      <w:r w:rsidRPr="000770DC">
        <w:rPr>
          <w:rFonts w:cs="Times New Roman"/>
          <w:szCs w:val="24"/>
        </w:rPr>
        <w:t xml:space="preserve">, given that such amendments were not </w:t>
      </w:r>
      <w:r>
        <w:rPr>
          <w:rFonts w:cs="Times New Roman"/>
          <w:szCs w:val="24"/>
        </w:rPr>
        <w:t xml:space="preserve">made </w:t>
      </w:r>
      <w:r w:rsidRPr="000770DC">
        <w:rPr>
          <w:rFonts w:cs="Times New Roman"/>
          <w:szCs w:val="24"/>
        </w:rPr>
        <w:t>“in conne</w:t>
      </w:r>
      <w:r>
        <w:rPr>
          <w:rFonts w:cs="Times New Roman"/>
          <w:szCs w:val="24"/>
        </w:rPr>
        <w:t>x</w:t>
      </w:r>
      <w:r w:rsidRPr="000770DC">
        <w:rPr>
          <w:rFonts w:cs="Times New Roman"/>
          <w:szCs w:val="24"/>
        </w:rPr>
        <w:t xml:space="preserve">ion with the conclusion of the treaty”, they may play a role </w:t>
      </w:r>
      <w:r>
        <w:rPr>
          <w:rFonts w:cs="Times New Roman"/>
          <w:szCs w:val="24"/>
        </w:rPr>
        <w:t>under a</w:t>
      </w:r>
      <w:r w:rsidRPr="000770DC">
        <w:rPr>
          <w:rFonts w:cs="Times New Roman"/>
          <w:szCs w:val="24"/>
        </w:rPr>
        <w:t>rt. 31(3), which refers to “</w:t>
      </w:r>
      <w:r>
        <w:rPr>
          <w:rFonts w:cs="Times New Roman"/>
          <w:szCs w:val="24"/>
        </w:rPr>
        <w:t>[</w:t>
      </w:r>
      <w:r w:rsidRPr="000770DC">
        <w:rPr>
          <w:rFonts w:cs="Times New Roman"/>
          <w:szCs w:val="24"/>
        </w:rPr>
        <w:t>a</w:t>
      </w:r>
      <w:r>
        <w:rPr>
          <w:rFonts w:cs="Times New Roman"/>
          <w:szCs w:val="24"/>
        </w:rPr>
        <w:t>]</w:t>
      </w:r>
      <w:r w:rsidRPr="000770DC">
        <w:rPr>
          <w:rFonts w:cs="Times New Roman"/>
          <w:szCs w:val="24"/>
        </w:rPr>
        <w:t xml:space="preserve">ny subsequent agreement between the parties regarding the interpretation of the treaty or the application of </w:t>
      </w:r>
      <w:r>
        <w:rPr>
          <w:rFonts w:cs="Times New Roman"/>
          <w:szCs w:val="24"/>
        </w:rPr>
        <w:t>its</w:t>
      </w:r>
      <w:r w:rsidRPr="000770DC">
        <w:rPr>
          <w:rFonts w:cs="Times New Roman"/>
          <w:szCs w:val="24"/>
        </w:rPr>
        <w:t xml:space="preserve"> provisions” and “</w:t>
      </w:r>
      <w:r>
        <w:rPr>
          <w:rFonts w:cs="Times New Roman"/>
          <w:szCs w:val="24"/>
        </w:rPr>
        <w:t>[</w:t>
      </w:r>
      <w:r w:rsidRPr="000770DC">
        <w:rPr>
          <w:rFonts w:cs="Times New Roman"/>
          <w:szCs w:val="24"/>
        </w:rPr>
        <w:t>a</w:t>
      </w:r>
      <w:r>
        <w:rPr>
          <w:rFonts w:cs="Times New Roman"/>
          <w:szCs w:val="24"/>
        </w:rPr>
        <w:t>]</w:t>
      </w:r>
      <w:r w:rsidRPr="000770DC">
        <w:rPr>
          <w:rFonts w:cs="Times New Roman"/>
          <w:szCs w:val="24"/>
        </w:rPr>
        <w:t>ny subsequent practice in the application of the treaty which establishes the agreement of the parties</w:t>
      </w:r>
      <w:r>
        <w:rPr>
          <w:rFonts w:cs="Times New Roman"/>
          <w:szCs w:val="24"/>
        </w:rPr>
        <w:t xml:space="preserve"> regarding its interpretation”.</w:t>
      </w:r>
    </w:p>
    <w:p w14:paraId="13401426" w14:textId="77777777" w:rsidR="001346AE" w:rsidRPr="000770DC" w:rsidRDefault="001346AE" w:rsidP="001346AE">
      <w:pPr>
        <w:pStyle w:val="ParaNoNdepar-AltN"/>
        <w:rPr>
          <w:rFonts w:cs="Times New Roman"/>
        </w:rPr>
      </w:pPr>
      <w:r w:rsidRPr="000770DC">
        <w:rPr>
          <w:rFonts w:cs="Times New Roman"/>
        </w:rPr>
        <w:t>In this case, I am of the view that the 2003 and 2017 Commentaries do not reflect the intentions of the</w:t>
      </w:r>
      <w:r>
        <w:rPr>
          <w:rFonts w:cs="Times New Roman"/>
        </w:rPr>
        <w:t xml:space="preserve"> drafters of the</w:t>
      </w:r>
      <w:r w:rsidRPr="000770DC">
        <w:rPr>
          <w:rFonts w:cs="Times New Roman"/>
        </w:rPr>
        <w:t xml:space="preserve"> </w:t>
      </w:r>
      <w:r>
        <w:rPr>
          <w:rFonts w:cs="Times New Roman"/>
          <w:i/>
        </w:rPr>
        <w:t>Treaty</w:t>
      </w:r>
      <w:r w:rsidRPr="000770DC">
        <w:rPr>
          <w:rFonts w:cs="Times New Roman"/>
        </w:rPr>
        <w:t xml:space="preserve">. The extensive revisions made to the </w:t>
      </w:r>
      <w:r>
        <w:rPr>
          <w:rFonts w:cs="Times New Roman"/>
        </w:rPr>
        <w:t>Commentaries</w:t>
      </w:r>
      <w:r w:rsidRPr="000770DC">
        <w:rPr>
          <w:rFonts w:cs="Times New Roman"/>
        </w:rPr>
        <w:t xml:space="preserve"> in 2003 purported to clarify the relationship between tax treaties and domestic anti-avoidance rules, and</w:t>
      </w:r>
      <w:r>
        <w:rPr>
          <w:rFonts w:cs="Times New Roman"/>
        </w:rPr>
        <w:t>,</w:t>
      </w:r>
      <w:r w:rsidRPr="000770DC">
        <w:rPr>
          <w:rFonts w:cs="Times New Roman"/>
        </w:rPr>
        <w:t xml:space="preserve"> in particular</w:t>
      </w:r>
      <w:r>
        <w:rPr>
          <w:rFonts w:cs="Times New Roman"/>
        </w:rPr>
        <w:t>,</w:t>
      </w:r>
      <w:r w:rsidRPr="000770DC">
        <w:rPr>
          <w:rFonts w:cs="Times New Roman"/>
        </w:rPr>
        <w:t xml:space="preserve"> one of the revisions </w:t>
      </w:r>
      <w:r>
        <w:rPr>
          <w:rFonts w:cs="Times New Roman"/>
        </w:rPr>
        <w:t>was made</w:t>
      </w:r>
      <w:r w:rsidRPr="000770DC">
        <w:rPr>
          <w:rFonts w:cs="Times New Roman"/>
        </w:rPr>
        <w:t xml:space="preserve"> to include the prevention of tax avoidance as a purpose of such treaties. The changes </w:t>
      </w:r>
      <w:r>
        <w:rPr>
          <w:rFonts w:cs="Times New Roman"/>
        </w:rPr>
        <w:t>were</w:t>
      </w:r>
      <w:r w:rsidRPr="000770DC">
        <w:rPr>
          <w:rFonts w:cs="Times New Roman"/>
        </w:rPr>
        <w:t xml:space="preserve"> not mere clarification</w:t>
      </w:r>
      <w:r>
        <w:rPr>
          <w:rFonts w:cs="Times New Roman"/>
        </w:rPr>
        <w:t>s</w:t>
      </w:r>
      <w:r w:rsidRPr="000770DC">
        <w:rPr>
          <w:rFonts w:cs="Times New Roman"/>
        </w:rPr>
        <w:t xml:space="preserve"> and have been described as being “created out of thin air by the OECD in 2003” and </w:t>
      </w:r>
      <w:r>
        <w:rPr>
          <w:rFonts w:cs="Times New Roman"/>
        </w:rPr>
        <w:t xml:space="preserve">as </w:t>
      </w:r>
      <w:r w:rsidRPr="000770DC">
        <w:rPr>
          <w:rFonts w:cs="Times New Roman"/>
        </w:rPr>
        <w:t>“a significant change in the stated attitude of the OECD to the relationship between tax treaties and tax avoidance” (B</w:t>
      </w:r>
      <w:r>
        <w:rPr>
          <w:rFonts w:cs="Times New Roman"/>
        </w:rPr>
        <w:t>.</w:t>
      </w:r>
      <w:r w:rsidRPr="000770DC">
        <w:rPr>
          <w:rFonts w:cs="Times New Roman"/>
        </w:rPr>
        <w:t xml:space="preserve"> J. Arnold, “Tax Treaties and </w:t>
      </w:r>
      <w:r w:rsidRPr="000770DC">
        <w:rPr>
          <w:rFonts w:cs="Times New Roman"/>
        </w:rPr>
        <w:lastRenderedPageBreak/>
        <w:t>Tax Avoidance: The 2003 Revisions to the Commentary to the OECD Model”</w:t>
      </w:r>
      <w:r>
        <w:rPr>
          <w:rFonts w:cs="Times New Roman"/>
        </w:rPr>
        <w:t xml:space="preserve"> (2004)</w:t>
      </w:r>
      <w:r w:rsidRPr="000770DC">
        <w:rPr>
          <w:rFonts w:cs="Times New Roman"/>
        </w:rPr>
        <w:t xml:space="preserve">, </w:t>
      </w:r>
      <w:r>
        <w:rPr>
          <w:rFonts w:cs="Times New Roman"/>
        </w:rPr>
        <w:t xml:space="preserve">58 </w:t>
      </w:r>
      <w:r w:rsidRPr="008F17C8">
        <w:rPr>
          <w:rFonts w:cs="Times New Roman"/>
          <w:i/>
        </w:rPr>
        <w:t>I.B.F.D.</w:t>
      </w:r>
      <w:r>
        <w:rPr>
          <w:rFonts w:cs="Times New Roman"/>
        </w:rPr>
        <w:t xml:space="preserve"> </w:t>
      </w:r>
      <w:r w:rsidRPr="000770DC">
        <w:rPr>
          <w:rFonts w:cs="Times New Roman"/>
          <w:i/>
        </w:rPr>
        <w:t>Bulletin</w:t>
      </w:r>
      <w:r>
        <w:rPr>
          <w:rFonts w:cs="Times New Roman"/>
          <w:i/>
        </w:rPr>
        <w:t xml:space="preserve"> </w:t>
      </w:r>
      <w:r>
        <w:rPr>
          <w:rFonts w:cs="Times New Roman"/>
        </w:rPr>
        <w:t>244</w:t>
      </w:r>
      <w:r w:rsidRPr="000770DC">
        <w:rPr>
          <w:rFonts w:cs="Times New Roman"/>
        </w:rPr>
        <w:t>, at pp. 249</w:t>
      </w:r>
      <w:r>
        <w:rPr>
          <w:rFonts w:cs="Times New Roman"/>
        </w:rPr>
        <w:t xml:space="preserve"> and</w:t>
      </w:r>
      <w:r w:rsidRPr="000770DC">
        <w:rPr>
          <w:rFonts w:cs="Times New Roman"/>
        </w:rPr>
        <w:t xml:space="preserve"> 260)</w:t>
      </w:r>
      <w:r>
        <w:rPr>
          <w:rFonts w:cs="Times New Roman"/>
        </w:rPr>
        <w:t>.</w:t>
      </w:r>
    </w:p>
    <w:p w14:paraId="1C51C3A8" w14:textId="77777777" w:rsidR="001346AE" w:rsidRPr="000770DC" w:rsidRDefault="001346AE" w:rsidP="001346AE">
      <w:pPr>
        <w:pStyle w:val="ParaNoNdepar-AltN"/>
        <w:rPr>
          <w:rFonts w:cs="Times New Roman"/>
        </w:rPr>
      </w:pPr>
      <w:r w:rsidRPr="000770DC">
        <w:rPr>
          <w:rFonts w:cs="Times New Roman"/>
        </w:rPr>
        <w:t xml:space="preserve">Using the Federal Court of Appeal’s language in </w:t>
      </w:r>
      <w:r w:rsidRPr="000770DC">
        <w:rPr>
          <w:rFonts w:cs="Times New Roman"/>
          <w:i/>
        </w:rPr>
        <w:t>Prévost Car</w:t>
      </w:r>
      <w:r w:rsidRPr="000770DC">
        <w:rPr>
          <w:rFonts w:cs="Times New Roman"/>
        </w:rPr>
        <w:t xml:space="preserve"> (</w:t>
      </w:r>
      <w:r>
        <w:rPr>
          <w:rFonts w:cs="Times New Roman"/>
        </w:rPr>
        <w:t xml:space="preserve">at </w:t>
      </w:r>
      <w:r w:rsidRPr="000770DC">
        <w:rPr>
          <w:rFonts w:cs="Times New Roman"/>
        </w:rPr>
        <w:t>para. </w:t>
      </w:r>
      <w:r>
        <w:rPr>
          <w:rFonts w:cs="Times New Roman"/>
        </w:rPr>
        <w:t>12), the 2003 Commentaries</w:t>
      </w:r>
      <w:r w:rsidRPr="000770DC">
        <w:rPr>
          <w:rFonts w:cs="Times New Roman"/>
        </w:rPr>
        <w:t xml:space="preserve"> do not elicit, but rather contradict, the views previously expressed. When Canada and Luxembourg signed the </w:t>
      </w:r>
      <w:r w:rsidRPr="000770DC">
        <w:rPr>
          <w:rFonts w:cs="Times New Roman"/>
          <w:i/>
        </w:rPr>
        <w:t>Treaty</w:t>
      </w:r>
      <w:r w:rsidRPr="000770DC">
        <w:rPr>
          <w:rFonts w:cs="Times New Roman"/>
        </w:rPr>
        <w:t xml:space="preserve"> in 1999, the applicable</w:t>
      </w:r>
      <w:r>
        <w:rPr>
          <w:rFonts w:cs="Times New Roman"/>
        </w:rPr>
        <w:t xml:space="preserve"> Commentaries</w:t>
      </w:r>
      <w:r w:rsidRPr="000770DC">
        <w:rPr>
          <w:rFonts w:cs="Times New Roman"/>
        </w:rPr>
        <w:t xml:space="preserve"> indicated that anti-abuse measures, to be effective, </w:t>
      </w:r>
      <w:r>
        <w:rPr>
          <w:rFonts w:cs="Times New Roman"/>
        </w:rPr>
        <w:t>had to</w:t>
      </w:r>
      <w:r w:rsidRPr="000770DC">
        <w:rPr>
          <w:rFonts w:cs="Times New Roman"/>
        </w:rPr>
        <w:t xml:space="preserve"> be included in a treaty</w:t>
      </w:r>
      <w:r>
        <w:rPr>
          <w:rFonts w:cs="Times New Roman"/>
        </w:rPr>
        <w:t xml:space="preserve"> (“Commentary on Article 1” of the 1998 OECD </w:t>
      </w:r>
      <w:r w:rsidRPr="000078B6">
        <w:rPr>
          <w:rFonts w:cs="Times New Roman"/>
          <w:i/>
        </w:rPr>
        <w:t>Model Treaty</w:t>
      </w:r>
      <w:r>
        <w:rPr>
          <w:rFonts w:cs="Times New Roman"/>
        </w:rPr>
        <w:t>, at para. 21)</w:t>
      </w:r>
      <w:r w:rsidRPr="000770DC">
        <w:rPr>
          <w:rFonts w:cs="Times New Roman"/>
        </w:rPr>
        <w:t xml:space="preserve">. Further, </w:t>
      </w:r>
      <w:r>
        <w:rPr>
          <w:rFonts w:cs="Times New Roman"/>
        </w:rPr>
        <w:t>they</w:t>
      </w:r>
      <w:r w:rsidRPr="000770DC">
        <w:rPr>
          <w:rFonts w:cs="Times New Roman"/>
        </w:rPr>
        <w:t xml:space="preserve"> referred to the principle of </w:t>
      </w:r>
      <w:r w:rsidRPr="000770DC">
        <w:rPr>
          <w:rFonts w:cs="Times New Roman"/>
          <w:i/>
        </w:rPr>
        <w:t>pacta sunt servanda</w:t>
      </w:r>
      <w:r w:rsidRPr="000770DC">
        <w:rPr>
          <w:rFonts w:cs="Times New Roman"/>
        </w:rPr>
        <w:t xml:space="preserve">, which supports the position that where nothing in </w:t>
      </w:r>
      <w:r>
        <w:rPr>
          <w:rFonts w:cs="Times New Roman"/>
        </w:rPr>
        <w:t>a</w:t>
      </w:r>
      <w:r w:rsidRPr="000770DC">
        <w:rPr>
          <w:rFonts w:cs="Times New Roman"/>
        </w:rPr>
        <w:t xml:space="preserve"> treaty speaks directly to fiscal avoidance, there is a strong argument that the treaty partners negotiated the </w:t>
      </w:r>
      <w:r>
        <w:rPr>
          <w:rFonts w:cs="Times New Roman"/>
        </w:rPr>
        <w:t>treaty</w:t>
      </w:r>
      <w:r w:rsidRPr="000770DC">
        <w:rPr>
          <w:rFonts w:cs="Times New Roman"/>
          <w:i/>
        </w:rPr>
        <w:t xml:space="preserve"> </w:t>
      </w:r>
      <w:r w:rsidRPr="000770DC">
        <w:rPr>
          <w:rFonts w:cs="Times New Roman"/>
        </w:rPr>
        <w:t>not intending such rules to apply (</w:t>
      </w:r>
      <w:r>
        <w:rPr>
          <w:rFonts w:cs="Times New Roman"/>
        </w:rPr>
        <w:t xml:space="preserve">“Commentary on Article 1” of the 1998 OECD </w:t>
      </w:r>
      <w:r w:rsidRPr="00323CA6">
        <w:rPr>
          <w:rFonts w:cs="Times New Roman"/>
          <w:i/>
        </w:rPr>
        <w:t>Model Treaty</w:t>
      </w:r>
      <w:r>
        <w:rPr>
          <w:rFonts w:cs="Times New Roman"/>
        </w:rPr>
        <w:t>, at paras. 11</w:t>
      </w:r>
      <w:r>
        <w:rPr>
          <w:rFonts w:cs="Times New Roman"/>
        </w:rPr>
        <w:noBreakHyphen/>
        <w:t xml:space="preserve">26; </w:t>
      </w:r>
      <w:r w:rsidRPr="000770DC">
        <w:rPr>
          <w:rFonts w:cs="Times New Roman"/>
        </w:rPr>
        <w:t>D</w:t>
      </w:r>
      <w:r>
        <w:rPr>
          <w:rFonts w:cs="Times New Roman"/>
        </w:rPr>
        <w:t>.</w:t>
      </w:r>
      <w:r w:rsidRPr="000770DC">
        <w:rPr>
          <w:rFonts w:cs="Times New Roman"/>
        </w:rPr>
        <w:t xml:space="preserve"> A. Ward et al., </w:t>
      </w:r>
      <w:r w:rsidRPr="000770DC">
        <w:rPr>
          <w:rFonts w:cs="Times New Roman"/>
          <w:i/>
        </w:rPr>
        <w:t xml:space="preserve">The Interpretation of Income Tax Treaties with Particular Reference to the Commentaries on the OECD Model </w:t>
      </w:r>
      <w:r w:rsidRPr="000770DC">
        <w:rPr>
          <w:rFonts w:cs="Times New Roman"/>
        </w:rPr>
        <w:t>(</w:t>
      </w:r>
      <w:r>
        <w:rPr>
          <w:rFonts w:cs="Times New Roman"/>
        </w:rPr>
        <w:t>2005</w:t>
      </w:r>
      <w:r w:rsidRPr="000770DC">
        <w:rPr>
          <w:rFonts w:cs="Times New Roman"/>
        </w:rPr>
        <w:t xml:space="preserve">), at </w:t>
      </w:r>
      <w:r>
        <w:rPr>
          <w:rFonts w:cs="Times New Roman"/>
        </w:rPr>
        <w:t>p</w:t>
      </w:r>
      <w:r w:rsidRPr="000770DC">
        <w:rPr>
          <w:rFonts w:cs="Times New Roman"/>
        </w:rPr>
        <w:t>p. </w:t>
      </w:r>
      <w:r>
        <w:rPr>
          <w:rFonts w:cs="Times New Roman"/>
        </w:rPr>
        <w:t>91</w:t>
      </w:r>
      <w:r>
        <w:rPr>
          <w:rFonts w:cs="Times New Roman"/>
        </w:rPr>
        <w:noBreakHyphen/>
      </w:r>
      <w:r w:rsidRPr="000770DC">
        <w:rPr>
          <w:rFonts w:cs="Times New Roman"/>
        </w:rPr>
        <w:t>92).</w:t>
      </w:r>
    </w:p>
    <w:p w14:paraId="07CBD34F" w14:textId="77777777" w:rsidR="001346AE" w:rsidRPr="000770DC" w:rsidRDefault="001346AE" w:rsidP="001346AE">
      <w:pPr>
        <w:pStyle w:val="ParaNoNdepar-AltN"/>
        <w:rPr>
          <w:rFonts w:cs="Times New Roman"/>
        </w:rPr>
      </w:pPr>
      <w:r>
        <w:rPr>
          <w:rFonts w:cs="Times New Roman"/>
        </w:rPr>
        <w:t>Moreover, interpreting art. </w:t>
      </w:r>
      <w:r w:rsidRPr="000770DC">
        <w:rPr>
          <w:rFonts w:cs="Times New Roman"/>
        </w:rPr>
        <w:t xml:space="preserve">1 of the </w:t>
      </w:r>
      <w:r w:rsidRPr="000770DC">
        <w:rPr>
          <w:rFonts w:cs="Times New Roman"/>
          <w:i/>
        </w:rPr>
        <w:t xml:space="preserve">Treaty </w:t>
      </w:r>
      <w:r w:rsidRPr="000770DC">
        <w:rPr>
          <w:rFonts w:cs="Times New Roman"/>
        </w:rPr>
        <w:t>with refere</w:t>
      </w:r>
      <w:r>
        <w:rPr>
          <w:rFonts w:cs="Times New Roman"/>
        </w:rPr>
        <w:t xml:space="preserve">nce to the 2003 </w:t>
      </w:r>
      <w:r w:rsidRPr="000770DC">
        <w:rPr>
          <w:rFonts w:cs="Times New Roman"/>
        </w:rPr>
        <w:t>Commentar</w:t>
      </w:r>
      <w:r>
        <w:rPr>
          <w:rFonts w:cs="Times New Roman"/>
        </w:rPr>
        <w:t>ies</w:t>
      </w:r>
      <w:r w:rsidRPr="000770DC">
        <w:rPr>
          <w:rFonts w:cs="Times New Roman"/>
        </w:rPr>
        <w:t xml:space="preserve"> would overlook Luxembourg’s registered observation on </w:t>
      </w:r>
      <w:r>
        <w:rPr>
          <w:rFonts w:cs="Times New Roman"/>
        </w:rPr>
        <w:t>the “C</w:t>
      </w:r>
      <w:r w:rsidRPr="000770DC">
        <w:rPr>
          <w:rFonts w:cs="Times New Roman"/>
        </w:rPr>
        <w:t xml:space="preserve">ommentary </w:t>
      </w:r>
      <w:r>
        <w:rPr>
          <w:rFonts w:cs="Times New Roman"/>
        </w:rPr>
        <w:t xml:space="preserve">on Article 1” of the 2003 OECD </w:t>
      </w:r>
      <w:r w:rsidRPr="008F17C8">
        <w:rPr>
          <w:rFonts w:cs="Times New Roman"/>
          <w:i/>
        </w:rPr>
        <w:t>Model Treaty</w:t>
      </w:r>
      <w:r>
        <w:rPr>
          <w:rFonts w:cs="Times New Roman"/>
        </w:rPr>
        <w:t xml:space="preserve">. That observation </w:t>
      </w:r>
      <w:r w:rsidRPr="000770DC">
        <w:rPr>
          <w:rFonts w:cs="Times New Roman"/>
        </w:rPr>
        <w:t>reads</w:t>
      </w:r>
      <w:r>
        <w:rPr>
          <w:rFonts w:cs="Times New Roman"/>
        </w:rPr>
        <w:t xml:space="preserve"> as follows</w:t>
      </w:r>
      <w:r w:rsidRPr="000770DC">
        <w:rPr>
          <w:rFonts w:cs="Times New Roman"/>
        </w:rPr>
        <w:t>:</w:t>
      </w:r>
    </w:p>
    <w:p w14:paraId="317637EB" w14:textId="77777777" w:rsidR="001346AE" w:rsidRPr="000770DC" w:rsidRDefault="001346AE" w:rsidP="001346AE">
      <w:pPr>
        <w:pStyle w:val="Citation-AltC"/>
        <w:ind w:firstLine="274"/>
      </w:pPr>
      <w:r w:rsidRPr="000770DC">
        <w:rPr>
          <w:i/>
        </w:rPr>
        <w:t>Luxembourg</w:t>
      </w:r>
      <w:r w:rsidRPr="000770DC">
        <w:t xml:space="preserve"> does not share the interpr</w:t>
      </w:r>
      <w:r>
        <w:t>etation in paragraphs 9.2, 22.1</w:t>
      </w:r>
      <w:r w:rsidRPr="000770DC">
        <w:t xml:space="preserve"> and 23 which provide that there is generally no conflict between anti-abuse provisions of the domestic law of a Contracting State and the provisions of its tax conventions. Absent an express provision in the Convention, Luxembourg therefore believes that a State can only apply its domestic anti-abuse provisions in specific cases after recourse to </w:t>
      </w:r>
      <w:r>
        <w:t>the mutual agreement procedure.</w:t>
      </w:r>
      <w:r w:rsidRPr="000770DC">
        <w:t xml:space="preserve"> </w:t>
      </w:r>
      <w:r>
        <w:t>[</w:t>
      </w:r>
      <w:r w:rsidRPr="000770DC">
        <w:t>para.</w:t>
      </w:r>
      <w:r>
        <w:t> 27.6]</w:t>
      </w:r>
    </w:p>
    <w:p w14:paraId="1F4C1162" w14:textId="77777777" w:rsidR="001346AE" w:rsidRPr="000770DC" w:rsidRDefault="001346AE" w:rsidP="001346AE">
      <w:pPr>
        <w:pStyle w:val="ContinueParaSuitedupar-AltP"/>
        <w:rPr>
          <w:rFonts w:cs="Times New Roman"/>
        </w:rPr>
      </w:pPr>
      <w:r w:rsidRPr="000770DC">
        <w:rPr>
          <w:rFonts w:cs="Times New Roman"/>
        </w:rPr>
        <w:lastRenderedPageBreak/>
        <w:t xml:space="preserve">In effect, even if the Minister were able to rely on the Commentaries </w:t>
      </w:r>
      <w:r>
        <w:rPr>
          <w:rFonts w:cs="Times New Roman"/>
        </w:rPr>
        <w:t>postdating</w:t>
      </w:r>
      <w:r w:rsidRPr="000770DC">
        <w:rPr>
          <w:rFonts w:cs="Times New Roman"/>
        </w:rPr>
        <w:t xml:space="preserve"> the </w:t>
      </w:r>
      <w:r w:rsidRPr="000770DC">
        <w:rPr>
          <w:rFonts w:cs="Times New Roman"/>
          <w:i/>
        </w:rPr>
        <w:t>Treaty</w:t>
      </w:r>
      <w:r w:rsidRPr="000770DC">
        <w:rPr>
          <w:rFonts w:cs="Times New Roman"/>
        </w:rPr>
        <w:t xml:space="preserve">, </w:t>
      </w:r>
      <w:r>
        <w:rPr>
          <w:rFonts w:cs="Times New Roman"/>
        </w:rPr>
        <w:t>they would be of no assistance because</w:t>
      </w:r>
      <w:r w:rsidRPr="000770DC">
        <w:rPr>
          <w:rFonts w:cs="Times New Roman"/>
        </w:rPr>
        <w:t xml:space="preserve"> Luxembourg’s observation expresses disagreement with </w:t>
      </w:r>
      <w:r>
        <w:rPr>
          <w:rFonts w:cs="Times New Roman"/>
        </w:rPr>
        <w:t>the “</w:t>
      </w:r>
      <w:r w:rsidRPr="000770DC">
        <w:rPr>
          <w:rFonts w:cs="Times New Roman"/>
        </w:rPr>
        <w:t>Commentar</w:t>
      </w:r>
      <w:r>
        <w:rPr>
          <w:rFonts w:cs="Times New Roman"/>
        </w:rPr>
        <w:t>y</w:t>
      </w:r>
      <w:r w:rsidRPr="000770DC">
        <w:rPr>
          <w:rFonts w:cs="Times New Roman"/>
        </w:rPr>
        <w:t xml:space="preserve"> </w:t>
      </w:r>
      <w:r>
        <w:rPr>
          <w:rFonts w:cs="Times New Roman"/>
        </w:rPr>
        <w:t>on Article</w:t>
      </w:r>
      <w:r w:rsidRPr="000770DC">
        <w:rPr>
          <w:rFonts w:cs="Times New Roman"/>
        </w:rPr>
        <w:t> 1</w:t>
      </w:r>
      <w:r>
        <w:rPr>
          <w:rFonts w:cs="Times New Roman"/>
        </w:rPr>
        <w:t xml:space="preserve">” of the OECD </w:t>
      </w:r>
      <w:r w:rsidRPr="00F40A11">
        <w:rPr>
          <w:rFonts w:cs="Times New Roman"/>
          <w:i/>
        </w:rPr>
        <w:t>Model Treaty</w:t>
      </w:r>
      <w:r w:rsidRPr="000770DC">
        <w:rPr>
          <w:rFonts w:cs="Times New Roman"/>
        </w:rPr>
        <w:t>, which include</w:t>
      </w:r>
      <w:r>
        <w:rPr>
          <w:rFonts w:cs="Times New Roman"/>
        </w:rPr>
        <w:t>s</w:t>
      </w:r>
      <w:r w:rsidRPr="000770DC">
        <w:rPr>
          <w:rFonts w:cs="Times New Roman"/>
        </w:rPr>
        <w:t xml:space="preserve"> the anti-abuse commentary (Ward </w:t>
      </w:r>
      <w:r w:rsidRPr="00F40A11">
        <w:rPr>
          <w:rFonts w:cs="Times New Roman"/>
        </w:rPr>
        <w:t>et al.</w:t>
      </w:r>
      <w:r w:rsidRPr="000770DC">
        <w:rPr>
          <w:rFonts w:cs="Times New Roman"/>
        </w:rPr>
        <w:t>, at p. 64;</w:t>
      </w:r>
      <w:r>
        <w:rPr>
          <w:rFonts w:cs="Times New Roman"/>
        </w:rPr>
        <w:t xml:space="preserve"> “Commentary on Article 1” of the 2003 OECD </w:t>
      </w:r>
      <w:r w:rsidRPr="00F40A11">
        <w:rPr>
          <w:rFonts w:cs="Times New Roman"/>
          <w:i/>
        </w:rPr>
        <w:t>Model Treaty</w:t>
      </w:r>
      <w:r w:rsidRPr="000770DC">
        <w:rPr>
          <w:rFonts w:cs="Times New Roman"/>
        </w:rPr>
        <w:t>,</w:t>
      </w:r>
      <w:r w:rsidRPr="000770DC">
        <w:rPr>
          <w:rFonts w:cs="Times New Roman"/>
          <w:i/>
        </w:rPr>
        <w:t xml:space="preserve"> </w:t>
      </w:r>
      <w:r w:rsidRPr="000770DC">
        <w:rPr>
          <w:rFonts w:cs="Times New Roman"/>
        </w:rPr>
        <w:t>at p. 7).</w:t>
      </w:r>
    </w:p>
    <w:p w14:paraId="44439C5E" w14:textId="77777777" w:rsidR="001346AE" w:rsidRPr="000770DC" w:rsidRDefault="001346AE" w:rsidP="001346AE">
      <w:pPr>
        <w:pStyle w:val="ParaNoNdepar-AltN"/>
        <w:rPr>
          <w:rFonts w:cs="Times New Roman"/>
        </w:rPr>
      </w:pPr>
      <w:r w:rsidRPr="000770DC">
        <w:rPr>
          <w:rFonts w:cs="Times New Roman"/>
        </w:rPr>
        <w:t>It follows</w:t>
      </w:r>
      <w:r>
        <w:rPr>
          <w:rFonts w:cs="Times New Roman"/>
        </w:rPr>
        <w:t>,</w:t>
      </w:r>
      <w:r w:rsidRPr="000770DC">
        <w:rPr>
          <w:rFonts w:cs="Times New Roman"/>
        </w:rPr>
        <w:t xml:space="preserve"> then, </w:t>
      </w:r>
      <w:r>
        <w:rPr>
          <w:rFonts w:cs="Times New Roman"/>
        </w:rPr>
        <w:t xml:space="preserve">that </w:t>
      </w:r>
      <w:r w:rsidRPr="000770DC">
        <w:rPr>
          <w:rFonts w:cs="Times New Roman"/>
        </w:rPr>
        <w:t xml:space="preserve">in the interpretation of </w:t>
      </w:r>
      <w:r>
        <w:rPr>
          <w:rFonts w:cs="Times New Roman"/>
        </w:rPr>
        <w:t>a</w:t>
      </w:r>
      <w:r w:rsidRPr="000770DC">
        <w:rPr>
          <w:rFonts w:cs="Times New Roman"/>
        </w:rPr>
        <w:t>rt. 1</w:t>
      </w:r>
      <w:r>
        <w:rPr>
          <w:rFonts w:cs="Times New Roman"/>
        </w:rPr>
        <w:t xml:space="preserve"> of the </w:t>
      </w:r>
      <w:r w:rsidRPr="006A29AB">
        <w:rPr>
          <w:rFonts w:cs="Times New Roman"/>
          <w:i/>
        </w:rPr>
        <w:t>Treaty</w:t>
      </w:r>
      <w:r w:rsidRPr="000770DC">
        <w:rPr>
          <w:rFonts w:cs="Times New Roman"/>
        </w:rPr>
        <w:t xml:space="preserve">, Commentaries on </w:t>
      </w:r>
      <w:r>
        <w:rPr>
          <w:rFonts w:cs="Times New Roman"/>
        </w:rPr>
        <w:t>art. </w:t>
      </w:r>
      <w:r w:rsidRPr="000770DC">
        <w:rPr>
          <w:rFonts w:cs="Times New Roman"/>
        </w:rPr>
        <w:t xml:space="preserve">1 </w:t>
      </w:r>
      <w:r>
        <w:rPr>
          <w:rFonts w:cs="Times New Roman"/>
        </w:rPr>
        <w:t xml:space="preserve">of the OECD </w:t>
      </w:r>
      <w:r w:rsidRPr="00F40A11">
        <w:rPr>
          <w:rFonts w:cs="Times New Roman"/>
          <w:i/>
        </w:rPr>
        <w:t>Model Treaty</w:t>
      </w:r>
      <w:r>
        <w:rPr>
          <w:rFonts w:cs="Times New Roman"/>
        </w:rPr>
        <w:t xml:space="preserve"> </w:t>
      </w:r>
      <w:r w:rsidRPr="000770DC">
        <w:rPr>
          <w:rFonts w:cs="Times New Roman"/>
        </w:rPr>
        <w:t>that p</w:t>
      </w:r>
      <w:r>
        <w:rPr>
          <w:rFonts w:cs="Times New Roman"/>
        </w:rPr>
        <w:t>ost</w:t>
      </w:r>
      <w:r w:rsidRPr="000770DC">
        <w:rPr>
          <w:rFonts w:cs="Times New Roman"/>
        </w:rPr>
        <w:t xml:space="preserve">date the </w:t>
      </w:r>
      <w:r w:rsidRPr="000770DC">
        <w:rPr>
          <w:rFonts w:cs="Times New Roman"/>
          <w:i/>
        </w:rPr>
        <w:t>Treaty</w:t>
      </w:r>
      <w:r w:rsidRPr="000770DC">
        <w:rPr>
          <w:rFonts w:cs="Times New Roman"/>
        </w:rPr>
        <w:t xml:space="preserve"> cannot be relied on to introduce terms that modify the </w:t>
      </w:r>
      <w:r w:rsidRPr="000770DC">
        <w:rPr>
          <w:rFonts w:cs="Times New Roman"/>
          <w:i/>
        </w:rPr>
        <w:t>Treaty</w:t>
      </w:r>
      <w:r w:rsidRPr="000770DC">
        <w:rPr>
          <w:rFonts w:cs="Times New Roman"/>
        </w:rPr>
        <w:t xml:space="preserve">. Not only would this effectively amend the </w:t>
      </w:r>
      <w:r w:rsidRPr="000770DC">
        <w:rPr>
          <w:rFonts w:cs="Times New Roman"/>
          <w:i/>
        </w:rPr>
        <w:t xml:space="preserve">Treaty </w:t>
      </w:r>
      <w:r w:rsidRPr="000770DC">
        <w:rPr>
          <w:rFonts w:cs="Times New Roman"/>
        </w:rPr>
        <w:t xml:space="preserve">in a manner not agreed upon by the parties, but it would also usurp the role of </w:t>
      </w:r>
      <w:r>
        <w:rPr>
          <w:rFonts w:cs="Times New Roman"/>
        </w:rPr>
        <w:t xml:space="preserve">the </w:t>
      </w:r>
      <w:r w:rsidRPr="000770DC">
        <w:rPr>
          <w:rFonts w:cs="Times New Roman"/>
        </w:rPr>
        <w:t xml:space="preserve">Governor in Council by allowing for judicial amendment </w:t>
      </w:r>
      <w:r>
        <w:rPr>
          <w:rFonts w:cs="Times New Roman"/>
        </w:rPr>
        <w:t>of</w:t>
      </w:r>
      <w:r w:rsidRPr="000770DC">
        <w:rPr>
          <w:rFonts w:cs="Times New Roman"/>
        </w:rPr>
        <w:t xml:space="preserve"> bilateral treaties against the expressed wishes of the contracting states</w:t>
      </w:r>
      <w:r>
        <w:rPr>
          <w:rFonts w:cs="Times New Roman"/>
        </w:rPr>
        <w:t>.</w:t>
      </w:r>
    </w:p>
    <w:p w14:paraId="70D28BBA" w14:textId="77777777" w:rsidR="001346AE" w:rsidRPr="000770DC" w:rsidRDefault="001346AE" w:rsidP="001346AE">
      <w:pPr>
        <w:pStyle w:val="Title2LevelTitre2Niveau"/>
        <w:rPr>
          <w:rFonts w:cs="Times New Roman"/>
        </w:rPr>
      </w:pPr>
      <w:bookmarkStart w:id="33" w:name="_Toc77170382"/>
      <w:bookmarkStart w:id="34" w:name="_Toc77229382"/>
      <w:bookmarkStart w:id="35" w:name="_Toc78040593"/>
      <w:r w:rsidRPr="000770DC">
        <w:rPr>
          <w:rFonts w:cs="Times New Roman"/>
        </w:rPr>
        <w:t>Cautionary Preface to the GAAR Analysis</w:t>
      </w:r>
      <w:bookmarkEnd w:id="33"/>
      <w:bookmarkEnd w:id="34"/>
      <w:bookmarkEnd w:id="35"/>
    </w:p>
    <w:p w14:paraId="584746A5" w14:textId="77777777" w:rsidR="001346AE" w:rsidRPr="000770DC" w:rsidRDefault="001346AE" w:rsidP="001346AE">
      <w:pPr>
        <w:pStyle w:val="ParaNoNdepar-AltN"/>
        <w:rPr>
          <w:rFonts w:cs="Times New Roman"/>
          <w:lang w:val="en-US"/>
        </w:rPr>
      </w:pPr>
      <w:r w:rsidRPr="000770DC">
        <w:rPr>
          <w:rFonts w:cs="Times New Roman"/>
        </w:rPr>
        <w:t xml:space="preserve">Before </w:t>
      </w:r>
      <w:r>
        <w:rPr>
          <w:rFonts w:cs="Times New Roman"/>
        </w:rPr>
        <w:t xml:space="preserve">I </w:t>
      </w:r>
      <w:r w:rsidRPr="000770DC">
        <w:rPr>
          <w:rFonts w:cs="Times New Roman"/>
        </w:rPr>
        <w:t>proceed, it is important to s</w:t>
      </w:r>
      <w:r>
        <w:rPr>
          <w:rFonts w:cs="Times New Roman"/>
        </w:rPr>
        <w:t>ound some notes of caution.</w:t>
      </w:r>
    </w:p>
    <w:p w14:paraId="416E0D52" w14:textId="77777777" w:rsidR="001346AE" w:rsidRPr="000770DC" w:rsidRDefault="001346AE" w:rsidP="001346AE">
      <w:pPr>
        <w:pStyle w:val="ParaNoNdepar-AltN"/>
        <w:rPr>
          <w:rFonts w:cs="Times New Roman"/>
          <w:lang w:val="en-US"/>
        </w:rPr>
      </w:pPr>
      <w:r w:rsidRPr="000770DC">
        <w:rPr>
          <w:rFonts w:cs="Times New Roman"/>
        </w:rPr>
        <w:t xml:space="preserve">First and foremost, tax avoidance is </w:t>
      </w:r>
      <w:r w:rsidRPr="000770DC">
        <w:rPr>
          <w:rFonts w:cs="Times New Roman"/>
          <w:i/>
          <w:iCs/>
        </w:rPr>
        <w:t>not</w:t>
      </w:r>
      <w:r w:rsidRPr="000770DC">
        <w:rPr>
          <w:rFonts w:cs="Times New Roman"/>
        </w:rPr>
        <w:t xml:space="preserve"> tax evasion, and there is no suggestion by either party that the transaction in this case was evasive. In addition, tax avoidance should not be conflated with abuse. Even if a transaction was designed for a tax avoidance purpose and not for a </w:t>
      </w:r>
      <w:r w:rsidRPr="000770DC">
        <w:rPr>
          <w:rFonts w:cs="Times New Roman"/>
          <w:i/>
        </w:rPr>
        <w:t xml:space="preserve">bona fide </w:t>
      </w:r>
      <w:r w:rsidRPr="000770DC">
        <w:rPr>
          <w:rFonts w:cs="Times New Roman"/>
        </w:rPr>
        <w:t>non-tax purpose</w:t>
      </w:r>
      <w:r>
        <w:rPr>
          <w:rFonts w:cs="Times New Roman"/>
        </w:rPr>
        <w:t>,</w:t>
      </w:r>
      <w:r w:rsidRPr="000770DC">
        <w:rPr>
          <w:rFonts w:cs="Times New Roman"/>
        </w:rPr>
        <w:t xml:space="preserve"> such as an economic or commercial purpose, it does not mean that it is necessarily abusive within the meaning of the GAAR (</w:t>
      </w:r>
      <w:r w:rsidRPr="000770DC">
        <w:rPr>
          <w:rFonts w:cs="Times New Roman"/>
          <w:i/>
          <w:iCs/>
        </w:rPr>
        <w:t>Canada Trustco</w:t>
      </w:r>
      <w:r w:rsidRPr="000770DC">
        <w:rPr>
          <w:rFonts w:cs="Times New Roman"/>
        </w:rPr>
        <w:t xml:space="preserve">, at paras. 36 and 57; see also </w:t>
      </w:r>
      <w:r w:rsidRPr="000770DC">
        <w:rPr>
          <w:rFonts w:cs="Times New Roman"/>
          <w:i/>
          <w:iCs/>
        </w:rPr>
        <w:t>Lipson</w:t>
      </w:r>
      <w:r w:rsidRPr="000770DC">
        <w:rPr>
          <w:rFonts w:cs="Times New Roman"/>
        </w:rPr>
        <w:t xml:space="preserve">, at para. 38). The purpose of </w:t>
      </w:r>
      <w:r>
        <w:rPr>
          <w:rFonts w:cs="Times New Roman"/>
        </w:rPr>
        <w:t>a</w:t>
      </w:r>
      <w:r w:rsidRPr="000770DC">
        <w:rPr>
          <w:rFonts w:cs="Times New Roman"/>
        </w:rPr>
        <w:t xml:space="preserve"> transaction is relevant mainly to characterize </w:t>
      </w:r>
      <w:r>
        <w:rPr>
          <w:rFonts w:cs="Times New Roman"/>
        </w:rPr>
        <w:t>it</w:t>
      </w:r>
      <w:r w:rsidRPr="000770DC">
        <w:rPr>
          <w:rFonts w:cs="Times New Roman"/>
        </w:rPr>
        <w:t xml:space="preserve"> as either an avoidance </w:t>
      </w:r>
      <w:r w:rsidRPr="000770DC">
        <w:rPr>
          <w:rFonts w:cs="Times New Roman"/>
        </w:rPr>
        <w:lastRenderedPageBreak/>
        <w:t xml:space="preserve">transaction or a </w:t>
      </w:r>
      <w:r w:rsidRPr="000770DC">
        <w:rPr>
          <w:rFonts w:cs="Times New Roman"/>
          <w:i/>
          <w:iCs/>
        </w:rPr>
        <w:t xml:space="preserve">bona fide </w:t>
      </w:r>
      <w:r w:rsidRPr="000770DC">
        <w:rPr>
          <w:rFonts w:cs="Times New Roman"/>
        </w:rPr>
        <w:t>transaction and</w:t>
      </w:r>
      <w:r>
        <w:rPr>
          <w:rFonts w:cs="Times New Roman"/>
        </w:rPr>
        <w:t>,</w:t>
      </w:r>
      <w:r w:rsidRPr="000770DC">
        <w:rPr>
          <w:rFonts w:cs="Times New Roman"/>
        </w:rPr>
        <w:t xml:space="preserve"> </w:t>
      </w:r>
      <w:r>
        <w:rPr>
          <w:rFonts w:cs="Times New Roman"/>
        </w:rPr>
        <w:t>specifically,</w:t>
      </w:r>
      <w:r w:rsidRPr="000770DC">
        <w:rPr>
          <w:rFonts w:cs="Times New Roman"/>
        </w:rPr>
        <w:t xml:space="preserve"> to assess the abusive nature of the transaction. In their factual analysis, courts may consider whether </w:t>
      </w:r>
      <w:r>
        <w:rPr>
          <w:rFonts w:cs="Times New Roman"/>
        </w:rPr>
        <w:t>an</w:t>
      </w:r>
      <w:r w:rsidRPr="000770DC">
        <w:rPr>
          <w:rFonts w:cs="Times New Roman"/>
        </w:rPr>
        <w:t xml:space="preserve"> avoidance transaction was “motivated by any economic, commercial, family or other non-tax purpose” (</w:t>
      </w:r>
      <w:r w:rsidRPr="000770DC">
        <w:rPr>
          <w:rFonts w:cs="Times New Roman"/>
          <w:i/>
          <w:iCs/>
        </w:rPr>
        <w:t>Canada Trustco</w:t>
      </w:r>
      <w:r w:rsidRPr="000770DC">
        <w:rPr>
          <w:rFonts w:cs="Times New Roman"/>
          <w:iCs/>
        </w:rPr>
        <w:t xml:space="preserve">, </w:t>
      </w:r>
      <w:r w:rsidRPr="000770DC">
        <w:rPr>
          <w:rFonts w:cs="Times New Roman"/>
        </w:rPr>
        <w:t xml:space="preserve">at para. 58). However, </w:t>
      </w:r>
      <w:r>
        <w:rPr>
          <w:rFonts w:cs="Times New Roman"/>
        </w:rPr>
        <w:t xml:space="preserve">a </w:t>
      </w:r>
      <w:r w:rsidRPr="000770DC">
        <w:rPr>
          <w:rFonts w:cs="Times New Roman"/>
        </w:rPr>
        <w:t xml:space="preserve">finding that a </w:t>
      </w:r>
      <w:r w:rsidRPr="000770DC">
        <w:rPr>
          <w:rFonts w:cs="Times New Roman"/>
          <w:i/>
        </w:rPr>
        <w:t xml:space="preserve">bona fide </w:t>
      </w:r>
      <w:r w:rsidRPr="000770DC">
        <w:rPr>
          <w:rFonts w:cs="Times New Roman"/>
        </w:rPr>
        <w:t>non-tax purpose is lacking, taken alone, should not be considered conclusive evidence of abusive tax avoidance</w:t>
      </w:r>
      <w:r>
        <w:rPr>
          <w:rFonts w:cs="Times New Roman"/>
        </w:rPr>
        <w:t>.</w:t>
      </w:r>
      <w:r w:rsidRPr="000770DC">
        <w:rPr>
          <w:rFonts w:cs="Times New Roman"/>
        </w:rPr>
        <w:t xml:space="preserve"> </w:t>
      </w:r>
      <w:r>
        <w:rPr>
          <w:rFonts w:cs="Times New Roman"/>
        </w:rPr>
        <w:t>Justices </w:t>
      </w:r>
      <w:r w:rsidRPr="000770DC">
        <w:rPr>
          <w:rFonts w:cs="Times New Roman"/>
        </w:rPr>
        <w:t xml:space="preserve">Rowe and Martin are </w:t>
      </w:r>
      <w:r>
        <w:rPr>
          <w:rFonts w:cs="Times New Roman"/>
        </w:rPr>
        <w:t>taking exactly that approach,</w:t>
      </w:r>
      <w:r w:rsidRPr="000770DC">
        <w:rPr>
          <w:rFonts w:cs="Times New Roman"/>
        </w:rPr>
        <w:t xml:space="preserve"> and </w:t>
      </w:r>
      <w:r>
        <w:rPr>
          <w:rFonts w:cs="Times New Roman"/>
        </w:rPr>
        <w:t>it</w:t>
      </w:r>
      <w:r w:rsidRPr="000770DC">
        <w:rPr>
          <w:rFonts w:cs="Times New Roman"/>
        </w:rPr>
        <w:t xml:space="preserve"> colours their entire analysis. Moreover, such </w:t>
      </w:r>
      <w:r>
        <w:rPr>
          <w:rFonts w:cs="Times New Roman"/>
        </w:rPr>
        <w:t xml:space="preserve">a </w:t>
      </w:r>
      <w:r w:rsidRPr="000770DC">
        <w:rPr>
          <w:rFonts w:cs="Times New Roman"/>
        </w:rPr>
        <w:t xml:space="preserve">finding should not be allowed to impair the proper interpretation of the relevant provisions in a manner that makes </w:t>
      </w:r>
      <w:r>
        <w:rPr>
          <w:rFonts w:cs="Times New Roman"/>
        </w:rPr>
        <w:t xml:space="preserve">substantive </w:t>
      </w:r>
      <w:r w:rsidRPr="000770DC">
        <w:rPr>
          <w:rFonts w:cs="Times New Roman"/>
        </w:rPr>
        <w:t xml:space="preserve">economic </w:t>
      </w:r>
      <w:r>
        <w:rPr>
          <w:rFonts w:cs="Times New Roman"/>
        </w:rPr>
        <w:t>connections</w:t>
      </w:r>
      <w:r w:rsidRPr="000770DC">
        <w:rPr>
          <w:rFonts w:cs="Times New Roman"/>
        </w:rPr>
        <w:t xml:space="preserve"> or the presence of a </w:t>
      </w:r>
      <w:r w:rsidRPr="000770DC">
        <w:rPr>
          <w:rFonts w:cs="Times New Roman"/>
          <w:i/>
        </w:rPr>
        <w:t xml:space="preserve">bona fide </w:t>
      </w:r>
      <w:r w:rsidRPr="000770DC">
        <w:rPr>
          <w:rFonts w:cs="Times New Roman"/>
        </w:rPr>
        <w:t>non-tax purpose a condition precedent to every tax benefit; the goal is to ensure the relevant provisions are properly interpreted in light of their context and purpose (</w:t>
      </w:r>
      <w:r w:rsidRPr="000770DC">
        <w:rPr>
          <w:rFonts w:cs="Times New Roman"/>
          <w:i/>
          <w:iCs/>
        </w:rPr>
        <w:t>Canada Trustco</w:t>
      </w:r>
      <w:r w:rsidRPr="000770DC">
        <w:rPr>
          <w:rFonts w:cs="Times New Roman"/>
          <w:iCs/>
        </w:rPr>
        <w:t xml:space="preserve">, </w:t>
      </w:r>
      <w:r w:rsidRPr="000770DC">
        <w:rPr>
          <w:rFonts w:cs="Times New Roman"/>
        </w:rPr>
        <w:t>at para. 62).</w:t>
      </w:r>
    </w:p>
    <w:p w14:paraId="3601D36A" w14:textId="77777777" w:rsidR="001346AE" w:rsidRPr="000770DC" w:rsidRDefault="001346AE" w:rsidP="001346AE">
      <w:pPr>
        <w:pStyle w:val="ParaNoNdepar-AltN"/>
        <w:rPr>
          <w:rFonts w:cs="Times New Roman"/>
        </w:rPr>
      </w:pPr>
      <w:r w:rsidRPr="000770DC">
        <w:rPr>
          <w:rFonts w:cs="Times New Roman"/>
        </w:rPr>
        <w:t xml:space="preserve">Second, it is also important to distinguish what is immoral from what is abusive. It is true, as </w:t>
      </w:r>
      <w:r>
        <w:rPr>
          <w:rFonts w:cs="Times New Roman"/>
        </w:rPr>
        <w:t>reiterated</w:t>
      </w:r>
      <w:r w:rsidRPr="000770DC">
        <w:rPr>
          <w:rFonts w:cs="Times New Roman"/>
        </w:rPr>
        <w:t xml:space="preserve"> in </w:t>
      </w:r>
      <w:r w:rsidRPr="000770DC">
        <w:rPr>
          <w:rFonts w:cs="Times New Roman"/>
          <w:i/>
          <w:iCs/>
        </w:rPr>
        <w:t>Copthorne</w:t>
      </w:r>
      <w:r w:rsidRPr="000770DC">
        <w:rPr>
          <w:rFonts w:cs="Times New Roman"/>
        </w:rPr>
        <w:t xml:space="preserve">, that </w:t>
      </w:r>
      <w:r>
        <w:rPr>
          <w:rFonts w:cs="Times New Roman"/>
        </w:rPr>
        <w:t xml:space="preserve">the </w:t>
      </w:r>
      <w:r w:rsidRPr="000770DC">
        <w:rPr>
          <w:rFonts w:cs="Times New Roman"/>
        </w:rPr>
        <w:t>GAAR is a legislative measure by which “Parliament has conferred on the court the unusual duty of going behind the words of the legislation to determine the object, spirit or purpose of the provision or provisions relied upon by the taxpayer” (para. 66). But</w:t>
      </w:r>
      <w:r>
        <w:rPr>
          <w:rFonts w:cs="Times New Roman"/>
        </w:rPr>
        <w:t>,</w:t>
      </w:r>
      <w:r w:rsidRPr="000770DC">
        <w:rPr>
          <w:rFonts w:cs="Times New Roman"/>
        </w:rPr>
        <w:t xml:space="preserve"> </w:t>
      </w:r>
      <w:r>
        <w:rPr>
          <w:rFonts w:cs="Times New Roman"/>
        </w:rPr>
        <w:t xml:space="preserve">in </w:t>
      </w:r>
      <w:r w:rsidRPr="000770DC">
        <w:rPr>
          <w:rFonts w:cs="Times New Roman"/>
          <w:i/>
          <w:iCs/>
        </w:rPr>
        <w:t>Copthorne</w:t>
      </w:r>
      <w:r>
        <w:rPr>
          <w:rFonts w:cs="Times New Roman"/>
        </w:rPr>
        <w:t xml:space="preserve">, </w:t>
      </w:r>
      <w:r w:rsidRPr="000770DC">
        <w:rPr>
          <w:rFonts w:cs="Times New Roman"/>
        </w:rPr>
        <w:t xml:space="preserve">Rothstein J. was quick to note the limits to that legislative mandate. In contrast to what my colleagues are proposing, Rothstein J. observed that courts should not infuse the abuse analysis </w:t>
      </w:r>
      <w:r>
        <w:rPr>
          <w:rFonts w:cs="Times New Roman"/>
        </w:rPr>
        <w:t xml:space="preserve">with </w:t>
      </w:r>
      <w:r w:rsidRPr="000770DC">
        <w:rPr>
          <w:rFonts w:cs="Times New Roman"/>
        </w:rPr>
        <w:t xml:space="preserve">“a value judgment of what is right or wrong </w:t>
      </w:r>
      <w:r>
        <w:rPr>
          <w:rFonts w:cs="Times New Roman"/>
        </w:rPr>
        <w:t>nor with</w:t>
      </w:r>
      <w:r w:rsidRPr="000770DC">
        <w:rPr>
          <w:rFonts w:cs="Times New Roman"/>
        </w:rPr>
        <w:t xml:space="preserve"> theories about what tax law ought to be or ought to do” (para. 70). Taxpayers are allowed to minimize their tax liability to the full extent of the law and to </w:t>
      </w:r>
      <w:r>
        <w:rPr>
          <w:rFonts w:cs="Times New Roman"/>
        </w:rPr>
        <w:t>engage in</w:t>
      </w:r>
      <w:r w:rsidRPr="000770DC">
        <w:rPr>
          <w:rFonts w:cs="Times New Roman"/>
        </w:rPr>
        <w:t xml:space="preserve"> “creative” tax avoidance planning, </w:t>
      </w:r>
      <w:r>
        <w:rPr>
          <w:rFonts w:cs="Times New Roman"/>
        </w:rPr>
        <w:t>in</w:t>
      </w:r>
      <w:r w:rsidRPr="000770DC">
        <w:rPr>
          <w:rFonts w:cs="Times New Roman"/>
        </w:rPr>
        <w:t xml:space="preserve">sofar as it is not abusive within the meaning of the GAAR (para. 65). </w:t>
      </w:r>
      <w:r w:rsidRPr="000770DC">
        <w:rPr>
          <w:rFonts w:eastAsia="Times New Roman" w:cs="Times New Roman"/>
          <w:szCs w:val="24"/>
          <w:lang w:eastAsia="fr-CA"/>
        </w:rPr>
        <w:t xml:space="preserve">Therefore, even </w:t>
      </w:r>
      <w:r w:rsidRPr="000770DC">
        <w:rPr>
          <w:rFonts w:eastAsia="Times New Roman" w:cs="Times New Roman"/>
          <w:szCs w:val="24"/>
          <w:lang w:eastAsia="fr-CA"/>
        </w:rPr>
        <w:lastRenderedPageBreak/>
        <w:t>though one may consider treaty shopping in tax havens to be immoral, this is not deter</w:t>
      </w:r>
      <w:r>
        <w:rPr>
          <w:rFonts w:eastAsia="Times New Roman" w:cs="Times New Roman"/>
          <w:szCs w:val="24"/>
          <w:lang w:eastAsia="fr-CA"/>
        </w:rPr>
        <w:t>minative of a finding of abuse.</w:t>
      </w:r>
    </w:p>
    <w:p w14:paraId="7F184E10" w14:textId="77777777" w:rsidR="001346AE" w:rsidRPr="000770DC" w:rsidRDefault="001346AE" w:rsidP="001346AE">
      <w:pPr>
        <w:pStyle w:val="ParaNoNdepar-AltN"/>
        <w:rPr>
          <w:rFonts w:cs="Times New Roman"/>
        </w:rPr>
      </w:pPr>
      <w:r w:rsidRPr="000770DC">
        <w:rPr>
          <w:rFonts w:eastAsia="Times New Roman" w:cs="Times New Roman"/>
          <w:szCs w:val="24"/>
          <w:lang w:eastAsia="fr-CA"/>
        </w:rPr>
        <w:t>Finally, the abuse analysis is not meant to be a “search for an overriding policy of the Act that is not based on a unified, textual, contextual and purposive interpretation of the specific provisions in issue” (</w:t>
      </w:r>
      <w:r w:rsidRPr="000770DC">
        <w:rPr>
          <w:rFonts w:eastAsia="Times New Roman" w:cs="Times New Roman"/>
          <w:i/>
          <w:szCs w:val="24"/>
          <w:lang w:eastAsia="fr-CA"/>
        </w:rPr>
        <w:t>Canada Trustco</w:t>
      </w:r>
      <w:r w:rsidRPr="000770DC">
        <w:rPr>
          <w:rFonts w:eastAsia="Times New Roman" w:cs="Times New Roman"/>
          <w:szCs w:val="24"/>
          <w:lang w:eastAsia="fr-CA"/>
        </w:rPr>
        <w:t xml:space="preserve">, at para. 41). The focus of the interpretation is on the object, spirit, and purpose of the </w:t>
      </w:r>
      <w:r w:rsidRPr="000770DC">
        <w:rPr>
          <w:rFonts w:eastAsia="Times New Roman" w:cs="Times New Roman"/>
          <w:i/>
          <w:szCs w:val="24"/>
          <w:lang w:eastAsia="fr-CA"/>
        </w:rPr>
        <w:t xml:space="preserve">specific provisions </w:t>
      </w:r>
      <w:r w:rsidRPr="000770DC">
        <w:rPr>
          <w:rFonts w:eastAsia="Times New Roman" w:cs="Times New Roman"/>
          <w:szCs w:val="24"/>
          <w:lang w:eastAsia="fr-CA"/>
        </w:rPr>
        <w:t xml:space="preserve">and not on the broader policy objective of the </w:t>
      </w:r>
      <w:r w:rsidRPr="000770DC">
        <w:rPr>
          <w:rFonts w:eastAsia="Times New Roman" w:cs="Times New Roman"/>
          <w:i/>
          <w:szCs w:val="24"/>
          <w:lang w:eastAsia="fr-CA"/>
        </w:rPr>
        <w:t xml:space="preserve">Act </w:t>
      </w:r>
      <w:r w:rsidRPr="000770DC">
        <w:rPr>
          <w:rFonts w:eastAsia="Times New Roman" w:cs="Times New Roman"/>
          <w:szCs w:val="24"/>
          <w:lang w:eastAsia="fr-CA"/>
        </w:rPr>
        <w:t>or of a particular tax treaty. Therefore, policy objectives such as “avoiding double taxation” and “encouraging trade and investment” that are found in bilateral tax treaties cannot be invoked to override the wording of the provisions in issue.</w:t>
      </w:r>
    </w:p>
    <w:p w14:paraId="6277C3BB" w14:textId="77777777" w:rsidR="001346AE" w:rsidRPr="000770DC" w:rsidRDefault="001346AE" w:rsidP="001346AE">
      <w:pPr>
        <w:pStyle w:val="Title2LevelTitre2Niveau"/>
        <w:rPr>
          <w:rFonts w:cs="Times New Roman"/>
        </w:rPr>
      </w:pPr>
      <w:bookmarkStart w:id="36" w:name="_Toc77170383"/>
      <w:bookmarkStart w:id="37" w:name="_Toc77229383"/>
      <w:bookmarkStart w:id="38" w:name="_Toc78040594"/>
      <w:r>
        <w:rPr>
          <w:rFonts w:cs="Times New Roman"/>
        </w:rPr>
        <w:t>First Step: Object, Spirit, and</w:t>
      </w:r>
      <w:r w:rsidRPr="000770DC">
        <w:rPr>
          <w:rFonts w:cs="Times New Roman"/>
        </w:rPr>
        <w:t xml:space="preserve"> Purpose of the Relevant Provisions</w:t>
      </w:r>
      <w:bookmarkEnd w:id="36"/>
      <w:bookmarkEnd w:id="37"/>
      <w:bookmarkEnd w:id="38"/>
    </w:p>
    <w:p w14:paraId="279CC9F5" w14:textId="77777777" w:rsidR="001346AE" w:rsidRPr="000770DC" w:rsidRDefault="001346AE" w:rsidP="001346AE">
      <w:pPr>
        <w:pStyle w:val="ParaNoNdepar-AltN"/>
        <w:rPr>
          <w:rFonts w:cs="Times New Roman"/>
        </w:rPr>
      </w:pPr>
      <w:r w:rsidRPr="000770DC">
        <w:rPr>
          <w:rFonts w:cs="Times New Roman"/>
        </w:rPr>
        <w:t>As mentioned above, the first step of the abuse analysis is to ascertain the object, spirit</w:t>
      </w:r>
      <w:r>
        <w:rPr>
          <w:rFonts w:cs="Times New Roman"/>
        </w:rPr>
        <w:t>,</w:t>
      </w:r>
      <w:r w:rsidRPr="000770DC">
        <w:rPr>
          <w:rFonts w:cs="Times New Roman"/>
        </w:rPr>
        <w:t xml:space="preserve"> </w:t>
      </w:r>
      <w:r>
        <w:rPr>
          <w:rFonts w:cs="Times New Roman"/>
        </w:rPr>
        <w:t>and</w:t>
      </w:r>
      <w:r w:rsidRPr="000770DC">
        <w:rPr>
          <w:rFonts w:cs="Times New Roman"/>
        </w:rPr>
        <w:t xml:space="preserve"> purpose of the relevant provisions. Be</w:t>
      </w:r>
      <w:r>
        <w:rPr>
          <w:rFonts w:cs="Times New Roman"/>
        </w:rPr>
        <w:t>cause</w:t>
      </w:r>
      <w:r w:rsidRPr="000770DC">
        <w:rPr>
          <w:rFonts w:cs="Times New Roman"/>
        </w:rPr>
        <w:t xml:space="preserve"> </w:t>
      </w:r>
      <w:r>
        <w:rPr>
          <w:rFonts w:cs="Times New Roman"/>
        </w:rPr>
        <w:t xml:space="preserve">this is </w:t>
      </w:r>
      <w:r w:rsidRPr="000770DC">
        <w:rPr>
          <w:rFonts w:cs="Times New Roman"/>
        </w:rPr>
        <w:t>a question of treaty interpretation</w:t>
      </w:r>
      <w:r>
        <w:rPr>
          <w:rFonts w:cs="Times New Roman"/>
        </w:rPr>
        <w:t xml:space="preserve">, however, this must be done with a view to implementing the true intentions of the parties. This is </w:t>
      </w:r>
      <w:r w:rsidRPr="000770DC">
        <w:rPr>
          <w:rFonts w:cs="Times New Roman"/>
        </w:rPr>
        <w:t>a question of law</w:t>
      </w:r>
      <w:r>
        <w:rPr>
          <w:rFonts w:cs="Times New Roman"/>
        </w:rPr>
        <w:t xml:space="preserve"> and</w:t>
      </w:r>
      <w:r w:rsidRPr="000770DC">
        <w:rPr>
          <w:rFonts w:cs="Times New Roman"/>
        </w:rPr>
        <w:t xml:space="preserve"> the analysis of this first step is </w:t>
      </w:r>
      <w:r>
        <w:rPr>
          <w:rFonts w:cs="Times New Roman"/>
        </w:rPr>
        <w:t xml:space="preserve">therefore </w:t>
      </w:r>
      <w:r w:rsidRPr="000770DC">
        <w:rPr>
          <w:rFonts w:cs="Times New Roman"/>
        </w:rPr>
        <w:t>subject to the correctness standard (</w:t>
      </w:r>
      <w:r w:rsidRPr="000770DC">
        <w:rPr>
          <w:rFonts w:cs="Times New Roman"/>
          <w:i/>
        </w:rPr>
        <w:t>Canada Trustco</w:t>
      </w:r>
      <w:r w:rsidRPr="000770DC">
        <w:rPr>
          <w:rFonts w:cs="Times New Roman"/>
        </w:rPr>
        <w:t>, at para. 44).</w:t>
      </w:r>
    </w:p>
    <w:p w14:paraId="44FC7A7E" w14:textId="77777777" w:rsidR="001346AE" w:rsidRPr="000770DC" w:rsidRDefault="001346AE" w:rsidP="001346AE">
      <w:pPr>
        <w:pStyle w:val="ParaNoNdepar-AltN"/>
        <w:rPr>
          <w:rFonts w:cs="Times New Roman"/>
          <w:szCs w:val="24"/>
        </w:rPr>
      </w:pPr>
      <w:r w:rsidRPr="000770DC">
        <w:rPr>
          <w:rFonts w:cs="Times New Roman"/>
          <w:szCs w:val="24"/>
        </w:rPr>
        <w:t>The Minister’s submissions cent</w:t>
      </w:r>
      <w:r>
        <w:rPr>
          <w:rFonts w:cs="Times New Roman"/>
          <w:szCs w:val="24"/>
        </w:rPr>
        <w:t>re</w:t>
      </w:r>
      <w:r w:rsidRPr="000770DC">
        <w:rPr>
          <w:rFonts w:cs="Times New Roman"/>
          <w:szCs w:val="24"/>
        </w:rPr>
        <w:t xml:space="preserve"> on an alleg</w:t>
      </w:r>
      <w:r>
        <w:rPr>
          <w:rFonts w:cs="Times New Roman"/>
          <w:szCs w:val="24"/>
        </w:rPr>
        <w:t>ed abuse by Alta Luxembourg of a</w:t>
      </w:r>
      <w:r w:rsidRPr="000770DC">
        <w:rPr>
          <w:rFonts w:cs="Times New Roman"/>
          <w:szCs w:val="24"/>
        </w:rPr>
        <w:t>rts. 1, 4(1) and 13(4)</w:t>
      </w:r>
      <w:r>
        <w:rPr>
          <w:rFonts w:cs="Times New Roman"/>
          <w:szCs w:val="24"/>
        </w:rPr>
        <w:t xml:space="preserve"> and </w:t>
      </w:r>
      <w:r w:rsidRPr="000770DC">
        <w:rPr>
          <w:rFonts w:cs="Times New Roman"/>
          <w:szCs w:val="24"/>
        </w:rPr>
        <w:t xml:space="preserve">(5) of the </w:t>
      </w:r>
      <w:r w:rsidRPr="000770DC">
        <w:rPr>
          <w:rFonts w:cs="Times New Roman"/>
          <w:i/>
          <w:szCs w:val="24"/>
        </w:rPr>
        <w:t>Treaty</w:t>
      </w:r>
      <w:r w:rsidRPr="000770DC">
        <w:rPr>
          <w:rFonts w:cs="Times New Roman"/>
          <w:szCs w:val="24"/>
        </w:rPr>
        <w:t>. I analyze these provisions in two separate groups for the purpose</w:t>
      </w:r>
      <w:r>
        <w:rPr>
          <w:rFonts w:cs="Times New Roman"/>
          <w:szCs w:val="24"/>
        </w:rPr>
        <w:t>s of the first step: first, a</w:t>
      </w:r>
      <w:r w:rsidRPr="000770DC">
        <w:rPr>
          <w:rFonts w:cs="Times New Roman"/>
          <w:szCs w:val="24"/>
        </w:rPr>
        <w:t>rts. 1 and 4(1)</w:t>
      </w:r>
      <w:r>
        <w:rPr>
          <w:rFonts w:cs="Times New Roman"/>
          <w:szCs w:val="24"/>
        </w:rPr>
        <w:t>,</w:t>
      </w:r>
      <w:r w:rsidRPr="000770DC">
        <w:rPr>
          <w:rFonts w:cs="Times New Roman"/>
          <w:szCs w:val="24"/>
        </w:rPr>
        <w:t xml:space="preserve"> which </w:t>
      </w:r>
      <w:r w:rsidRPr="000770DC">
        <w:rPr>
          <w:rFonts w:cs="Times New Roman"/>
          <w:szCs w:val="24"/>
        </w:rPr>
        <w:lastRenderedPageBreak/>
        <w:t>pertain to resident status; a</w:t>
      </w:r>
      <w:r>
        <w:rPr>
          <w:rFonts w:cs="Times New Roman"/>
          <w:szCs w:val="24"/>
        </w:rPr>
        <w:t>nd second, a</w:t>
      </w:r>
      <w:r w:rsidRPr="000770DC">
        <w:rPr>
          <w:rFonts w:cs="Times New Roman"/>
          <w:szCs w:val="24"/>
        </w:rPr>
        <w:t>rt. 13(4) and (5)</w:t>
      </w:r>
      <w:r>
        <w:rPr>
          <w:rFonts w:cs="Times New Roman"/>
          <w:szCs w:val="24"/>
        </w:rPr>
        <w:t>,</w:t>
      </w:r>
      <w:r w:rsidRPr="000770DC">
        <w:rPr>
          <w:rFonts w:cs="Times New Roman"/>
          <w:szCs w:val="24"/>
        </w:rPr>
        <w:t xml:space="preserve"> </w:t>
      </w:r>
      <w:r>
        <w:rPr>
          <w:rFonts w:cs="Times New Roman"/>
          <w:szCs w:val="24"/>
        </w:rPr>
        <w:t xml:space="preserve">under </w:t>
      </w:r>
      <w:r w:rsidRPr="000770DC">
        <w:rPr>
          <w:rFonts w:cs="Times New Roman"/>
          <w:szCs w:val="24"/>
        </w:rPr>
        <w:t>which the right to tax the capital gain at issue</w:t>
      </w:r>
      <w:r>
        <w:rPr>
          <w:rFonts w:cs="Times New Roman"/>
          <w:szCs w:val="24"/>
        </w:rPr>
        <w:t xml:space="preserve"> is allocated to the residence state</w:t>
      </w:r>
      <w:r w:rsidRPr="000770DC">
        <w:rPr>
          <w:rFonts w:cs="Times New Roman"/>
          <w:szCs w:val="24"/>
        </w:rPr>
        <w:t>.</w:t>
      </w:r>
    </w:p>
    <w:p w14:paraId="24F42059" w14:textId="77777777" w:rsidR="001346AE" w:rsidRPr="000770DC" w:rsidRDefault="001346AE" w:rsidP="001346AE">
      <w:pPr>
        <w:pStyle w:val="Title3LevelTitre3Niveau"/>
        <w:numPr>
          <w:ilvl w:val="2"/>
          <w:numId w:val="17"/>
        </w:numPr>
        <w:rPr>
          <w:rFonts w:cs="Times New Roman"/>
        </w:rPr>
      </w:pPr>
      <w:bookmarkStart w:id="39" w:name="_Toc77170384"/>
      <w:bookmarkStart w:id="40" w:name="_Toc77229384"/>
      <w:bookmarkStart w:id="41" w:name="_Toc78040595"/>
      <w:r w:rsidRPr="000770DC">
        <w:rPr>
          <w:rFonts w:cs="Times New Roman"/>
        </w:rPr>
        <w:t>Residence</w:t>
      </w:r>
      <w:r w:rsidRPr="000770DC">
        <w:rPr>
          <w:rFonts w:cs="Times New Roman"/>
          <w:i/>
        </w:rPr>
        <w:t xml:space="preserve"> </w:t>
      </w:r>
      <w:r w:rsidRPr="000770DC">
        <w:rPr>
          <w:rFonts w:cs="Times New Roman"/>
        </w:rPr>
        <w:t>(Arts. 1 and 4(1))</w:t>
      </w:r>
      <w:bookmarkEnd w:id="39"/>
      <w:bookmarkEnd w:id="40"/>
      <w:bookmarkEnd w:id="41"/>
    </w:p>
    <w:p w14:paraId="4489B160" w14:textId="77777777" w:rsidR="001346AE" w:rsidRPr="000770DC" w:rsidRDefault="001346AE" w:rsidP="001346AE">
      <w:pPr>
        <w:pStyle w:val="ParaNoNdepar-AltN"/>
        <w:rPr>
          <w:rFonts w:cs="Times New Roman"/>
        </w:rPr>
      </w:pPr>
      <w:r w:rsidRPr="000770DC">
        <w:rPr>
          <w:rFonts w:cs="Times New Roman"/>
        </w:rPr>
        <w:t xml:space="preserve">Residence is at the core of bilateral tax treaties, given that access to treaty benefits is normally reserved to persons </w:t>
      </w:r>
      <w:r>
        <w:rPr>
          <w:rFonts w:cs="Times New Roman"/>
        </w:rPr>
        <w:t>residing in one or both of the c</w:t>
      </w:r>
      <w:r w:rsidRPr="000770DC">
        <w:rPr>
          <w:rFonts w:cs="Times New Roman"/>
        </w:rPr>
        <w:t xml:space="preserve">ontracting </w:t>
      </w:r>
      <w:r>
        <w:rPr>
          <w:rFonts w:cs="Times New Roman"/>
        </w:rPr>
        <w:t>states. The text of a</w:t>
      </w:r>
      <w:r w:rsidRPr="000770DC">
        <w:rPr>
          <w:rFonts w:cs="Times New Roman"/>
        </w:rPr>
        <w:t xml:space="preserve">rts. 1 and 4(1) of the </w:t>
      </w:r>
      <w:r w:rsidRPr="000770DC">
        <w:rPr>
          <w:rFonts w:cs="Times New Roman"/>
          <w:i/>
        </w:rPr>
        <w:t xml:space="preserve">Treaty </w:t>
      </w:r>
      <w:r w:rsidRPr="000770DC">
        <w:rPr>
          <w:rFonts w:cs="Times New Roman"/>
        </w:rPr>
        <w:t xml:space="preserve">also makes residence central to the application of the </w:t>
      </w:r>
      <w:r w:rsidRPr="000770DC">
        <w:rPr>
          <w:rFonts w:cs="Times New Roman"/>
          <w:i/>
        </w:rPr>
        <w:t>Treaty</w:t>
      </w:r>
      <w:r w:rsidRPr="000770DC">
        <w:rPr>
          <w:rFonts w:cs="Times New Roman"/>
        </w:rPr>
        <w:t>. Indeed, the residency requirement</w:t>
      </w:r>
      <w:r>
        <w:rPr>
          <w:rFonts w:cs="Times New Roman"/>
        </w:rPr>
        <w:t xml:space="preserve"> established</w:t>
      </w:r>
      <w:r w:rsidRPr="000770DC">
        <w:rPr>
          <w:rFonts w:cs="Times New Roman"/>
        </w:rPr>
        <w:t xml:space="preserve"> </w:t>
      </w:r>
      <w:r>
        <w:rPr>
          <w:rFonts w:cs="Times New Roman"/>
        </w:rPr>
        <w:t>in a</w:t>
      </w:r>
      <w:r w:rsidRPr="000770DC">
        <w:rPr>
          <w:rFonts w:cs="Times New Roman"/>
        </w:rPr>
        <w:t>rt. 1</w:t>
      </w:r>
      <w:r>
        <w:rPr>
          <w:rFonts w:cs="Times New Roman"/>
        </w:rPr>
        <w:t xml:space="preserve"> of the </w:t>
      </w:r>
      <w:r w:rsidRPr="00FD064B">
        <w:rPr>
          <w:rFonts w:cs="Times New Roman"/>
          <w:i/>
        </w:rPr>
        <w:t>Treaty</w:t>
      </w:r>
      <w:r w:rsidRPr="000770DC">
        <w:rPr>
          <w:rFonts w:cs="Times New Roman"/>
        </w:rPr>
        <w:t xml:space="preserve"> is modeled on the OECD </w:t>
      </w:r>
      <w:r w:rsidRPr="00C06E14">
        <w:rPr>
          <w:rFonts w:cs="Times New Roman"/>
          <w:i/>
        </w:rPr>
        <w:t>Model Treaty</w:t>
      </w:r>
      <w:r w:rsidRPr="000770DC">
        <w:rPr>
          <w:rFonts w:cs="Times New Roman"/>
        </w:rPr>
        <w:t>:</w:t>
      </w:r>
    </w:p>
    <w:p w14:paraId="71668ECE" w14:textId="77777777" w:rsidR="001346AE" w:rsidRPr="000770DC" w:rsidRDefault="001346AE" w:rsidP="001346AE">
      <w:pPr>
        <w:pStyle w:val="Citation-AltC"/>
        <w:ind w:firstLine="274"/>
      </w:pPr>
      <w:r w:rsidRPr="000770DC">
        <w:t xml:space="preserve">This Convention shall apply to persons </w:t>
      </w:r>
      <w:r w:rsidRPr="000770DC">
        <w:rPr>
          <w:u w:val="single"/>
        </w:rPr>
        <w:t>who are residents of one or both</w:t>
      </w:r>
      <w:r w:rsidRPr="000770DC">
        <w:t xml:space="preserve"> of the Contracting States.</w:t>
      </w:r>
    </w:p>
    <w:p w14:paraId="06817A5D" w14:textId="77777777" w:rsidR="001346AE" w:rsidRPr="000770DC" w:rsidRDefault="001346AE" w:rsidP="001346AE">
      <w:pPr>
        <w:pStyle w:val="ParaNoNdepar-AltN"/>
        <w:rPr>
          <w:rFonts w:cs="Times New Roman"/>
        </w:rPr>
      </w:pPr>
      <w:r w:rsidRPr="000770DC">
        <w:rPr>
          <w:rFonts w:cs="Times New Roman"/>
        </w:rPr>
        <w:t>Article</w:t>
      </w:r>
      <w:r>
        <w:rPr>
          <w:rFonts w:cs="Times New Roman"/>
        </w:rPr>
        <w:t> </w:t>
      </w:r>
      <w:r w:rsidRPr="000770DC">
        <w:rPr>
          <w:rFonts w:cs="Times New Roman"/>
        </w:rPr>
        <w:t xml:space="preserve">4(1) elaborates on the definition of “residence” under the </w:t>
      </w:r>
      <w:r w:rsidRPr="000770DC">
        <w:rPr>
          <w:rFonts w:cs="Times New Roman"/>
          <w:i/>
        </w:rPr>
        <w:t>Treaty</w:t>
      </w:r>
      <w:r w:rsidRPr="000770DC">
        <w:rPr>
          <w:rFonts w:cs="Times New Roman"/>
        </w:rPr>
        <w:t>:</w:t>
      </w:r>
    </w:p>
    <w:p w14:paraId="303FE946" w14:textId="77777777" w:rsidR="001346AE" w:rsidRPr="000770DC" w:rsidRDefault="001346AE" w:rsidP="001346AE">
      <w:pPr>
        <w:pStyle w:val="Citation-AltC"/>
      </w:pPr>
      <w:r w:rsidRPr="000770DC">
        <w:t xml:space="preserve">For the purposes of this Convention, the term “resident of a Contracting State” means </w:t>
      </w:r>
      <w:r w:rsidRPr="000770DC">
        <w:rPr>
          <w:u w:val="single"/>
        </w:rPr>
        <w:t>any person who, under the laws of that State, is liable to tax therein by reason of that person’s domicile, residence, place of management or any other criterion of a similar nature</w:t>
      </w:r>
      <w:r w:rsidRPr="000770DC">
        <w:t>. This term also includes a Contracting State or a political subdivision or local authority thereof or any agency or instrumentality of any such State, subdivision or authority. This term, however, does not include any person who is liable to tax in that State in respect only of inc</w:t>
      </w:r>
      <w:r>
        <w:t>ome from sources in that State.</w:t>
      </w:r>
    </w:p>
    <w:p w14:paraId="1EE4F1B5" w14:textId="77777777" w:rsidR="001346AE" w:rsidRPr="000770DC" w:rsidRDefault="001346AE" w:rsidP="001346AE">
      <w:pPr>
        <w:pStyle w:val="ContinueParaSuitedupar-AltP"/>
        <w:rPr>
          <w:rFonts w:cs="Times New Roman"/>
          <w:i/>
          <w:szCs w:val="24"/>
        </w:rPr>
      </w:pPr>
      <w:r>
        <w:rPr>
          <w:rFonts w:cs="Times New Roman"/>
        </w:rPr>
        <w:t>According to</w:t>
      </w:r>
      <w:r w:rsidRPr="000770DC">
        <w:rPr>
          <w:rFonts w:cs="Times New Roman"/>
        </w:rPr>
        <w:t xml:space="preserve"> this provision, a resident under the </w:t>
      </w:r>
      <w:r w:rsidRPr="000770DC">
        <w:rPr>
          <w:rFonts w:cs="Times New Roman"/>
          <w:i/>
        </w:rPr>
        <w:t xml:space="preserve">Treaty </w:t>
      </w:r>
      <w:r w:rsidRPr="000770DC">
        <w:rPr>
          <w:rFonts w:cs="Times New Roman"/>
        </w:rPr>
        <w:t xml:space="preserve">is a person who is </w:t>
      </w:r>
      <w:r w:rsidRPr="000770DC">
        <w:rPr>
          <w:rFonts w:cs="Times New Roman"/>
          <w:i/>
        </w:rPr>
        <w:t>liable to tax</w:t>
      </w:r>
      <w:r>
        <w:rPr>
          <w:rFonts w:cs="Times New Roman"/>
        </w:rPr>
        <w:t xml:space="preserve"> in one or both of the contracting s</w:t>
      </w:r>
      <w:r w:rsidRPr="000770DC">
        <w:rPr>
          <w:rFonts w:cs="Times New Roman"/>
        </w:rPr>
        <w:t xml:space="preserve">tates (Canada and Luxembourg) by reason of one of the </w:t>
      </w:r>
      <w:r w:rsidRPr="000770DC">
        <w:rPr>
          <w:rFonts w:cs="Times New Roman"/>
          <w:i/>
        </w:rPr>
        <w:t>connecting factors</w:t>
      </w:r>
      <w:r w:rsidRPr="000770DC">
        <w:rPr>
          <w:rFonts w:cs="Times New Roman"/>
        </w:rPr>
        <w:t xml:space="preserve"> listed (</w:t>
      </w:r>
      <w:r w:rsidRPr="00ED6624">
        <w:rPr>
          <w:rFonts w:cs="Times New Roman"/>
        </w:rPr>
        <w:t>i.e.</w:t>
      </w:r>
      <w:r w:rsidRPr="000770DC">
        <w:rPr>
          <w:rFonts w:cs="Times New Roman"/>
          <w:i/>
        </w:rPr>
        <w:t xml:space="preserve"> </w:t>
      </w:r>
      <w:r w:rsidRPr="000770DC">
        <w:rPr>
          <w:rFonts w:cs="Times New Roman"/>
        </w:rPr>
        <w:t xml:space="preserve">domicile, residence, place of management or another similar criterion) (see </w:t>
      </w:r>
      <w:r w:rsidRPr="000770DC">
        <w:rPr>
          <w:rFonts w:cs="Times New Roman"/>
          <w:i/>
        </w:rPr>
        <w:t>Crown Forest</w:t>
      </w:r>
      <w:r w:rsidRPr="000770DC">
        <w:rPr>
          <w:rFonts w:cs="Times New Roman"/>
        </w:rPr>
        <w:t>, at para</w:t>
      </w:r>
      <w:r>
        <w:rPr>
          <w:rFonts w:cs="Times New Roman"/>
        </w:rPr>
        <w:t>s</w:t>
      </w:r>
      <w:r w:rsidRPr="000770DC">
        <w:rPr>
          <w:rFonts w:cs="Times New Roman"/>
        </w:rPr>
        <w:t>. 23-</w:t>
      </w:r>
      <w:r>
        <w:rPr>
          <w:rFonts w:cs="Times New Roman"/>
        </w:rPr>
        <w:t>2</w:t>
      </w:r>
      <w:r w:rsidRPr="000770DC">
        <w:rPr>
          <w:rFonts w:cs="Times New Roman"/>
        </w:rPr>
        <w:t xml:space="preserve">5). I also note that the use of the </w:t>
      </w:r>
      <w:r w:rsidRPr="000770DC">
        <w:rPr>
          <w:rFonts w:cs="Times New Roman"/>
        </w:rPr>
        <w:lastRenderedPageBreak/>
        <w:t xml:space="preserve">word “means” in this provision indicates that the definition should be “construed as comprehending that which is specifically described or defined” and thus </w:t>
      </w:r>
      <w:r>
        <w:rPr>
          <w:rFonts w:cs="Times New Roman"/>
        </w:rPr>
        <w:t xml:space="preserve">as setting out </w:t>
      </w:r>
      <w:r w:rsidRPr="000770DC">
        <w:rPr>
          <w:rFonts w:cs="Times New Roman"/>
        </w:rPr>
        <w:t xml:space="preserve">all requirements that must be met to be considered a resident under the </w:t>
      </w:r>
      <w:r w:rsidRPr="000770DC">
        <w:rPr>
          <w:rFonts w:cs="Times New Roman"/>
          <w:i/>
        </w:rPr>
        <w:t xml:space="preserve">Treaty </w:t>
      </w:r>
      <w:r w:rsidRPr="000770DC">
        <w:rPr>
          <w:rFonts w:cs="Times New Roman"/>
        </w:rPr>
        <w:t>(</w:t>
      </w:r>
      <w:r w:rsidRPr="000770DC">
        <w:rPr>
          <w:rFonts w:cs="Times New Roman"/>
          <w:bCs/>
          <w:i/>
        </w:rPr>
        <w:t>R. v. Hauser</w:t>
      </w:r>
      <w:r w:rsidRPr="000770DC">
        <w:rPr>
          <w:rFonts w:cs="Times New Roman"/>
          <w:bCs/>
        </w:rPr>
        <w:t>, [1979] 1 S.C.R. 984, at p. 1009, per Dickson J.;</w:t>
      </w:r>
      <w:r w:rsidRPr="000770DC">
        <w:rPr>
          <w:rFonts w:cs="Times New Roman"/>
        </w:rPr>
        <w:t xml:space="preserve"> see also </w:t>
      </w:r>
      <w:r w:rsidRPr="000770DC">
        <w:rPr>
          <w:rFonts w:cs="Times New Roman"/>
          <w:i/>
        </w:rPr>
        <w:t>R. v. McLeod</w:t>
      </w:r>
      <w:r w:rsidRPr="000770DC">
        <w:rPr>
          <w:rFonts w:cs="Times New Roman"/>
        </w:rPr>
        <w:t xml:space="preserve"> (1950), 97 C.C.C. 366</w:t>
      </w:r>
      <w:r>
        <w:rPr>
          <w:rFonts w:cs="Times New Roman"/>
        </w:rPr>
        <w:t xml:space="preserve"> (B.C.C.A.)</w:t>
      </w:r>
      <w:r w:rsidRPr="000770DC">
        <w:rPr>
          <w:rFonts w:cs="Times New Roman"/>
        </w:rPr>
        <w:t>, at pp. 371-</w:t>
      </w:r>
      <w:r>
        <w:rPr>
          <w:rFonts w:cs="Times New Roman"/>
        </w:rPr>
        <w:t>7</w:t>
      </w:r>
      <w:r w:rsidRPr="000770DC">
        <w:rPr>
          <w:rFonts w:cs="Times New Roman"/>
        </w:rPr>
        <w:t>2</w:t>
      </w:r>
      <w:r>
        <w:rPr>
          <w:rFonts w:cs="Times New Roman"/>
        </w:rPr>
        <w:t xml:space="preserve">, quoting </w:t>
      </w:r>
      <w:r w:rsidRPr="00ED6624">
        <w:rPr>
          <w:rFonts w:cs="Times New Roman"/>
          <w:i/>
        </w:rPr>
        <w:t>Dilworth v. Commissioner of Stamps</w:t>
      </w:r>
      <w:r>
        <w:rPr>
          <w:rFonts w:cs="Times New Roman"/>
        </w:rPr>
        <w:t>, [1899] A.C. 99 (P.C.), at pp. 105</w:t>
      </w:r>
      <w:r>
        <w:rPr>
          <w:rFonts w:cs="Times New Roman"/>
        </w:rPr>
        <w:noBreakHyphen/>
        <w:t>6).</w:t>
      </w:r>
    </w:p>
    <w:p w14:paraId="501966F9" w14:textId="77777777" w:rsidR="001346AE" w:rsidRPr="000770DC" w:rsidRDefault="001346AE" w:rsidP="001346AE">
      <w:pPr>
        <w:pStyle w:val="ParaNoNdepar-AltN"/>
        <w:rPr>
          <w:rFonts w:cs="Times New Roman"/>
          <w:i/>
          <w:szCs w:val="24"/>
        </w:rPr>
      </w:pPr>
      <w:r w:rsidRPr="000770DC">
        <w:rPr>
          <w:rFonts w:cs="Times New Roman"/>
          <w:szCs w:val="24"/>
        </w:rPr>
        <w:t xml:space="preserve">In the context of corporations, the “liable to tax” requirement is met under the </w:t>
      </w:r>
      <w:r w:rsidRPr="000770DC">
        <w:rPr>
          <w:rFonts w:cs="Times New Roman"/>
          <w:i/>
          <w:szCs w:val="24"/>
        </w:rPr>
        <w:t xml:space="preserve">Treaty </w:t>
      </w:r>
      <w:r>
        <w:rPr>
          <w:rFonts w:cs="Times New Roman"/>
          <w:szCs w:val="24"/>
        </w:rPr>
        <w:t>where the domestic law of a contracting state exposes the</w:t>
      </w:r>
      <w:r w:rsidRPr="000770DC">
        <w:rPr>
          <w:rFonts w:cs="Times New Roman"/>
          <w:szCs w:val="24"/>
        </w:rPr>
        <w:t xml:space="preserve"> corporation to full tax liability on its worldwide income because it has its residence in that </w:t>
      </w:r>
      <w:r>
        <w:rPr>
          <w:rFonts w:cs="Times New Roman"/>
          <w:szCs w:val="24"/>
        </w:rPr>
        <w:t>s</w:t>
      </w:r>
      <w:r w:rsidRPr="000770DC">
        <w:rPr>
          <w:rFonts w:cs="Times New Roman"/>
          <w:szCs w:val="24"/>
        </w:rPr>
        <w:t xml:space="preserve">tate (see </w:t>
      </w:r>
      <w:r w:rsidRPr="000770DC">
        <w:rPr>
          <w:rFonts w:cs="Times New Roman"/>
          <w:i/>
          <w:szCs w:val="24"/>
        </w:rPr>
        <w:t>Crown Forest</w:t>
      </w:r>
      <w:r w:rsidRPr="000770DC">
        <w:rPr>
          <w:rFonts w:cs="Times New Roman"/>
          <w:szCs w:val="24"/>
        </w:rPr>
        <w:t>, at paras. </w:t>
      </w:r>
      <w:r>
        <w:rPr>
          <w:rFonts w:cs="Times New Roman"/>
          <w:szCs w:val="24"/>
        </w:rPr>
        <w:t>40 and</w:t>
      </w:r>
      <w:r w:rsidRPr="000770DC">
        <w:rPr>
          <w:rFonts w:cs="Times New Roman"/>
          <w:szCs w:val="24"/>
        </w:rPr>
        <w:t xml:space="preserve"> 45). Liability to full taxation is established by the nexus between that State and the corporation’s resident status. </w:t>
      </w:r>
      <w:r w:rsidRPr="000770DC">
        <w:rPr>
          <w:rFonts w:cs="Times New Roman"/>
        </w:rPr>
        <w:t>The “liable to tax” requirement is often described in terms that may perhaps appear misleading</w:t>
      </w:r>
      <w:r>
        <w:rPr>
          <w:rFonts w:cs="Times New Roman"/>
        </w:rPr>
        <w:t>,</w:t>
      </w:r>
      <w:r w:rsidRPr="000770DC">
        <w:rPr>
          <w:rFonts w:cs="Times New Roman"/>
        </w:rPr>
        <w:t xml:space="preserve"> such as “comprehensive taxation” or “full liability to tax”. These terms convey the idea that residents enjoying tax holidays may be more suspicious than others.</w:t>
      </w:r>
      <w:r w:rsidRPr="000770DC">
        <w:rPr>
          <w:rFonts w:cs="Times New Roman"/>
          <w:i/>
          <w:szCs w:val="24"/>
        </w:rPr>
        <w:t xml:space="preserve"> </w:t>
      </w:r>
      <w:r w:rsidRPr="000770DC">
        <w:rPr>
          <w:rFonts w:cs="Times New Roman"/>
          <w:szCs w:val="24"/>
        </w:rPr>
        <w:t xml:space="preserve">In reality, this requirement </w:t>
      </w:r>
      <w:r w:rsidRPr="000770DC">
        <w:rPr>
          <w:rFonts w:cs="Times New Roman"/>
        </w:rPr>
        <w:t xml:space="preserve">is not concerned with whether the person claiming benefits is in </w:t>
      </w:r>
      <w:r w:rsidRPr="000770DC">
        <w:rPr>
          <w:rFonts w:cs="Times New Roman"/>
          <w:szCs w:val="24"/>
        </w:rPr>
        <w:t>fact subject to taxation. Being liable to tax is better understood as be</w:t>
      </w:r>
      <w:r>
        <w:rPr>
          <w:rFonts w:cs="Times New Roman"/>
          <w:szCs w:val="24"/>
        </w:rPr>
        <w:t>ing “liable to be liable to tax</w:t>
      </w:r>
      <w:r w:rsidRPr="000770DC">
        <w:rPr>
          <w:rFonts w:cs="Times New Roman"/>
          <w:szCs w:val="24"/>
        </w:rPr>
        <w:t>”</w:t>
      </w:r>
      <w:r>
        <w:rPr>
          <w:rFonts w:cs="Times New Roman"/>
          <w:szCs w:val="24"/>
        </w:rPr>
        <w:t>,</w:t>
      </w:r>
      <w:r w:rsidRPr="000770DC">
        <w:rPr>
          <w:rFonts w:cs="Times New Roman"/>
          <w:szCs w:val="24"/>
        </w:rPr>
        <w:t xml:space="preserve"> meaning that taxes are a possibility</w:t>
      </w:r>
      <w:r>
        <w:rPr>
          <w:rFonts w:cs="Times New Roman"/>
          <w:szCs w:val="24"/>
        </w:rPr>
        <w:t>,</w:t>
      </w:r>
      <w:r w:rsidRPr="000770DC">
        <w:rPr>
          <w:rFonts w:cs="Times New Roman"/>
          <w:szCs w:val="24"/>
        </w:rPr>
        <w:t xml:space="preserve"> regardless of whether the person actually pay</w:t>
      </w:r>
      <w:r>
        <w:rPr>
          <w:rFonts w:cs="Times New Roman"/>
          <w:szCs w:val="24"/>
        </w:rPr>
        <w:t>s</w:t>
      </w:r>
      <w:r w:rsidRPr="000770DC">
        <w:rPr>
          <w:rFonts w:cs="Times New Roman"/>
          <w:szCs w:val="24"/>
        </w:rPr>
        <w:t xml:space="preserve"> any (</w:t>
      </w:r>
      <w:r w:rsidRPr="000770DC">
        <w:rPr>
          <w:rFonts w:cs="Times New Roman"/>
        </w:rPr>
        <w:t xml:space="preserve">R. Couzin, </w:t>
      </w:r>
      <w:r w:rsidRPr="000770DC">
        <w:rPr>
          <w:rFonts w:cs="Times New Roman"/>
          <w:i/>
        </w:rPr>
        <w:t>Corporate Residence and International Taxation</w:t>
      </w:r>
      <w:r w:rsidRPr="000770DC">
        <w:rPr>
          <w:rFonts w:cs="Times New Roman"/>
        </w:rPr>
        <w:t xml:space="preserve"> (2002), </w:t>
      </w:r>
      <w:r w:rsidRPr="000770DC">
        <w:rPr>
          <w:rFonts w:cs="Times New Roman"/>
          <w:szCs w:val="24"/>
        </w:rPr>
        <w:t>at p. 107</w:t>
      </w:r>
      <w:r>
        <w:rPr>
          <w:rFonts w:cs="Times New Roman"/>
          <w:szCs w:val="24"/>
        </w:rPr>
        <w:t>; see also pp. 106 and</w:t>
      </w:r>
      <w:r w:rsidRPr="000770DC">
        <w:rPr>
          <w:rFonts w:cs="Times New Roman"/>
          <w:szCs w:val="24"/>
        </w:rPr>
        <w:t xml:space="preserve"> 111). Therefore, corporat</w:t>
      </w:r>
      <w:r>
        <w:rPr>
          <w:rFonts w:cs="Times New Roman"/>
          <w:szCs w:val="24"/>
        </w:rPr>
        <w:t>e residents</w:t>
      </w:r>
      <w:r w:rsidRPr="000770DC">
        <w:rPr>
          <w:rFonts w:cs="Times New Roman"/>
          <w:szCs w:val="24"/>
        </w:rPr>
        <w:t xml:space="preserve"> enjoying certain tax holidays, for example on capital gains, do not automatically lose </w:t>
      </w:r>
      <w:r>
        <w:rPr>
          <w:rFonts w:cs="Times New Roman"/>
          <w:szCs w:val="24"/>
        </w:rPr>
        <w:t>thei</w:t>
      </w:r>
      <w:r w:rsidRPr="000770DC">
        <w:rPr>
          <w:rFonts w:cs="Times New Roman"/>
          <w:szCs w:val="24"/>
        </w:rPr>
        <w:t xml:space="preserve">r resident status under the </w:t>
      </w:r>
      <w:r w:rsidRPr="000770DC">
        <w:rPr>
          <w:rFonts w:cs="Times New Roman"/>
          <w:i/>
          <w:szCs w:val="24"/>
        </w:rPr>
        <w:t xml:space="preserve">Treaty </w:t>
      </w:r>
      <w:r w:rsidRPr="000770DC">
        <w:rPr>
          <w:rFonts w:cs="Times New Roman"/>
          <w:szCs w:val="24"/>
        </w:rPr>
        <w:t>because they are not subject to every possible form of taxation (Couzin, at pp. 110-1</w:t>
      </w:r>
      <w:r>
        <w:rPr>
          <w:rFonts w:cs="Times New Roman"/>
          <w:szCs w:val="24"/>
        </w:rPr>
        <w:t>1 and</w:t>
      </w:r>
      <w:r w:rsidRPr="000770DC">
        <w:rPr>
          <w:rFonts w:cs="Times New Roman"/>
          <w:szCs w:val="24"/>
        </w:rPr>
        <w:t xml:space="preserve"> 150). </w:t>
      </w:r>
      <w:r w:rsidRPr="000770DC">
        <w:rPr>
          <w:rFonts w:cs="Times New Roman"/>
        </w:rPr>
        <w:t xml:space="preserve">This can be contrasted with fiscally transparent </w:t>
      </w:r>
      <w:r w:rsidRPr="000770DC">
        <w:rPr>
          <w:rFonts w:cs="Times New Roman"/>
        </w:rPr>
        <w:lastRenderedPageBreak/>
        <w:t>vehicles like partnerships that are not exempted from taxation but</w:t>
      </w:r>
      <w:r>
        <w:rPr>
          <w:rFonts w:cs="Times New Roman"/>
        </w:rPr>
        <w:t>,</w:t>
      </w:r>
      <w:r w:rsidRPr="000770DC">
        <w:rPr>
          <w:rFonts w:cs="Times New Roman"/>
        </w:rPr>
        <w:t xml:space="preserve"> rather</w:t>
      </w:r>
      <w:r>
        <w:rPr>
          <w:rFonts w:cs="Times New Roman"/>
        </w:rPr>
        <w:t>,</w:t>
      </w:r>
      <w:r w:rsidRPr="000770DC">
        <w:rPr>
          <w:rFonts w:cs="Times New Roman"/>
        </w:rPr>
        <w:t xml:space="preserve"> are not exposed to tax at all, </w:t>
      </w:r>
      <w:r>
        <w:rPr>
          <w:rFonts w:cs="Times New Roman"/>
        </w:rPr>
        <w:t xml:space="preserve">as </w:t>
      </w:r>
      <w:r w:rsidRPr="000770DC">
        <w:rPr>
          <w:rFonts w:cs="Times New Roman"/>
        </w:rPr>
        <w:t xml:space="preserve">their income </w:t>
      </w:r>
      <w:r>
        <w:rPr>
          <w:rFonts w:cs="Times New Roman"/>
        </w:rPr>
        <w:t>is</w:t>
      </w:r>
      <w:r w:rsidRPr="000770DC">
        <w:rPr>
          <w:rFonts w:cs="Times New Roman"/>
        </w:rPr>
        <w:t xml:space="preserve"> taxed in the partners’ hands instead.</w:t>
      </w:r>
    </w:p>
    <w:p w14:paraId="79903D77" w14:textId="77777777" w:rsidR="001346AE" w:rsidRPr="000770DC" w:rsidRDefault="001346AE" w:rsidP="001346AE">
      <w:pPr>
        <w:pStyle w:val="ParaNoNdepar-AltN"/>
        <w:rPr>
          <w:rFonts w:cs="Times New Roman"/>
          <w:i/>
          <w:szCs w:val="24"/>
        </w:rPr>
      </w:pPr>
      <w:r w:rsidRPr="000770DC">
        <w:rPr>
          <w:rFonts w:cs="Times New Roman"/>
        </w:rPr>
        <w:t>Aside from the “liable to ta</w:t>
      </w:r>
      <w:r>
        <w:rPr>
          <w:rFonts w:cs="Times New Roman"/>
        </w:rPr>
        <w:t>x” requirement, the purpose of a</w:t>
      </w:r>
      <w:r w:rsidRPr="000770DC">
        <w:rPr>
          <w:rFonts w:cs="Times New Roman"/>
        </w:rPr>
        <w:t xml:space="preserve">rt. 4(1) is not to establish specific standards for </w:t>
      </w:r>
      <w:r>
        <w:rPr>
          <w:rFonts w:cs="Times New Roman"/>
        </w:rPr>
        <w:t>defining</w:t>
      </w:r>
      <w:r w:rsidRPr="000770DC">
        <w:rPr>
          <w:rFonts w:cs="Times New Roman"/>
        </w:rPr>
        <w:t xml:space="preserve"> residence. This provision expressly </w:t>
      </w:r>
      <w:r>
        <w:rPr>
          <w:rFonts w:cs="Times New Roman"/>
        </w:rPr>
        <w:t>states</w:t>
      </w:r>
      <w:r w:rsidRPr="000770DC">
        <w:rPr>
          <w:rFonts w:cs="Times New Roman"/>
        </w:rPr>
        <w:t xml:space="preserve"> that residence is to be</w:t>
      </w:r>
      <w:r w:rsidRPr="000770DC">
        <w:rPr>
          <w:rFonts w:cs="Times New Roman"/>
          <w:szCs w:val="24"/>
        </w:rPr>
        <w:t xml:space="preserve"> defined by the </w:t>
      </w:r>
      <w:r>
        <w:rPr>
          <w:rFonts w:cs="Times New Roman"/>
          <w:i/>
          <w:szCs w:val="24"/>
        </w:rPr>
        <w:t>laws of the contracting s</w:t>
      </w:r>
      <w:r w:rsidRPr="000770DC">
        <w:rPr>
          <w:rFonts w:cs="Times New Roman"/>
          <w:i/>
          <w:szCs w:val="24"/>
        </w:rPr>
        <w:t xml:space="preserve">tate </w:t>
      </w:r>
      <w:r w:rsidRPr="000770DC">
        <w:rPr>
          <w:rFonts w:cs="Times New Roman"/>
          <w:szCs w:val="24"/>
        </w:rPr>
        <w:t xml:space="preserve">of which the person claims to be a resident. This provision of the </w:t>
      </w:r>
      <w:r w:rsidRPr="000770DC">
        <w:rPr>
          <w:rFonts w:cs="Times New Roman"/>
          <w:i/>
          <w:szCs w:val="24"/>
        </w:rPr>
        <w:t xml:space="preserve">Treaty </w:t>
      </w:r>
      <w:r w:rsidRPr="000770DC">
        <w:rPr>
          <w:rFonts w:cs="Times New Roman"/>
          <w:szCs w:val="24"/>
        </w:rPr>
        <w:t>is model</w:t>
      </w:r>
      <w:r>
        <w:rPr>
          <w:rFonts w:cs="Times New Roman"/>
          <w:szCs w:val="24"/>
        </w:rPr>
        <w:t>ed almost word for word on a</w:t>
      </w:r>
      <w:r w:rsidRPr="000770DC">
        <w:rPr>
          <w:rFonts w:cs="Times New Roman"/>
          <w:szCs w:val="24"/>
        </w:rPr>
        <w:t xml:space="preserve">rt. 4(1) of the 1998 OECD </w:t>
      </w:r>
      <w:r w:rsidRPr="00622108">
        <w:rPr>
          <w:rFonts w:cs="Times New Roman"/>
          <w:i/>
          <w:szCs w:val="24"/>
        </w:rPr>
        <w:t xml:space="preserve">Model </w:t>
      </w:r>
      <w:r w:rsidRPr="00622108">
        <w:rPr>
          <w:rFonts w:cs="Times New Roman"/>
          <w:i/>
        </w:rPr>
        <w:t>Treaty</w:t>
      </w:r>
      <w:r w:rsidRPr="000770DC">
        <w:rPr>
          <w:rFonts w:cs="Times New Roman"/>
          <w:szCs w:val="24"/>
        </w:rPr>
        <w:t>, whose Commentary also ma</w:t>
      </w:r>
      <w:r>
        <w:rPr>
          <w:rFonts w:cs="Times New Roman"/>
          <w:szCs w:val="24"/>
        </w:rPr>
        <w:t>de</w:t>
      </w:r>
      <w:r w:rsidRPr="000770DC">
        <w:rPr>
          <w:rFonts w:cs="Times New Roman"/>
          <w:szCs w:val="24"/>
        </w:rPr>
        <w:t xml:space="preserve"> </w:t>
      </w:r>
      <w:r>
        <w:rPr>
          <w:rFonts w:cs="Times New Roman"/>
          <w:szCs w:val="24"/>
        </w:rPr>
        <w:t>it clear that the intention wa</w:t>
      </w:r>
      <w:r w:rsidRPr="000770DC">
        <w:rPr>
          <w:rFonts w:cs="Times New Roman"/>
          <w:szCs w:val="24"/>
        </w:rPr>
        <w:t>s to leave the core definition of residence to domestic law, not to bilateral tax treat</w:t>
      </w:r>
      <w:r>
        <w:rPr>
          <w:rFonts w:cs="Times New Roman"/>
          <w:szCs w:val="24"/>
        </w:rPr>
        <w:t>ies</w:t>
      </w:r>
      <w:r w:rsidRPr="000770DC">
        <w:rPr>
          <w:rFonts w:cs="Times New Roman"/>
          <w:szCs w:val="24"/>
        </w:rPr>
        <w:t>:</w:t>
      </w:r>
    </w:p>
    <w:p w14:paraId="2D92E45C" w14:textId="77777777" w:rsidR="001346AE" w:rsidRDefault="001346AE" w:rsidP="001346AE">
      <w:pPr>
        <w:pStyle w:val="Citation-AltC"/>
        <w:ind w:firstLine="274"/>
      </w:pPr>
      <w:r w:rsidRPr="000770DC">
        <w:t xml:space="preserve">Conventions for the avoidance of double taxation </w:t>
      </w:r>
      <w:r w:rsidRPr="000770DC">
        <w:rPr>
          <w:u w:val="single"/>
        </w:rPr>
        <w:t>do not normally concern themselves with the domestic laws of the Contracting States laying down the conditions under which a person is to be treated fiscally as “resident” and, consequently, is fully liable to tax in that State</w:t>
      </w:r>
      <w:r w:rsidRPr="00622108">
        <w:t xml:space="preserve">. </w:t>
      </w:r>
      <w:r w:rsidRPr="000770DC">
        <w:t xml:space="preserve">They do not lay down standards which the provisions of the domestic laws on “residence” have to fulfil in order that claims for full tax liability can be accepted between the Contracting States. In this respect the States take their stand </w:t>
      </w:r>
      <w:r>
        <w:t>entirely on the domestic laws. [Emphasis added.]</w:t>
      </w:r>
    </w:p>
    <w:p w14:paraId="774F6713" w14:textId="77777777" w:rsidR="001346AE" w:rsidRDefault="001346AE" w:rsidP="001346AE">
      <w:pPr>
        <w:pStyle w:val="Citation-AltC"/>
        <w:ind w:hanging="32"/>
      </w:pPr>
    </w:p>
    <w:p w14:paraId="3C3232F2" w14:textId="77777777" w:rsidR="001346AE" w:rsidRPr="000770DC" w:rsidRDefault="001346AE" w:rsidP="001346AE">
      <w:pPr>
        <w:pStyle w:val="Citation-AltC"/>
        <w:ind w:hanging="32"/>
      </w:pPr>
      <w:r>
        <w:t xml:space="preserve">(“Commentary on Article 4” of the 1998 OECD </w:t>
      </w:r>
      <w:r w:rsidRPr="00622108">
        <w:rPr>
          <w:i/>
        </w:rPr>
        <w:t>Model Treaty</w:t>
      </w:r>
      <w:r>
        <w:t>, at para. 4)</w:t>
      </w:r>
    </w:p>
    <w:p w14:paraId="6CD94F3E" w14:textId="77777777" w:rsidR="001346AE" w:rsidRPr="000770DC" w:rsidRDefault="001346AE" w:rsidP="001346AE">
      <w:pPr>
        <w:pStyle w:val="ParaNoNdepar-AltN"/>
        <w:tabs>
          <w:tab w:val="clear" w:pos="1166"/>
          <w:tab w:val="num" w:pos="1152"/>
        </w:tabs>
        <w:rPr>
          <w:rFonts w:cs="Times New Roman"/>
          <w:b/>
        </w:rPr>
      </w:pPr>
      <w:r w:rsidRPr="000770DC">
        <w:rPr>
          <w:rFonts w:cs="Times New Roman"/>
        </w:rPr>
        <w:t xml:space="preserve">Consideration of the context of the </w:t>
      </w:r>
      <w:r w:rsidRPr="000770DC">
        <w:rPr>
          <w:rFonts w:cs="Times New Roman"/>
          <w:i/>
        </w:rPr>
        <w:t xml:space="preserve">Treaty </w:t>
      </w:r>
      <w:r w:rsidRPr="000770DC">
        <w:rPr>
          <w:rFonts w:cs="Times New Roman"/>
        </w:rPr>
        <w:t>confirms this</w:t>
      </w:r>
      <w:r>
        <w:rPr>
          <w:rFonts w:cs="Times New Roman"/>
        </w:rPr>
        <w:t xml:space="preserve"> intention</w:t>
      </w:r>
      <w:r w:rsidRPr="000770DC">
        <w:rPr>
          <w:rFonts w:cs="Times New Roman"/>
        </w:rPr>
        <w:t xml:space="preserve"> expressed in the Commentary. Indeed, this preference for leaving the meaning of residence to domestic law is totally consistent with the scheme of the </w:t>
      </w:r>
      <w:r w:rsidRPr="000770DC">
        <w:rPr>
          <w:rFonts w:cs="Times New Roman"/>
          <w:i/>
        </w:rPr>
        <w:t>Treaty</w:t>
      </w:r>
      <w:r w:rsidRPr="000770DC">
        <w:rPr>
          <w:rFonts w:cs="Times New Roman"/>
        </w:rPr>
        <w:t>.</w:t>
      </w:r>
      <w:r w:rsidRPr="000770DC">
        <w:rPr>
          <w:rFonts w:cs="Times New Roman"/>
          <w:i/>
        </w:rPr>
        <w:t xml:space="preserve"> </w:t>
      </w:r>
      <w:r w:rsidRPr="000770DC">
        <w:rPr>
          <w:rFonts w:cs="Times New Roman"/>
        </w:rPr>
        <w:t xml:space="preserve">Most terms found in the </w:t>
      </w:r>
      <w:r w:rsidRPr="000770DC">
        <w:rPr>
          <w:rFonts w:cs="Times New Roman"/>
          <w:i/>
        </w:rPr>
        <w:t xml:space="preserve">Treaty </w:t>
      </w:r>
      <w:r w:rsidRPr="000770DC">
        <w:rPr>
          <w:rFonts w:cs="Times New Roman"/>
        </w:rPr>
        <w:t xml:space="preserve">are defined under domestic law and not by the </w:t>
      </w:r>
      <w:r w:rsidRPr="000770DC">
        <w:rPr>
          <w:rFonts w:cs="Times New Roman"/>
          <w:i/>
        </w:rPr>
        <w:t xml:space="preserve">Treaty </w:t>
      </w:r>
      <w:r w:rsidRPr="000770DC">
        <w:rPr>
          <w:rFonts w:cs="Times New Roman"/>
        </w:rPr>
        <w:t>its</w:t>
      </w:r>
      <w:r>
        <w:rPr>
          <w:rFonts w:cs="Times New Roman"/>
        </w:rPr>
        <w:t>elf. As emphasized by Professor </w:t>
      </w:r>
      <w:r w:rsidRPr="000770DC">
        <w:rPr>
          <w:rFonts w:cs="Times New Roman"/>
        </w:rPr>
        <w:t>Arnold, “</w:t>
      </w:r>
      <w:r>
        <w:rPr>
          <w:rFonts w:cs="Times New Roman"/>
        </w:rPr>
        <w:t>[</w:t>
      </w:r>
      <w:r w:rsidRPr="000770DC">
        <w:rPr>
          <w:rFonts w:cs="Times New Roman"/>
        </w:rPr>
        <w:t>b</w:t>
      </w:r>
      <w:r>
        <w:rPr>
          <w:rFonts w:cs="Times New Roman"/>
        </w:rPr>
        <w:t>]</w:t>
      </w:r>
      <w:r w:rsidRPr="000770DC">
        <w:rPr>
          <w:rFonts w:cs="Times New Roman"/>
        </w:rPr>
        <w:t>ecause the language of tax treaties is broad and general, it seems inevitable that recourse must be had to the domestic laws of the contracting state</w:t>
      </w:r>
      <w:r>
        <w:rPr>
          <w:rFonts w:cs="Times New Roman"/>
        </w:rPr>
        <w:t>s</w:t>
      </w:r>
      <w:r w:rsidRPr="000770DC">
        <w:rPr>
          <w:rFonts w:cs="Times New Roman"/>
        </w:rPr>
        <w:t xml:space="preserve"> in order to provide flesh for the bare bones of the treaty” (B. J. Arnold, </w:t>
      </w:r>
      <w:r w:rsidRPr="000770DC">
        <w:rPr>
          <w:rFonts w:cs="Times New Roman"/>
          <w:i/>
        </w:rPr>
        <w:t xml:space="preserve">Reforming </w:t>
      </w:r>
      <w:r w:rsidRPr="000770DC">
        <w:rPr>
          <w:rFonts w:cs="Times New Roman"/>
          <w:i/>
        </w:rPr>
        <w:lastRenderedPageBreak/>
        <w:t xml:space="preserve">Canada’s International Tax System: Toward Coherence and Simplicity </w:t>
      </w:r>
      <w:r w:rsidRPr="000770DC">
        <w:rPr>
          <w:rFonts w:cs="Times New Roman"/>
        </w:rPr>
        <w:t xml:space="preserve">(2009), at p. 325). Although the </w:t>
      </w:r>
      <w:r w:rsidRPr="000770DC">
        <w:rPr>
          <w:rFonts w:cs="Times New Roman"/>
          <w:i/>
        </w:rPr>
        <w:t xml:space="preserve">Treaty </w:t>
      </w:r>
      <w:r w:rsidRPr="000770DC">
        <w:rPr>
          <w:rFonts w:cs="Times New Roman"/>
        </w:rPr>
        <w:t xml:space="preserve">does define residence </w:t>
      </w:r>
      <w:r>
        <w:rPr>
          <w:rFonts w:cs="Times New Roman"/>
        </w:rPr>
        <w:t>in a</w:t>
      </w:r>
      <w:r w:rsidRPr="000770DC">
        <w:rPr>
          <w:rFonts w:cs="Times New Roman"/>
        </w:rPr>
        <w:t xml:space="preserve">rt. 4 and some other terms </w:t>
      </w:r>
      <w:r>
        <w:rPr>
          <w:rFonts w:cs="Times New Roman"/>
        </w:rPr>
        <w:t>in a</w:t>
      </w:r>
      <w:r w:rsidRPr="000770DC">
        <w:rPr>
          <w:rFonts w:cs="Times New Roman"/>
        </w:rPr>
        <w:t xml:space="preserve">rts. 3(1), 5, and 6(2), these definitions are far from exhaustive. In fact, the list of defined terms is rather scant, and important concepts, such as “business” and </w:t>
      </w:r>
      <w:r>
        <w:rPr>
          <w:rFonts w:cs="Times New Roman"/>
        </w:rPr>
        <w:t>“</w:t>
      </w:r>
      <w:r w:rsidRPr="000770DC">
        <w:rPr>
          <w:rFonts w:cs="Times New Roman"/>
        </w:rPr>
        <w:t xml:space="preserve">profits”, take their meaning directly from domestic law. The importance of domestic law as a source of substantive content for the application of the </w:t>
      </w:r>
      <w:r w:rsidRPr="000770DC">
        <w:rPr>
          <w:rFonts w:cs="Times New Roman"/>
          <w:i/>
        </w:rPr>
        <w:t xml:space="preserve">Treaty </w:t>
      </w:r>
      <w:r w:rsidRPr="000770DC">
        <w:rPr>
          <w:rFonts w:cs="Times New Roman"/>
        </w:rPr>
        <w:t xml:space="preserve">is expressly spelled out </w:t>
      </w:r>
      <w:r>
        <w:rPr>
          <w:rFonts w:cs="Times New Roman"/>
        </w:rPr>
        <w:t>in a</w:t>
      </w:r>
      <w:r w:rsidRPr="000770DC">
        <w:rPr>
          <w:rFonts w:cs="Times New Roman"/>
        </w:rPr>
        <w:t>rt. 3(2):</w:t>
      </w:r>
    </w:p>
    <w:p w14:paraId="67C1FBDA" w14:textId="77777777" w:rsidR="001346AE" w:rsidRPr="000770DC" w:rsidRDefault="001346AE" w:rsidP="001346AE">
      <w:pPr>
        <w:pStyle w:val="Citation-AltC"/>
      </w:pPr>
      <w:r w:rsidRPr="000770DC">
        <w:t xml:space="preserve">As regards the application of the Convention at any time by a Contracting State, </w:t>
      </w:r>
      <w:r w:rsidRPr="000770DC">
        <w:rPr>
          <w:u w:val="single"/>
        </w:rPr>
        <w:t>any term not defined therein shall, unless the context otherwise requires, have the meaning that it has at that time under the law of that State</w:t>
      </w:r>
      <w:r w:rsidRPr="000770DC">
        <w:t xml:space="preserve"> for the purposes of the taxes to which the Convention applies, any meaning under the applicable tax laws of that State prevailing over a meaning given to the term un</w:t>
      </w:r>
      <w:r>
        <w:t>der other laws of that State.</w:t>
      </w:r>
    </w:p>
    <w:p w14:paraId="17E7BDA1" w14:textId="77777777" w:rsidR="001346AE" w:rsidRPr="000770DC" w:rsidRDefault="001346AE" w:rsidP="001346AE">
      <w:pPr>
        <w:pStyle w:val="ParaNoNdepar-AltN"/>
        <w:rPr>
          <w:rFonts w:cs="Times New Roman"/>
          <w:b/>
        </w:rPr>
      </w:pPr>
      <w:r w:rsidRPr="000770DC">
        <w:rPr>
          <w:rFonts w:cs="Times New Roman"/>
        </w:rPr>
        <w:t>Despite the clear pronouncement made in the Commentary above and the well-established preference for leaving important definitions to domestic law, and despite h</w:t>
      </w:r>
      <w:r>
        <w:rPr>
          <w:rFonts w:cs="Times New Roman"/>
        </w:rPr>
        <w:t>er</w:t>
      </w:r>
      <w:r w:rsidRPr="000770DC">
        <w:rPr>
          <w:rFonts w:cs="Times New Roman"/>
        </w:rPr>
        <w:t xml:space="preserve"> admission that Alta Luxembourg is a resident of Luxembourg, the Minister argues that meeting the definition of resident under domestic law is not </w:t>
      </w:r>
      <w:r>
        <w:rPr>
          <w:rFonts w:cs="Times New Roman"/>
        </w:rPr>
        <w:t>sufficient</w:t>
      </w:r>
      <w:r w:rsidRPr="000770DC">
        <w:rPr>
          <w:rFonts w:cs="Times New Roman"/>
        </w:rPr>
        <w:t xml:space="preserve"> to qualify as a resident under the </w:t>
      </w:r>
      <w:r w:rsidRPr="000770DC">
        <w:rPr>
          <w:rFonts w:cs="Times New Roman"/>
          <w:i/>
        </w:rPr>
        <w:t>Treaty</w:t>
      </w:r>
      <w:r w:rsidRPr="000770DC">
        <w:rPr>
          <w:rFonts w:cs="Times New Roman"/>
        </w:rPr>
        <w:t>. According to the Minister,</w:t>
      </w:r>
      <w:r>
        <w:rPr>
          <w:rFonts w:cs="Times New Roman"/>
        </w:rPr>
        <w:t xml:space="preserve"> the benefits of the</w:t>
      </w:r>
      <w:r w:rsidRPr="000770DC">
        <w:rPr>
          <w:rFonts w:cs="Times New Roman"/>
        </w:rPr>
        <w:t xml:space="preserve"> </w:t>
      </w:r>
      <w:r>
        <w:rPr>
          <w:rFonts w:cs="Times New Roman"/>
          <w:i/>
        </w:rPr>
        <w:t>Treaty</w:t>
      </w:r>
      <w:r w:rsidRPr="000770DC">
        <w:rPr>
          <w:rFonts w:cs="Times New Roman"/>
        </w:rPr>
        <w:t xml:space="preserve"> “are intended to be available only to persons who have </w:t>
      </w:r>
      <w:r w:rsidRPr="00460379">
        <w:rPr>
          <w:rFonts w:cs="Times New Roman"/>
          <w:u w:val="single"/>
        </w:rPr>
        <w:t>sufficient substantive economic connections</w:t>
      </w:r>
      <w:r w:rsidRPr="000770DC">
        <w:rPr>
          <w:rFonts w:cs="Times New Roman"/>
        </w:rPr>
        <w:t>” to their state of residence (A.</w:t>
      </w:r>
      <w:r>
        <w:rPr>
          <w:rFonts w:cs="Times New Roman"/>
        </w:rPr>
        <w:t>F.</w:t>
      </w:r>
      <w:r w:rsidRPr="000770DC">
        <w:rPr>
          <w:rFonts w:cs="Times New Roman"/>
        </w:rPr>
        <w:t xml:space="preserve">, at para. 100 </w:t>
      </w:r>
      <w:r>
        <w:rPr>
          <w:rFonts w:cs="Times New Roman"/>
        </w:rPr>
        <w:t>(</w:t>
      </w:r>
      <w:r w:rsidRPr="000770DC">
        <w:rPr>
          <w:rFonts w:cs="Times New Roman"/>
        </w:rPr>
        <w:t>emphasis added</w:t>
      </w:r>
      <w:r>
        <w:rPr>
          <w:rFonts w:cs="Times New Roman"/>
        </w:rPr>
        <w:t>)</w:t>
      </w:r>
      <w:r w:rsidRPr="000770DC">
        <w:rPr>
          <w:rFonts w:cs="Times New Roman"/>
        </w:rPr>
        <w:t>). Mere formalistic or legal attachment to their state of residence would thus be insufficient</w:t>
      </w:r>
      <w:r>
        <w:rPr>
          <w:rFonts w:cs="Times New Roman"/>
        </w:rPr>
        <w:t>.</w:t>
      </w:r>
    </w:p>
    <w:p w14:paraId="30627E64" w14:textId="77777777" w:rsidR="001346AE" w:rsidRPr="000770DC" w:rsidRDefault="001346AE" w:rsidP="001346AE">
      <w:pPr>
        <w:pStyle w:val="ParaNoNdepar-AltN"/>
        <w:rPr>
          <w:rFonts w:cs="Times New Roman"/>
        </w:rPr>
      </w:pPr>
      <w:r w:rsidRPr="000770DC">
        <w:rPr>
          <w:rFonts w:cs="Times New Roman"/>
        </w:rPr>
        <w:t>It is worth noting that the words “sufficient substantive economic connections” are conspicuous by the</w:t>
      </w:r>
      <w:r>
        <w:rPr>
          <w:rFonts w:cs="Times New Roman"/>
        </w:rPr>
        <w:t>ir absence in the text of both a</w:t>
      </w:r>
      <w:r w:rsidRPr="000770DC">
        <w:rPr>
          <w:rFonts w:cs="Times New Roman"/>
        </w:rPr>
        <w:t xml:space="preserve">rts. 1 and 4. </w:t>
      </w:r>
      <w:r w:rsidRPr="000770DC">
        <w:rPr>
          <w:rFonts w:cs="Times New Roman"/>
        </w:rPr>
        <w:lastRenderedPageBreak/>
        <w:t xml:space="preserve">Although the GAAR invites courts to go beyond the text to understand the object, spirit, and purpose of the provisions, there are limits to </w:t>
      </w:r>
      <w:r>
        <w:rPr>
          <w:rFonts w:cs="Times New Roman"/>
        </w:rPr>
        <w:t>this</w:t>
      </w:r>
      <w:r w:rsidRPr="000770DC">
        <w:rPr>
          <w:rFonts w:cs="Times New Roman"/>
        </w:rPr>
        <w:t xml:space="preserve"> exercise, especially when </w:t>
      </w:r>
      <w:r>
        <w:rPr>
          <w:rFonts w:cs="Times New Roman"/>
        </w:rPr>
        <w:t xml:space="preserve">attempting to </w:t>
      </w:r>
      <w:r w:rsidRPr="000770DC">
        <w:rPr>
          <w:rFonts w:cs="Times New Roman"/>
        </w:rPr>
        <w:t>discern the intent of bilateral treaty partners. In the face of a complete absence of express words, the inclusion of an unexpressed condition must be approached with circumspection. It must be rem</w:t>
      </w:r>
      <w:r>
        <w:rPr>
          <w:rFonts w:cs="Times New Roman"/>
        </w:rPr>
        <w:t>embered</w:t>
      </w:r>
      <w:r w:rsidRPr="000770DC">
        <w:rPr>
          <w:rFonts w:cs="Times New Roman"/>
        </w:rPr>
        <w:t xml:space="preserve"> that the text also plays an important role in ascertaining the purpose of a provision. The proper approach is one that </w:t>
      </w:r>
      <w:r w:rsidRPr="000770DC">
        <w:rPr>
          <w:rFonts w:cs="Times New Roman"/>
          <w:i/>
        </w:rPr>
        <w:t xml:space="preserve">unifies </w:t>
      </w:r>
      <w:r w:rsidRPr="000770DC">
        <w:rPr>
          <w:rFonts w:cs="Times New Roman"/>
        </w:rPr>
        <w:t>the text, context</w:t>
      </w:r>
      <w:r>
        <w:rPr>
          <w:rFonts w:cs="Times New Roman"/>
        </w:rPr>
        <w:t>,</w:t>
      </w:r>
      <w:r w:rsidRPr="000770DC">
        <w:rPr>
          <w:rFonts w:cs="Times New Roman"/>
        </w:rPr>
        <w:t xml:space="preserve"> and purpose, not a purposive one in search of </w:t>
      </w:r>
      <w:r>
        <w:rPr>
          <w:rFonts w:cs="Times New Roman"/>
        </w:rPr>
        <w:t xml:space="preserve">a </w:t>
      </w:r>
      <w:r w:rsidRPr="000770DC">
        <w:rPr>
          <w:rFonts w:cs="Times New Roman"/>
        </w:rPr>
        <w:t xml:space="preserve">vague policy objective disconnected from the text </w:t>
      </w:r>
      <w:r w:rsidRPr="000770DC">
        <w:rPr>
          <w:rFonts w:eastAsia="Times New Roman" w:cs="Times New Roman"/>
          <w:szCs w:val="24"/>
          <w:lang w:eastAsia="fr-CA"/>
        </w:rPr>
        <w:t>(</w:t>
      </w:r>
      <w:r w:rsidRPr="000770DC">
        <w:rPr>
          <w:rFonts w:eastAsia="Times New Roman" w:cs="Times New Roman"/>
          <w:i/>
          <w:iCs/>
          <w:szCs w:val="24"/>
          <w:lang w:eastAsia="fr-CA"/>
        </w:rPr>
        <w:t>Canada Trustco</w:t>
      </w:r>
      <w:r w:rsidRPr="000770DC">
        <w:rPr>
          <w:rFonts w:eastAsia="Times New Roman" w:cs="Times New Roman"/>
          <w:szCs w:val="24"/>
          <w:lang w:eastAsia="fr-CA"/>
        </w:rPr>
        <w:t>, at para. 41)</w:t>
      </w:r>
      <w:r w:rsidRPr="000770DC">
        <w:rPr>
          <w:rFonts w:cs="Times New Roman"/>
        </w:rPr>
        <w:t>.</w:t>
      </w:r>
    </w:p>
    <w:p w14:paraId="4D977EF2" w14:textId="77777777" w:rsidR="001346AE" w:rsidRPr="000770DC" w:rsidRDefault="001346AE" w:rsidP="001346AE">
      <w:pPr>
        <w:pStyle w:val="ParaNoNdepar-AltN"/>
        <w:rPr>
          <w:rFonts w:cs="Times New Roman"/>
          <w:szCs w:val="24"/>
        </w:rPr>
      </w:pPr>
      <w:r w:rsidRPr="000770DC">
        <w:rPr>
          <w:rFonts w:cs="Times New Roman"/>
        </w:rPr>
        <w:t>Nonetheless, I acknowledge that treaty partners do not have the unfettered liberty to a</w:t>
      </w:r>
      <w:r>
        <w:rPr>
          <w:rFonts w:cs="Times New Roman"/>
        </w:rPr>
        <w:t>lter</w:t>
      </w:r>
      <w:r w:rsidRPr="000770DC">
        <w:rPr>
          <w:rFonts w:cs="Times New Roman"/>
        </w:rPr>
        <w:t xml:space="preserve"> or redefine residence as they wish for the purpose</w:t>
      </w:r>
      <w:r>
        <w:rPr>
          <w:rFonts w:cs="Times New Roman"/>
        </w:rPr>
        <w:t>s</w:t>
      </w:r>
      <w:r w:rsidRPr="000770DC">
        <w:rPr>
          <w:rFonts w:cs="Times New Roman"/>
        </w:rPr>
        <w:t xml:space="preserve"> of a tax treaty. The broader context of international tax law and the law of treaties helps to understand what was within the contemplation of Canada an</w:t>
      </w:r>
      <w:r>
        <w:rPr>
          <w:rFonts w:cs="Times New Roman"/>
        </w:rPr>
        <w:t>d Luxembourg when they drafted a</w:t>
      </w:r>
      <w:r w:rsidRPr="000770DC">
        <w:rPr>
          <w:rFonts w:cs="Times New Roman"/>
        </w:rPr>
        <w:t xml:space="preserve">rts. 1 and 4(1) of the </w:t>
      </w:r>
      <w:r w:rsidRPr="000770DC">
        <w:rPr>
          <w:rFonts w:cs="Times New Roman"/>
          <w:i/>
        </w:rPr>
        <w:t>Treaty</w:t>
      </w:r>
      <w:r w:rsidRPr="000770DC">
        <w:rPr>
          <w:rFonts w:cs="Times New Roman"/>
        </w:rPr>
        <w:t>.</w:t>
      </w:r>
      <w:r w:rsidRPr="000770DC">
        <w:rPr>
          <w:rFonts w:cs="Times New Roman"/>
          <w:i/>
        </w:rPr>
        <w:t xml:space="preserve"> </w:t>
      </w:r>
      <w:r w:rsidRPr="000770DC">
        <w:rPr>
          <w:rFonts w:cs="Times New Roman"/>
        </w:rPr>
        <w:t xml:space="preserve">Pursuant to the principle of </w:t>
      </w:r>
      <w:r w:rsidRPr="000770DC">
        <w:rPr>
          <w:rFonts w:cs="Times New Roman"/>
          <w:i/>
        </w:rPr>
        <w:t>pacta sunt servanda</w:t>
      </w:r>
      <w:r w:rsidRPr="000770DC">
        <w:rPr>
          <w:rFonts w:cs="Times New Roman"/>
        </w:rPr>
        <w:t xml:space="preserve">, </w:t>
      </w:r>
      <w:r w:rsidRPr="000770DC">
        <w:rPr>
          <w:rFonts w:cs="Times New Roman"/>
          <w:szCs w:val="24"/>
        </w:rPr>
        <w:t>parties to a treaty must keep their sides of the bargain and perform their obligations in good faith (</w:t>
      </w:r>
      <w:r>
        <w:rPr>
          <w:rFonts w:cs="Times New Roman"/>
        </w:rPr>
        <w:t>a</w:t>
      </w:r>
      <w:r w:rsidRPr="000770DC">
        <w:rPr>
          <w:rFonts w:cs="Times New Roman"/>
        </w:rPr>
        <w:t xml:space="preserve">rt. 26 of the </w:t>
      </w:r>
      <w:r w:rsidRPr="000770DC">
        <w:rPr>
          <w:rFonts w:cs="Times New Roman"/>
          <w:i/>
        </w:rPr>
        <w:t>Vienna Convention</w:t>
      </w:r>
      <w:r w:rsidRPr="000770DC">
        <w:rPr>
          <w:rFonts w:cs="Times New Roman"/>
        </w:rPr>
        <w:t>)</w:t>
      </w:r>
      <w:r w:rsidRPr="000770DC">
        <w:rPr>
          <w:rFonts w:cs="Times New Roman"/>
          <w:szCs w:val="24"/>
        </w:rPr>
        <w:t xml:space="preserve">. </w:t>
      </w:r>
      <w:r>
        <w:rPr>
          <w:rFonts w:cs="Times New Roman"/>
          <w:szCs w:val="24"/>
        </w:rPr>
        <w:t>D</w:t>
      </w:r>
      <w:r w:rsidRPr="000770DC">
        <w:rPr>
          <w:rFonts w:cs="Times New Roman"/>
          <w:szCs w:val="24"/>
        </w:rPr>
        <w:t>omestic law definition</w:t>
      </w:r>
      <w:r>
        <w:rPr>
          <w:rFonts w:cs="Times New Roman"/>
          <w:szCs w:val="24"/>
        </w:rPr>
        <w:t>s</w:t>
      </w:r>
      <w:r w:rsidRPr="000770DC">
        <w:rPr>
          <w:rFonts w:cs="Times New Roman"/>
          <w:szCs w:val="24"/>
        </w:rPr>
        <w:t xml:space="preserve"> of residence should therefore broadly correspond to international norms and not have the effect of redefining residence in a way “</w:t>
      </w:r>
      <w:r w:rsidRPr="000770DC">
        <w:rPr>
          <w:rFonts w:cs="Times New Roman"/>
          <w:szCs w:val="24"/>
          <w:lang w:val="x-none"/>
        </w:rPr>
        <w:t>that takes the words unmistakably past their accepted usage</w:t>
      </w:r>
      <w:r w:rsidRPr="000770DC">
        <w:rPr>
          <w:rFonts w:cs="Times New Roman"/>
          <w:szCs w:val="24"/>
        </w:rPr>
        <w:t xml:space="preserve">” (Couzin, at p. 136), including the definitions of residence that were in </w:t>
      </w:r>
      <w:r>
        <w:rPr>
          <w:rFonts w:cs="Times New Roman"/>
          <w:szCs w:val="24"/>
        </w:rPr>
        <w:t>effect</w:t>
      </w:r>
      <w:r w:rsidRPr="000770DC">
        <w:rPr>
          <w:rFonts w:cs="Times New Roman"/>
          <w:szCs w:val="24"/>
        </w:rPr>
        <w:t xml:space="preserve"> in the two states at the time the </w:t>
      </w:r>
      <w:r w:rsidRPr="000770DC">
        <w:rPr>
          <w:rFonts w:cs="Times New Roman"/>
          <w:i/>
          <w:szCs w:val="24"/>
        </w:rPr>
        <w:t xml:space="preserve">Treaty </w:t>
      </w:r>
      <w:r w:rsidRPr="000770DC">
        <w:rPr>
          <w:rFonts w:cs="Times New Roman"/>
          <w:szCs w:val="24"/>
        </w:rPr>
        <w:t>was drafted</w:t>
      </w:r>
      <w:r>
        <w:rPr>
          <w:rFonts w:cs="Times New Roman"/>
          <w:szCs w:val="24"/>
        </w:rPr>
        <w:t>.</w:t>
      </w:r>
    </w:p>
    <w:p w14:paraId="47EDE1BB" w14:textId="77777777" w:rsidR="001346AE" w:rsidRPr="000770DC" w:rsidRDefault="001346AE" w:rsidP="001346AE">
      <w:pPr>
        <w:pStyle w:val="ParaNoNdepar-AltN"/>
        <w:rPr>
          <w:rFonts w:cs="Times New Roman"/>
          <w:szCs w:val="24"/>
        </w:rPr>
      </w:pPr>
      <w:r w:rsidRPr="000770DC">
        <w:rPr>
          <w:rFonts w:cs="Times New Roman"/>
          <w:szCs w:val="24"/>
        </w:rPr>
        <w:t xml:space="preserve">I pause here to observe that the definition of residence </w:t>
      </w:r>
      <w:r>
        <w:rPr>
          <w:rFonts w:cs="Times New Roman"/>
          <w:szCs w:val="24"/>
        </w:rPr>
        <w:t xml:space="preserve">in Luxembourg law </w:t>
      </w:r>
      <w:r w:rsidRPr="000770DC">
        <w:rPr>
          <w:rFonts w:cs="Times New Roman"/>
          <w:szCs w:val="24"/>
        </w:rPr>
        <w:t xml:space="preserve">is consistent with international practice. Broadly speaking, there are two internationally recognized methods </w:t>
      </w:r>
      <w:r>
        <w:rPr>
          <w:rFonts w:cs="Times New Roman"/>
          <w:szCs w:val="24"/>
        </w:rPr>
        <w:t xml:space="preserve">used </w:t>
      </w:r>
      <w:r w:rsidRPr="000770DC">
        <w:rPr>
          <w:rFonts w:cs="Times New Roman"/>
          <w:szCs w:val="24"/>
        </w:rPr>
        <w:t>to determine cor</w:t>
      </w:r>
      <w:r>
        <w:rPr>
          <w:rFonts w:cs="Times New Roman"/>
          <w:szCs w:val="24"/>
        </w:rPr>
        <w:t>porate residency: (1) </w:t>
      </w:r>
      <w:r w:rsidRPr="000770DC">
        <w:rPr>
          <w:rFonts w:cs="Times New Roman"/>
          <w:szCs w:val="24"/>
        </w:rPr>
        <w:t xml:space="preserve">the “place of </w:t>
      </w:r>
      <w:r w:rsidRPr="000770DC">
        <w:rPr>
          <w:rFonts w:cs="Times New Roman"/>
          <w:szCs w:val="24"/>
        </w:rPr>
        <w:lastRenderedPageBreak/>
        <w:t>incorporation” or “legal seat” rule</w:t>
      </w:r>
      <w:r>
        <w:rPr>
          <w:rFonts w:cs="Times New Roman"/>
          <w:szCs w:val="24"/>
        </w:rPr>
        <w:t>,</w:t>
      </w:r>
      <w:r w:rsidRPr="000770DC">
        <w:rPr>
          <w:rFonts w:cs="Times New Roman"/>
          <w:szCs w:val="24"/>
        </w:rPr>
        <w:t xml:space="preserve"> pursuant to which residence is determined by a purely formal criterion, that is, where the corporation was incorporated</w:t>
      </w:r>
      <w:r>
        <w:rPr>
          <w:rFonts w:cs="Times New Roman"/>
          <w:szCs w:val="24"/>
        </w:rPr>
        <w:t xml:space="preserve"> or has its legal seat; and (2) </w:t>
      </w:r>
      <w:r w:rsidRPr="000770DC">
        <w:rPr>
          <w:rFonts w:cs="Times New Roman"/>
          <w:szCs w:val="24"/>
        </w:rPr>
        <w:t>the “real seat” rule</w:t>
      </w:r>
      <w:r>
        <w:rPr>
          <w:rFonts w:cs="Times New Roman"/>
          <w:szCs w:val="24"/>
        </w:rPr>
        <w:t>,</w:t>
      </w:r>
      <w:r w:rsidRPr="000770DC">
        <w:rPr>
          <w:rFonts w:cs="Times New Roman"/>
          <w:szCs w:val="24"/>
        </w:rPr>
        <w:t xml:space="preserve"> pursuant to which residence depends on a combination of factual factors aimed at identifying the </w:t>
      </w:r>
      <w:r>
        <w:rPr>
          <w:rFonts w:cs="Times New Roman"/>
          <w:szCs w:val="24"/>
        </w:rPr>
        <w:t xml:space="preserve">corporation’s </w:t>
      </w:r>
      <w:r w:rsidRPr="000770DC">
        <w:rPr>
          <w:rFonts w:cs="Times New Roman"/>
          <w:szCs w:val="24"/>
        </w:rPr>
        <w:t>place of effective management (R. S. Avi-Yonah, N. Sartori and O. Marian,</w:t>
      </w:r>
      <w:r w:rsidRPr="000770DC">
        <w:rPr>
          <w:rFonts w:cs="Times New Roman"/>
          <w:i/>
          <w:szCs w:val="24"/>
        </w:rPr>
        <w:t xml:space="preserve"> Global Perspectives on Income Taxation Law </w:t>
      </w:r>
      <w:r w:rsidRPr="000770DC">
        <w:rPr>
          <w:rFonts w:cs="Times New Roman"/>
          <w:szCs w:val="24"/>
        </w:rPr>
        <w:t>(2011), at p. 130</w:t>
      </w:r>
      <w:r>
        <w:rPr>
          <w:rFonts w:cs="Times New Roman"/>
          <w:szCs w:val="24"/>
        </w:rPr>
        <w:t xml:space="preserve">, quoting M. A. Kane and E. B. Rock, “Corporate Taxation and International Charter Competition” (2008), 106 </w:t>
      </w:r>
      <w:r w:rsidRPr="00B43AF5">
        <w:rPr>
          <w:rFonts w:cs="Times New Roman"/>
          <w:i/>
          <w:szCs w:val="24"/>
        </w:rPr>
        <w:t xml:space="preserve">Mich. L. Rev. </w:t>
      </w:r>
      <w:r>
        <w:rPr>
          <w:rFonts w:cs="Times New Roman"/>
          <w:szCs w:val="24"/>
        </w:rPr>
        <w:t>1229, at p. 1235</w:t>
      </w:r>
      <w:r w:rsidRPr="000770DC">
        <w:rPr>
          <w:rFonts w:cs="Times New Roman"/>
          <w:szCs w:val="24"/>
        </w:rPr>
        <w:t xml:space="preserve">). Luxembourg law grants resident status to corporations </w:t>
      </w:r>
      <w:r>
        <w:rPr>
          <w:rFonts w:cs="Times New Roman"/>
          <w:szCs w:val="24"/>
        </w:rPr>
        <w:t xml:space="preserve">having </w:t>
      </w:r>
      <w:r w:rsidRPr="000770DC">
        <w:rPr>
          <w:rFonts w:cs="Times New Roman"/>
          <w:szCs w:val="24"/>
        </w:rPr>
        <w:t xml:space="preserve">either their legal seat or </w:t>
      </w:r>
      <w:r>
        <w:rPr>
          <w:rFonts w:cs="Times New Roman"/>
          <w:szCs w:val="24"/>
        </w:rPr>
        <w:t xml:space="preserve">their </w:t>
      </w:r>
      <w:r w:rsidRPr="000770DC">
        <w:rPr>
          <w:rFonts w:cs="Times New Roman"/>
          <w:szCs w:val="24"/>
        </w:rPr>
        <w:t>central management in Luxembourg</w:t>
      </w:r>
      <w:r>
        <w:rPr>
          <w:rFonts w:cs="Times New Roman"/>
          <w:szCs w:val="24"/>
        </w:rPr>
        <w:t xml:space="preserve"> — two criteria consistent with these methods </w:t>
      </w:r>
      <w:r w:rsidRPr="000770DC">
        <w:rPr>
          <w:rFonts w:cs="Times New Roman"/>
          <w:szCs w:val="24"/>
        </w:rPr>
        <w:t>(Statement of Agreed Facts, A.</w:t>
      </w:r>
      <w:r>
        <w:rPr>
          <w:rFonts w:cs="Times New Roman"/>
          <w:szCs w:val="24"/>
        </w:rPr>
        <w:t>R</w:t>
      </w:r>
      <w:r w:rsidRPr="000770DC">
        <w:rPr>
          <w:rFonts w:cs="Times New Roman"/>
          <w:szCs w:val="24"/>
        </w:rPr>
        <w:t xml:space="preserve">., vol. II, </w:t>
      </w:r>
      <w:r>
        <w:rPr>
          <w:rFonts w:cs="Times New Roman"/>
          <w:szCs w:val="24"/>
        </w:rPr>
        <w:t>at p. 28</w:t>
      </w:r>
      <w:r w:rsidRPr="000770DC">
        <w:rPr>
          <w:rFonts w:cs="Times New Roman"/>
          <w:szCs w:val="24"/>
        </w:rPr>
        <w:t>, par</w:t>
      </w:r>
      <w:r>
        <w:rPr>
          <w:rFonts w:cs="Times New Roman"/>
          <w:szCs w:val="24"/>
        </w:rPr>
        <w:t>a</w:t>
      </w:r>
      <w:r w:rsidRPr="000770DC">
        <w:rPr>
          <w:rFonts w:cs="Times New Roman"/>
          <w:szCs w:val="24"/>
        </w:rPr>
        <w:t>. 122; Opinion on the Luxembourg tax residence of the company, A.</w:t>
      </w:r>
      <w:r>
        <w:rPr>
          <w:rFonts w:cs="Times New Roman"/>
          <w:szCs w:val="24"/>
        </w:rPr>
        <w:t>R</w:t>
      </w:r>
      <w:r w:rsidRPr="000770DC">
        <w:rPr>
          <w:rFonts w:cs="Times New Roman"/>
          <w:szCs w:val="24"/>
        </w:rPr>
        <w:t xml:space="preserve">., vol. VII, </w:t>
      </w:r>
      <w:r>
        <w:rPr>
          <w:rFonts w:cs="Times New Roman"/>
          <w:szCs w:val="24"/>
        </w:rPr>
        <w:t>at pp. 5 and 7</w:t>
      </w:r>
      <w:r w:rsidRPr="000770DC">
        <w:rPr>
          <w:rFonts w:cs="Times New Roman"/>
          <w:szCs w:val="24"/>
        </w:rPr>
        <w:t>, par</w:t>
      </w:r>
      <w:r>
        <w:rPr>
          <w:rFonts w:cs="Times New Roman"/>
          <w:szCs w:val="24"/>
        </w:rPr>
        <w:t>as</w:t>
      </w:r>
      <w:r w:rsidRPr="000770DC">
        <w:rPr>
          <w:rFonts w:cs="Times New Roman"/>
          <w:szCs w:val="24"/>
        </w:rPr>
        <w:t xml:space="preserve">. 7.2 and 8.2.1). In the </w:t>
      </w:r>
      <w:r>
        <w:rPr>
          <w:rFonts w:cs="Times New Roman"/>
          <w:szCs w:val="24"/>
        </w:rPr>
        <w:t>instant case, the parties agree</w:t>
      </w:r>
      <w:r w:rsidRPr="000770DC">
        <w:rPr>
          <w:rFonts w:cs="Times New Roman"/>
          <w:szCs w:val="24"/>
        </w:rPr>
        <w:t xml:space="preserve"> that Alta Luxembourg is a resident of Luxembourg as its legal seat is located there</w:t>
      </w:r>
      <w:r>
        <w:rPr>
          <w:rFonts w:cs="Times New Roman"/>
          <w:szCs w:val="24"/>
        </w:rPr>
        <w:t xml:space="preserve"> (Statement of Agreed Facts, A.R., vol. II, at p. 28, para. 122).</w:t>
      </w:r>
    </w:p>
    <w:p w14:paraId="0BF99848" w14:textId="77777777" w:rsidR="001346AE" w:rsidRPr="000770DC" w:rsidRDefault="001346AE" w:rsidP="001346AE">
      <w:pPr>
        <w:pStyle w:val="ParaNoNdepar-AltN"/>
        <w:rPr>
          <w:rFonts w:cs="Times New Roman"/>
          <w:szCs w:val="24"/>
        </w:rPr>
      </w:pPr>
      <w:r w:rsidRPr="000770DC">
        <w:rPr>
          <w:rFonts w:cs="Times New Roman"/>
          <w:szCs w:val="24"/>
        </w:rPr>
        <w:t xml:space="preserve">Interestingly, the “sufficient substantive economic connections” rationale put forward by the Minister bears similarities </w:t>
      </w:r>
      <w:r>
        <w:rPr>
          <w:rFonts w:cs="Times New Roman"/>
          <w:szCs w:val="24"/>
        </w:rPr>
        <w:t>to</w:t>
      </w:r>
      <w:r w:rsidRPr="000770DC">
        <w:rPr>
          <w:rFonts w:cs="Times New Roman"/>
          <w:szCs w:val="24"/>
        </w:rPr>
        <w:t xml:space="preserve"> the “real seat” rule emphasizing substance over form and seemingly rejects a formal, legalistic rule like the “place of incorporation” or “legal seat” rule. Thus, I understand the Minister’s submissions as </w:t>
      </w:r>
      <w:r>
        <w:rPr>
          <w:rFonts w:cs="Times New Roman"/>
          <w:szCs w:val="24"/>
        </w:rPr>
        <w:t>suggesting</w:t>
      </w:r>
      <w:r w:rsidRPr="000770DC">
        <w:rPr>
          <w:rFonts w:cs="Times New Roman"/>
          <w:szCs w:val="24"/>
        </w:rPr>
        <w:t xml:space="preserve"> that establishing residence merely on the basis of a formal criterion is insufficient to conform to the spirit of the rules of residence under the </w:t>
      </w:r>
      <w:r w:rsidRPr="000770DC">
        <w:rPr>
          <w:rFonts w:cs="Times New Roman"/>
          <w:i/>
          <w:szCs w:val="24"/>
        </w:rPr>
        <w:t>Treaty</w:t>
      </w:r>
      <w:r w:rsidRPr="000770DC">
        <w:rPr>
          <w:rFonts w:cs="Times New Roman"/>
          <w:szCs w:val="24"/>
        </w:rPr>
        <w:t xml:space="preserve">. Something more would be needed: some </w:t>
      </w:r>
      <w:r w:rsidRPr="000770DC">
        <w:rPr>
          <w:rFonts w:cs="Times New Roman"/>
          <w:i/>
          <w:szCs w:val="24"/>
        </w:rPr>
        <w:t>real</w:t>
      </w:r>
      <w:r w:rsidRPr="000770DC">
        <w:rPr>
          <w:rFonts w:cs="Times New Roman"/>
          <w:szCs w:val="24"/>
        </w:rPr>
        <w:t xml:space="preserve"> connections to the country of residence. What the Minister’s submissions overlook, however, is that many of the world’s most developed economies — including Canada itself — accept and apply the “place of </w:t>
      </w:r>
      <w:r w:rsidRPr="000770DC">
        <w:rPr>
          <w:rFonts w:cs="Times New Roman"/>
          <w:szCs w:val="24"/>
        </w:rPr>
        <w:lastRenderedPageBreak/>
        <w:t>incorporation” or “legal seat” rule (Avi-Yonah</w:t>
      </w:r>
      <w:r>
        <w:rPr>
          <w:rFonts w:cs="Times New Roman"/>
          <w:szCs w:val="24"/>
        </w:rPr>
        <w:t>,</w:t>
      </w:r>
      <w:r w:rsidRPr="000770DC">
        <w:rPr>
          <w:rFonts w:cs="Times New Roman"/>
          <w:szCs w:val="24"/>
        </w:rPr>
        <w:t xml:space="preserve"> </w:t>
      </w:r>
      <w:r>
        <w:rPr>
          <w:rFonts w:cs="Times New Roman"/>
          <w:szCs w:val="24"/>
        </w:rPr>
        <w:t>Sartori and Marian</w:t>
      </w:r>
      <w:r w:rsidRPr="000770DC">
        <w:rPr>
          <w:rFonts w:cs="Times New Roman"/>
          <w:szCs w:val="24"/>
        </w:rPr>
        <w:t>, p</w:t>
      </w:r>
      <w:r>
        <w:rPr>
          <w:rFonts w:cs="Times New Roman"/>
          <w:szCs w:val="24"/>
        </w:rPr>
        <w:t>p</w:t>
      </w:r>
      <w:r w:rsidRPr="000770DC">
        <w:rPr>
          <w:rFonts w:cs="Times New Roman"/>
          <w:szCs w:val="24"/>
        </w:rPr>
        <w:t>. 130</w:t>
      </w:r>
      <w:r>
        <w:rPr>
          <w:rFonts w:cs="Times New Roman"/>
          <w:szCs w:val="24"/>
        </w:rPr>
        <w:t xml:space="preserve"> and 133</w:t>
      </w:r>
      <w:r>
        <w:rPr>
          <w:rFonts w:cs="Times New Roman"/>
          <w:szCs w:val="24"/>
        </w:rPr>
        <w:noBreakHyphen/>
        <w:t>3</w:t>
      </w:r>
      <w:r w:rsidRPr="000770DC">
        <w:rPr>
          <w:rFonts w:cs="Times New Roman"/>
          <w:szCs w:val="24"/>
        </w:rPr>
        <w:t xml:space="preserve">4; see s. 250(4)(a) of the </w:t>
      </w:r>
      <w:r w:rsidRPr="000770DC">
        <w:rPr>
          <w:rFonts w:cs="Times New Roman"/>
          <w:i/>
          <w:szCs w:val="24"/>
        </w:rPr>
        <w:t>Act</w:t>
      </w:r>
      <w:r w:rsidRPr="000770DC">
        <w:rPr>
          <w:rFonts w:cs="Times New Roman"/>
          <w:szCs w:val="24"/>
        </w:rPr>
        <w:t xml:space="preserve">). Although a formal criterion may sometimes be unable to capture the </w:t>
      </w:r>
      <w:r w:rsidRPr="000770DC">
        <w:rPr>
          <w:rFonts w:cs="Times New Roman"/>
          <w:i/>
          <w:szCs w:val="24"/>
        </w:rPr>
        <w:t xml:space="preserve">real </w:t>
      </w:r>
      <w:r w:rsidRPr="000770DC">
        <w:rPr>
          <w:rFonts w:cs="Times New Roman"/>
          <w:szCs w:val="24"/>
        </w:rPr>
        <w:t xml:space="preserve">location of a corporation’s economic activities, it nevertheless became widespread internationally because of its certainty and simplicity, considerations that are vital to a well-functioning tax system based on the rule of law and the </w:t>
      </w:r>
      <w:r w:rsidRPr="000770DC">
        <w:rPr>
          <w:rFonts w:cs="Times New Roman"/>
          <w:i/>
          <w:szCs w:val="24"/>
        </w:rPr>
        <w:t xml:space="preserve">Duke of Westminster </w:t>
      </w:r>
      <w:r w:rsidRPr="000770DC">
        <w:rPr>
          <w:rFonts w:cs="Times New Roman"/>
          <w:szCs w:val="24"/>
        </w:rPr>
        <w:t xml:space="preserve">principle (Li </w:t>
      </w:r>
      <w:r>
        <w:rPr>
          <w:rFonts w:cs="Times New Roman"/>
          <w:szCs w:val="24"/>
        </w:rPr>
        <w:t>and Cockfield</w:t>
      </w:r>
      <w:r w:rsidRPr="000770DC">
        <w:rPr>
          <w:rFonts w:cs="Times New Roman"/>
          <w:szCs w:val="24"/>
        </w:rPr>
        <w:t xml:space="preserve">, at p. 77). Hence, the </w:t>
      </w:r>
      <w:r>
        <w:rPr>
          <w:rFonts w:cs="Times New Roman"/>
          <w:szCs w:val="24"/>
        </w:rPr>
        <w:t xml:space="preserve">definition in </w:t>
      </w:r>
      <w:r w:rsidRPr="000770DC">
        <w:rPr>
          <w:rFonts w:cs="Times New Roman"/>
          <w:szCs w:val="24"/>
        </w:rPr>
        <w:t xml:space="preserve">Luxembourg law does not depart from accepted usage such that the bargain struck in the </w:t>
      </w:r>
      <w:r w:rsidRPr="000770DC">
        <w:rPr>
          <w:rFonts w:cs="Times New Roman"/>
          <w:i/>
          <w:szCs w:val="24"/>
        </w:rPr>
        <w:t xml:space="preserve">Treaty </w:t>
      </w:r>
      <w:r w:rsidRPr="000770DC">
        <w:rPr>
          <w:rFonts w:cs="Times New Roman"/>
          <w:szCs w:val="24"/>
        </w:rPr>
        <w:t>could be upheld only if Luxembourg residents claiming benefits have “sufficient substantive economic connections” to their country of residence.</w:t>
      </w:r>
    </w:p>
    <w:p w14:paraId="0153B15D" w14:textId="77777777" w:rsidR="001346AE" w:rsidRPr="000770DC" w:rsidRDefault="001346AE" w:rsidP="001346AE">
      <w:pPr>
        <w:pStyle w:val="ParaNoNdepar-AltN"/>
        <w:rPr>
          <w:rFonts w:cs="Times New Roman"/>
          <w:szCs w:val="24"/>
        </w:rPr>
      </w:pPr>
      <w:r w:rsidRPr="000770DC">
        <w:rPr>
          <w:rFonts w:cs="Times New Roman"/>
          <w:szCs w:val="24"/>
        </w:rPr>
        <w:t>Given this broad international acceptance of formal residency, if the drafters had truly intended to include only corporations with “</w:t>
      </w:r>
      <w:r>
        <w:rPr>
          <w:rFonts w:cs="Times New Roman"/>
          <w:szCs w:val="24"/>
        </w:rPr>
        <w:t xml:space="preserve">sufficient </w:t>
      </w:r>
      <w:r w:rsidRPr="000770DC">
        <w:rPr>
          <w:rFonts w:cs="Times New Roman"/>
          <w:szCs w:val="24"/>
        </w:rPr>
        <w:t xml:space="preserve">substantive economic connections” to their country of residence within the scope of the </w:t>
      </w:r>
      <w:r w:rsidRPr="000770DC">
        <w:rPr>
          <w:rFonts w:cs="Times New Roman"/>
          <w:i/>
          <w:szCs w:val="24"/>
        </w:rPr>
        <w:t>Treaty</w:t>
      </w:r>
      <w:r w:rsidRPr="000770DC">
        <w:rPr>
          <w:rFonts w:cs="Times New Roman"/>
          <w:szCs w:val="24"/>
        </w:rPr>
        <w:t>, they would have clearly signalled their intention to depart from a well-established criterion like the “place of incorporation” or “legal seat” rule. They would not have simply incorp</w:t>
      </w:r>
      <w:r>
        <w:rPr>
          <w:rFonts w:cs="Times New Roman"/>
          <w:szCs w:val="24"/>
        </w:rPr>
        <w:t>orated a</w:t>
      </w:r>
      <w:r w:rsidRPr="000770DC">
        <w:rPr>
          <w:rFonts w:cs="Times New Roman"/>
          <w:szCs w:val="24"/>
        </w:rPr>
        <w:t xml:space="preserve">rts. 1 and 4(1) of the OECD </w:t>
      </w:r>
      <w:r w:rsidRPr="00DD337A">
        <w:rPr>
          <w:rFonts w:cs="Times New Roman"/>
          <w:i/>
          <w:szCs w:val="24"/>
        </w:rPr>
        <w:t>Model</w:t>
      </w:r>
      <w:r w:rsidRPr="00DD337A">
        <w:rPr>
          <w:rFonts w:cs="Times New Roman"/>
          <w:i/>
        </w:rPr>
        <w:t xml:space="preserve"> Treaty</w:t>
      </w:r>
      <w:r w:rsidRPr="000770DC">
        <w:rPr>
          <w:rFonts w:cs="Times New Roman"/>
          <w:szCs w:val="24"/>
        </w:rPr>
        <w:t xml:space="preserve">, </w:t>
      </w:r>
      <w:r>
        <w:rPr>
          <w:rFonts w:cs="Times New Roman"/>
          <w:szCs w:val="24"/>
        </w:rPr>
        <w:t xml:space="preserve">which </w:t>
      </w:r>
      <w:r w:rsidRPr="000770DC">
        <w:rPr>
          <w:rFonts w:cs="Times New Roman"/>
          <w:szCs w:val="24"/>
        </w:rPr>
        <w:t xml:space="preserve">reflect an international consensus, with no alteration. This indicates, </w:t>
      </w:r>
      <w:r>
        <w:rPr>
          <w:rFonts w:cs="Times New Roman"/>
          <w:szCs w:val="24"/>
        </w:rPr>
        <w:t>in my view, that the object of a</w:t>
      </w:r>
      <w:r w:rsidRPr="000770DC">
        <w:rPr>
          <w:rFonts w:cs="Times New Roman"/>
          <w:szCs w:val="24"/>
        </w:rPr>
        <w:t>rts. 1 and 4(1) is not to exclude all corporations with minimal economic connections to their country of residence, such as those whose residence is established solely on the basis of a formal, legal attachment. Access</w:t>
      </w:r>
      <w:r>
        <w:rPr>
          <w:rFonts w:cs="Times New Roman"/>
          <w:szCs w:val="24"/>
        </w:rPr>
        <w:t xml:space="preserve"> to the benefits of the</w:t>
      </w:r>
      <w:r w:rsidRPr="000770DC">
        <w:rPr>
          <w:rFonts w:cs="Times New Roman"/>
          <w:szCs w:val="24"/>
        </w:rPr>
        <w:t xml:space="preserve"> </w:t>
      </w:r>
      <w:r w:rsidRPr="000770DC">
        <w:rPr>
          <w:rFonts w:cs="Times New Roman"/>
          <w:i/>
          <w:szCs w:val="24"/>
        </w:rPr>
        <w:t xml:space="preserve">Treaty </w:t>
      </w:r>
      <w:r w:rsidRPr="000770DC">
        <w:rPr>
          <w:rFonts w:cs="Times New Roman"/>
          <w:szCs w:val="24"/>
        </w:rPr>
        <w:t xml:space="preserve">by virtue of a domestic law definition of residence like the “legal seat” rule is </w:t>
      </w:r>
      <w:r>
        <w:rPr>
          <w:rFonts w:cs="Times New Roman"/>
          <w:szCs w:val="24"/>
        </w:rPr>
        <w:t xml:space="preserve">therefore </w:t>
      </w:r>
      <w:r w:rsidRPr="000770DC">
        <w:rPr>
          <w:rFonts w:cs="Times New Roman"/>
          <w:szCs w:val="24"/>
        </w:rPr>
        <w:t>entirely consistent with the spirit of these provisions.</w:t>
      </w:r>
    </w:p>
    <w:p w14:paraId="02C800E6" w14:textId="77777777" w:rsidR="001346AE" w:rsidRPr="000770DC" w:rsidRDefault="001346AE" w:rsidP="001346AE">
      <w:pPr>
        <w:pStyle w:val="ParaNoNdepar-AltN"/>
        <w:rPr>
          <w:rFonts w:cs="Times New Roman"/>
        </w:rPr>
      </w:pPr>
      <w:r w:rsidRPr="000770DC">
        <w:rPr>
          <w:rFonts w:cs="Times New Roman"/>
        </w:rPr>
        <w:lastRenderedPageBreak/>
        <w:t>Another contextual element further reinforces my opinion tha</w:t>
      </w:r>
      <w:r>
        <w:rPr>
          <w:rFonts w:cs="Times New Roman"/>
        </w:rPr>
        <w:t>t the purpose of a</w:t>
      </w:r>
      <w:r w:rsidRPr="000770DC">
        <w:rPr>
          <w:rFonts w:cs="Times New Roman"/>
        </w:rPr>
        <w:t>rts. 1 and 4 is not to reserve benefits to corporations with “sufficient substantive economic connections” to their country of residence: the inclusion o</w:t>
      </w:r>
      <w:r>
        <w:rPr>
          <w:rFonts w:cs="Times New Roman"/>
        </w:rPr>
        <w:t>f a</w:t>
      </w:r>
      <w:r w:rsidRPr="000770DC">
        <w:rPr>
          <w:rFonts w:cs="Times New Roman"/>
        </w:rPr>
        <w:t>rt. 28(3)</w:t>
      </w:r>
      <w:r>
        <w:rPr>
          <w:rFonts w:cs="Times New Roman"/>
        </w:rPr>
        <w:t xml:space="preserve"> in the </w:t>
      </w:r>
      <w:r w:rsidRPr="00EF653C">
        <w:rPr>
          <w:rFonts w:cs="Times New Roman"/>
          <w:i/>
        </w:rPr>
        <w:t>Treaty</w:t>
      </w:r>
      <w:r w:rsidRPr="000770DC">
        <w:rPr>
          <w:rFonts w:cs="Times New Roman"/>
        </w:rPr>
        <w:t>, which denies benefits to certain Luxembourg holding co</w:t>
      </w:r>
      <w:r>
        <w:rPr>
          <w:rFonts w:cs="Times New Roman"/>
        </w:rPr>
        <w:t>mpanies</w:t>
      </w:r>
      <w:r w:rsidRPr="000770DC">
        <w:rPr>
          <w:rFonts w:cs="Times New Roman"/>
        </w:rPr>
        <w:t xml:space="preserve">. The </w:t>
      </w:r>
      <w:r>
        <w:rPr>
          <w:rFonts w:cs="Times New Roman"/>
        </w:rPr>
        <w:t>“</w:t>
      </w:r>
      <w:r w:rsidRPr="000770DC">
        <w:rPr>
          <w:rFonts w:cs="Times New Roman"/>
        </w:rPr>
        <w:t xml:space="preserve">Commentary </w:t>
      </w:r>
      <w:r>
        <w:rPr>
          <w:rFonts w:cs="Times New Roman"/>
        </w:rPr>
        <w:t>on Article</w:t>
      </w:r>
      <w:r w:rsidRPr="000770DC">
        <w:rPr>
          <w:rFonts w:cs="Times New Roman"/>
        </w:rPr>
        <w:t> 1</w:t>
      </w:r>
      <w:r>
        <w:rPr>
          <w:rFonts w:cs="Times New Roman"/>
        </w:rPr>
        <w:t>”</w:t>
      </w:r>
      <w:r w:rsidRPr="000770DC">
        <w:rPr>
          <w:rFonts w:cs="Times New Roman"/>
        </w:rPr>
        <w:t xml:space="preserve"> of the 1998 OECD </w:t>
      </w:r>
      <w:r w:rsidRPr="00082D95">
        <w:rPr>
          <w:rFonts w:cs="Times New Roman"/>
          <w:i/>
        </w:rPr>
        <w:t>Model Treaty</w:t>
      </w:r>
      <w:r w:rsidRPr="000770DC">
        <w:rPr>
          <w:rFonts w:cs="Times New Roman"/>
        </w:rPr>
        <w:t xml:space="preserve"> specifically warned against the use of conduit companies, that is, “legal entit</w:t>
      </w:r>
      <w:r>
        <w:rPr>
          <w:rFonts w:cs="Times New Roman"/>
        </w:rPr>
        <w:t>[ies]</w:t>
      </w:r>
      <w:r w:rsidRPr="000770DC">
        <w:rPr>
          <w:rFonts w:cs="Times New Roman"/>
        </w:rPr>
        <w:t xml:space="preserve"> created in a State essentially to obtain treaty benefits that would not be available directly” (para. 9). Several solutions were proposed in the Commentary, but “no definitive texts </w:t>
      </w:r>
      <w:r>
        <w:rPr>
          <w:rFonts w:cs="Times New Roman"/>
        </w:rPr>
        <w:t>[were]</w:t>
      </w:r>
      <w:r w:rsidRPr="000770DC">
        <w:rPr>
          <w:rFonts w:cs="Times New Roman"/>
        </w:rPr>
        <w:t xml:space="preserve"> drafted” and “no strict recommendations [were] made” (para. 12). OECD members were left to choose which solution suit</w:t>
      </w:r>
      <w:r>
        <w:rPr>
          <w:rFonts w:cs="Times New Roman"/>
        </w:rPr>
        <w:t>ed</w:t>
      </w:r>
      <w:r w:rsidRPr="000770DC">
        <w:rPr>
          <w:rFonts w:cs="Times New Roman"/>
        </w:rPr>
        <w:t xml:space="preserve"> them.</w:t>
      </w:r>
    </w:p>
    <w:p w14:paraId="4DD72F4D" w14:textId="77777777" w:rsidR="001346AE" w:rsidRPr="000770DC" w:rsidRDefault="001346AE" w:rsidP="001346AE">
      <w:pPr>
        <w:pStyle w:val="ParaNoNdepar-AltN"/>
        <w:rPr>
          <w:rFonts w:cs="Times New Roman"/>
        </w:rPr>
      </w:pPr>
      <w:r w:rsidRPr="000770DC">
        <w:rPr>
          <w:rFonts w:cs="Times New Roman"/>
        </w:rPr>
        <w:t xml:space="preserve">Chief among these solutions were the “look-through” approach and the exclusion approach. A “look-through” provision disallows treaty benefits to corporations </w:t>
      </w:r>
      <w:r>
        <w:rPr>
          <w:rFonts w:cs="Times New Roman"/>
        </w:rPr>
        <w:t xml:space="preserve">that are resident in a contracting state but </w:t>
      </w:r>
      <w:r w:rsidRPr="000770DC">
        <w:rPr>
          <w:rFonts w:cs="Times New Roman"/>
        </w:rPr>
        <w:t xml:space="preserve">owned by </w:t>
      </w:r>
      <w:r>
        <w:rPr>
          <w:rFonts w:cs="Times New Roman"/>
        </w:rPr>
        <w:t xml:space="preserve">residents of a </w:t>
      </w:r>
      <w:r w:rsidRPr="000770DC">
        <w:rPr>
          <w:rFonts w:cs="Times New Roman"/>
        </w:rPr>
        <w:t xml:space="preserve">third country (para. 13). </w:t>
      </w:r>
      <w:r>
        <w:rPr>
          <w:rFonts w:cs="Times New Roman"/>
        </w:rPr>
        <w:t>When c</w:t>
      </w:r>
      <w:r w:rsidRPr="000770DC">
        <w:rPr>
          <w:rFonts w:cs="Times New Roman"/>
        </w:rPr>
        <w:t xml:space="preserve">ombined with a provision safeguarding </w:t>
      </w:r>
      <w:r w:rsidRPr="000770DC">
        <w:rPr>
          <w:rFonts w:cs="Times New Roman"/>
          <w:i/>
        </w:rPr>
        <w:t xml:space="preserve">bona fide </w:t>
      </w:r>
      <w:r w:rsidRPr="000770DC">
        <w:rPr>
          <w:rFonts w:cs="Times New Roman"/>
        </w:rPr>
        <w:t xml:space="preserve">business activities, a provision of this type has the effect of allowing treaty benefits to corporations owned by </w:t>
      </w:r>
      <w:r>
        <w:rPr>
          <w:rFonts w:cs="Times New Roman"/>
        </w:rPr>
        <w:t xml:space="preserve">residents of a </w:t>
      </w:r>
      <w:r w:rsidRPr="000770DC">
        <w:rPr>
          <w:rFonts w:cs="Times New Roman"/>
        </w:rPr>
        <w:t xml:space="preserve">third country that conduct </w:t>
      </w:r>
      <w:r w:rsidRPr="000770DC">
        <w:rPr>
          <w:rFonts w:cs="Times New Roman"/>
          <w:i/>
        </w:rPr>
        <w:t xml:space="preserve">bona fide </w:t>
      </w:r>
      <w:r w:rsidRPr="000770DC">
        <w:rPr>
          <w:rFonts w:cs="Times New Roman"/>
        </w:rPr>
        <w:t xml:space="preserve">business activities in the contracting state </w:t>
      </w:r>
      <w:r>
        <w:rPr>
          <w:rFonts w:cs="Times New Roman"/>
        </w:rPr>
        <w:t xml:space="preserve">of </w:t>
      </w:r>
      <w:r w:rsidRPr="000770DC">
        <w:rPr>
          <w:rFonts w:cs="Times New Roman"/>
        </w:rPr>
        <w:t xml:space="preserve">which they claim to be residents, while excluding those conducting “little substantive business activities” there (para. 14). </w:t>
      </w:r>
      <w:r>
        <w:rPr>
          <w:rFonts w:cs="Times New Roman"/>
        </w:rPr>
        <w:t>T</w:t>
      </w:r>
      <w:r w:rsidRPr="000770DC">
        <w:rPr>
          <w:rFonts w:cs="Times New Roman"/>
        </w:rPr>
        <w:t xml:space="preserve">he exclusion approach denies treaty benefits to certain types of companies enjoying special tax privileges that constitute harmful tax competition (para. 15). The main advantage of the exclusion approach over the “look-through” one is its clarity and simplicity (para. 16). It does not require </w:t>
      </w:r>
      <w:r>
        <w:rPr>
          <w:rFonts w:cs="Times New Roman"/>
        </w:rPr>
        <w:t xml:space="preserve">an </w:t>
      </w:r>
      <w:r w:rsidRPr="000770DC">
        <w:rPr>
          <w:rFonts w:cs="Times New Roman"/>
        </w:rPr>
        <w:t xml:space="preserve">assessment of the substantive nature of </w:t>
      </w:r>
      <w:r>
        <w:rPr>
          <w:rFonts w:cs="Times New Roman"/>
        </w:rPr>
        <w:t>business</w:t>
      </w:r>
      <w:r w:rsidRPr="000770DC">
        <w:rPr>
          <w:rFonts w:cs="Times New Roman"/>
        </w:rPr>
        <w:t xml:space="preserve"> activities to determine whether they are </w:t>
      </w:r>
      <w:r w:rsidRPr="000770DC">
        <w:rPr>
          <w:rFonts w:cs="Times New Roman"/>
          <w:i/>
        </w:rPr>
        <w:t xml:space="preserve">bona fide </w:t>
      </w:r>
      <w:r w:rsidRPr="000770DC">
        <w:rPr>
          <w:rFonts w:cs="Times New Roman"/>
        </w:rPr>
        <w:t xml:space="preserve">or not, unlike the “look-through” </w:t>
      </w:r>
      <w:r w:rsidRPr="000770DC">
        <w:rPr>
          <w:rFonts w:cs="Times New Roman"/>
        </w:rPr>
        <w:lastRenderedPageBreak/>
        <w:t>approach or the approach focusing on the existence</w:t>
      </w:r>
      <w:r>
        <w:rPr>
          <w:rFonts w:cs="Times New Roman"/>
        </w:rPr>
        <w:t xml:space="preserve"> of</w:t>
      </w:r>
      <w:r w:rsidRPr="000770DC">
        <w:rPr>
          <w:rFonts w:cs="Times New Roman"/>
        </w:rPr>
        <w:t xml:space="preserve"> “</w:t>
      </w:r>
      <w:r>
        <w:rPr>
          <w:rFonts w:cs="Times New Roman"/>
        </w:rPr>
        <w:t xml:space="preserve">sufficient </w:t>
      </w:r>
      <w:r w:rsidRPr="000770DC">
        <w:rPr>
          <w:rFonts w:cs="Times New Roman"/>
        </w:rPr>
        <w:t>substantive economic connec</w:t>
      </w:r>
      <w:r>
        <w:rPr>
          <w:rFonts w:cs="Times New Roman"/>
        </w:rPr>
        <w:t>tions” invoked by the Minister.</w:t>
      </w:r>
    </w:p>
    <w:p w14:paraId="533E87B4" w14:textId="77777777" w:rsidR="001346AE" w:rsidRPr="000770DC" w:rsidRDefault="001346AE" w:rsidP="001346AE">
      <w:pPr>
        <w:pStyle w:val="ParaNoNdepar-AltN"/>
        <w:rPr>
          <w:rFonts w:cs="Times New Roman"/>
        </w:rPr>
      </w:pPr>
      <w:r w:rsidRPr="000770DC">
        <w:rPr>
          <w:rFonts w:cs="Times New Roman"/>
        </w:rPr>
        <w:t xml:space="preserve">At the time of the </w:t>
      </w:r>
      <w:r w:rsidRPr="000770DC">
        <w:rPr>
          <w:rFonts w:cs="Times New Roman"/>
          <w:i/>
        </w:rPr>
        <w:t>Treaty</w:t>
      </w:r>
      <w:r>
        <w:rPr>
          <w:rFonts w:cs="Times New Roman"/>
        </w:rPr>
        <w:t xml:space="preserve">, Luxembourg was well </w:t>
      </w:r>
      <w:r w:rsidRPr="000770DC">
        <w:rPr>
          <w:rFonts w:cs="Times New Roman"/>
        </w:rPr>
        <w:t xml:space="preserve">known </w:t>
      </w:r>
      <w:r>
        <w:rPr>
          <w:rFonts w:cs="Times New Roman"/>
        </w:rPr>
        <w:t xml:space="preserve">as an </w:t>
      </w:r>
      <w:r w:rsidRPr="000770DC">
        <w:rPr>
          <w:rFonts w:cs="Times New Roman"/>
        </w:rPr>
        <w:t xml:space="preserve">international tax </w:t>
      </w:r>
      <w:r>
        <w:rPr>
          <w:rFonts w:cs="Times New Roman"/>
        </w:rPr>
        <w:t>haven</w:t>
      </w:r>
      <w:r w:rsidRPr="000770DC">
        <w:rPr>
          <w:rFonts w:cs="Times New Roman"/>
        </w:rPr>
        <w:t xml:space="preserve"> exempting certain holding companies from most taxes, provided they had no direct presence in the local economy (</w:t>
      </w:r>
      <w:r w:rsidRPr="000770DC">
        <w:rPr>
          <w:rFonts w:cs="Times New Roman"/>
          <w:szCs w:val="24"/>
        </w:rPr>
        <w:t xml:space="preserve">see </w:t>
      </w:r>
      <w:r w:rsidRPr="000770DC">
        <w:rPr>
          <w:rFonts w:cs="Times New Roman"/>
          <w:i/>
          <w:szCs w:val="24"/>
        </w:rPr>
        <w:t xml:space="preserve">Grundy’s Tax Havens: A World Survey </w:t>
      </w:r>
      <w:r w:rsidRPr="000770DC">
        <w:rPr>
          <w:rFonts w:cs="Times New Roman"/>
          <w:szCs w:val="24"/>
        </w:rPr>
        <w:t>(</w:t>
      </w:r>
      <w:r>
        <w:rPr>
          <w:rFonts w:cs="Times New Roman"/>
          <w:szCs w:val="24"/>
        </w:rPr>
        <w:t>4</w:t>
      </w:r>
      <w:r w:rsidRPr="0031552F">
        <w:rPr>
          <w:rFonts w:cs="Times New Roman"/>
          <w:szCs w:val="24"/>
        </w:rPr>
        <w:t>th </w:t>
      </w:r>
      <w:r>
        <w:rPr>
          <w:rFonts w:cs="Times New Roman"/>
          <w:szCs w:val="24"/>
        </w:rPr>
        <w:t xml:space="preserve">ed. </w:t>
      </w:r>
      <w:r w:rsidRPr="000770DC">
        <w:rPr>
          <w:rFonts w:cs="Times New Roman"/>
          <w:szCs w:val="24"/>
        </w:rPr>
        <w:t>1983), at pp. </w:t>
      </w:r>
      <w:r>
        <w:rPr>
          <w:rFonts w:cs="Times New Roman"/>
          <w:szCs w:val="24"/>
        </w:rPr>
        <w:t>2 and 157-64; W. H. </w:t>
      </w:r>
      <w:r w:rsidRPr="000770DC">
        <w:rPr>
          <w:rFonts w:cs="Times New Roman"/>
          <w:szCs w:val="24"/>
        </w:rPr>
        <w:t xml:space="preserve">Diamond et al., </w:t>
      </w:r>
      <w:r w:rsidRPr="000770DC">
        <w:rPr>
          <w:rFonts w:cs="Times New Roman"/>
          <w:i/>
          <w:szCs w:val="24"/>
        </w:rPr>
        <w:t>Tax Havens of the World</w:t>
      </w:r>
      <w:r>
        <w:rPr>
          <w:rFonts w:cs="Times New Roman"/>
          <w:i/>
          <w:szCs w:val="24"/>
        </w:rPr>
        <w:t xml:space="preserve"> </w:t>
      </w:r>
      <w:r>
        <w:rPr>
          <w:rFonts w:cs="Times New Roman"/>
          <w:szCs w:val="24"/>
        </w:rPr>
        <w:t>(loose-leaf)</w:t>
      </w:r>
      <w:r w:rsidRPr="000770DC">
        <w:rPr>
          <w:rFonts w:cs="Times New Roman"/>
          <w:szCs w:val="24"/>
        </w:rPr>
        <w:t>, vol. 2,</w:t>
      </w:r>
      <w:r w:rsidRPr="000770DC">
        <w:rPr>
          <w:rFonts w:cs="Times New Roman"/>
          <w:i/>
          <w:szCs w:val="24"/>
        </w:rPr>
        <w:t xml:space="preserve"> </w:t>
      </w:r>
      <w:r>
        <w:rPr>
          <w:rFonts w:cs="Times New Roman"/>
          <w:szCs w:val="24"/>
        </w:rPr>
        <w:t xml:space="preserve">ch. Luxembourg, </w:t>
      </w:r>
      <w:r w:rsidRPr="000770DC">
        <w:rPr>
          <w:rFonts w:cs="Times New Roman"/>
          <w:szCs w:val="24"/>
        </w:rPr>
        <w:t>at pp. 5-6</w:t>
      </w:r>
      <w:r w:rsidRPr="000770DC">
        <w:rPr>
          <w:rFonts w:cs="Times New Roman"/>
        </w:rPr>
        <w:t>). To deny</w:t>
      </w:r>
      <w:r>
        <w:rPr>
          <w:rFonts w:cs="Times New Roman"/>
        </w:rPr>
        <w:t xml:space="preserve"> the benefits of the</w:t>
      </w:r>
      <w:r w:rsidRPr="000770DC">
        <w:rPr>
          <w:rFonts w:cs="Times New Roman"/>
        </w:rPr>
        <w:t xml:space="preserve"> </w:t>
      </w:r>
      <w:r w:rsidRPr="000770DC">
        <w:rPr>
          <w:rFonts w:cs="Times New Roman"/>
          <w:i/>
        </w:rPr>
        <w:t xml:space="preserve">Treaty </w:t>
      </w:r>
      <w:r w:rsidRPr="000770DC">
        <w:rPr>
          <w:rFonts w:cs="Times New Roman"/>
        </w:rPr>
        <w:t xml:space="preserve">to such holding companies with </w:t>
      </w:r>
      <w:r>
        <w:rPr>
          <w:rFonts w:cs="Times New Roman"/>
        </w:rPr>
        <w:t>minimal</w:t>
      </w:r>
      <w:r w:rsidRPr="000770DC">
        <w:rPr>
          <w:rFonts w:cs="Times New Roman"/>
        </w:rPr>
        <w:t xml:space="preserve"> economic connections to Luxembourg, Canada and Luxembourg preferred the exclusion approach over the “look-thro</w:t>
      </w:r>
      <w:r>
        <w:rPr>
          <w:rFonts w:cs="Times New Roman"/>
        </w:rPr>
        <w:t>ugh” approach. Indeed, the two contracting s</w:t>
      </w:r>
      <w:r w:rsidRPr="000770DC">
        <w:rPr>
          <w:rFonts w:cs="Times New Roman"/>
        </w:rPr>
        <w:t>tates did not insert</w:t>
      </w:r>
      <w:r w:rsidRPr="000770DC">
        <w:rPr>
          <w:rFonts w:cs="Times New Roman"/>
          <w:i/>
        </w:rPr>
        <w:t xml:space="preserve"> </w:t>
      </w:r>
      <w:r w:rsidRPr="000770DC">
        <w:rPr>
          <w:rFonts w:cs="Times New Roman"/>
        </w:rPr>
        <w:t xml:space="preserve">a “look-through” provision combined with a safeguarding provision, as Canada did in </w:t>
      </w:r>
      <w:r>
        <w:rPr>
          <w:rFonts w:cs="Times New Roman"/>
        </w:rPr>
        <w:t>the</w:t>
      </w:r>
      <w:r w:rsidRPr="000770DC">
        <w:rPr>
          <w:rFonts w:cs="Times New Roman"/>
        </w:rPr>
        <w:t xml:space="preserve"> treaties </w:t>
      </w:r>
      <w:r>
        <w:rPr>
          <w:rFonts w:cs="Times New Roman"/>
        </w:rPr>
        <w:t xml:space="preserve">it entered into during the same period </w:t>
      </w:r>
      <w:r w:rsidRPr="000770DC">
        <w:rPr>
          <w:rFonts w:cs="Times New Roman"/>
        </w:rPr>
        <w:t>with Kazakhstan (1996) and Peru (2001) (</w:t>
      </w:r>
      <w:r>
        <w:rPr>
          <w:rFonts w:cs="Times New Roman"/>
        </w:rPr>
        <w:t>a</w:t>
      </w:r>
      <w:r w:rsidRPr="000770DC">
        <w:rPr>
          <w:rFonts w:cs="Times New Roman"/>
        </w:rPr>
        <w:t xml:space="preserve">rt. 28(3) of the </w:t>
      </w:r>
      <w:r>
        <w:rPr>
          <w:rFonts w:cs="Times New Roman"/>
          <w:bCs/>
          <w:i/>
        </w:rPr>
        <w:t>Convention b</w:t>
      </w:r>
      <w:r w:rsidRPr="000770DC">
        <w:rPr>
          <w:rFonts w:cs="Times New Roman"/>
          <w:bCs/>
          <w:i/>
        </w:rPr>
        <w:t>etween the Government of Canada and the Government of the Republic of Kazakhstan for the Avoidance of Double Taxation and the Prevention of Fiscal Evasion with Respect to Taxes on Income and on Capital</w:t>
      </w:r>
      <w:r>
        <w:rPr>
          <w:rFonts w:cs="Times New Roman"/>
          <w:bCs/>
        </w:rPr>
        <w:t>, Can T.S. 1998 No. 13; a</w:t>
      </w:r>
      <w:r w:rsidRPr="000770DC">
        <w:rPr>
          <w:rFonts w:cs="Times New Roman"/>
          <w:bCs/>
        </w:rPr>
        <w:t xml:space="preserve">rt. 28(3) of the </w:t>
      </w:r>
      <w:r>
        <w:rPr>
          <w:rFonts w:cs="Times New Roman"/>
          <w:bCs/>
          <w:i/>
        </w:rPr>
        <w:t>Convention b</w:t>
      </w:r>
      <w:r w:rsidRPr="000770DC">
        <w:rPr>
          <w:rFonts w:cs="Times New Roman"/>
          <w:bCs/>
          <w:i/>
        </w:rPr>
        <w:t>etween the Government of Canada and the Government of the Republic of Peru for the Avoidance of Double Taxation and the Prevention of Fiscal Evasion with Respect to Taxes on Income and on Capital</w:t>
      </w:r>
      <w:r>
        <w:rPr>
          <w:rFonts w:cs="Times New Roman"/>
          <w:bCs/>
        </w:rPr>
        <w:t>, Can. T.S. 2002 No. 23</w:t>
      </w:r>
      <w:r w:rsidRPr="000770DC">
        <w:rPr>
          <w:rFonts w:cs="Times New Roman"/>
        </w:rPr>
        <w:t xml:space="preserve">). </w:t>
      </w:r>
      <w:r>
        <w:rPr>
          <w:rFonts w:cs="Times New Roman"/>
        </w:rPr>
        <w:t>Canada and Luxembourg</w:t>
      </w:r>
      <w:r w:rsidRPr="000770DC">
        <w:rPr>
          <w:rFonts w:cs="Times New Roman"/>
        </w:rPr>
        <w:t xml:space="preserve"> in</w:t>
      </w:r>
      <w:r w:rsidRPr="000770DC">
        <w:rPr>
          <w:rFonts w:cs="Times New Roman"/>
          <w:szCs w:val="24"/>
        </w:rPr>
        <w:t>cluded instead a provision denying</w:t>
      </w:r>
      <w:r>
        <w:rPr>
          <w:rFonts w:cs="Times New Roman"/>
          <w:szCs w:val="24"/>
        </w:rPr>
        <w:t xml:space="preserve"> the benefits of the</w:t>
      </w:r>
      <w:r w:rsidRPr="000770DC">
        <w:rPr>
          <w:rFonts w:cs="Times New Roman"/>
          <w:szCs w:val="24"/>
        </w:rPr>
        <w:t xml:space="preserve"> </w:t>
      </w:r>
      <w:r w:rsidRPr="000770DC">
        <w:rPr>
          <w:rFonts w:cs="Times New Roman"/>
          <w:i/>
          <w:szCs w:val="24"/>
        </w:rPr>
        <w:t xml:space="preserve">Treaty </w:t>
      </w:r>
      <w:r w:rsidRPr="000770DC">
        <w:rPr>
          <w:rFonts w:cs="Times New Roman"/>
          <w:szCs w:val="24"/>
        </w:rPr>
        <w:t xml:space="preserve">to certain holding companies </w:t>
      </w:r>
      <w:r>
        <w:rPr>
          <w:rFonts w:cs="Times New Roman"/>
          <w:szCs w:val="24"/>
        </w:rPr>
        <w:t>established</w:t>
      </w:r>
      <w:r w:rsidRPr="000770DC">
        <w:rPr>
          <w:rFonts w:cs="Times New Roman"/>
          <w:szCs w:val="24"/>
        </w:rPr>
        <w:t xml:space="preserve"> in Luxembourg, that is, </w:t>
      </w:r>
      <w:r>
        <w:rPr>
          <w:rFonts w:cs="Times New Roman"/>
          <w:szCs w:val="24"/>
        </w:rPr>
        <w:t>a</w:t>
      </w:r>
      <w:r w:rsidRPr="000770DC">
        <w:rPr>
          <w:rFonts w:cs="Times New Roman"/>
          <w:szCs w:val="24"/>
        </w:rPr>
        <w:t>rt. 28(3):</w:t>
      </w:r>
    </w:p>
    <w:p w14:paraId="20E8F71C" w14:textId="77777777" w:rsidR="001346AE" w:rsidRPr="000770DC" w:rsidRDefault="001346AE" w:rsidP="001346AE">
      <w:pPr>
        <w:pStyle w:val="Citation-AltC"/>
      </w:pPr>
      <w:r w:rsidRPr="000770DC">
        <w:t xml:space="preserve">The Convention shall not apply to holding companies within the meaning of the special Luxembourg laws (currently the Act of July 31, 1929 and the Grand Duchy Order of December 17, 1938) or any other similar law </w:t>
      </w:r>
      <w:r w:rsidRPr="000770DC">
        <w:lastRenderedPageBreak/>
        <w:t>enacted in Luxembourg after the signature of the Convention, nor to companies subjected to similar fiscal laws in Luxembourg.</w:t>
      </w:r>
    </w:p>
    <w:p w14:paraId="245CA42C" w14:textId="77777777" w:rsidR="001346AE" w:rsidRPr="000770DC" w:rsidRDefault="001346AE" w:rsidP="001346AE">
      <w:pPr>
        <w:pStyle w:val="ParaNoNdepar-AltN"/>
        <w:rPr>
          <w:rFonts w:cs="Times New Roman"/>
        </w:rPr>
      </w:pPr>
      <w:r w:rsidRPr="000770DC">
        <w:rPr>
          <w:rFonts w:cs="Times New Roman"/>
        </w:rPr>
        <w:t>Pursuant to the principle of implied exclusion, this choice made by the parties in favour of the exclusion approach — one that favours form over substance — should be understood as a rejection of the relevance of economic ties for delineating which corporations should be entitled to benefits and which should not. This leads me to conclude that the drafters intended to exclude a corporation with minimal econ</w:t>
      </w:r>
      <w:r>
        <w:rPr>
          <w:rFonts w:cs="Times New Roman"/>
        </w:rPr>
        <w:t>omic connections to one of the contracting s</w:t>
      </w:r>
      <w:r w:rsidRPr="000770DC">
        <w:rPr>
          <w:rFonts w:cs="Times New Roman"/>
        </w:rPr>
        <w:t xml:space="preserve">tates </w:t>
      </w:r>
      <w:r w:rsidRPr="000770DC">
        <w:rPr>
          <w:rFonts w:cs="Times New Roman"/>
          <w:i/>
        </w:rPr>
        <w:t>only</w:t>
      </w:r>
      <w:r>
        <w:rPr>
          <w:rFonts w:cs="Times New Roman"/>
        </w:rPr>
        <w:t xml:space="preserve"> where the corporation i</w:t>
      </w:r>
      <w:r w:rsidRPr="000770DC">
        <w:rPr>
          <w:rFonts w:cs="Times New Roman"/>
        </w:rPr>
        <w:t xml:space="preserve">s a holding company benefiting from Luxembourg’s international tax </w:t>
      </w:r>
      <w:r>
        <w:rPr>
          <w:rFonts w:cs="Times New Roman"/>
        </w:rPr>
        <w:t>haven</w:t>
      </w:r>
      <w:r w:rsidRPr="000770DC">
        <w:rPr>
          <w:rFonts w:cs="Times New Roman"/>
        </w:rPr>
        <w:t xml:space="preserve"> regime. In light of this clear intention to reject only Luxembourg holding companies and not every company with </w:t>
      </w:r>
      <w:r>
        <w:rPr>
          <w:rFonts w:cs="Times New Roman"/>
        </w:rPr>
        <w:t>limited</w:t>
      </w:r>
      <w:r w:rsidRPr="000770DC">
        <w:rPr>
          <w:rFonts w:cs="Times New Roman"/>
        </w:rPr>
        <w:t xml:space="preserve"> economic ties to </w:t>
      </w:r>
      <w:r>
        <w:rPr>
          <w:rFonts w:cs="Times New Roman"/>
        </w:rPr>
        <w:t>its</w:t>
      </w:r>
      <w:r w:rsidRPr="000770DC">
        <w:rPr>
          <w:rFonts w:cs="Times New Roman"/>
        </w:rPr>
        <w:t xml:space="preserve"> country of residence, I am even mor</w:t>
      </w:r>
      <w:r>
        <w:rPr>
          <w:rFonts w:cs="Times New Roman"/>
        </w:rPr>
        <w:t>e persuaded that the spirit of a</w:t>
      </w:r>
      <w:r w:rsidRPr="000770DC">
        <w:rPr>
          <w:rFonts w:cs="Times New Roman"/>
        </w:rPr>
        <w:t xml:space="preserve">rts. 1 and 4(1) was </w:t>
      </w:r>
      <w:r w:rsidRPr="000770DC">
        <w:rPr>
          <w:rFonts w:cs="Times New Roman"/>
          <w:i/>
        </w:rPr>
        <w:t>not</w:t>
      </w:r>
      <w:r w:rsidRPr="000770DC">
        <w:rPr>
          <w:rFonts w:cs="Times New Roman"/>
        </w:rPr>
        <w:t xml:space="preserve"> to limit access to</w:t>
      </w:r>
      <w:r>
        <w:rPr>
          <w:rFonts w:cs="Times New Roman"/>
        </w:rPr>
        <w:t xml:space="preserve"> the benefits of the</w:t>
      </w:r>
      <w:r w:rsidRPr="000770DC">
        <w:rPr>
          <w:rFonts w:cs="Times New Roman"/>
        </w:rPr>
        <w:t xml:space="preserve"> </w:t>
      </w:r>
      <w:r w:rsidRPr="000770DC">
        <w:rPr>
          <w:rFonts w:cs="Times New Roman"/>
          <w:i/>
        </w:rPr>
        <w:t xml:space="preserve">Treaty </w:t>
      </w:r>
      <w:r w:rsidRPr="000770DC">
        <w:rPr>
          <w:rFonts w:cs="Times New Roman"/>
        </w:rPr>
        <w:t>to corporations with “sufficient substantive economic connections” to their country of residence.</w:t>
      </w:r>
    </w:p>
    <w:p w14:paraId="1112EBE7" w14:textId="77777777" w:rsidR="001346AE" w:rsidRPr="000770DC" w:rsidRDefault="001346AE" w:rsidP="001346AE">
      <w:pPr>
        <w:pStyle w:val="ParaNoNdepar-AltN"/>
        <w:rPr>
          <w:rFonts w:cs="Times New Roman"/>
          <w:b/>
        </w:rPr>
      </w:pPr>
      <w:r w:rsidRPr="000770DC">
        <w:rPr>
          <w:rFonts w:cs="Times New Roman"/>
        </w:rPr>
        <w:t>In sum, the object, spirit,</w:t>
      </w:r>
      <w:r>
        <w:rPr>
          <w:rFonts w:cs="Times New Roman"/>
        </w:rPr>
        <w:t xml:space="preserve"> and purpose of a</w:t>
      </w:r>
      <w:r w:rsidRPr="000770DC">
        <w:rPr>
          <w:rFonts w:cs="Times New Roman"/>
        </w:rPr>
        <w:t xml:space="preserve">rts. 1 and 4(1) </w:t>
      </w:r>
      <w:r>
        <w:rPr>
          <w:rFonts w:cs="Times New Roman"/>
        </w:rPr>
        <w:t>are</w:t>
      </w:r>
      <w:r w:rsidRPr="000770DC">
        <w:rPr>
          <w:rFonts w:cs="Times New Roman"/>
        </w:rPr>
        <w:t xml:space="preserve"> to allow all persons who are residents under </w:t>
      </w:r>
      <w:r>
        <w:rPr>
          <w:rFonts w:cs="Times New Roman"/>
        </w:rPr>
        <w:t>the laws of one or both of the contracting s</w:t>
      </w:r>
      <w:r w:rsidRPr="000770DC">
        <w:rPr>
          <w:rFonts w:cs="Times New Roman"/>
        </w:rPr>
        <w:t xml:space="preserve">tates to claim benefits under the </w:t>
      </w:r>
      <w:r w:rsidRPr="000770DC">
        <w:rPr>
          <w:rFonts w:cs="Times New Roman"/>
          <w:i/>
        </w:rPr>
        <w:t>Treaty</w:t>
      </w:r>
      <w:r w:rsidRPr="000770DC">
        <w:rPr>
          <w:rFonts w:cs="Times New Roman"/>
        </w:rPr>
        <w:t xml:space="preserve"> so long as th</w:t>
      </w:r>
      <w:r>
        <w:rPr>
          <w:rFonts w:cs="Times New Roman"/>
        </w:rPr>
        <w:t>eir resident</w:t>
      </w:r>
      <w:r w:rsidRPr="000770DC">
        <w:rPr>
          <w:rFonts w:cs="Times New Roman"/>
        </w:rPr>
        <w:t xml:space="preserve"> status could expose them to full tax liability (regardless of whether there is actual taxat</w:t>
      </w:r>
      <w:r>
        <w:rPr>
          <w:rFonts w:cs="Times New Roman"/>
        </w:rPr>
        <w:t>ion). They</w:t>
      </w:r>
      <w:r w:rsidRPr="000770DC">
        <w:rPr>
          <w:rFonts w:cs="Times New Roman"/>
        </w:rPr>
        <w:t xml:space="preserve"> </w:t>
      </w:r>
      <w:r>
        <w:rPr>
          <w:rFonts w:cs="Times New Roman"/>
        </w:rPr>
        <w:t xml:space="preserve">are </w:t>
      </w:r>
      <w:r w:rsidRPr="000770DC">
        <w:rPr>
          <w:rFonts w:cs="Times New Roman"/>
        </w:rPr>
        <w:t>broadly</w:t>
      </w:r>
      <w:r>
        <w:rPr>
          <w:rFonts w:cs="Times New Roman"/>
        </w:rPr>
        <w:t xml:space="preserve"> consistent with</w:t>
      </w:r>
      <w:r w:rsidRPr="000770DC">
        <w:rPr>
          <w:rFonts w:cs="Times New Roman"/>
        </w:rPr>
        <w:t xml:space="preserve"> international norms. This is normally the case for corporations that are residents by virtue of the “place of incorporation” or “legal seat” rule, unless they fall within the exclusion provided </w:t>
      </w:r>
      <w:r>
        <w:rPr>
          <w:rFonts w:cs="Times New Roman"/>
        </w:rPr>
        <w:t>for in</w:t>
      </w:r>
      <w:r w:rsidRPr="000770DC">
        <w:rPr>
          <w:rFonts w:cs="Times New Roman"/>
        </w:rPr>
        <w:t xml:space="preserve"> </w:t>
      </w:r>
      <w:r>
        <w:rPr>
          <w:rFonts w:cs="Times New Roman"/>
        </w:rPr>
        <w:t>a</w:t>
      </w:r>
      <w:r w:rsidRPr="000770DC">
        <w:rPr>
          <w:rFonts w:cs="Times New Roman"/>
        </w:rPr>
        <w:t xml:space="preserve">rt. 28(3). As a result, I conclude that the spirit of </w:t>
      </w:r>
      <w:r w:rsidRPr="000770DC">
        <w:rPr>
          <w:rFonts w:cs="Times New Roman"/>
        </w:rPr>
        <w:lastRenderedPageBreak/>
        <w:t xml:space="preserve">these provisions is </w:t>
      </w:r>
      <w:r w:rsidRPr="000770DC">
        <w:rPr>
          <w:rFonts w:cs="Times New Roman"/>
          <w:i/>
        </w:rPr>
        <w:t>not</w:t>
      </w:r>
      <w:r w:rsidRPr="000770DC">
        <w:rPr>
          <w:rFonts w:cs="Times New Roman"/>
        </w:rPr>
        <w:t xml:space="preserve"> to reserve</w:t>
      </w:r>
      <w:r>
        <w:rPr>
          <w:rFonts w:cs="Times New Roman"/>
        </w:rPr>
        <w:t xml:space="preserve"> the benefits of the</w:t>
      </w:r>
      <w:r w:rsidRPr="000770DC">
        <w:rPr>
          <w:rFonts w:cs="Times New Roman"/>
        </w:rPr>
        <w:t xml:space="preserve"> </w:t>
      </w:r>
      <w:r w:rsidRPr="000770DC">
        <w:rPr>
          <w:rFonts w:cs="Times New Roman"/>
          <w:i/>
        </w:rPr>
        <w:t>Treaty</w:t>
      </w:r>
      <w:r w:rsidRPr="000770DC">
        <w:rPr>
          <w:rFonts w:cs="Times New Roman"/>
        </w:rPr>
        <w:t xml:space="preserve"> to residents that have “sufficient substantive economic connections” to their country of residence.</w:t>
      </w:r>
    </w:p>
    <w:p w14:paraId="1DF0AE13" w14:textId="77777777" w:rsidR="001346AE" w:rsidRPr="000770DC" w:rsidRDefault="001346AE" w:rsidP="001346AE">
      <w:pPr>
        <w:pStyle w:val="Title3LevelTitre3Niveau"/>
        <w:numPr>
          <w:ilvl w:val="2"/>
          <w:numId w:val="17"/>
        </w:numPr>
        <w:rPr>
          <w:rFonts w:cs="Times New Roman"/>
        </w:rPr>
      </w:pPr>
      <w:bookmarkStart w:id="42" w:name="_Toc77170385"/>
      <w:bookmarkStart w:id="43" w:name="_Toc77229385"/>
      <w:bookmarkStart w:id="44" w:name="_Toc78040596"/>
      <w:r>
        <w:rPr>
          <w:rFonts w:cs="Times New Roman"/>
        </w:rPr>
        <w:t>Carve-Out from Source-Based Capital G</w:t>
      </w:r>
      <w:r w:rsidRPr="000770DC">
        <w:rPr>
          <w:rFonts w:cs="Times New Roman"/>
        </w:rPr>
        <w:t>ain</w:t>
      </w:r>
      <w:r>
        <w:rPr>
          <w:rFonts w:cs="Times New Roman"/>
        </w:rPr>
        <w:t>s T</w:t>
      </w:r>
      <w:r w:rsidRPr="000770DC">
        <w:rPr>
          <w:rFonts w:cs="Times New Roman"/>
        </w:rPr>
        <w:t>ax</w:t>
      </w:r>
      <w:r>
        <w:rPr>
          <w:rFonts w:cs="Times New Roman"/>
        </w:rPr>
        <w:t xml:space="preserve"> (“Business Property E</w:t>
      </w:r>
      <w:r w:rsidRPr="000770DC">
        <w:rPr>
          <w:rFonts w:cs="Times New Roman"/>
        </w:rPr>
        <w:t>xemption”) (Art. 13(4) and (5))</w:t>
      </w:r>
      <w:bookmarkEnd w:id="42"/>
      <w:bookmarkEnd w:id="43"/>
      <w:bookmarkEnd w:id="44"/>
    </w:p>
    <w:p w14:paraId="3552C860" w14:textId="77777777" w:rsidR="001346AE" w:rsidRPr="000770DC" w:rsidRDefault="001346AE" w:rsidP="001346AE">
      <w:pPr>
        <w:pStyle w:val="ParaNoNdepar-AltN"/>
        <w:rPr>
          <w:rFonts w:cs="Times New Roman"/>
        </w:rPr>
      </w:pPr>
      <w:r w:rsidRPr="000770DC">
        <w:rPr>
          <w:rFonts w:cs="Times New Roman"/>
        </w:rPr>
        <w:t>The carve-out from source-based capital gain</w:t>
      </w:r>
      <w:r>
        <w:rPr>
          <w:rFonts w:cs="Times New Roman"/>
        </w:rPr>
        <w:t>s</w:t>
      </w:r>
      <w:r w:rsidRPr="000770DC">
        <w:rPr>
          <w:rFonts w:cs="Times New Roman"/>
        </w:rPr>
        <w:t xml:space="preserve"> tax, also called the business property exemption, is provided </w:t>
      </w:r>
      <w:r>
        <w:rPr>
          <w:rFonts w:cs="Times New Roman"/>
        </w:rPr>
        <w:t>for in a</w:t>
      </w:r>
      <w:r w:rsidRPr="000770DC">
        <w:rPr>
          <w:rFonts w:cs="Times New Roman"/>
        </w:rPr>
        <w:t xml:space="preserve">rt. 13(4) and (5). These provisions create an exception to source-based taxation for capital gains derived from the alienation of shares deriving their value principally from immovable property used in </w:t>
      </w:r>
      <w:r>
        <w:rPr>
          <w:rFonts w:cs="Times New Roman"/>
        </w:rPr>
        <w:t>a</w:t>
      </w:r>
      <w:r w:rsidRPr="000770DC">
        <w:rPr>
          <w:rFonts w:cs="Times New Roman"/>
        </w:rPr>
        <w:t xml:space="preserve"> corporation’s business and allocate to the residence state the exclusive right to tax such capital gains:</w:t>
      </w:r>
    </w:p>
    <w:p w14:paraId="43DDCA90" w14:textId="77777777" w:rsidR="001346AE" w:rsidRDefault="001346AE" w:rsidP="001346AE">
      <w:pPr>
        <w:pStyle w:val="Citation-AltC"/>
        <w:jc w:val="center"/>
        <w:rPr>
          <w:b/>
          <w:u w:val="single"/>
          <w:lang w:val="en-US"/>
        </w:rPr>
      </w:pPr>
      <w:r w:rsidRPr="004711AB">
        <w:rPr>
          <w:b/>
          <w:u w:val="single"/>
          <w:lang w:val="en-US"/>
        </w:rPr>
        <w:t>ARTICLE 13</w:t>
      </w:r>
    </w:p>
    <w:p w14:paraId="2EB0DF4A" w14:textId="77777777" w:rsidR="001346AE" w:rsidRDefault="001346AE" w:rsidP="001346AE">
      <w:pPr>
        <w:pStyle w:val="Citation-AltC"/>
        <w:jc w:val="center"/>
        <w:rPr>
          <w:b/>
          <w:u w:val="single"/>
          <w:lang w:val="en-US"/>
        </w:rPr>
      </w:pPr>
    </w:p>
    <w:p w14:paraId="5272DFB7" w14:textId="77777777" w:rsidR="001346AE" w:rsidRPr="004711AB" w:rsidRDefault="001346AE" w:rsidP="001346AE">
      <w:pPr>
        <w:pStyle w:val="Citation-AltC"/>
        <w:jc w:val="center"/>
        <w:rPr>
          <w:b/>
          <w:u w:val="single"/>
          <w:lang w:val="en-US"/>
        </w:rPr>
      </w:pPr>
      <w:r>
        <w:rPr>
          <w:b/>
          <w:u w:val="single"/>
          <w:lang w:val="en-US"/>
        </w:rPr>
        <w:t>Capital Gains</w:t>
      </w:r>
    </w:p>
    <w:p w14:paraId="1BFD5469" w14:textId="77777777" w:rsidR="001346AE" w:rsidRPr="000770DC" w:rsidRDefault="001346AE" w:rsidP="001346AE">
      <w:pPr>
        <w:pStyle w:val="Citation-AltC"/>
        <w:rPr>
          <w:b/>
          <w:lang w:val="en-US"/>
        </w:rPr>
      </w:pPr>
    </w:p>
    <w:p w14:paraId="609C0D52" w14:textId="77777777" w:rsidR="001346AE" w:rsidRPr="000770DC" w:rsidRDefault="001346AE" w:rsidP="001346AE">
      <w:pPr>
        <w:pStyle w:val="Citation-AltC"/>
        <w:jc w:val="center"/>
        <w:rPr>
          <w:lang w:val="en-US"/>
        </w:rPr>
      </w:pPr>
      <w:r w:rsidRPr="000770DC">
        <w:rPr>
          <w:lang w:val="en-US"/>
        </w:rPr>
        <w:t>. . .</w:t>
      </w:r>
    </w:p>
    <w:p w14:paraId="5DB7E013" w14:textId="77777777" w:rsidR="001346AE" w:rsidRPr="000770DC" w:rsidRDefault="001346AE" w:rsidP="001346AE">
      <w:pPr>
        <w:pStyle w:val="Citation-AltC"/>
        <w:rPr>
          <w:lang w:val="en-US"/>
        </w:rPr>
      </w:pPr>
    </w:p>
    <w:p w14:paraId="721C1835" w14:textId="77777777" w:rsidR="001346AE" w:rsidRPr="000770DC" w:rsidRDefault="001346AE" w:rsidP="001346AE">
      <w:pPr>
        <w:pStyle w:val="Citation-AltC"/>
        <w:rPr>
          <w:lang w:val="en-US"/>
        </w:rPr>
      </w:pPr>
      <w:r w:rsidRPr="00243687">
        <w:rPr>
          <w:lang w:val="en-US"/>
        </w:rPr>
        <w:t>4.</w:t>
      </w:r>
      <w:r>
        <w:rPr>
          <w:b/>
          <w:lang w:val="en-US"/>
        </w:rPr>
        <w:tab/>
      </w:r>
      <w:r w:rsidRPr="000770DC">
        <w:rPr>
          <w:lang w:val="en-US"/>
        </w:rPr>
        <w:t>Gains derived by a resident of a Contracting State from the alienation of:</w:t>
      </w:r>
    </w:p>
    <w:p w14:paraId="3AD9AB41" w14:textId="77777777" w:rsidR="001346AE" w:rsidRPr="000770DC" w:rsidRDefault="001346AE" w:rsidP="001346AE">
      <w:pPr>
        <w:pStyle w:val="Citation-AltC"/>
        <w:ind w:left="1440"/>
        <w:rPr>
          <w:lang w:val="en-US"/>
        </w:rPr>
      </w:pPr>
    </w:p>
    <w:p w14:paraId="4B8BBC25" w14:textId="77777777" w:rsidR="001346AE" w:rsidRPr="000770DC" w:rsidRDefault="001346AE" w:rsidP="001346AE">
      <w:pPr>
        <w:pStyle w:val="Citation-AltC"/>
        <w:numPr>
          <w:ilvl w:val="4"/>
          <w:numId w:val="6"/>
        </w:numPr>
        <w:rPr>
          <w:lang w:val="en-US"/>
        </w:rPr>
      </w:pPr>
      <w:r w:rsidRPr="000770DC">
        <w:rPr>
          <w:lang w:val="en-US"/>
        </w:rPr>
        <w:t>shares (other than shares listed on an approved stock exchange in the other Contracting State) forming part of a substantial interest in the capital stock of a company the value of which shares is derived principally from immovable property situated in that other State; or</w:t>
      </w:r>
    </w:p>
    <w:p w14:paraId="4ABDC7FC" w14:textId="77777777" w:rsidR="001346AE" w:rsidRPr="000770DC" w:rsidRDefault="001346AE" w:rsidP="001346AE">
      <w:pPr>
        <w:pStyle w:val="Citation-AltC"/>
        <w:rPr>
          <w:lang w:val="en-US"/>
        </w:rPr>
      </w:pPr>
    </w:p>
    <w:p w14:paraId="6DADE1A4" w14:textId="77777777" w:rsidR="001346AE" w:rsidRPr="000770DC" w:rsidRDefault="001346AE" w:rsidP="001346AE">
      <w:pPr>
        <w:pStyle w:val="Citation-AltC"/>
        <w:numPr>
          <w:ilvl w:val="4"/>
          <w:numId w:val="6"/>
        </w:numPr>
        <w:rPr>
          <w:lang w:val="en-US"/>
        </w:rPr>
      </w:pPr>
      <w:r w:rsidRPr="000770DC">
        <w:rPr>
          <w:lang w:val="en-US"/>
        </w:rPr>
        <w:t>an interest in a partnership, trust or estate, the value of which is derived principally from immovable property situated in that other State,</w:t>
      </w:r>
    </w:p>
    <w:p w14:paraId="42B63B47" w14:textId="77777777" w:rsidR="001346AE" w:rsidRPr="000770DC" w:rsidRDefault="001346AE" w:rsidP="001346AE">
      <w:pPr>
        <w:pStyle w:val="Citation-AltC"/>
        <w:rPr>
          <w:lang w:val="en-US"/>
        </w:rPr>
      </w:pPr>
    </w:p>
    <w:p w14:paraId="640CDF71" w14:textId="77777777" w:rsidR="001346AE" w:rsidRPr="000770DC" w:rsidRDefault="001346AE" w:rsidP="001346AE">
      <w:pPr>
        <w:pStyle w:val="Citation-AltC"/>
        <w:rPr>
          <w:lang w:val="en-US"/>
        </w:rPr>
      </w:pPr>
      <w:r w:rsidRPr="000770DC">
        <w:rPr>
          <w:lang w:val="en-US"/>
        </w:rPr>
        <w:t xml:space="preserve">may be taxed in that other State. For the purposes of this paragraph, the term </w:t>
      </w:r>
      <w:r w:rsidRPr="000770DC">
        <w:rPr>
          <w:u w:val="single"/>
          <w:lang w:val="en-US"/>
        </w:rPr>
        <w:t>“immovable property” does not include property (other than rental property) in which the business of the company, partnership, trust or estate was carried on</w:t>
      </w:r>
      <w:r w:rsidRPr="000770DC">
        <w:rPr>
          <w:lang w:val="en-US"/>
        </w:rPr>
        <w:t xml:space="preserve">; and a substantial interest exists when the resident and persons related thereto own 10 per cent or more of the shares of any class or the capital stock of a company. </w:t>
      </w:r>
    </w:p>
    <w:p w14:paraId="5CE4EB49" w14:textId="77777777" w:rsidR="001346AE" w:rsidRPr="000770DC" w:rsidRDefault="001346AE" w:rsidP="001346AE">
      <w:pPr>
        <w:pStyle w:val="Citation-AltC"/>
        <w:rPr>
          <w:lang w:val="en-US"/>
        </w:rPr>
      </w:pPr>
    </w:p>
    <w:p w14:paraId="55232550" w14:textId="77777777" w:rsidR="001346AE" w:rsidRPr="000770DC" w:rsidRDefault="001346AE" w:rsidP="001346AE">
      <w:pPr>
        <w:pStyle w:val="Citation-AltC"/>
        <w:rPr>
          <w:lang w:val="en-US"/>
        </w:rPr>
      </w:pPr>
      <w:r w:rsidRPr="00243687">
        <w:rPr>
          <w:lang w:val="en-US"/>
        </w:rPr>
        <w:lastRenderedPageBreak/>
        <w:t>5.</w:t>
      </w:r>
      <w:r>
        <w:rPr>
          <w:lang w:val="en-US"/>
        </w:rPr>
        <w:tab/>
      </w:r>
      <w:r w:rsidRPr="000770DC">
        <w:rPr>
          <w:u w:val="single"/>
          <w:lang w:val="en-US"/>
        </w:rPr>
        <w:t>Gains from the alienation of any property, other than that referred to in paragraphs 1 to 4 shall be taxable only in the Contracting State of which the alienator is a resident</w:t>
      </w:r>
      <w:r>
        <w:rPr>
          <w:lang w:val="en-US"/>
        </w:rPr>
        <w:t>.</w:t>
      </w:r>
    </w:p>
    <w:p w14:paraId="405B4714" w14:textId="77777777" w:rsidR="001346AE" w:rsidRPr="000770DC" w:rsidRDefault="001346AE" w:rsidP="001346AE">
      <w:pPr>
        <w:pStyle w:val="ParaNoNdepar-AltN"/>
        <w:rPr>
          <w:rFonts w:cs="Times New Roman"/>
        </w:rPr>
      </w:pPr>
      <w:r w:rsidRPr="000770DC">
        <w:rPr>
          <w:rFonts w:cs="Times New Roman"/>
        </w:rPr>
        <w:t>With respect to the object, spirit,</w:t>
      </w:r>
      <w:r>
        <w:rPr>
          <w:rFonts w:cs="Times New Roman"/>
        </w:rPr>
        <w:t xml:space="preserve"> and purpose of a</w:t>
      </w:r>
      <w:r w:rsidRPr="000770DC">
        <w:rPr>
          <w:rFonts w:cs="Times New Roman"/>
        </w:rPr>
        <w:t xml:space="preserve">rt. 13(4) and (5), the crux of the Minister’s argument turns on the theory of economic allegiance. </w:t>
      </w:r>
      <w:r>
        <w:rPr>
          <w:rFonts w:cs="Times New Roman"/>
        </w:rPr>
        <w:t>In accordance with this theory, the</w:t>
      </w:r>
      <w:r w:rsidRPr="000770DC">
        <w:rPr>
          <w:rFonts w:cs="Times New Roman"/>
        </w:rPr>
        <w:t xml:space="preserve"> Minister submits that the provisions </w:t>
      </w:r>
      <w:r>
        <w:rPr>
          <w:rFonts w:cs="Times New Roman"/>
        </w:rPr>
        <w:t xml:space="preserve">of the </w:t>
      </w:r>
      <w:r w:rsidRPr="00732813">
        <w:rPr>
          <w:rFonts w:cs="Times New Roman"/>
          <w:i/>
        </w:rPr>
        <w:t xml:space="preserve">Treaty </w:t>
      </w:r>
      <w:r w:rsidRPr="000770DC">
        <w:rPr>
          <w:rFonts w:cs="Times New Roman"/>
        </w:rPr>
        <w:t>distributing taxing rights seek to avoid double taxation by allocating the</w:t>
      </w:r>
      <w:r>
        <w:rPr>
          <w:rFonts w:cs="Times New Roman"/>
        </w:rPr>
        <w:t>se rights to the contracting s</w:t>
      </w:r>
      <w:r w:rsidRPr="000770DC">
        <w:rPr>
          <w:rFonts w:cs="Times New Roman"/>
        </w:rPr>
        <w:t xml:space="preserve">tate to which the income and the taxpayer are more closely </w:t>
      </w:r>
      <w:r>
        <w:rPr>
          <w:rFonts w:cs="Times New Roman"/>
        </w:rPr>
        <w:t>connected.</w:t>
      </w:r>
    </w:p>
    <w:p w14:paraId="08C29C04" w14:textId="77777777" w:rsidR="001346AE" w:rsidRPr="000770DC" w:rsidRDefault="001346AE" w:rsidP="001346AE">
      <w:pPr>
        <w:pStyle w:val="ParaNoNdepar-AltN"/>
        <w:rPr>
          <w:rFonts w:cs="Times New Roman"/>
        </w:rPr>
      </w:pPr>
      <w:r w:rsidRPr="000770DC">
        <w:rPr>
          <w:rFonts w:cs="Times New Roman"/>
        </w:rPr>
        <w:t xml:space="preserve">According to the Minister, the carve-out provided </w:t>
      </w:r>
      <w:r>
        <w:rPr>
          <w:rFonts w:cs="Times New Roman"/>
        </w:rPr>
        <w:t>for in a</w:t>
      </w:r>
      <w:r w:rsidRPr="000770DC">
        <w:rPr>
          <w:rFonts w:cs="Times New Roman"/>
        </w:rPr>
        <w:t>rt. 13(4) exempts the capital gains at issue</w:t>
      </w:r>
      <w:r>
        <w:rPr>
          <w:rFonts w:cs="Times New Roman"/>
        </w:rPr>
        <w:t xml:space="preserve"> from source</w:t>
      </w:r>
      <w:r>
        <w:rPr>
          <w:rFonts w:cs="Times New Roman"/>
        </w:rPr>
        <w:noBreakHyphen/>
        <w:t>based taxation</w:t>
      </w:r>
      <w:r w:rsidRPr="000770DC">
        <w:rPr>
          <w:rFonts w:cs="Times New Roman"/>
        </w:rPr>
        <w:t xml:space="preserve"> because</w:t>
      </w:r>
      <w:r w:rsidRPr="000770DC">
        <w:rPr>
          <w:rFonts w:cs="Times New Roman"/>
          <w:i/>
        </w:rPr>
        <w:t xml:space="preserve"> </w:t>
      </w:r>
      <w:r w:rsidRPr="000770DC">
        <w:rPr>
          <w:rFonts w:cs="Times New Roman"/>
        </w:rPr>
        <w:t xml:space="preserve">the taxpayer’s economic connection to </w:t>
      </w:r>
      <w:r>
        <w:rPr>
          <w:rFonts w:cs="Times New Roman"/>
        </w:rPr>
        <w:t>the</w:t>
      </w:r>
      <w:r w:rsidRPr="000770DC">
        <w:rPr>
          <w:rFonts w:cs="Times New Roman"/>
        </w:rPr>
        <w:t xml:space="preserve"> state of residence outweighs the connection between the source state and the imm</w:t>
      </w:r>
      <w:r>
        <w:rPr>
          <w:rFonts w:cs="Times New Roman"/>
        </w:rPr>
        <w:t>ovable property</w:t>
      </w:r>
      <w:r w:rsidRPr="000770DC">
        <w:rPr>
          <w:rFonts w:cs="Times New Roman"/>
        </w:rPr>
        <w:t>. The connection with the residence state is considered greater, for that state is said to provide the benefits that allow its residents to earn such capital gains (</w:t>
      </w:r>
      <w:r w:rsidRPr="004711AB">
        <w:rPr>
          <w:rFonts w:cs="Times New Roman"/>
        </w:rPr>
        <w:t>e.g.</w:t>
      </w:r>
      <w:r w:rsidRPr="000770DC">
        <w:rPr>
          <w:rFonts w:cs="Times New Roman"/>
        </w:rPr>
        <w:t xml:space="preserve"> economy, infrastructure, education, social services).</w:t>
      </w:r>
      <w:r>
        <w:rPr>
          <w:rFonts w:cs="Times New Roman"/>
        </w:rPr>
        <w:t xml:space="preserve"> T</w:t>
      </w:r>
      <w:r w:rsidRPr="000770DC">
        <w:rPr>
          <w:rFonts w:cs="Times New Roman"/>
        </w:rPr>
        <w:t xml:space="preserve">he social and economic environment of the residence state </w:t>
      </w:r>
      <w:r>
        <w:rPr>
          <w:rFonts w:cs="Times New Roman"/>
        </w:rPr>
        <w:t xml:space="preserve">therefore </w:t>
      </w:r>
      <w:r w:rsidRPr="000770DC">
        <w:rPr>
          <w:rFonts w:cs="Times New Roman"/>
        </w:rPr>
        <w:t>provide</w:t>
      </w:r>
      <w:r>
        <w:rPr>
          <w:rFonts w:cs="Times New Roman"/>
        </w:rPr>
        <w:t>s</w:t>
      </w:r>
      <w:r w:rsidRPr="000770DC">
        <w:rPr>
          <w:rFonts w:cs="Times New Roman"/>
        </w:rPr>
        <w:t xml:space="preserve"> the taxpayer with the tools necessary to grow the business carried on</w:t>
      </w:r>
      <w:r>
        <w:rPr>
          <w:rFonts w:cs="Times New Roman"/>
        </w:rPr>
        <w:t xml:space="preserve"> in </w:t>
      </w:r>
      <w:r w:rsidRPr="000770DC">
        <w:rPr>
          <w:rFonts w:cs="Times New Roman"/>
        </w:rPr>
        <w:t xml:space="preserve">the immovable property located in the source state. In return for these benefits, </w:t>
      </w:r>
      <w:r>
        <w:rPr>
          <w:rFonts w:cs="Times New Roman"/>
        </w:rPr>
        <w:t>the taxpayer is</w:t>
      </w:r>
      <w:r w:rsidRPr="000770DC">
        <w:rPr>
          <w:rFonts w:cs="Times New Roman"/>
        </w:rPr>
        <w:t xml:space="preserve"> expected to pay taxes to the state of residence, not to the source state.</w:t>
      </w:r>
    </w:p>
    <w:p w14:paraId="2CE7FF73" w14:textId="77777777" w:rsidR="001346AE" w:rsidRPr="000770DC" w:rsidRDefault="001346AE" w:rsidP="001346AE">
      <w:pPr>
        <w:pStyle w:val="ParaNoNdepar-AltN"/>
        <w:rPr>
          <w:rFonts w:cs="Times New Roman"/>
        </w:rPr>
      </w:pPr>
      <w:r w:rsidRPr="000770DC">
        <w:rPr>
          <w:rFonts w:cs="Times New Roman"/>
        </w:rPr>
        <w:t>In the Minister’s view, this logic holds only where the taxpayer owes economic allegiance to the state of residence, which can be tested by the presence of “sufficient substantive economic connections” to th</w:t>
      </w:r>
      <w:r>
        <w:rPr>
          <w:rFonts w:cs="Times New Roman"/>
        </w:rPr>
        <w:t>at</w:t>
      </w:r>
      <w:r w:rsidRPr="000770DC">
        <w:rPr>
          <w:rFonts w:cs="Times New Roman"/>
        </w:rPr>
        <w:t xml:space="preserve"> state. In the absence of such connections, the residence state’s greater claim to tax would retreat so that the </w:t>
      </w:r>
      <w:r w:rsidRPr="000770DC">
        <w:rPr>
          <w:rFonts w:cs="Times New Roman"/>
        </w:rPr>
        <w:lastRenderedPageBreak/>
        <w:t xml:space="preserve">connection between the source state and the immovable property would prevail. As a consequence, the source state would possess the greater claim, and the carve-out from source-based </w:t>
      </w:r>
      <w:r>
        <w:rPr>
          <w:rFonts w:cs="Times New Roman"/>
        </w:rPr>
        <w:t>taxation should be unavailable.</w:t>
      </w:r>
    </w:p>
    <w:p w14:paraId="5B3FA8E1" w14:textId="77777777" w:rsidR="001346AE" w:rsidRPr="000770DC" w:rsidRDefault="001346AE" w:rsidP="001346AE">
      <w:pPr>
        <w:pStyle w:val="ParaNoNdepar-AltN"/>
        <w:rPr>
          <w:rFonts w:cs="Times New Roman"/>
        </w:rPr>
      </w:pPr>
      <w:r w:rsidRPr="000770DC">
        <w:rPr>
          <w:rFonts w:cs="Times New Roman"/>
        </w:rPr>
        <w:t>The theory</w:t>
      </w:r>
      <w:r w:rsidRPr="000770DC">
        <w:rPr>
          <w:rFonts w:eastAsiaTheme="minorHAnsi" w:cs="Times New Roman"/>
          <w:szCs w:val="24"/>
        </w:rPr>
        <w:t xml:space="preserve"> </w:t>
      </w:r>
      <w:r w:rsidRPr="000770DC">
        <w:rPr>
          <w:rFonts w:cs="Times New Roman"/>
        </w:rPr>
        <w:t xml:space="preserve">of economic allegiance is indeed the principle </w:t>
      </w:r>
      <w:r>
        <w:rPr>
          <w:rFonts w:cs="Times New Roman"/>
        </w:rPr>
        <w:t>underlying</w:t>
      </w:r>
      <w:r w:rsidRPr="000770DC">
        <w:rPr>
          <w:rFonts w:cs="Times New Roman"/>
        </w:rPr>
        <w:t xml:space="preserve"> the allocation of taxing rights</w:t>
      </w:r>
      <w:r>
        <w:rPr>
          <w:rFonts w:cs="Times New Roman"/>
        </w:rPr>
        <w:t>,</w:t>
      </w:r>
      <w:r w:rsidRPr="000770DC">
        <w:rPr>
          <w:rFonts w:cs="Times New Roman"/>
        </w:rPr>
        <w:t xml:space="preserve"> and </w:t>
      </w:r>
      <w:r>
        <w:rPr>
          <w:rFonts w:cs="Times New Roman"/>
        </w:rPr>
        <w:t xml:space="preserve">giving effect to this principle </w:t>
      </w:r>
      <w:r w:rsidRPr="000770DC">
        <w:rPr>
          <w:rFonts w:cs="Times New Roman"/>
        </w:rPr>
        <w:t xml:space="preserve">thus constitutes the broad purpose of provisions of the </w:t>
      </w:r>
      <w:r w:rsidRPr="000770DC">
        <w:rPr>
          <w:rFonts w:cs="Times New Roman"/>
          <w:i/>
        </w:rPr>
        <w:t>Treaty</w:t>
      </w:r>
      <w:r>
        <w:rPr>
          <w:rFonts w:cs="Times New Roman"/>
        </w:rPr>
        <w:t>, such as a</w:t>
      </w:r>
      <w:r w:rsidRPr="000770DC">
        <w:rPr>
          <w:rFonts w:cs="Times New Roman"/>
        </w:rPr>
        <w:t>rt. 13</w:t>
      </w:r>
      <w:r>
        <w:rPr>
          <w:rFonts w:cs="Times New Roman"/>
        </w:rPr>
        <w:t>, that</w:t>
      </w:r>
      <w:r w:rsidRPr="000770DC">
        <w:rPr>
          <w:rFonts w:cs="Times New Roman"/>
        </w:rPr>
        <w:t xml:space="preserve"> distribute the right to tax between the residence and source states</w:t>
      </w:r>
      <w:r w:rsidRPr="000770DC">
        <w:rPr>
          <w:rFonts w:cs="Times New Roman"/>
          <w:lang w:val="en"/>
        </w:rPr>
        <w:t xml:space="preserve"> (</w:t>
      </w:r>
      <w:r w:rsidRPr="000770DC">
        <w:rPr>
          <w:rFonts w:cs="Times New Roman"/>
        </w:rPr>
        <w:t xml:space="preserve">J. Li and F. Avella, “Article 13: Capital Gains”, in </w:t>
      </w:r>
      <w:r w:rsidRPr="000770DC">
        <w:rPr>
          <w:rFonts w:cs="Times New Roman"/>
          <w:i/>
        </w:rPr>
        <w:t>Global Tax Treaty Commentaries</w:t>
      </w:r>
      <w:r>
        <w:rPr>
          <w:rFonts w:cs="Times New Roman"/>
        </w:rPr>
        <w:t xml:space="preserve">, last reviewed May 30, </w:t>
      </w:r>
      <w:r w:rsidRPr="000770DC">
        <w:rPr>
          <w:rFonts w:cs="Times New Roman"/>
        </w:rPr>
        <w:t>2020</w:t>
      </w:r>
      <w:r>
        <w:rPr>
          <w:rFonts w:cs="Times New Roman"/>
        </w:rPr>
        <w:t xml:space="preserve"> (online</w:t>
      </w:r>
      <w:r w:rsidRPr="000770DC">
        <w:rPr>
          <w:rFonts w:cs="Times New Roman"/>
        </w:rPr>
        <w:t xml:space="preserve">), </w:t>
      </w:r>
      <w:r w:rsidRPr="000770DC">
        <w:rPr>
          <w:rFonts w:cs="Times New Roman"/>
          <w:lang w:val="en"/>
        </w:rPr>
        <w:t xml:space="preserve">at </w:t>
      </w:r>
      <w:r>
        <w:rPr>
          <w:rFonts w:cs="Times New Roman"/>
          <w:lang w:val="en"/>
        </w:rPr>
        <w:t>s. 1.1.2.1</w:t>
      </w:r>
      <w:r w:rsidRPr="000770DC">
        <w:rPr>
          <w:rFonts w:cs="Times New Roman"/>
          <w:lang w:val="en"/>
        </w:rPr>
        <w:t>)</w:t>
      </w:r>
      <w:r w:rsidRPr="000770DC">
        <w:rPr>
          <w:rFonts w:cs="Times New Roman"/>
        </w:rPr>
        <w:t>. However, I disagree with the Minister’s articulation of th</w:t>
      </w:r>
      <w:r>
        <w:rPr>
          <w:rFonts w:cs="Times New Roman"/>
        </w:rPr>
        <w:t>e theory in this case.</w:t>
      </w:r>
    </w:p>
    <w:p w14:paraId="343EB23B" w14:textId="77777777" w:rsidR="001346AE" w:rsidRPr="000770DC" w:rsidRDefault="001346AE" w:rsidP="001346AE">
      <w:pPr>
        <w:pStyle w:val="ParaNoNdepar-AltN"/>
        <w:rPr>
          <w:rFonts w:cs="Times New Roman"/>
          <w:szCs w:val="24"/>
        </w:rPr>
      </w:pPr>
      <w:r w:rsidRPr="000770DC">
        <w:rPr>
          <w:rFonts w:cs="Times New Roman"/>
          <w:szCs w:val="24"/>
        </w:rPr>
        <w:t xml:space="preserve">Broadly speaking, the apportionment of </w:t>
      </w:r>
      <w:r>
        <w:rPr>
          <w:rFonts w:cs="Times New Roman"/>
          <w:szCs w:val="24"/>
        </w:rPr>
        <w:t xml:space="preserve">taxing </w:t>
      </w:r>
      <w:r w:rsidRPr="000770DC">
        <w:rPr>
          <w:rFonts w:cs="Times New Roman"/>
          <w:szCs w:val="24"/>
        </w:rPr>
        <w:t xml:space="preserve">rights between the residence and source states under the OECD </w:t>
      </w:r>
      <w:r w:rsidRPr="00F35684">
        <w:rPr>
          <w:rFonts w:cs="Times New Roman"/>
          <w:i/>
          <w:szCs w:val="24"/>
        </w:rPr>
        <w:t xml:space="preserve">Model </w:t>
      </w:r>
      <w:r w:rsidRPr="00F35684">
        <w:rPr>
          <w:rFonts w:cs="Times New Roman"/>
          <w:i/>
        </w:rPr>
        <w:t>Treaty</w:t>
      </w:r>
      <w:r w:rsidRPr="000770DC">
        <w:rPr>
          <w:rFonts w:cs="Times New Roman"/>
          <w:szCs w:val="24"/>
        </w:rPr>
        <w:t xml:space="preserve">, which serves as a model for the </w:t>
      </w:r>
      <w:r w:rsidRPr="000770DC">
        <w:rPr>
          <w:rFonts w:cs="Times New Roman"/>
          <w:i/>
          <w:szCs w:val="24"/>
        </w:rPr>
        <w:t>Treaty</w:t>
      </w:r>
      <w:r w:rsidRPr="000770DC">
        <w:rPr>
          <w:rFonts w:cs="Times New Roman"/>
          <w:szCs w:val="24"/>
        </w:rPr>
        <w:t>, is centred on the distinction between active and passive income (Li</w:t>
      </w:r>
      <w:r>
        <w:rPr>
          <w:rFonts w:cs="Times New Roman"/>
          <w:szCs w:val="24"/>
        </w:rPr>
        <w:t xml:space="preserve"> and Cockfield</w:t>
      </w:r>
      <w:r w:rsidRPr="000770DC">
        <w:rPr>
          <w:rFonts w:cs="Times New Roman"/>
          <w:szCs w:val="24"/>
        </w:rPr>
        <w:t>, at p. 12; Avi-Yonah</w:t>
      </w:r>
      <w:r>
        <w:rPr>
          <w:rFonts w:cs="Times New Roman"/>
          <w:szCs w:val="24"/>
        </w:rPr>
        <w:t>,</w:t>
      </w:r>
      <w:r w:rsidRPr="000770DC">
        <w:rPr>
          <w:rFonts w:cs="Times New Roman"/>
          <w:szCs w:val="24"/>
        </w:rPr>
        <w:t xml:space="preserve"> </w:t>
      </w:r>
      <w:r>
        <w:rPr>
          <w:rFonts w:cs="Times New Roman"/>
          <w:szCs w:val="24"/>
        </w:rPr>
        <w:t>Sartori and Marian</w:t>
      </w:r>
      <w:r w:rsidRPr="000770DC">
        <w:rPr>
          <w:rFonts w:cs="Times New Roman"/>
          <w:szCs w:val="24"/>
        </w:rPr>
        <w:t>, at p. 155). The source state has the primary right to tax active income (</w:t>
      </w:r>
      <w:r w:rsidRPr="00F35684">
        <w:rPr>
          <w:rFonts w:cs="Times New Roman"/>
          <w:szCs w:val="24"/>
        </w:rPr>
        <w:t>e.g.</w:t>
      </w:r>
      <w:r w:rsidRPr="000770DC">
        <w:rPr>
          <w:rFonts w:cs="Times New Roman"/>
          <w:i/>
          <w:szCs w:val="24"/>
        </w:rPr>
        <w:t xml:space="preserve"> </w:t>
      </w:r>
      <w:r w:rsidRPr="000770DC">
        <w:rPr>
          <w:rFonts w:cs="Times New Roman"/>
          <w:szCs w:val="24"/>
        </w:rPr>
        <w:t xml:space="preserve">business profits and employment income), and the residence state has only residual rights. Pursuant to the theory of economic allegiance, the source state has a greater claim to tax active income because its economic environment </w:t>
      </w:r>
      <w:r w:rsidRPr="000770DC">
        <w:rPr>
          <w:rFonts w:cs="Times New Roman"/>
        </w:rPr>
        <w:t xml:space="preserve">has the closest connection with the origin of wealth (Malherbe, at p. 56; </w:t>
      </w:r>
      <w:r w:rsidRPr="000770DC">
        <w:rPr>
          <w:rFonts w:cs="Times New Roman"/>
          <w:szCs w:val="24"/>
        </w:rPr>
        <w:t xml:space="preserve">Li </w:t>
      </w:r>
      <w:r>
        <w:rPr>
          <w:rFonts w:cs="Times New Roman"/>
          <w:szCs w:val="24"/>
        </w:rPr>
        <w:t>and Cockfield</w:t>
      </w:r>
      <w:r w:rsidRPr="000770DC">
        <w:rPr>
          <w:rFonts w:cs="Times New Roman"/>
          <w:szCs w:val="24"/>
        </w:rPr>
        <w:t>, at pp. </w:t>
      </w:r>
      <w:r>
        <w:rPr>
          <w:rFonts w:cs="Times New Roman"/>
          <w:szCs w:val="24"/>
        </w:rPr>
        <w:t>66 and</w:t>
      </w:r>
      <w:r w:rsidRPr="000770DC">
        <w:rPr>
          <w:rFonts w:cs="Times New Roman"/>
          <w:szCs w:val="24"/>
        </w:rPr>
        <w:t xml:space="preserve"> 151</w:t>
      </w:r>
      <w:r w:rsidRPr="000770DC">
        <w:rPr>
          <w:rFonts w:cs="Times New Roman"/>
        </w:rPr>
        <w:t>). N</w:t>
      </w:r>
      <w:r>
        <w:rPr>
          <w:rFonts w:cs="Times New Roman"/>
        </w:rPr>
        <w:t>on</w:t>
      </w:r>
      <w:r>
        <w:rPr>
          <w:rFonts w:cs="Times New Roman"/>
        </w:rPr>
        <w:noBreakHyphen/>
      </w:r>
      <w:r w:rsidRPr="000770DC">
        <w:rPr>
          <w:rFonts w:cs="Times New Roman"/>
        </w:rPr>
        <w:t xml:space="preserve">residents owe allegiance to the source state as a result, and they are expected to pay </w:t>
      </w:r>
      <w:r>
        <w:rPr>
          <w:rFonts w:cs="Times New Roman"/>
        </w:rPr>
        <w:t xml:space="preserve">tax </w:t>
      </w:r>
      <w:r w:rsidRPr="000770DC">
        <w:rPr>
          <w:rFonts w:cs="Times New Roman"/>
        </w:rPr>
        <w:t xml:space="preserve">for the public services </w:t>
      </w:r>
      <w:r>
        <w:rPr>
          <w:rFonts w:cs="Times New Roman"/>
        </w:rPr>
        <w:t xml:space="preserve">from which </w:t>
      </w:r>
      <w:r w:rsidRPr="000770DC">
        <w:rPr>
          <w:rFonts w:cs="Times New Roman"/>
        </w:rPr>
        <w:t xml:space="preserve">they benefit in carrying on their active economic </w:t>
      </w:r>
      <w:r>
        <w:rPr>
          <w:rFonts w:cs="Times New Roman"/>
        </w:rPr>
        <w:t>activities in the source state.</w:t>
      </w:r>
    </w:p>
    <w:p w14:paraId="644849E3" w14:textId="77777777" w:rsidR="001346AE" w:rsidRPr="000770DC" w:rsidRDefault="001346AE" w:rsidP="001346AE">
      <w:pPr>
        <w:pStyle w:val="ParaNoNdepar-AltN"/>
        <w:rPr>
          <w:rFonts w:cs="Times New Roman"/>
          <w:szCs w:val="24"/>
        </w:rPr>
      </w:pPr>
      <w:r>
        <w:rPr>
          <w:rFonts w:cs="Times New Roman"/>
        </w:rPr>
        <w:lastRenderedPageBreak/>
        <w:t>Conversely</w:t>
      </w:r>
      <w:r w:rsidRPr="000770DC">
        <w:rPr>
          <w:rFonts w:cs="Times New Roman"/>
        </w:rPr>
        <w:t xml:space="preserve">, the residence state </w:t>
      </w:r>
      <w:r w:rsidRPr="000770DC">
        <w:rPr>
          <w:rFonts w:cs="Times New Roman"/>
          <w:szCs w:val="24"/>
        </w:rPr>
        <w:t xml:space="preserve">has the primary right to tax </w:t>
      </w:r>
      <w:r>
        <w:rPr>
          <w:rFonts w:cs="Times New Roman"/>
          <w:szCs w:val="24"/>
        </w:rPr>
        <w:t>passive income</w:t>
      </w:r>
      <w:r w:rsidRPr="000770DC">
        <w:rPr>
          <w:rFonts w:cs="Times New Roman"/>
          <w:szCs w:val="24"/>
        </w:rPr>
        <w:t xml:space="preserve"> (</w:t>
      </w:r>
      <w:r w:rsidRPr="00F35684">
        <w:rPr>
          <w:rFonts w:cs="Times New Roman"/>
          <w:szCs w:val="24"/>
        </w:rPr>
        <w:t>e.g.</w:t>
      </w:r>
      <w:r w:rsidRPr="000770DC">
        <w:rPr>
          <w:rFonts w:cs="Times New Roman"/>
          <w:i/>
          <w:szCs w:val="24"/>
        </w:rPr>
        <w:t xml:space="preserve"> </w:t>
      </w:r>
      <w:r w:rsidRPr="000770DC">
        <w:rPr>
          <w:rFonts w:cs="Times New Roman"/>
          <w:szCs w:val="24"/>
        </w:rPr>
        <w:t xml:space="preserve">interest, dividends, and capital gains), and the source state has only residual rights. The source state’s claim to tax passive income is considered weaker in comparison to </w:t>
      </w:r>
      <w:r>
        <w:rPr>
          <w:rFonts w:cs="Times New Roman"/>
          <w:szCs w:val="24"/>
        </w:rPr>
        <w:t xml:space="preserve">that of </w:t>
      </w:r>
      <w:r w:rsidRPr="000770DC">
        <w:rPr>
          <w:rFonts w:cs="Times New Roman"/>
          <w:szCs w:val="24"/>
        </w:rPr>
        <w:t xml:space="preserve">the residence state because generating such income is assumed to require </w:t>
      </w:r>
      <w:r>
        <w:rPr>
          <w:rFonts w:cs="Times New Roman"/>
          <w:szCs w:val="24"/>
        </w:rPr>
        <w:t>few</w:t>
      </w:r>
      <w:r w:rsidRPr="000770DC">
        <w:rPr>
          <w:rFonts w:cs="Times New Roman"/>
          <w:szCs w:val="24"/>
        </w:rPr>
        <w:t xml:space="preserve"> public services from the source state. Moreover, the economic environment of the source state is considered less material to the earning prospect of passive investments, as such passive activities may be conducted in various jurisdictions w</w:t>
      </w:r>
      <w:r>
        <w:rPr>
          <w:rFonts w:cs="Times New Roman"/>
          <w:szCs w:val="24"/>
        </w:rPr>
        <w:t xml:space="preserve">ithout either improving </w:t>
      </w:r>
      <w:r w:rsidRPr="000770DC">
        <w:rPr>
          <w:rFonts w:cs="Times New Roman"/>
          <w:szCs w:val="24"/>
        </w:rPr>
        <w:t xml:space="preserve">or negatively </w:t>
      </w:r>
      <w:r>
        <w:rPr>
          <w:rFonts w:cs="Times New Roman"/>
          <w:szCs w:val="24"/>
        </w:rPr>
        <w:t>affecting</w:t>
      </w:r>
      <w:r w:rsidRPr="000770DC">
        <w:rPr>
          <w:rFonts w:cs="Times New Roman"/>
          <w:szCs w:val="24"/>
        </w:rPr>
        <w:t xml:space="preserve"> their earning prospect. Therefore, non-residents earning passive income owe little allegiance to the source state.</w:t>
      </w:r>
    </w:p>
    <w:p w14:paraId="44477C1B" w14:textId="77777777" w:rsidR="001346AE" w:rsidRPr="000770DC" w:rsidRDefault="001346AE" w:rsidP="001346AE">
      <w:pPr>
        <w:pStyle w:val="ParaNoNdepar-AltN"/>
        <w:rPr>
          <w:rFonts w:cs="Times New Roman"/>
        </w:rPr>
      </w:pPr>
      <w:r w:rsidRPr="000770DC">
        <w:rPr>
          <w:rFonts w:cs="Times New Roman"/>
        </w:rPr>
        <w:t xml:space="preserve">The allocation of the right to tax capital gains in the </w:t>
      </w:r>
      <w:r w:rsidRPr="000770DC">
        <w:rPr>
          <w:rFonts w:cs="Times New Roman"/>
          <w:i/>
        </w:rPr>
        <w:t>Treaty</w:t>
      </w:r>
      <w:r w:rsidRPr="000770DC">
        <w:rPr>
          <w:rFonts w:cs="Times New Roman"/>
        </w:rPr>
        <w:t xml:space="preserve"> relies on this articulation of economic allegiance distinguishing between active and passive income. </w:t>
      </w:r>
      <w:r>
        <w:rPr>
          <w:rFonts w:cs="Times New Roman"/>
        </w:rPr>
        <w:t>This allocation</w:t>
      </w:r>
      <w:r w:rsidRPr="000770DC">
        <w:rPr>
          <w:rFonts w:cs="Times New Roman"/>
        </w:rPr>
        <w:t xml:space="preserve"> serv</w:t>
      </w:r>
      <w:r>
        <w:rPr>
          <w:rFonts w:cs="Times New Roman"/>
        </w:rPr>
        <w:t>es as the broad purpose of a</w:t>
      </w:r>
      <w:r w:rsidRPr="000770DC">
        <w:rPr>
          <w:rFonts w:cs="Times New Roman"/>
        </w:rPr>
        <w:t xml:space="preserve">rt. 13. </w:t>
      </w:r>
      <w:r>
        <w:rPr>
          <w:rFonts w:cs="Times New Roman"/>
        </w:rPr>
        <w:t>Under a</w:t>
      </w:r>
      <w:r w:rsidRPr="000770DC">
        <w:rPr>
          <w:rFonts w:cs="Times New Roman"/>
        </w:rPr>
        <w:t xml:space="preserve">rt. 13(5) of the </w:t>
      </w:r>
      <w:r w:rsidRPr="000770DC">
        <w:rPr>
          <w:rFonts w:cs="Times New Roman"/>
          <w:i/>
        </w:rPr>
        <w:t>Treaty</w:t>
      </w:r>
      <w:r w:rsidRPr="000770DC">
        <w:rPr>
          <w:rFonts w:cs="Times New Roman"/>
        </w:rPr>
        <w:t>,</w:t>
      </w:r>
      <w:r w:rsidRPr="000770DC">
        <w:rPr>
          <w:rFonts w:cs="Times New Roman"/>
          <w:i/>
        </w:rPr>
        <w:t xml:space="preserve"> </w:t>
      </w:r>
      <w:r w:rsidRPr="000770DC">
        <w:rPr>
          <w:rFonts w:cs="Times New Roman"/>
        </w:rPr>
        <w:t>the residence state has the primary right to tax capital gains</w:t>
      </w:r>
      <w:r>
        <w:rPr>
          <w:rFonts w:cs="Times New Roman"/>
        </w:rPr>
        <w:t>,</w:t>
      </w:r>
      <w:r w:rsidRPr="000770DC">
        <w:rPr>
          <w:rFonts w:cs="Times New Roman"/>
        </w:rPr>
        <w:t xml:space="preserve"> as they are passive income. </w:t>
      </w:r>
      <w:r>
        <w:rPr>
          <w:rFonts w:cs="Times New Roman"/>
        </w:rPr>
        <w:t xml:space="preserve">Under </w:t>
      </w:r>
      <w:r>
        <w:rPr>
          <w:rFonts w:cs="Times New Roman"/>
          <w:lang w:val="en"/>
        </w:rPr>
        <w:t>a</w:t>
      </w:r>
      <w:r w:rsidRPr="000770DC">
        <w:rPr>
          <w:rFonts w:cs="Times New Roman"/>
          <w:lang w:val="en"/>
        </w:rPr>
        <w:t>rt. 13(1)</w:t>
      </w:r>
      <w:r>
        <w:rPr>
          <w:rFonts w:cs="Times New Roman"/>
          <w:lang w:val="en"/>
        </w:rPr>
        <w:t xml:space="preserve"> to </w:t>
      </w:r>
      <w:r w:rsidRPr="000770DC">
        <w:rPr>
          <w:rFonts w:cs="Times New Roman"/>
          <w:lang w:val="en"/>
        </w:rPr>
        <w:t>(4)</w:t>
      </w:r>
      <w:r>
        <w:rPr>
          <w:rFonts w:cs="Times New Roman"/>
          <w:lang w:val="en"/>
        </w:rPr>
        <w:t>, there are</w:t>
      </w:r>
      <w:r w:rsidRPr="000770DC">
        <w:rPr>
          <w:rFonts w:cs="Times New Roman"/>
          <w:lang w:val="en"/>
        </w:rPr>
        <w:t xml:space="preserve"> exceptions </w:t>
      </w:r>
      <w:r>
        <w:rPr>
          <w:rFonts w:cs="Times New Roman"/>
          <w:lang w:val="en"/>
        </w:rPr>
        <w:t>allowing</w:t>
      </w:r>
      <w:r w:rsidRPr="000770DC">
        <w:rPr>
          <w:rFonts w:cs="Times New Roman"/>
          <w:lang w:val="en"/>
        </w:rPr>
        <w:t xml:space="preserve"> the source state </w:t>
      </w:r>
      <w:r>
        <w:rPr>
          <w:rFonts w:cs="Times New Roman"/>
          <w:lang w:val="en"/>
        </w:rPr>
        <w:t>t</w:t>
      </w:r>
      <w:r w:rsidRPr="000770DC">
        <w:rPr>
          <w:rFonts w:cs="Times New Roman"/>
          <w:lang w:val="en"/>
        </w:rPr>
        <w:t>o tax capital gains realized by non-residents. For example, gains derived from the alienation of immovable property, movable property forming part of the business property of a permanent establishment located in the source state, and shares wh</w:t>
      </w:r>
      <w:r>
        <w:rPr>
          <w:rFonts w:cs="Times New Roman"/>
          <w:lang w:val="en"/>
        </w:rPr>
        <w:t>ose</w:t>
      </w:r>
      <w:r w:rsidRPr="000770DC">
        <w:rPr>
          <w:rFonts w:cs="Times New Roman"/>
          <w:lang w:val="en"/>
        </w:rPr>
        <w:t xml:space="preserve"> value is derived principally from immovable property may be taxed by the source state. The rationale of these exceptions is that the origin of the wealth acquired from sales of immovable property and the like is the source state, which </w:t>
      </w:r>
      <w:r>
        <w:rPr>
          <w:rFonts w:cs="Times New Roman"/>
          <w:lang w:val="en"/>
        </w:rPr>
        <w:t>therefore has</w:t>
      </w:r>
      <w:r w:rsidRPr="000770DC">
        <w:rPr>
          <w:rFonts w:cs="Times New Roman"/>
          <w:lang w:val="en"/>
        </w:rPr>
        <w:t xml:space="preserve"> a greater cl</w:t>
      </w:r>
      <w:r>
        <w:rPr>
          <w:rFonts w:cs="Times New Roman"/>
          <w:lang w:val="en"/>
        </w:rPr>
        <w:t>aim to tax (</w:t>
      </w:r>
      <w:r w:rsidRPr="000770DC">
        <w:rPr>
          <w:rFonts w:cs="Times New Roman"/>
          <w:lang w:val="en"/>
        </w:rPr>
        <w:t>Malherbe, at pp. 58-</w:t>
      </w:r>
      <w:r>
        <w:rPr>
          <w:rFonts w:cs="Times New Roman"/>
          <w:lang w:val="en"/>
        </w:rPr>
        <w:t>5</w:t>
      </w:r>
      <w:r w:rsidRPr="000770DC">
        <w:rPr>
          <w:rFonts w:cs="Times New Roman"/>
          <w:lang w:val="en"/>
        </w:rPr>
        <w:t xml:space="preserve">9). For instance, the sale of immovable property situated in Canada is, in essence, a sale of a “piece of Canada” — “the ‘Canadianness’ </w:t>
      </w:r>
      <w:r>
        <w:rPr>
          <w:rFonts w:cs="Times New Roman"/>
          <w:lang w:val="en"/>
        </w:rPr>
        <w:t xml:space="preserve">of the property </w:t>
      </w:r>
      <w:r w:rsidRPr="000770DC">
        <w:rPr>
          <w:rFonts w:cs="Times New Roman"/>
          <w:lang w:val="en"/>
        </w:rPr>
        <w:t>. . . is the source of the gains” (</w:t>
      </w:r>
      <w:r w:rsidRPr="000770DC">
        <w:rPr>
          <w:rFonts w:cs="Times New Roman"/>
          <w:szCs w:val="24"/>
        </w:rPr>
        <w:t xml:space="preserve">Li </w:t>
      </w:r>
      <w:r>
        <w:rPr>
          <w:rFonts w:cs="Times New Roman"/>
          <w:szCs w:val="24"/>
        </w:rPr>
        <w:t>and Cockfield</w:t>
      </w:r>
      <w:r w:rsidRPr="000770DC">
        <w:rPr>
          <w:rFonts w:cs="Times New Roman"/>
          <w:szCs w:val="24"/>
        </w:rPr>
        <w:t>, at pp. 198</w:t>
      </w:r>
      <w:r>
        <w:rPr>
          <w:rFonts w:cs="Times New Roman"/>
          <w:szCs w:val="24"/>
        </w:rPr>
        <w:t xml:space="preserve"> and 151</w:t>
      </w:r>
      <w:r w:rsidRPr="000770DC">
        <w:rPr>
          <w:rFonts w:cs="Times New Roman"/>
          <w:lang w:val="en"/>
        </w:rPr>
        <w:t>).</w:t>
      </w:r>
    </w:p>
    <w:p w14:paraId="0570EE34" w14:textId="77777777" w:rsidR="001346AE" w:rsidRPr="000770DC" w:rsidRDefault="001346AE" w:rsidP="001346AE">
      <w:pPr>
        <w:pStyle w:val="ParaNoNdepar-AltN"/>
        <w:rPr>
          <w:rFonts w:cs="Times New Roman"/>
          <w:szCs w:val="24"/>
        </w:rPr>
      </w:pPr>
      <w:r w:rsidRPr="000770DC">
        <w:rPr>
          <w:rFonts w:cs="Times New Roman"/>
        </w:rPr>
        <w:lastRenderedPageBreak/>
        <w:t xml:space="preserve">The business property exemption applies where </w:t>
      </w:r>
      <w:r>
        <w:rPr>
          <w:rFonts w:cs="Times New Roman"/>
        </w:rPr>
        <w:t>a</w:t>
      </w:r>
      <w:r w:rsidRPr="000770DC">
        <w:rPr>
          <w:rFonts w:cs="Times New Roman"/>
        </w:rPr>
        <w:t xml:space="preserve"> capital gain is realized on the sale of shares whose value is derived principally from immovable property </w:t>
      </w:r>
      <w:r w:rsidRPr="000770DC">
        <w:rPr>
          <w:rFonts w:cs="Times New Roman"/>
          <w:i/>
        </w:rPr>
        <w:t xml:space="preserve">in which </w:t>
      </w:r>
      <w:r>
        <w:rPr>
          <w:rFonts w:cs="Times New Roman"/>
          <w:i/>
        </w:rPr>
        <w:t>a</w:t>
      </w:r>
      <w:r w:rsidRPr="000770DC">
        <w:rPr>
          <w:rFonts w:cs="Times New Roman"/>
          <w:i/>
        </w:rPr>
        <w:t xml:space="preserve"> business was carried on</w:t>
      </w:r>
      <w:r w:rsidRPr="000770DC">
        <w:rPr>
          <w:rFonts w:cs="Times New Roman"/>
        </w:rPr>
        <w:t xml:space="preserve">. As a consequence, the default rule is reinstated, so that the residence state has the primary right to tax </w:t>
      </w:r>
      <w:r>
        <w:rPr>
          <w:rFonts w:cs="Times New Roman"/>
        </w:rPr>
        <w:t>the</w:t>
      </w:r>
      <w:r w:rsidRPr="000770DC">
        <w:rPr>
          <w:rFonts w:cs="Times New Roman"/>
        </w:rPr>
        <w:t xml:space="preserve"> gain. In my opinion, this constitutes a departure from the theory of economic allegiance as articulated in the </w:t>
      </w:r>
      <w:r w:rsidRPr="000770DC">
        <w:rPr>
          <w:rFonts w:cs="Times New Roman"/>
          <w:i/>
        </w:rPr>
        <w:t xml:space="preserve">Treaty </w:t>
      </w:r>
      <w:r w:rsidRPr="000770DC">
        <w:rPr>
          <w:rFonts w:cs="Times New Roman"/>
        </w:rPr>
        <w:t xml:space="preserve">and </w:t>
      </w:r>
      <w:r>
        <w:rPr>
          <w:rFonts w:cs="Times New Roman"/>
        </w:rPr>
        <w:t xml:space="preserve">the </w:t>
      </w:r>
      <w:r w:rsidRPr="000770DC">
        <w:rPr>
          <w:rFonts w:cs="Times New Roman"/>
        </w:rPr>
        <w:t xml:space="preserve">OECD </w:t>
      </w:r>
      <w:r w:rsidRPr="00F35684">
        <w:rPr>
          <w:rFonts w:cs="Times New Roman"/>
          <w:i/>
        </w:rPr>
        <w:t>Model Treaty</w:t>
      </w:r>
      <w:r w:rsidRPr="000770DC">
        <w:rPr>
          <w:rFonts w:cs="Times New Roman"/>
        </w:rPr>
        <w:t xml:space="preserve"> and </w:t>
      </w:r>
      <w:r>
        <w:rPr>
          <w:rFonts w:cs="Times New Roman"/>
        </w:rPr>
        <w:t xml:space="preserve">shows that </w:t>
      </w:r>
      <w:r w:rsidRPr="000770DC">
        <w:rPr>
          <w:rFonts w:cs="Times New Roman"/>
        </w:rPr>
        <w:t>the business property exemption</w:t>
      </w:r>
      <w:r>
        <w:rPr>
          <w:rFonts w:cs="Times New Roman"/>
        </w:rPr>
        <w:t xml:space="preserve"> has a different purpose</w:t>
      </w:r>
      <w:r w:rsidRPr="000770DC">
        <w:rPr>
          <w:rFonts w:cs="Times New Roman"/>
        </w:rPr>
        <w:t xml:space="preserve">. According to the logic of economic allegiance, the source state normally has a greater claim to tax income derived from a business carried on </w:t>
      </w:r>
      <w:r>
        <w:rPr>
          <w:rFonts w:cs="Times New Roman"/>
        </w:rPr>
        <w:t xml:space="preserve">within </w:t>
      </w:r>
      <w:r w:rsidRPr="000770DC">
        <w:rPr>
          <w:rFonts w:cs="Times New Roman"/>
        </w:rPr>
        <w:t xml:space="preserve">its territory or from the disposition of immovable property located </w:t>
      </w:r>
      <w:r>
        <w:rPr>
          <w:rFonts w:cs="Times New Roman"/>
        </w:rPr>
        <w:t>within</w:t>
      </w:r>
      <w:r w:rsidRPr="000770DC">
        <w:rPr>
          <w:rFonts w:cs="Times New Roman"/>
        </w:rPr>
        <w:t xml:space="preserve"> its territory, because the source state’s economic environment has the closest connection to the origin of wealth. </w:t>
      </w:r>
      <w:r>
        <w:rPr>
          <w:rFonts w:cs="Times New Roman"/>
        </w:rPr>
        <w:t>Under a</w:t>
      </w:r>
      <w:r w:rsidRPr="000770DC">
        <w:rPr>
          <w:rFonts w:cs="Times New Roman"/>
        </w:rPr>
        <w:t>rt</w:t>
      </w:r>
      <w:r>
        <w:rPr>
          <w:rFonts w:cs="Times New Roman"/>
        </w:rPr>
        <w:t>. </w:t>
      </w:r>
      <w:r w:rsidRPr="000770DC">
        <w:rPr>
          <w:rFonts w:cs="Times New Roman"/>
        </w:rPr>
        <w:t xml:space="preserve">13(4) and (5), however, the taxing right </w:t>
      </w:r>
      <w:r>
        <w:rPr>
          <w:rFonts w:cs="Times New Roman"/>
        </w:rPr>
        <w:t xml:space="preserve">is allocated </w:t>
      </w:r>
      <w:r w:rsidRPr="000770DC">
        <w:rPr>
          <w:rFonts w:cs="Times New Roman"/>
        </w:rPr>
        <w:t xml:space="preserve">to the residence state instead of the source state. </w:t>
      </w:r>
      <w:r w:rsidRPr="000770DC">
        <w:rPr>
          <w:rFonts w:cs="Times New Roman"/>
          <w:szCs w:val="24"/>
        </w:rPr>
        <w:t xml:space="preserve">This departure can be explained by the fact that economic allegiance is not the sole principle or policy consideration underlying the rules applicable to source-based taxation; the principle of capital import neutrality, the </w:t>
      </w:r>
      <w:r>
        <w:rPr>
          <w:rFonts w:cs="Times New Roman"/>
          <w:szCs w:val="24"/>
        </w:rPr>
        <w:t xml:space="preserve">concern to </w:t>
      </w:r>
      <w:r w:rsidRPr="000770DC">
        <w:rPr>
          <w:rFonts w:cs="Times New Roman"/>
          <w:szCs w:val="24"/>
        </w:rPr>
        <w:t>preven</w:t>
      </w:r>
      <w:r>
        <w:rPr>
          <w:rFonts w:cs="Times New Roman"/>
          <w:szCs w:val="24"/>
        </w:rPr>
        <w:t>t</w:t>
      </w:r>
      <w:r w:rsidRPr="000770DC">
        <w:rPr>
          <w:rFonts w:cs="Times New Roman"/>
          <w:szCs w:val="24"/>
        </w:rPr>
        <w:t xml:space="preserve"> tax base</w:t>
      </w:r>
      <w:r>
        <w:rPr>
          <w:rFonts w:cs="Times New Roman"/>
          <w:szCs w:val="24"/>
        </w:rPr>
        <w:t xml:space="preserve"> erosion</w:t>
      </w:r>
      <w:r w:rsidRPr="000770DC">
        <w:rPr>
          <w:rFonts w:cs="Times New Roman"/>
          <w:szCs w:val="24"/>
        </w:rPr>
        <w:t xml:space="preserve">, and the desire </w:t>
      </w:r>
      <w:r>
        <w:rPr>
          <w:rFonts w:cs="Times New Roman"/>
          <w:szCs w:val="24"/>
        </w:rPr>
        <w:t>to</w:t>
      </w:r>
      <w:r w:rsidRPr="000770DC">
        <w:rPr>
          <w:rFonts w:cs="Times New Roman"/>
          <w:szCs w:val="24"/>
        </w:rPr>
        <w:t xml:space="preserve"> attract foreign investment also underlie these rules (Li </w:t>
      </w:r>
      <w:r>
        <w:rPr>
          <w:rFonts w:cs="Times New Roman"/>
          <w:szCs w:val="24"/>
        </w:rPr>
        <w:t>and Cockfield</w:t>
      </w:r>
      <w:r w:rsidRPr="000770DC">
        <w:rPr>
          <w:rFonts w:cs="Times New Roman"/>
          <w:szCs w:val="24"/>
        </w:rPr>
        <w:t>, at pp. 151-</w:t>
      </w:r>
      <w:r>
        <w:rPr>
          <w:rFonts w:cs="Times New Roman"/>
          <w:szCs w:val="24"/>
        </w:rPr>
        <w:t>5</w:t>
      </w:r>
      <w:r w:rsidRPr="000770DC">
        <w:rPr>
          <w:rFonts w:cs="Times New Roman"/>
          <w:szCs w:val="24"/>
        </w:rPr>
        <w:t xml:space="preserve">4). Since all these principles and policy considerations cannot be accommodated in every single rule, a balancing exercise is inevitable (see </w:t>
      </w:r>
      <w:r w:rsidRPr="000770DC">
        <w:rPr>
          <w:rFonts w:cs="Times New Roman"/>
          <w:i/>
          <w:szCs w:val="24"/>
        </w:rPr>
        <w:t>Shell Canada Ltd. v. Canada</w:t>
      </w:r>
      <w:r w:rsidRPr="00F35684">
        <w:rPr>
          <w:rFonts w:cs="Times New Roman"/>
          <w:szCs w:val="24"/>
        </w:rPr>
        <w:t>,</w:t>
      </w:r>
      <w:r w:rsidRPr="000770DC">
        <w:rPr>
          <w:rFonts w:cs="Times New Roman"/>
          <w:szCs w:val="24"/>
        </w:rPr>
        <w:t xml:space="preserve"> [1999] 3 S.C.R. 622, at para. 43;</w:t>
      </w:r>
      <w:r w:rsidRPr="000770DC">
        <w:rPr>
          <w:rFonts w:cs="Times New Roman"/>
          <w:i/>
          <w:szCs w:val="24"/>
        </w:rPr>
        <w:t xml:space="preserve"> Canada Trustco</w:t>
      </w:r>
      <w:r w:rsidRPr="000770DC">
        <w:rPr>
          <w:rFonts w:cs="Times New Roman"/>
          <w:szCs w:val="24"/>
        </w:rPr>
        <w:t>, at para. 53;</w:t>
      </w:r>
      <w:r w:rsidRPr="000770DC">
        <w:rPr>
          <w:rFonts w:cs="Times New Roman"/>
          <w:i/>
          <w:szCs w:val="24"/>
        </w:rPr>
        <w:t xml:space="preserve"> Sun Indalex Finance, LLC v. United Steelworkers</w:t>
      </w:r>
      <w:r w:rsidRPr="000770DC">
        <w:rPr>
          <w:rFonts w:cs="Times New Roman"/>
          <w:szCs w:val="24"/>
        </w:rPr>
        <w:t xml:space="preserve">, 2013 SCC 6, </w:t>
      </w:r>
      <w:r>
        <w:rPr>
          <w:rFonts w:cs="Times New Roman"/>
          <w:szCs w:val="24"/>
        </w:rPr>
        <w:t xml:space="preserve">[2013] 1 S.C.R. 271, </w:t>
      </w:r>
      <w:r w:rsidRPr="000770DC">
        <w:rPr>
          <w:rFonts w:cs="Times New Roman"/>
          <w:szCs w:val="24"/>
        </w:rPr>
        <w:t>at para. 174). Article</w:t>
      </w:r>
      <w:r>
        <w:rPr>
          <w:rFonts w:cs="Times New Roman"/>
          <w:szCs w:val="24"/>
        </w:rPr>
        <w:t> </w:t>
      </w:r>
      <w:r w:rsidRPr="000770DC">
        <w:rPr>
          <w:rFonts w:cs="Times New Roman"/>
          <w:szCs w:val="24"/>
        </w:rPr>
        <w:t xml:space="preserve">13(4) is also the result of a balancing exercise. The theory of economic allegiance is not the dominating rationale underlying the carve-out provided </w:t>
      </w:r>
      <w:r>
        <w:rPr>
          <w:rFonts w:cs="Times New Roman"/>
          <w:szCs w:val="24"/>
        </w:rPr>
        <w:t>for in</w:t>
      </w:r>
      <w:r w:rsidRPr="000770DC">
        <w:rPr>
          <w:rFonts w:cs="Times New Roman"/>
          <w:szCs w:val="24"/>
        </w:rPr>
        <w:t xml:space="preserve"> </w:t>
      </w:r>
      <w:r>
        <w:rPr>
          <w:rFonts w:cs="Times New Roman"/>
          <w:szCs w:val="24"/>
        </w:rPr>
        <w:t>a</w:t>
      </w:r>
      <w:r w:rsidRPr="000770DC">
        <w:rPr>
          <w:rFonts w:cs="Times New Roman"/>
          <w:szCs w:val="24"/>
        </w:rPr>
        <w:t>rt. 13(4). Rather</w:t>
      </w:r>
      <w:r>
        <w:rPr>
          <w:rFonts w:cs="Times New Roman"/>
          <w:szCs w:val="24"/>
        </w:rPr>
        <w:t>,</w:t>
      </w:r>
      <w:r w:rsidRPr="000770DC">
        <w:rPr>
          <w:rFonts w:cs="Times New Roman"/>
          <w:szCs w:val="24"/>
        </w:rPr>
        <w:t xml:space="preserve"> the main objective is to attract foreign investment, as I explain below.</w:t>
      </w:r>
    </w:p>
    <w:p w14:paraId="586F04ED" w14:textId="77777777" w:rsidR="001346AE" w:rsidRPr="000770DC" w:rsidRDefault="001346AE" w:rsidP="001346AE">
      <w:pPr>
        <w:pStyle w:val="ParaNoNdepar-AltN"/>
        <w:rPr>
          <w:rFonts w:cs="Times New Roman"/>
        </w:rPr>
      </w:pPr>
      <w:r w:rsidRPr="000770DC">
        <w:rPr>
          <w:rFonts w:cs="Times New Roman"/>
        </w:rPr>
        <w:lastRenderedPageBreak/>
        <w:t>Canada was and still is a large importer of foreign capital and thus a source country (Arnold</w:t>
      </w:r>
      <w:r>
        <w:rPr>
          <w:rFonts w:cs="Times New Roman"/>
        </w:rPr>
        <w:t xml:space="preserve"> (2009)</w:t>
      </w:r>
      <w:r w:rsidRPr="000770DC">
        <w:rPr>
          <w:rFonts w:cs="Times New Roman"/>
        </w:rPr>
        <w:t>, at pp. 10-</w:t>
      </w:r>
      <w:r>
        <w:rPr>
          <w:rFonts w:cs="Times New Roman"/>
        </w:rPr>
        <w:t>1</w:t>
      </w:r>
      <w:r w:rsidRPr="000770DC">
        <w:rPr>
          <w:rFonts w:cs="Times New Roman"/>
        </w:rPr>
        <w:t xml:space="preserve">1). As a source country, Canada would have had an interest in negotiating broad source-based taxation rights in bilateral treaties </w:t>
      </w:r>
      <w:r>
        <w:rPr>
          <w:rFonts w:cs="Times New Roman"/>
        </w:rPr>
        <w:t xml:space="preserve">in order </w:t>
      </w:r>
      <w:r w:rsidRPr="000770DC">
        <w:rPr>
          <w:rFonts w:cs="Times New Roman"/>
        </w:rPr>
        <w:t xml:space="preserve">to collect larger tax revenues. According to learned authors, Canada must have been alive, however, to the fact that its position </w:t>
      </w:r>
      <w:r>
        <w:rPr>
          <w:rFonts w:cs="Times New Roman"/>
        </w:rPr>
        <w:t>on</w:t>
      </w:r>
      <w:r w:rsidRPr="000770DC">
        <w:rPr>
          <w:rFonts w:cs="Times New Roman"/>
        </w:rPr>
        <w:t xml:space="preserve"> source-based taxation could also be used as an instrument to attract foreign investment crucial to its economy (Li </w:t>
      </w:r>
      <w:r>
        <w:rPr>
          <w:rFonts w:cs="Times New Roman"/>
        </w:rPr>
        <w:t>and Cockfield</w:t>
      </w:r>
      <w:r w:rsidRPr="000770DC">
        <w:rPr>
          <w:rFonts w:cs="Times New Roman"/>
        </w:rPr>
        <w:t xml:space="preserve">, at p. 153). Harsh source taxes chase away foreign investors, whereas tax breaks attract them. Importers of capital thus have an interest in maintaining a balance between these disincentives and incentives if they want to remain competitive in the global economy. Li and Avella say that Canada has routinely included the carve-out in many of its tax treaties, including this </w:t>
      </w:r>
      <w:r w:rsidRPr="000770DC">
        <w:rPr>
          <w:rFonts w:cs="Times New Roman"/>
          <w:i/>
        </w:rPr>
        <w:t>Treaty</w:t>
      </w:r>
      <w:r>
        <w:rPr>
          <w:rFonts w:cs="Times New Roman"/>
        </w:rPr>
        <w:t>, for this specific</w:t>
      </w:r>
      <w:r w:rsidRPr="000770DC">
        <w:rPr>
          <w:rFonts w:cs="Times New Roman"/>
        </w:rPr>
        <w:t xml:space="preserve"> reason (</w:t>
      </w:r>
      <w:r>
        <w:rPr>
          <w:rFonts w:cs="Times New Roman"/>
        </w:rPr>
        <w:t>s</w:t>
      </w:r>
      <w:r w:rsidRPr="000770DC">
        <w:rPr>
          <w:rFonts w:cs="Times New Roman"/>
        </w:rPr>
        <w:t>. 3.1.4.6.3). This tax break encourages foreigners to invest in immovable propert</w:t>
      </w:r>
      <w:r>
        <w:rPr>
          <w:rFonts w:cs="Times New Roman"/>
        </w:rPr>
        <w:t>y</w:t>
      </w:r>
      <w:r w:rsidRPr="000770DC">
        <w:rPr>
          <w:rFonts w:cs="Times New Roman"/>
        </w:rPr>
        <w:t xml:space="preserve"> situated in Canada </w:t>
      </w:r>
      <w:r>
        <w:rPr>
          <w:rFonts w:cs="Times New Roman"/>
        </w:rPr>
        <w:t>in which</w:t>
      </w:r>
      <w:r w:rsidRPr="000770DC">
        <w:rPr>
          <w:rFonts w:cs="Times New Roman"/>
        </w:rPr>
        <w:t xml:space="preserve"> businesses are carried on (</w:t>
      </w:r>
      <w:r w:rsidRPr="00596DE5">
        <w:rPr>
          <w:rFonts w:cs="Times New Roman"/>
        </w:rPr>
        <w:t>e.g.</w:t>
      </w:r>
      <w:r w:rsidRPr="000770DC">
        <w:rPr>
          <w:rFonts w:cs="Times New Roman"/>
          <w:i/>
        </w:rPr>
        <w:t xml:space="preserve"> </w:t>
      </w:r>
      <w:r w:rsidRPr="000770DC">
        <w:rPr>
          <w:rFonts w:cs="Times New Roman"/>
        </w:rPr>
        <w:t>mines, hotels</w:t>
      </w:r>
      <w:r>
        <w:rPr>
          <w:rFonts w:cs="Times New Roman"/>
        </w:rPr>
        <w:t>,</w:t>
      </w:r>
      <w:r w:rsidRPr="000770DC">
        <w:rPr>
          <w:rFonts w:cs="Times New Roman"/>
        </w:rPr>
        <w:t xml:space="preserve"> or oil shales), rather than simply </w:t>
      </w:r>
      <w:r>
        <w:rPr>
          <w:rFonts w:cs="Times New Roman"/>
        </w:rPr>
        <w:t xml:space="preserve">to </w:t>
      </w:r>
      <w:r w:rsidRPr="000770DC">
        <w:rPr>
          <w:rFonts w:cs="Times New Roman"/>
        </w:rPr>
        <w:t>invest in assets to be</w:t>
      </w:r>
      <w:r>
        <w:rPr>
          <w:rFonts w:cs="Times New Roman"/>
        </w:rPr>
        <w:t xml:space="preserve"> held for speculative purposes.</w:t>
      </w:r>
    </w:p>
    <w:p w14:paraId="361CCF3D" w14:textId="77777777" w:rsidR="001346AE" w:rsidRPr="000770DC" w:rsidRDefault="001346AE" w:rsidP="001346AE">
      <w:pPr>
        <w:pStyle w:val="ParaNoNdepar-AltN"/>
        <w:rPr>
          <w:rFonts w:cs="Times New Roman"/>
        </w:rPr>
      </w:pPr>
      <w:r w:rsidRPr="000770DC">
        <w:rPr>
          <w:rFonts w:cs="Times New Roman"/>
        </w:rPr>
        <w:t xml:space="preserve">Importantly, I note that only a very small number of </w:t>
      </w:r>
      <w:r>
        <w:rPr>
          <w:rFonts w:cs="Times New Roman"/>
        </w:rPr>
        <w:t xml:space="preserve">the world’s </w:t>
      </w:r>
      <w:r w:rsidRPr="000770DC">
        <w:rPr>
          <w:rFonts w:cs="Times New Roman"/>
        </w:rPr>
        <w:t xml:space="preserve">tax treaties include the carve-out, thereby signalling that its inclusion in the </w:t>
      </w:r>
      <w:r w:rsidRPr="000770DC">
        <w:rPr>
          <w:rFonts w:cs="Times New Roman"/>
          <w:i/>
        </w:rPr>
        <w:t xml:space="preserve">Treaty </w:t>
      </w:r>
      <w:r>
        <w:rPr>
          <w:rFonts w:cs="Times New Roman"/>
        </w:rPr>
        <w:t>wa</w:t>
      </w:r>
      <w:r w:rsidRPr="000770DC">
        <w:rPr>
          <w:rFonts w:cs="Times New Roman"/>
        </w:rPr>
        <w:t xml:space="preserve">s no accident on Canada’s </w:t>
      </w:r>
      <w:r>
        <w:rPr>
          <w:rFonts w:cs="Times New Roman"/>
        </w:rPr>
        <w:t>part</w:t>
      </w:r>
      <w:r w:rsidRPr="000770DC">
        <w:rPr>
          <w:rFonts w:cs="Times New Roman"/>
        </w:rPr>
        <w:t>. To begin with, l</w:t>
      </w:r>
      <w:r w:rsidRPr="000770DC">
        <w:rPr>
          <w:rFonts w:cs="Times New Roman"/>
          <w:lang w:bidi="en-US"/>
        </w:rPr>
        <w:t xml:space="preserve">ess than 35 percent of the world’s pre-2014 </w:t>
      </w:r>
      <w:r>
        <w:rPr>
          <w:rFonts w:cs="Times New Roman"/>
          <w:lang w:bidi="en-US"/>
        </w:rPr>
        <w:t>double</w:t>
      </w:r>
      <w:r>
        <w:rPr>
          <w:rFonts w:cs="Times New Roman"/>
          <w:lang w:bidi="en-US"/>
        </w:rPr>
        <w:noBreakHyphen/>
      </w:r>
      <w:r w:rsidRPr="000770DC">
        <w:rPr>
          <w:rFonts w:cs="Times New Roman"/>
          <w:lang w:bidi="en-US"/>
        </w:rPr>
        <w:t xml:space="preserve">tax treaties include a provision allocating to the source state the right to </w:t>
      </w:r>
      <w:r>
        <w:rPr>
          <w:rFonts w:cs="Times New Roman"/>
          <w:lang w:bidi="en-US"/>
        </w:rPr>
        <w:t>tax capital</w:t>
      </w:r>
      <w:r w:rsidRPr="000770DC">
        <w:rPr>
          <w:rFonts w:cs="Times New Roman"/>
          <w:lang w:bidi="en-US"/>
        </w:rPr>
        <w:t xml:space="preserve"> </w:t>
      </w:r>
      <w:r>
        <w:rPr>
          <w:rFonts w:cs="Times New Roman"/>
          <w:lang w:bidi="en-US"/>
        </w:rPr>
        <w:t xml:space="preserve">gains from </w:t>
      </w:r>
      <w:r w:rsidRPr="000770DC">
        <w:rPr>
          <w:rFonts w:cs="Times New Roman"/>
          <w:lang w:bidi="en-US"/>
        </w:rPr>
        <w:t xml:space="preserve">the disposition of shares </w:t>
      </w:r>
      <w:r>
        <w:rPr>
          <w:rFonts w:cs="Times New Roman"/>
          <w:lang w:bidi="en-US"/>
        </w:rPr>
        <w:t xml:space="preserve">of a company </w:t>
      </w:r>
      <w:r w:rsidRPr="000770DC">
        <w:rPr>
          <w:rFonts w:cs="Times New Roman"/>
          <w:lang w:bidi="en-US"/>
        </w:rPr>
        <w:t>or interests in a partnership, trust</w:t>
      </w:r>
      <w:r>
        <w:rPr>
          <w:rFonts w:cs="Times New Roman"/>
          <w:lang w:bidi="en-US"/>
        </w:rPr>
        <w:t>,</w:t>
      </w:r>
      <w:r w:rsidRPr="000770DC">
        <w:rPr>
          <w:rFonts w:cs="Times New Roman"/>
          <w:lang w:bidi="en-US"/>
        </w:rPr>
        <w:t xml:space="preserve"> or estate whose value is derived principally from immovable property, as provided </w:t>
      </w:r>
      <w:r>
        <w:rPr>
          <w:rFonts w:cs="Times New Roman"/>
          <w:lang w:bidi="en-US"/>
        </w:rPr>
        <w:t>for in the first part of a</w:t>
      </w:r>
      <w:r w:rsidRPr="000770DC">
        <w:rPr>
          <w:rFonts w:cs="Times New Roman"/>
          <w:lang w:bidi="en-US"/>
        </w:rPr>
        <w:t>rt. 13(4) (</w:t>
      </w:r>
      <w:r>
        <w:rPr>
          <w:rFonts w:cs="Times New Roman"/>
          <w:lang w:bidi="en-US"/>
        </w:rPr>
        <w:t xml:space="preserve">Li and Avella, </w:t>
      </w:r>
      <w:r w:rsidRPr="000770DC">
        <w:rPr>
          <w:rFonts w:cs="Times New Roman"/>
          <w:lang w:bidi="en-US"/>
        </w:rPr>
        <w:t>at s</w:t>
      </w:r>
      <w:r>
        <w:rPr>
          <w:rFonts w:cs="Times New Roman"/>
          <w:lang w:bidi="en-US"/>
        </w:rPr>
        <w:t>s</w:t>
      </w:r>
      <w:r w:rsidRPr="000770DC">
        <w:rPr>
          <w:rFonts w:cs="Times New Roman"/>
          <w:lang w:bidi="en-US"/>
        </w:rPr>
        <w:t>. 2.1.5 and 3.1.4.1.2). And</w:t>
      </w:r>
      <w:r>
        <w:rPr>
          <w:rFonts w:cs="Times New Roman"/>
          <w:lang w:bidi="en-US"/>
        </w:rPr>
        <w:t xml:space="preserve"> out of</w:t>
      </w:r>
      <w:r w:rsidRPr="000770DC">
        <w:rPr>
          <w:rFonts w:cs="Times New Roman"/>
          <w:lang w:bidi="en-US"/>
        </w:rPr>
        <w:t xml:space="preserve"> that 35</w:t>
      </w:r>
      <w:r>
        <w:rPr>
          <w:rFonts w:cs="Times New Roman"/>
          <w:lang w:bidi="en-US"/>
        </w:rPr>
        <w:t> </w:t>
      </w:r>
      <w:r w:rsidRPr="000770DC">
        <w:rPr>
          <w:rFonts w:cs="Times New Roman"/>
          <w:lang w:bidi="en-US"/>
        </w:rPr>
        <w:t xml:space="preserve">percent, an even smaller number of treaties contain the carve-out provided </w:t>
      </w:r>
      <w:r>
        <w:rPr>
          <w:rFonts w:cs="Times New Roman"/>
          <w:lang w:bidi="en-US"/>
        </w:rPr>
        <w:t>for at the end of a</w:t>
      </w:r>
      <w:r w:rsidRPr="000770DC">
        <w:rPr>
          <w:rFonts w:cs="Times New Roman"/>
          <w:lang w:bidi="en-US"/>
        </w:rPr>
        <w:t>rt. 13(4) (</w:t>
      </w:r>
      <w:r>
        <w:rPr>
          <w:rFonts w:cs="Times New Roman"/>
          <w:lang w:bidi="en-US"/>
        </w:rPr>
        <w:t xml:space="preserve">Li and Avella, </w:t>
      </w:r>
      <w:r w:rsidRPr="000770DC">
        <w:rPr>
          <w:rFonts w:cs="Times New Roman"/>
          <w:lang w:bidi="en-US"/>
        </w:rPr>
        <w:t xml:space="preserve">at </w:t>
      </w:r>
      <w:r>
        <w:rPr>
          <w:rFonts w:cs="Times New Roman"/>
          <w:lang w:bidi="en-US"/>
        </w:rPr>
        <w:t>s</w:t>
      </w:r>
      <w:r w:rsidRPr="000770DC">
        <w:rPr>
          <w:rFonts w:cs="Times New Roman"/>
          <w:lang w:bidi="en-US"/>
        </w:rPr>
        <w:t>. 3.1.4.6.3).</w:t>
      </w:r>
    </w:p>
    <w:p w14:paraId="0A473A85" w14:textId="77777777" w:rsidR="001346AE" w:rsidRPr="000770DC" w:rsidRDefault="001346AE" w:rsidP="001346AE">
      <w:pPr>
        <w:pStyle w:val="ParaNoNdepar-AltN"/>
        <w:rPr>
          <w:rFonts w:cs="Times New Roman"/>
        </w:rPr>
      </w:pPr>
      <w:r w:rsidRPr="000770DC">
        <w:rPr>
          <w:rFonts w:cs="Times New Roman"/>
        </w:rPr>
        <w:lastRenderedPageBreak/>
        <w:t>The rem</w:t>
      </w:r>
      <w:r>
        <w:rPr>
          <w:rFonts w:cs="Times New Roman"/>
        </w:rPr>
        <w:t>aining question is whether the contracting s</w:t>
      </w:r>
      <w:r w:rsidRPr="000770DC">
        <w:rPr>
          <w:rFonts w:cs="Times New Roman"/>
        </w:rPr>
        <w:t xml:space="preserve">tates intended that persons without “sufficient substantive economic connections” to their state of residence </w:t>
      </w:r>
      <w:r>
        <w:rPr>
          <w:rFonts w:cs="Times New Roman"/>
        </w:rPr>
        <w:t>be able to</w:t>
      </w:r>
      <w:r w:rsidRPr="000770DC">
        <w:rPr>
          <w:rFonts w:cs="Times New Roman"/>
        </w:rPr>
        <w:t xml:space="preserve"> take advantage of the carve-out to avoid paying any taxes. Put simply, </w:t>
      </w:r>
      <w:r>
        <w:rPr>
          <w:rFonts w:cs="Times New Roman"/>
        </w:rPr>
        <w:t xml:space="preserve">the question is </w:t>
      </w:r>
      <w:r w:rsidRPr="000770DC">
        <w:rPr>
          <w:rFonts w:cs="Times New Roman"/>
        </w:rPr>
        <w:t>whether the use of conduit corporations in this context pervert</w:t>
      </w:r>
      <w:r>
        <w:rPr>
          <w:rFonts w:cs="Times New Roman"/>
        </w:rPr>
        <w:t>s</w:t>
      </w:r>
      <w:r w:rsidRPr="000770DC">
        <w:rPr>
          <w:rFonts w:cs="Times New Roman"/>
        </w:rPr>
        <w:t xml:space="preserve"> the bargain struck between Canada and Luxem</w:t>
      </w:r>
      <w:r>
        <w:rPr>
          <w:rFonts w:cs="Times New Roman"/>
        </w:rPr>
        <w:t>bourg. In my view, it does not.</w:t>
      </w:r>
    </w:p>
    <w:p w14:paraId="699CAE3F" w14:textId="77777777" w:rsidR="001346AE" w:rsidRPr="000770DC" w:rsidRDefault="001346AE" w:rsidP="001346AE">
      <w:pPr>
        <w:pStyle w:val="ParaNoNdepar-AltN"/>
        <w:rPr>
          <w:rFonts w:cs="Times New Roman"/>
        </w:rPr>
      </w:pPr>
      <w:r w:rsidRPr="000770DC">
        <w:rPr>
          <w:rFonts w:cs="Times New Roman"/>
        </w:rPr>
        <w:t xml:space="preserve">The GAAR was enacted to catch unforeseen tax strategies. However, </w:t>
      </w:r>
      <w:r>
        <w:rPr>
          <w:rFonts w:cs="Times New Roman"/>
        </w:rPr>
        <w:t xml:space="preserve">the use of </w:t>
      </w:r>
      <w:r w:rsidRPr="000770DC">
        <w:rPr>
          <w:rFonts w:cs="Times New Roman"/>
        </w:rPr>
        <w:t>conduit corporations, “legal entit[ies] created in a State essentially to obtain treaty benefits that would not be available directly”</w:t>
      </w:r>
      <w:r>
        <w:rPr>
          <w:rFonts w:cs="Times New Roman"/>
        </w:rPr>
        <w:t>,</w:t>
      </w:r>
      <w:r w:rsidRPr="000770DC">
        <w:rPr>
          <w:rFonts w:cs="Times New Roman"/>
        </w:rPr>
        <w:t xml:space="preserve"> w</w:t>
      </w:r>
      <w:r>
        <w:rPr>
          <w:rFonts w:cs="Times New Roman"/>
        </w:rPr>
        <w:t>as</w:t>
      </w:r>
      <w:r w:rsidRPr="000770DC">
        <w:rPr>
          <w:rFonts w:cs="Times New Roman"/>
        </w:rPr>
        <w:t xml:space="preserve"> </w:t>
      </w:r>
      <w:r w:rsidRPr="000770DC">
        <w:rPr>
          <w:rFonts w:cs="Times New Roman"/>
          <w:szCs w:val="24"/>
        </w:rPr>
        <w:t xml:space="preserve">not </w:t>
      </w:r>
      <w:r>
        <w:rPr>
          <w:rFonts w:cs="Times New Roman"/>
          <w:szCs w:val="24"/>
        </w:rPr>
        <w:t xml:space="preserve">an </w:t>
      </w:r>
      <w:r w:rsidRPr="000770DC">
        <w:rPr>
          <w:rFonts w:cs="Times New Roman"/>
          <w:szCs w:val="24"/>
        </w:rPr>
        <w:t>unforeseen tax strateg</w:t>
      </w:r>
      <w:r>
        <w:rPr>
          <w:rFonts w:cs="Times New Roman"/>
          <w:szCs w:val="24"/>
        </w:rPr>
        <w:t>y</w:t>
      </w:r>
      <w:r w:rsidRPr="000770DC">
        <w:rPr>
          <w:rFonts w:cs="Times New Roman"/>
        </w:rPr>
        <w:t xml:space="preserve"> at the time of the </w:t>
      </w:r>
      <w:r w:rsidRPr="000770DC">
        <w:rPr>
          <w:rFonts w:cs="Times New Roman"/>
          <w:i/>
        </w:rPr>
        <w:t xml:space="preserve">Treaty </w:t>
      </w:r>
      <w:r w:rsidRPr="000770DC">
        <w:rPr>
          <w:rFonts w:cs="Times New Roman"/>
        </w:rPr>
        <w:t>(</w:t>
      </w:r>
      <w:r>
        <w:rPr>
          <w:rFonts w:cs="Times New Roman"/>
        </w:rPr>
        <w:t>“</w:t>
      </w:r>
      <w:r w:rsidRPr="000770DC">
        <w:rPr>
          <w:rFonts w:cs="Times New Roman"/>
        </w:rPr>
        <w:t xml:space="preserve">Commentary </w:t>
      </w:r>
      <w:r>
        <w:rPr>
          <w:rFonts w:cs="Times New Roman"/>
        </w:rPr>
        <w:t>on Article</w:t>
      </w:r>
      <w:r w:rsidRPr="000770DC">
        <w:rPr>
          <w:rFonts w:cs="Times New Roman"/>
        </w:rPr>
        <w:t> 1</w:t>
      </w:r>
      <w:r>
        <w:rPr>
          <w:rFonts w:cs="Times New Roman"/>
        </w:rPr>
        <w:t>”</w:t>
      </w:r>
      <w:r w:rsidRPr="000770DC">
        <w:rPr>
          <w:rFonts w:cs="Times New Roman"/>
        </w:rPr>
        <w:t xml:space="preserve"> of the 1998 OECD </w:t>
      </w:r>
      <w:r w:rsidRPr="00596DE5">
        <w:rPr>
          <w:rFonts w:cs="Times New Roman"/>
          <w:i/>
        </w:rPr>
        <w:t>Model Treaty</w:t>
      </w:r>
      <w:r w:rsidRPr="000770DC">
        <w:rPr>
          <w:rFonts w:cs="Times New Roman"/>
        </w:rPr>
        <w:t xml:space="preserve">, at para. 9). Indeed, </w:t>
      </w:r>
      <w:r>
        <w:rPr>
          <w:rFonts w:cs="Times New Roman"/>
        </w:rPr>
        <w:t>it was</w:t>
      </w:r>
      <w:r w:rsidRPr="000770DC">
        <w:rPr>
          <w:rFonts w:cs="Times New Roman"/>
        </w:rPr>
        <w:t xml:space="preserve"> far from being </w:t>
      </w:r>
      <w:r w:rsidRPr="000770DC">
        <w:rPr>
          <w:rFonts w:cs="Times New Roman"/>
          <w:szCs w:val="24"/>
        </w:rPr>
        <w:t xml:space="preserve">a novel phenomenon that emerged subsequently to the signing of the </w:t>
      </w:r>
      <w:r w:rsidRPr="000770DC">
        <w:rPr>
          <w:rFonts w:cs="Times New Roman"/>
          <w:i/>
          <w:szCs w:val="24"/>
        </w:rPr>
        <w:t>Treaty</w:t>
      </w:r>
      <w:r w:rsidRPr="000770DC">
        <w:rPr>
          <w:rFonts w:cs="Times New Roman"/>
          <w:szCs w:val="24"/>
        </w:rPr>
        <w:t xml:space="preserve">. Back in the 1970s, </w:t>
      </w:r>
      <w:r>
        <w:rPr>
          <w:rFonts w:cs="Times New Roman"/>
          <w:szCs w:val="24"/>
        </w:rPr>
        <w:t>the “</w:t>
      </w:r>
      <w:r w:rsidRPr="000770DC">
        <w:rPr>
          <w:rFonts w:cs="Times New Roman"/>
          <w:szCs w:val="24"/>
        </w:rPr>
        <w:t xml:space="preserve">Commentary </w:t>
      </w:r>
      <w:r>
        <w:rPr>
          <w:rFonts w:cs="Times New Roman"/>
          <w:szCs w:val="24"/>
        </w:rPr>
        <w:t>on</w:t>
      </w:r>
      <w:r w:rsidRPr="000770DC">
        <w:rPr>
          <w:rFonts w:cs="Times New Roman"/>
          <w:szCs w:val="24"/>
        </w:rPr>
        <w:t xml:space="preserve"> </w:t>
      </w:r>
      <w:r>
        <w:rPr>
          <w:rFonts w:cs="Times New Roman"/>
          <w:szCs w:val="24"/>
        </w:rPr>
        <w:t>Article</w:t>
      </w:r>
      <w:r w:rsidRPr="000770DC">
        <w:rPr>
          <w:rFonts w:cs="Times New Roman"/>
          <w:szCs w:val="24"/>
        </w:rPr>
        <w:t> 1</w:t>
      </w:r>
      <w:r>
        <w:rPr>
          <w:rFonts w:cs="Times New Roman"/>
          <w:szCs w:val="24"/>
        </w:rPr>
        <w:t>”</w:t>
      </w:r>
      <w:r w:rsidRPr="000770DC">
        <w:rPr>
          <w:rFonts w:cs="Times New Roman"/>
          <w:szCs w:val="24"/>
        </w:rPr>
        <w:t xml:space="preserve"> of the 1977 OECD </w:t>
      </w:r>
      <w:r w:rsidRPr="00596DE5">
        <w:rPr>
          <w:rFonts w:cs="Times New Roman"/>
          <w:i/>
          <w:szCs w:val="24"/>
        </w:rPr>
        <w:t>Model Treaty</w:t>
      </w:r>
      <w:r>
        <w:rPr>
          <w:rFonts w:cs="Times New Roman"/>
          <w:szCs w:val="24"/>
        </w:rPr>
        <w:t xml:space="preserve"> </w:t>
      </w:r>
      <w:r w:rsidRPr="000770DC">
        <w:rPr>
          <w:rFonts w:cs="Times New Roman"/>
          <w:szCs w:val="24"/>
        </w:rPr>
        <w:t xml:space="preserve">criticized tax planning strategies involving conduit corporations (paras. 8-9). </w:t>
      </w:r>
      <w:r>
        <w:rPr>
          <w:rFonts w:cs="Times New Roman"/>
          <w:szCs w:val="24"/>
        </w:rPr>
        <w:t>This</w:t>
      </w:r>
      <w:r w:rsidRPr="000770DC">
        <w:rPr>
          <w:rFonts w:cs="Times New Roman"/>
          <w:szCs w:val="24"/>
        </w:rPr>
        <w:t xml:space="preserve"> was also an issue discussed by learned authors (see</w:t>
      </w:r>
      <w:r>
        <w:rPr>
          <w:rFonts w:cs="Times New Roman"/>
          <w:szCs w:val="24"/>
        </w:rPr>
        <w:t>,</w:t>
      </w:r>
      <w:r w:rsidRPr="000770DC">
        <w:rPr>
          <w:rFonts w:cs="Times New Roman"/>
          <w:szCs w:val="24"/>
        </w:rPr>
        <w:t xml:space="preserve"> </w:t>
      </w:r>
      <w:r w:rsidRPr="00596DE5">
        <w:rPr>
          <w:rFonts w:cs="Times New Roman"/>
          <w:szCs w:val="24"/>
        </w:rPr>
        <w:t>e.g.</w:t>
      </w:r>
      <w:r>
        <w:rPr>
          <w:rFonts w:cs="Times New Roman"/>
          <w:szCs w:val="24"/>
        </w:rPr>
        <w:t>, A. A. </w:t>
      </w:r>
      <w:r w:rsidRPr="000770DC">
        <w:rPr>
          <w:rFonts w:cs="Times New Roman"/>
          <w:szCs w:val="24"/>
        </w:rPr>
        <w:t xml:space="preserve">Knechtle, </w:t>
      </w:r>
      <w:r w:rsidRPr="000770DC">
        <w:rPr>
          <w:rFonts w:cs="Times New Roman"/>
          <w:i/>
          <w:szCs w:val="24"/>
        </w:rPr>
        <w:t>Basic Problems in International Fiscal Law</w:t>
      </w:r>
      <w:r w:rsidRPr="000770DC">
        <w:rPr>
          <w:rFonts w:cs="Times New Roman"/>
          <w:szCs w:val="24"/>
        </w:rPr>
        <w:t xml:space="preserve"> (1979), at p. </w:t>
      </w:r>
      <w:r>
        <w:rPr>
          <w:rFonts w:cs="Times New Roman"/>
          <w:szCs w:val="24"/>
        </w:rPr>
        <w:t>115; D. R. </w:t>
      </w:r>
      <w:r w:rsidRPr="000770DC">
        <w:rPr>
          <w:rFonts w:cs="Times New Roman"/>
          <w:szCs w:val="24"/>
        </w:rPr>
        <w:t xml:space="preserve">Davies, </w:t>
      </w:r>
      <w:r w:rsidRPr="000770DC">
        <w:rPr>
          <w:rFonts w:cs="Times New Roman"/>
          <w:i/>
          <w:szCs w:val="24"/>
        </w:rPr>
        <w:t>Principles of International Double Taxation Relief</w:t>
      </w:r>
      <w:r w:rsidRPr="000770DC">
        <w:rPr>
          <w:rFonts w:cs="Times New Roman"/>
          <w:szCs w:val="24"/>
        </w:rPr>
        <w:t xml:space="preserve"> (1985), at paras. 1.13</w:t>
      </w:r>
      <w:r>
        <w:rPr>
          <w:rFonts w:cs="Times New Roman"/>
          <w:szCs w:val="24"/>
        </w:rPr>
        <w:t xml:space="preserve"> and</w:t>
      </w:r>
      <w:r w:rsidRPr="000770DC">
        <w:rPr>
          <w:rFonts w:cs="Times New Roman"/>
          <w:szCs w:val="24"/>
        </w:rPr>
        <w:t xml:space="preserve"> 3.22). And more contemporaneously to the </w:t>
      </w:r>
      <w:r w:rsidRPr="000770DC">
        <w:rPr>
          <w:rFonts w:cs="Times New Roman"/>
          <w:i/>
          <w:szCs w:val="24"/>
        </w:rPr>
        <w:t>Treaty</w:t>
      </w:r>
      <w:r w:rsidRPr="000770DC">
        <w:rPr>
          <w:rFonts w:cs="Times New Roman"/>
          <w:szCs w:val="24"/>
        </w:rPr>
        <w:t xml:space="preserve">, </w:t>
      </w:r>
      <w:r>
        <w:rPr>
          <w:rFonts w:cs="Times New Roman"/>
          <w:szCs w:val="24"/>
        </w:rPr>
        <w:t>the “</w:t>
      </w:r>
      <w:r w:rsidRPr="000770DC">
        <w:rPr>
          <w:rFonts w:cs="Times New Roman"/>
          <w:szCs w:val="24"/>
        </w:rPr>
        <w:t xml:space="preserve">Commentary </w:t>
      </w:r>
      <w:r>
        <w:rPr>
          <w:rFonts w:cs="Times New Roman"/>
          <w:szCs w:val="24"/>
        </w:rPr>
        <w:t>on Article</w:t>
      </w:r>
      <w:r w:rsidRPr="000770DC">
        <w:rPr>
          <w:rFonts w:cs="Times New Roman"/>
          <w:szCs w:val="24"/>
        </w:rPr>
        <w:t> 1</w:t>
      </w:r>
      <w:r>
        <w:rPr>
          <w:rFonts w:cs="Times New Roman"/>
          <w:szCs w:val="24"/>
        </w:rPr>
        <w:t>”</w:t>
      </w:r>
      <w:r w:rsidRPr="000770DC">
        <w:rPr>
          <w:rFonts w:cs="Times New Roman"/>
          <w:szCs w:val="24"/>
        </w:rPr>
        <w:t xml:space="preserve"> </w:t>
      </w:r>
      <w:r>
        <w:rPr>
          <w:rFonts w:cs="Times New Roman"/>
          <w:szCs w:val="24"/>
        </w:rPr>
        <w:t xml:space="preserve">of </w:t>
      </w:r>
      <w:r w:rsidRPr="000770DC">
        <w:rPr>
          <w:rFonts w:cs="Times New Roman"/>
          <w:szCs w:val="24"/>
        </w:rPr>
        <w:t xml:space="preserve">the 1998 OECD </w:t>
      </w:r>
      <w:r w:rsidRPr="00596DE5">
        <w:rPr>
          <w:rFonts w:cs="Times New Roman"/>
          <w:i/>
          <w:szCs w:val="24"/>
        </w:rPr>
        <w:t>Model Treaty</w:t>
      </w:r>
      <w:r>
        <w:rPr>
          <w:rFonts w:cs="Times New Roman"/>
          <w:szCs w:val="24"/>
        </w:rPr>
        <w:t xml:space="preserve"> </w:t>
      </w:r>
      <w:r w:rsidRPr="000770DC">
        <w:rPr>
          <w:rFonts w:cs="Times New Roman"/>
          <w:szCs w:val="24"/>
        </w:rPr>
        <w:t>discussed the use of conduit corporations</w:t>
      </w:r>
      <w:r>
        <w:rPr>
          <w:rFonts w:cs="Times New Roman"/>
          <w:szCs w:val="24"/>
        </w:rPr>
        <w:t xml:space="preserve"> as well.</w:t>
      </w:r>
    </w:p>
    <w:p w14:paraId="3AD58DFD" w14:textId="77777777" w:rsidR="001346AE" w:rsidRPr="000770DC" w:rsidRDefault="001346AE" w:rsidP="001346AE">
      <w:pPr>
        <w:pStyle w:val="ParaNoNdepar-AltN"/>
        <w:rPr>
          <w:rFonts w:cs="Times New Roman"/>
        </w:rPr>
      </w:pPr>
      <w:r>
        <w:rPr>
          <w:rFonts w:cs="Times New Roman"/>
          <w:szCs w:val="24"/>
        </w:rPr>
        <w:t xml:space="preserve">Luxembourg is a country well </w:t>
      </w:r>
      <w:r w:rsidRPr="000770DC">
        <w:rPr>
          <w:rFonts w:cs="Times New Roman"/>
          <w:szCs w:val="24"/>
        </w:rPr>
        <w:t xml:space="preserve">known for its broad tax treaty network and international tax </w:t>
      </w:r>
      <w:r>
        <w:rPr>
          <w:rFonts w:cs="Times New Roman"/>
          <w:szCs w:val="24"/>
        </w:rPr>
        <w:t>haven</w:t>
      </w:r>
      <w:r w:rsidRPr="000770DC">
        <w:rPr>
          <w:rFonts w:cs="Times New Roman"/>
          <w:szCs w:val="24"/>
        </w:rPr>
        <w:t xml:space="preserve"> regime, making it an attractive jurisdiction to set up a conduit corporation and take advantage of treaty benefits. As mentioned above, one can presume that Canada had knowledge of these </w:t>
      </w:r>
      <w:r>
        <w:rPr>
          <w:rFonts w:cs="Times New Roman"/>
          <w:szCs w:val="24"/>
        </w:rPr>
        <w:t>features</w:t>
      </w:r>
      <w:r w:rsidRPr="000770DC">
        <w:rPr>
          <w:rFonts w:cs="Times New Roman"/>
          <w:szCs w:val="24"/>
        </w:rPr>
        <w:t xml:space="preserve"> of Luxembourg’s tax system </w:t>
      </w:r>
      <w:r w:rsidRPr="000770DC">
        <w:rPr>
          <w:rFonts w:cs="Times New Roman"/>
          <w:szCs w:val="24"/>
        </w:rPr>
        <w:lastRenderedPageBreak/>
        <w:t xml:space="preserve">when it entered into the </w:t>
      </w:r>
      <w:r w:rsidRPr="000770DC">
        <w:rPr>
          <w:rFonts w:cs="Times New Roman"/>
          <w:i/>
          <w:szCs w:val="24"/>
        </w:rPr>
        <w:t>Treaty</w:t>
      </w:r>
      <w:r w:rsidRPr="000770DC">
        <w:rPr>
          <w:rFonts w:cs="Times New Roman"/>
          <w:szCs w:val="24"/>
        </w:rPr>
        <w:t xml:space="preserve">. Canada </w:t>
      </w:r>
      <w:r>
        <w:rPr>
          <w:rFonts w:cs="Times New Roman"/>
          <w:szCs w:val="24"/>
        </w:rPr>
        <w:t xml:space="preserve">nevertheless </w:t>
      </w:r>
      <w:r w:rsidRPr="000770DC">
        <w:rPr>
          <w:rFonts w:cs="Times New Roman"/>
          <w:szCs w:val="24"/>
        </w:rPr>
        <w:t xml:space="preserve">entered into a bilateral tax treaty with Luxembourg with only minimal safeguards and thereby ignored many of the OECD’s suggestions. </w:t>
      </w:r>
      <w:r>
        <w:rPr>
          <w:rFonts w:cs="Times New Roman"/>
          <w:szCs w:val="24"/>
        </w:rPr>
        <w:t>At that time, a</w:t>
      </w:r>
      <w:r w:rsidRPr="000770DC">
        <w:rPr>
          <w:rFonts w:cs="Times New Roman"/>
          <w:szCs w:val="24"/>
        </w:rPr>
        <w:t xml:space="preserve">s discussed above, </w:t>
      </w:r>
      <w:r>
        <w:rPr>
          <w:rFonts w:cs="Times New Roman"/>
          <w:szCs w:val="24"/>
        </w:rPr>
        <w:t>the “</w:t>
      </w:r>
      <w:r w:rsidRPr="000770DC">
        <w:rPr>
          <w:rFonts w:cs="Times New Roman"/>
          <w:szCs w:val="24"/>
        </w:rPr>
        <w:t xml:space="preserve">Commentary </w:t>
      </w:r>
      <w:r>
        <w:rPr>
          <w:rFonts w:cs="Times New Roman"/>
          <w:szCs w:val="24"/>
        </w:rPr>
        <w:t>on Article</w:t>
      </w:r>
      <w:r w:rsidRPr="000770DC">
        <w:rPr>
          <w:rFonts w:cs="Times New Roman"/>
          <w:szCs w:val="24"/>
        </w:rPr>
        <w:t> 1</w:t>
      </w:r>
      <w:r>
        <w:rPr>
          <w:rFonts w:cs="Times New Roman"/>
          <w:szCs w:val="24"/>
        </w:rPr>
        <w:t>”</w:t>
      </w:r>
      <w:r w:rsidRPr="000770DC">
        <w:rPr>
          <w:rFonts w:cs="Times New Roman"/>
          <w:szCs w:val="24"/>
        </w:rPr>
        <w:t xml:space="preserve"> of the 1998 OECD </w:t>
      </w:r>
      <w:r w:rsidRPr="00596DE5">
        <w:rPr>
          <w:rFonts w:cs="Times New Roman"/>
          <w:i/>
          <w:szCs w:val="24"/>
        </w:rPr>
        <w:t>Model Treaty</w:t>
      </w:r>
      <w:r>
        <w:rPr>
          <w:rFonts w:cs="Times New Roman"/>
          <w:szCs w:val="24"/>
        </w:rPr>
        <w:t xml:space="preserve"> set out </w:t>
      </w:r>
      <w:r w:rsidRPr="000770DC">
        <w:rPr>
          <w:rFonts w:cs="Times New Roman"/>
          <w:szCs w:val="24"/>
        </w:rPr>
        <w:t>a whole menu of potential anti-avoidance provisions that m</w:t>
      </w:r>
      <w:r>
        <w:rPr>
          <w:rFonts w:cs="Times New Roman"/>
          <w:szCs w:val="24"/>
        </w:rPr>
        <w:t xml:space="preserve">ight </w:t>
      </w:r>
      <w:r w:rsidRPr="000770DC">
        <w:rPr>
          <w:rFonts w:cs="Times New Roman"/>
          <w:szCs w:val="24"/>
        </w:rPr>
        <w:t>have short-circuited the creation of cond</w:t>
      </w:r>
      <w:r>
        <w:rPr>
          <w:rFonts w:cs="Times New Roman"/>
          <w:szCs w:val="24"/>
        </w:rPr>
        <w:t>uit corporations in Luxembourg.</w:t>
      </w:r>
    </w:p>
    <w:p w14:paraId="2DB4FA5A" w14:textId="77777777" w:rsidR="001346AE" w:rsidRPr="000770DC" w:rsidRDefault="001346AE" w:rsidP="001346AE">
      <w:pPr>
        <w:pStyle w:val="ParaNoNdepar-AltN"/>
        <w:rPr>
          <w:rFonts w:cs="Times New Roman"/>
        </w:rPr>
      </w:pPr>
      <w:r w:rsidRPr="000770DC">
        <w:rPr>
          <w:rFonts w:cs="Times New Roman"/>
        </w:rPr>
        <w:t xml:space="preserve">I acknowledge that the absence of specific anti-avoidance rules that would have prevented the situation is not necessarily determinative of the application of the GAAR (see </w:t>
      </w:r>
      <w:r w:rsidRPr="000770DC">
        <w:rPr>
          <w:rFonts w:cs="Times New Roman"/>
          <w:i/>
        </w:rPr>
        <w:t>Copthorne</w:t>
      </w:r>
      <w:r w:rsidRPr="000770DC">
        <w:rPr>
          <w:rFonts w:cs="Times New Roman"/>
        </w:rPr>
        <w:t>, at paras. 108-11). Of course, one could always imagine a potential anti-avoidance rule that would have pre-empted the tax strategy at issue. If that were the standard, I agree that it would provide a full response in every case and gut the GAAR. In this case, the absence of specific anti-avoidance provisions represents, however, an enlightening contextual and purposive element as</w:t>
      </w:r>
      <w:r>
        <w:rPr>
          <w:rFonts w:cs="Times New Roman"/>
        </w:rPr>
        <w:t xml:space="preserve"> it sheds light on the contracting s</w:t>
      </w:r>
      <w:r w:rsidRPr="000770DC">
        <w:rPr>
          <w:rFonts w:cs="Times New Roman"/>
        </w:rPr>
        <w:t xml:space="preserve">tates’ intention. </w:t>
      </w:r>
      <w:r w:rsidRPr="000770DC">
        <w:rPr>
          <w:rFonts w:cs="Times New Roman"/>
          <w:szCs w:val="24"/>
        </w:rPr>
        <w:t xml:space="preserve">This is not a case where Parliament did not or could not have foreseen the tax strategy employed by the taxpayer. </w:t>
      </w:r>
      <w:r w:rsidRPr="000770DC">
        <w:rPr>
          <w:rFonts w:cs="Times New Roman"/>
        </w:rPr>
        <w:t xml:space="preserve">Options to remediate the situation were available and known by the parties, but they made deliberate choices to guard some benefits against conduit corporations and to leave </w:t>
      </w:r>
      <w:r>
        <w:rPr>
          <w:rFonts w:cs="Times New Roman"/>
        </w:rPr>
        <w:t xml:space="preserve">others </w:t>
      </w:r>
      <w:r w:rsidRPr="000770DC">
        <w:rPr>
          <w:rFonts w:cs="Times New Roman"/>
        </w:rPr>
        <w:t>unguarded.</w:t>
      </w:r>
      <w:r w:rsidRPr="000770DC">
        <w:rPr>
          <w:rFonts w:cs="Times New Roman"/>
          <w:szCs w:val="24"/>
        </w:rPr>
        <w:t xml:space="preserve"> Had the parties truly intended to prevent </w:t>
      </w:r>
      <w:r>
        <w:rPr>
          <w:rFonts w:cs="Times New Roman"/>
          <w:szCs w:val="24"/>
        </w:rPr>
        <w:t>such</w:t>
      </w:r>
      <w:r w:rsidRPr="000770DC">
        <w:rPr>
          <w:rFonts w:cs="Times New Roman"/>
          <w:szCs w:val="24"/>
        </w:rPr>
        <w:t xml:space="preserve"> corporations from taking advantage of the carve-out, they could have done so. Combined with Canada’s preference at the time of the </w:t>
      </w:r>
      <w:r w:rsidRPr="000770DC">
        <w:rPr>
          <w:rFonts w:cs="Times New Roman"/>
          <w:i/>
          <w:szCs w:val="24"/>
        </w:rPr>
        <w:t xml:space="preserve">Treaty </w:t>
      </w:r>
      <w:r w:rsidRPr="000770DC">
        <w:rPr>
          <w:rFonts w:cs="Times New Roman"/>
          <w:szCs w:val="24"/>
        </w:rPr>
        <w:t xml:space="preserve">for </w:t>
      </w:r>
      <w:r>
        <w:rPr>
          <w:rFonts w:cs="Times New Roman"/>
          <w:szCs w:val="24"/>
        </w:rPr>
        <w:t>taking advantage of</w:t>
      </w:r>
      <w:r w:rsidRPr="000770DC">
        <w:rPr>
          <w:rFonts w:cs="Times New Roman"/>
          <w:szCs w:val="24"/>
        </w:rPr>
        <w:t xml:space="preserve"> economic benefits yielded by foreign investments </w:t>
      </w:r>
      <w:r>
        <w:rPr>
          <w:rFonts w:cs="Times New Roman"/>
          <w:szCs w:val="24"/>
        </w:rPr>
        <w:t>rather than</w:t>
      </w:r>
      <w:r w:rsidRPr="000770DC">
        <w:rPr>
          <w:rFonts w:cs="Times New Roman"/>
          <w:szCs w:val="24"/>
        </w:rPr>
        <w:t xml:space="preserve"> higher tax revenues (as will be discussed below), </w:t>
      </w:r>
      <w:r>
        <w:rPr>
          <w:rFonts w:cs="Times New Roman"/>
          <w:szCs w:val="24"/>
        </w:rPr>
        <w:t>this</w:t>
      </w:r>
      <w:r w:rsidRPr="000770DC">
        <w:rPr>
          <w:rFonts w:cs="Times New Roman"/>
          <w:szCs w:val="24"/>
        </w:rPr>
        <w:t xml:space="preserve"> makes the rationale of the carve-out even clearer. In my opinion, Canada and Luxembourg made a deliberate choice to leave </w:t>
      </w:r>
      <w:r>
        <w:rPr>
          <w:rFonts w:cs="Times New Roman"/>
          <w:szCs w:val="24"/>
        </w:rPr>
        <w:t>the business property exemption</w:t>
      </w:r>
      <w:r w:rsidRPr="000770DC">
        <w:rPr>
          <w:rFonts w:cs="Times New Roman"/>
          <w:szCs w:val="24"/>
        </w:rPr>
        <w:t xml:space="preserve"> unguarded.</w:t>
      </w:r>
    </w:p>
    <w:p w14:paraId="12F52790" w14:textId="77777777" w:rsidR="001346AE" w:rsidRPr="000770DC" w:rsidRDefault="001346AE" w:rsidP="001346AE">
      <w:pPr>
        <w:pStyle w:val="ParaNoNdepar-AltN"/>
        <w:rPr>
          <w:rFonts w:cs="Times New Roman"/>
        </w:rPr>
      </w:pPr>
      <w:r>
        <w:rPr>
          <w:rFonts w:cs="Times New Roman"/>
          <w:szCs w:val="24"/>
        </w:rPr>
        <w:lastRenderedPageBreak/>
        <w:t>T</w:t>
      </w:r>
      <w:r w:rsidRPr="000770DC">
        <w:rPr>
          <w:rFonts w:cs="Times New Roman"/>
          <w:szCs w:val="24"/>
        </w:rPr>
        <w:t>he parties agreed to exclude Luxembourg holding companies</w:t>
      </w:r>
      <w:r>
        <w:rPr>
          <w:rFonts w:cs="Times New Roman"/>
          <w:szCs w:val="24"/>
        </w:rPr>
        <w:t xml:space="preserve"> from their </w:t>
      </w:r>
      <w:r w:rsidRPr="00D36051">
        <w:rPr>
          <w:rFonts w:cs="Times New Roman"/>
          <w:i/>
          <w:szCs w:val="24"/>
        </w:rPr>
        <w:t>Treaty</w:t>
      </w:r>
      <w:r>
        <w:rPr>
          <w:rFonts w:cs="Times New Roman"/>
          <w:szCs w:val="24"/>
        </w:rPr>
        <w:t xml:space="preserve"> (a</w:t>
      </w:r>
      <w:r w:rsidRPr="000770DC">
        <w:rPr>
          <w:rFonts w:cs="Times New Roman"/>
          <w:szCs w:val="24"/>
        </w:rPr>
        <w:t xml:space="preserve">rt. 28(3)). However, as explained above, the parties did not follow the OECD’s suggestion to include a </w:t>
      </w:r>
      <w:r w:rsidRPr="000770DC">
        <w:rPr>
          <w:rFonts w:cs="Times New Roman"/>
        </w:rPr>
        <w:t>“look-through” provision combined</w:t>
      </w:r>
      <w:r w:rsidRPr="000770DC">
        <w:rPr>
          <w:rFonts w:cs="Times New Roman"/>
          <w:szCs w:val="24"/>
        </w:rPr>
        <w:t xml:space="preserve"> </w:t>
      </w:r>
      <w:r w:rsidRPr="000770DC">
        <w:rPr>
          <w:rFonts w:cs="Times New Roman"/>
        </w:rPr>
        <w:t xml:space="preserve">with a provision safeguarding </w:t>
      </w:r>
      <w:r w:rsidRPr="000770DC">
        <w:rPr>
          <w:rFonts w:cs="Times New Roman"/>
          <w:i/>
        </w:rPr>
        <w:t xml:space="preserve">bona fide </w:t>
      </w:r>
      <w:r w:rsidRPr="000770DC">
        <w:rPr>
          <w:rFonts w:cs="Times New Roman"/>
        </w:rPr>
        <w:t xml:space="preserve">business activities. Doing so would have excluded conduit corporations that </w:t>
      </w:r>
      <w:r>
        <w:rPr>
          <w:rFonts w:cs="Times New Roman"/>
        </w:rPr>
        <w:t>were</w:t>
      </w:r>
      <w:r w:rsidRPr="000770DC">
        <w:rPr>
          <w:rFonts w:cs="Times New Roman"/>
        </w:rPr>
        <w:t xml:space="preserve"> owned by residents </w:t>
      </w:r>
      <w:r>
        <w:rPr>
          <w:rFonts w:cs="Times New Roman"/>
        </w:rPr>
        <w:t xml:space="preserve">of a third country </w:t>
      </w:r>
      <w:r w:rsidRPr="000770DC">
        <w:rPr>
          <w:rFonts w:cs="Times New Roman"/>
        </w:rPr>
        <w:t xml:space="preserve">and </w:t>
      </w:r>
      <w:r>
        <w:rPr>
          <w:rFonts w:cs="Times New Roman"/>
        </w:rPr>
        <w:t xml:space="preserve">that </w:t>
      </w:r>
      <w:r w:rsidRPr="000770DC">
        <w:rPr>
          <w:rFonts w:cs="Times New Roman"/>
        </w:rPr>
        <w:t>conduct</w:t>
      </w:r>
      <w:r>
        <w:rPr>
          <w:rFonts w:cs="Times New Roman"/>
        </w:rPr>
        <w:t>ed</w:t>
      </w:r>
      <w:r w:rsidRPr="000770DC">
        <w:rPr>
          <w:rFonts w:cs="Times New Roman"/>
        </w:rPr>
        <w:t xml:space="preserve"> </w:t>
      </w:r>
      <w:r>
        <w:rPr>
          <w:rFonts w:cs="Times New Roman"/>
        </w:rPr>
        <w:t>few</w:t>
      </w:r>
      <w:r w:rsidRPr="000770DC">
        <w:rPr>
          <w:rFonts w:cs="Times New Roman"/>
        </w:rPr>
        <w:t xml:space="preserve"> “substantive business activities” in Luxembourg</w:t>
      </w:r>
      <w:r>
        <w:rPr>
          <w:rFonts w:cs="Times New Roman"/>
          <w:szCs w:val="24"/>
        </w:rPr>
        <w:t>.</w:t>
      </w:r>
    </w:p>
    <w:p w14:paraId="61FB831F" w14:textId="77777777" w:rsidR="001346AE" w:rsidRPr="000770DC" w:rsidRDefault="001346AE" w:rsidP="001346AE">
      <w:pPr>
        <w:pStyle w:val="ParaNoNdepar-AltN"/>
        <w:rPr>
          <w:rFonts w:cs="Times New Roman"/>
        </w:rPr>
      </w:pPr>
      <w:r w:rsidRPr="000770DC">
        <w:rPr>
          <w:rFonts w:cs="Times New Roman"/>
          <w:szCs w:val="24"/>
        </w:rPr>
        <w:t>Moreover, Luxembourg and Canada added provisions reserving</w:t>
      </w:r>
      <w:r>
        <w:rPr>
          <w:rFonts w:cs="Times New Roman"/>
          <w:szCs w:val="24"/>
        </w:rPr>
        <w:t xml:space="preserve"> the benefits of the</w:t>
      </w:r>
      <w:r w:rsidRPr="000770DC">
        <w:rPr>
          <w:rFonts w:cs="Times New Roman"/>
          <w:szCs w:val="24"/>
        </w:rPr>
        <w:t xml:space="preserve"> </w:t>
      </w:r>
      <w:r w:rsidRPr="000770DC">
        <w:rPr>
          <w:rFonts w:cs="Times New Roman"/>
          <w:i/>
          <w:szCs w:val="24"/>
        </w:rPr>
        <w:t>Treaty</w:t>
      </w:r>
      <w:r w:rsidRPr="000770DC">
        <w:rPr>
          <w:rFonts w:cs="Times New Roman"/>
          <w:szCs w:val="24"/>
        </w:rPr>
        <w:t xml:space="preserve"> to the beneficial owners of certain income</w:t>
      </w:r>
      <w:r>
        <w:rPr>
          <w:rFonts w:cs="Times New Roman"/>
          <w:szCs w:val="24"/>
        </w:rPr>
        <w:t>,</w:t>
      </w:r>
      <w:r w:rsidRPr="000770DC">
        <w:rPr>
          <w:rFonts w:cs="Times New Roman"/>
          <w:szCs w:val="24"/>
        </w:rPr>
        <w:t xml:space="preserve"> but only in respect of dividends, interest, and royalties</w:t>
      </w:r>
      <w:r>
        <w:rPr>
          <w:rFonts w:cs="Times New Roman"/>
          <w:szCs w:val="24"/>
        </w:rPr>
        <w:t>, not capital gains (a</w:t>
      </w:r>
      <w:r w:rsidRPr="000770DC">
        <w:rPr>
          <w:rFonts w:cs="Times New Roman"/>
          <w:szCs w:val="24"/>
        </w:rPr>
        <w:t>rts. 10</w:t>
      </w:r>
      <w:r>
        <w:rPr>
          <w:rFonts w:cs="Times New Roman"/>
          <w:szCs w:val="24"/>
        </w:rPr>
        <w:t xml:space="preserve"> to </w:t>
      </w:r>
      <w:r w:rsidRPr="000770DC">
        <w:rPr>
          <w:rFonts w:cs="Times New Roman"/>
          <w:szCs w:val="24"/>
        </w:rPr>
        <w:t xml:space="preserve">12). If the parties had applied the concept of beneficial ownership to the carve-out, it would have prevented conduit corporations from taking advantage of this benefit where their beneficial owners </w:t>
      </w:r>
      <w:r>
        <w:rPr>
          <w:rFonts w:cs="Times New Roman"/>
          <w:szCs w:val="24"/>
        </w:rPr>
        <w:t>were</w:t>
      </w:r>
      <w:r w:rsidRPr="000770DC">
        <w:rPr>
          <w:rFonts w:cs="Times New Roman"/>
          <w:szCs w:val="24"/>
        </w:rPr>
        <w:t xml:space="preserve"> residents</w:t>
      </w:r>
      <w:r>
        <w:rPr>
          <w:rFonts w:cs="Times New Roman"/>
          <w:szCs w:val="24"/>
        </w:rPr>
        <w:t xml:space="preserve"> of a third country</w:t>
      </w:r>
      <w:r w:rsidRPr="000770DC">
        <w:rPr>
          <w:rFonts w:cs="Times New Roman"/>
          <w:szCs w:val="24"/>
        </w:rPr>
        <w:t xml:space="preserve"> (see</w:t>
      </w:r>
      <w:r>
        <w:rPr>
          <w:rFonts w:cs="Times New Roman"/>
          <w:szCs w:val="24"/>
        </w:rPr>
        <w:t>,</w:t>
      </w:r>
      <w:r w:rsidRPr="000770DC">
        <w:rPr>
          <w:rFonts w:cs="Times New Roman"/>
          <w:szCs w:val="24"/>
        </w:rPr>
        <w:t xml:space="preserve"> </w:t>
      </w:r>
      <w:r w:rsidRPr="00AD2731">
        <w:rPr>
          <w:rFonts w:cs="Times New Roman"/>
          <w:szCs w:val="24"/>
        </w:rPr>
        <w:t>e.g.</w:t>
      </w:r>
      <w:r>
        <w:rPr>
          <w:rFonts w:cs="Times New Roman"/>
          <w:szCs w:val="24"/>
        </w:rPr>
        <w:t>,</w:t>
      </w:r>
      <w:r w:rsidRPr="000770DC">
        <w:rPr>
          <w:rFonts w:cs="Times New Roman"/>
          <w:i/>
          <w:szCs w:val="24"/>
        </w:rPr>
        <w:t xml:space="preserve"> Prévost Car</w:t>
      </w:r>
      <w:r w:rsidRPr="000770DC">
        <w:rPr>
          <w:rFonts w:cs="Times New Roman"/>
          <w:szCs w:val="24"/>
        </w:rPr>
        <w:t xml:space="preserve">). Although the OECD </w:t>
      </w:r>
      <w:r w:rsidRPr="00AD2731">
        <w:rPr>
          <w:rFonts w:cs="Times New Roman"/>
          <w:i/>
          <w:szCs w:val="24"/>
        </w:rPr>
        <w:t>Model Treaty</w:t>
      </w:r>
      <w:r w:rsidRPr="000770DC">
        <w:rPr>
          <w:rFonts w:cs="Times New Roman"/>
          <w:szCs w:val="24"/>
        </w:rPr>
        <w:t xml:space="preserve"> may not have specifically recommended </w:t>
      </w:r>
      <w:r>
        <w:rPr>
          <w:rFonts w:cs="Times New Roman"/>
          <w:szCs w:val="24"/>
        </w:rPr>
        <w:t>extending</w:t>
      </w:r>
      <w:r w:rsidRPr="000770DC">
        <w:rPr>
          <w:rFonts w:cs="Times New Roman"/>
          <w:szCs w:val="24"/>
        </w:rPr>
        <w:t xml:space="preserve"> the concept of beneficial ownership to capital gains, nothing barred the parties from doing so. After all, the OECD </w:t>
      </w:r>
      <w:r w:rsidRPr="00AD2731">
        <w:rPr>
          <w:rFonts w:cs="Times New Roman"/>
          <w:i/>
          <w:szCs w:val="24"/>
        </w:rPr>
        <w:t>Model Treaty</w:t>
      </w:r>
      <w:r w:rsidRPr="000770DC">
        <w:rPr>
          <w:rFonts w:cs="Times New Roman"/>
          <w:szCs w:val="24"/>
        </w:rPr>
        <w:t xml:space="preserve"> remains a model, not a binding legal instrument. I fail to see, as Rowe and Martin JJ. do, a fundamental difference between capital gains, on the one hand, and dividends, interest, and royalties, on the other, that would have </w:t>
      </w:r>
      <w:r>
        <w:rPr>
          <w:rFonts w:cs="Times New Roman"/>
          <w:szCs w:val="24"/>
        </w:rPr>
        <w:t>mad</w:t>
      </w:r>
      <w:r w:rsidRPr="000770DC">
        <w:rPr>
          <w:rFonts w:cs="Times New Roman"/>
          <w:szCs w:val="24"/>
        </w:rPr>
        <w:t>e beneficial ownership unsuitable in respect of capital gains. It is true that, in a paper prepared in 2008 for the United Nations, Professor Philip Baker questioned the possible extension of the beneficial ownership concept to capital gains because it is harder to identify the beneficial owner of a capital gain than to identify the beneficial owner of a traceable flow of income like dividends, interest, and royalties (</w:t>
      </w:r>
      <w:r w:rsidRPr="00AD2731">
        <w:rPr>
          <w:rFonts w:cs="Times New Roman"/>
          <w:i/>
          <w:lang w:val="x-none"/>
        </w:rPr>
        <w:t>The United Nations Model Double Taxation Convention</w:t>
      </w:r>
      <w:r w:rsidRPr="00AD2731">
        <w:rPr>
          <w:rFonts w:cs="Times New Roman"/>
          <w:i/>
        </w:rPr>
        <w:t xml:space="preserve"> </w:t>
      </w:r>
      <w:r w:rsidRPr="00AD2731">
        <w:rPr>
          <w:rFonts w:cs="Times New Roman"/>
          <w:i/>
          <w:lang w:val="x-none"/>
        </w:rPr>
        <w:t xml:space="preserve">Between Developed and Developing Countries: </w:t>
      </w:r>
      <w:r w:rsidRPr="00AD2731">
        <w:rPr>
          <w:rFonts w:cs="Times New Roman"/>
          <w:i/>
          <w:lang w:val="x-none"/>
        </w:rPr>
        <w:lastRenderedPageBreak/>
        <w:t>Possible Extension of the Beneficial</w:t>
      </w:r>
      <w:r w:rsidRPr="00AD2731">
        <w:rPr>
          <w:rFonts w:cs="Times New Roman"/>
          <w:i/>
        </w:rPr>
        <w:t xml:space="preserve"> O</w:t>
      </w:r>
      <w:r w:rsidRPr="00AD2731">
        <w:rPr>
          <w:rFonts w:cs="Times New Roman"/>
          <w:i/>
          <w:szCs w:val="24"/>
          <w:lang w:val="x-none"/>
        </w:rPr>
        <w:t>wnership Concept</w:t>
      </w:r>
      <w:r w:rsidRPr="000770DC">
        <w:rPr>
          <w:rFonts w:cs="Times New Roman"/>
          <w:szCs w:val="24"/>
          <w:lang w:val="x-none"/>
        </w:rPr>
        <w:t xml:space="preserve">, </w:t>
      </w:r>
      <w:r>
        <w:rPr>
          <w:rFonts w:cs="Times New Roman"/>
          <w:szCs w:val="24"/>
          <w:lang w:val="en-US"/>
        </w:rPr>
        <w:t xml:space="preserve">U.N. Doc. </w:t>
      </w:r>
      <w:r w:rsidRPr="000770DC">
        <w:rPr>
          <w:rFonts w:cs="Times New Roman"/>
          <w:szCs w:val="24"/>
        </w:rPr>
        <w:t>E/C.18/2008/CRP.2/Add.1</w:t>
      </w:r>
      <w:r w:rsidRPr="000770DC">
        <w:rPr>
          <w:rFonts w:cs="Times New Roman"/>
          <w:szCs w:val="24"/>
          <w:lang w:val="x-none"/>
        </w:rPr>
        <w:t>,</w:t>
      </w:r>
      <w:r w:rsidRPr="000770DC">
        <w:rPr>
          <w:rFonts w:cs="Times New Roman"/>
          <w:szCs w:val="24"/>
        </w:rPr>
        <w:t xml:space="preserve"> </w:t>
      </w:r>
      <w:r>
        <w:rPr>
          <w:rFonts w:cs="Times New Roman"/>
          <w:szCs w:val="24"/>
        </w:rPr>
        <w:t xml:space="preserve">Ann., October 17, 2008, </w:t>
      </w:r>
      <w:r w:rsidRPr="000770DC">
        <w:rPr>
          <w:rFonts w:cs="Times New Roman"/>
          <w:szCs w:val="24"/>
        </w:rPr>
        <w:t>at para. 55).</w:t>
      </w:r>
      <w:r>
        <w:rPr>
          <w:rFonts w:cs="Times New Roman"/>
          <w:szCs w:val="24"/>
        </w:rPr>
        <w:t xml:space="preserve"> But Professor </w:t>
      </w:r>
      <w:r w:rsidRPr="000770DC">
        <w:rPr>
          <w:rFonts w:cs="Times New Roman"/>
          <w:szCs w:val="24"/>
        </w:rPr>
        <w:t xml:space="preserve">Baker explained that this difference is “not insurmountable” (para. 58). In the end, he even suggested </w:t>
      </w:r>
      <w:r>
        <w:rPr>
          <w:rFonts w:cs="Times New Roman"/>
          <w:szCs w:val="24"/>
        </w:rPr>
        <w:t>the</w:t>
      </w:r>
      <w:r w:rsidRPr="000770DC">
        <w:rPr>
          <w:rFonts w:cs="Times New Roman"/>
          <w:szCs w:val="24"/>
        </w:rPr>
        <w:t xml:space="preserve"> potential </w:t>
      </w:r>
      <w:r>
        <w:rPr>
          <w:rFonts w:cs="Times New Roman"/>
          <w:szCs w:val="24"/>
        </w:rPr>
        <w:t>wording</w:t>
      </w:r>
      <w:r w:rsidRPr="000770DC">
        <w:rPr>
          <w:rFonts w:cs="Times New Roman"/>
          <w:szCs w:val="24"/>
        </w:rPr>
        <w:t xml:space="preserve"> of </w:t>
      </w:r>
      <w:r>
        <w:rPr>
          <w:rFonts w:cs="Times New Roman"/>
          <w:szCs w:val="24"/>
        </w:rPr>
        <w:t xml:space="preserve">a </w:t>
      </w:r>
      <w:r w:rsidRPr="000770DC">
        <w:rPr>
          <w:rFonts w:cs="Times New Roman"/>
          <w:szCs w:val="24"/>
        </w:rPr>
        <w:t xml:space="preserve">beneficial ownership </w:t>
      </w:r>
      <w:r>
        <w:rPr>
          <w:rFonts w:cs="Times New Roman"/>
          <w:szCs w:val="24"/>
        </w:rPr>
        <w:t xml:space="preserve">provision </w:t>
      </w:r>
      <w:r w:rsidRPr="000770DC">
        <w:rPr>
          <w:rFonts w:cs="Times New Roman"/>
          <w:szCs w:val="24"/>
        </w:rPr>
        <w:t>applicable to capital gains:</w:t>
      </w:r>
    </w:p>
    <w:p w14:paraId="08E224DE" w14:textId="77777777" w:rsidR="001346AE" w:rsidRPr="000770DC" w:rsidRDefault="001346AE" w:rsidP="001346AE">
      <w:pPr>
        <w:pStyle w:val="Citation-AltC"/>
      </w:pPr>
      <w:r w:rsidRPr="000770DC">
        <w:t>6. Gains from the alienation of any property other than that referred to in paragraphs</w:t>
      </w:r>
      <w:r>
        <w:t> </w:t>
      </w:r>
      <w:r w:rsidRPr="000770DC">
        <w:t>1, 2, 3, 4 and 5 shall be taxable only in the Contracting State of which the beneficial owner is a resident.</w:t>
      </w:r>
      <w:r>
        <w:t xml:space="preserve"> [</w:t>
      </w:r>
      <w:r w:rsidRPr="000770DC">
        <w:t>para. </w:t>
      </w:r>
      <w:r>
        <w:t>59]</w:t>
      </w:r>
    </w:p>
    <w:p w14:paraId="66ACFBA3" w14:textId="77777777" w:rsidR="001346AE" w:rsidRPr="000770DC" w:rsidRDefault="001346AE" w:rsidP="001346AE">
      <w:pPr>
        <w:pStyle w:val="ParaNoNdepar-AltN"/>
        <w:rPr>
          <w:rFonts w:cs="Times New Roman"/>
          <w:szCs w:val="24"/>
        </w:rPr>
      </w:pPr>
      <w:r w:rsidRPr="000770DC">
        <w:rPr>
          <w:rFonts w:cs="Times New Roman"/>
          <w:szCs w:val="24"/>
        </w:rPr>
        <w:t xml:space="preserve">As suggested in the </w:t>
      </w:r>
      <w:r>
        <w:rPr>
          <w:rFonts w:cs="Times New Roman"/>
          <w:szCs w:val="24"/>
        </w:rPr>
        <w:t>“</w:t>
      </w:r>
      <w:r w:rsidRPr="000770DC">
        <w:rPr>
          <w:rFonts w:cs="Times New Roman"/>
          <w:szCs w:val="24"/>
        </w:rPr>
        <w:t xml:space="preserve">Commentary </w:t>
      </w:r>
      <w:r>
        <w:rPr>
          <w:rFonts w:cs="Times New Roman"/>
          <w:szCs w:val="24"/>
        </w:rPr>
        <w:t>on Article</w:t>
      </w:r>
      <w:r w:rsidRPr="000770DC">
        <w:rPr>
          <w:rFonts w:cs="Times New Roman"/>
          <w:szCs w:val="24"/>
        </w:rPr>
        <w:t> 13</w:t>
      </w:r>
      <w:r>
        <w:rPr>
          <w:rFonts w:cs="Times New Roman"/>
          <w:szCs w:val="24"/>
        </w:rPr>
        <w:t xml:space="preserve">” of the 1998 OECD </w:t>
      </w:r>
      <w:r w:rsidRPr="00AD2731">
        <w:rPr>
          <w:rFonts w:cs="Times New Roman"/>
          <w:i/>
          <w:szCs w:val="24"/>
        </w:rPr>
        <w:t>Model Treaty</w:t>
      </w:r>
      <w:r w:rsidRPr="000770DC">
        <w:rPr>
          <w:rFonts w:cs="Times New Roman"/>
          <w:szCs w:val="24"/>
        </w:rPr>
        <w:t xml:space="preserve">, Canada could also have insisted on a subject-to-tax provision if it </w:t>
      </w:r>
      <w:r>
        <w:rPr>
          <w:rFonts w:cs="Times New Roman"/>
          <w:szCs w:val="24"/>
        </w:rPr>
        <w:t>had</w:t>
      </w:r>
      <w:r w:rsidRPr="000770DC">
        <w:rPr>
          <w:rFonts w:cs="Times New Roman"/>
          <w:szCs w:val="24"/>
        </w:rPr>
        <w:t xml:space="preserve"> truly </w:t>
      </w:r>
      <w:r>
        <w:rPr>
          <w:rFonts w:cs="Times New Roman"/>
          <w:szCs w:val="24"/>
        </w:rPr>
        <w:t xml:space="preserve">been </w:t>
      </w:r>
      <w:r w:rsidRPr="000770DC">
        <w:rPr>
          <w:rFonts w:cs="Times New Roman"/>
          <w:szCs w:val="24"/>
        </w:rPr>
        <w:t xml:space="preserve">concerned </w:t>
      </w:r>
      <w:r>
        <w:rPr>
          <w:rFonts w:cs="Times New Roman"/>
          <w:szCs w:val="24"/>
        </w:rPr>
        <w:t>about</w:t>
      </w:r>
      <w:r w:rsidRPr="000770DC">
        <w:rPr>
          <w:rFonts w:cs="Times New Roman"/>
          <w:szCs w:val="24"/>
        </w:rPr>
        <w:t xml:space="preserve"> the erosion of its tax base (para. 21). Pursuant to such a provision, a contracting state foregoes its right to tax capital gains only if the other state actually taxes these gains. The inclusion of a provision of this sort would have </w:t>
      </w:r>
      <w:r>
        <w:rPr>
          <w:rFonts w:cs="Times New Roman"/>
          <w:szCs w:val="24"/>
        </w:rPr>
        <w:t xml:space="preserve">meant that </w:t>
      </w:r>
      <w:r w:rsidRPr="000770DC">
        <w:rPr>
          <w:rFonts w:cs="Times New Roman"/>
          <w:szCs w:val="24"/>
        </w:rPr>
        <w:t>capital gains exempt</w:t>
      </w:r>
      <w:r>
        <w:rPr>
          <w:rFonts w:cs="Times New Roman"/>
          <w:szCs w:val="24"/>
        </w:rPr>
        <w:t xml:space="preserve"> from</w:t>
      </w:r>
      <w:r w:rsidRPr="000770DC">
        <w:rPr>
          <w:rFonts w:cs="Times New Roman"/>
          <w:szCs w:val="24"/>
        </w:rPr>
        <w:t xml:space="preserve"> or subject to very little tax in Luxembourg</w:t>
      </w:r>
      <w:r>
        <w:rPr>
          <w:rFonts w:cs="Times New Roman"/>
          <w:szCs w:val="24"/>
        </w:rPr>
        <w:t xml:space="preserve"> would be taxable in Canada</w:t>
      </w:r>
      <w:r w:rsidRPr="000770DC">
        <w:rPr>
          <w:rFonts w:cs="Times New Roman"/>
          <w:szCs w:val="24"/>
        </w:rPr>
        <w:t xml:space="preserve">, instead of </w:t>
      </w:r>
      <w:r>
        <w:rPr>
          <w:rFonts w:cs="Times New Roman"/>
          <w:szCs w:val="24"/>
        </w:rPr>
        <w:t>having</w:t>
      </w:r>
      <w:r w:rsidRPr="000770DC">
        <w:rPr>
          <w:rFonts w:cs="Times New Roman"/>
          <w:szCs w:val="24"/>
        </w:rPr>
        <w:t xml:space="preserve"> almost double non-taxation. Canada’s decision is, however, not surprising. Situations of double non-taxation are intentional and part of the bargain in most cases (Couzin, at p. 109). The absence of a subject-to-tax provision</w:t>
      </w:r>
      <w:r>
        <w:rPr>
          <w:rFonts w:cs="Times New Roman"/>
          <w:szCs w:val="24"/>
        </w:rPr>
        <w:t>,</w:t>
      </w:r>
      <w:r w:rsidRPr="000770DC">
        <w:rPr>
          <w:rFonts w:cs="Times New Roman"/>
          <w:szCs w:val="24"/>
        </w:rPr>
        <w:t xml:space="preserve"> combined with Canada’s knowledge of Luxembourg’s tax system</w:t>
      </w:r>
      <w:r>
        <w:rPr>
          <w:rFonts w:cs="Times New Roman"/>
          <w:szCs w:val="24"/>
        </w:rPr>
        <w:t>,</w:t>
      </w:r>
      <w:r w:rsidRPr="000770DC">
        <w:rPr>
          <w:rFonts w:cs="Times New Roman"/>
          <w:szCs w:val="24"/>
        </w:rPr>
        <w:t xml:space="preserve"> confirms my view that Canada’s primary objective in including </w:t>
      </w:r>
      <w:r>
        <w:rPr>
          <w:rFonts w:cs="Times New Roman"/>
          <w:szCs w:val="24"/>
        </w:rPr>
        <w:t>a</w:t>
      </w:r>
      <w:r w:rsidRPr="000770DC">
        <w:rPr>
          <w:rFonts w:cs="Times New Roman"/>
          <w:szCs w:val="24"/>
        </w:rPr>
        <w:t xml:space="preserve">rt. 13(4) was to cede its right to tax capital gains of a certain nature realized in Canada in order to attract foreign investment. </w:t>
      </w:r>
      <w:r>
        <w:rPr>
          <w:rFonts w:cs="Times New Roman"/>
          <w:szCs w:val="24"/>
        </w:rPr>
        <w:t>It was not part of the bargain t</w:t>
      </w:r>
      <w:r w:rsidRPr="000770DC">
        <w:rPr>
          <w:rFonts w:cs="Times New Roman"/>
          <w:szCs w:val="24"/>
        </w:rPr>
        <w:t>hat Luxembourg actually tax the gain</w:t>
      </w:r>
      <w:r>
        <w:rPr>
          <w:rFonts w:cs="Times New Roman"/>
          <w:szCs w:val="24"/>
        </w:rPr>
        <w:t>s</w:t>
      </w:r>
      <w:r w:rsidRPr="000770DC">
        <w:rPr>
          <w:rFonts w:cs="Times New Roman"/>
          <w:szCs w:val="24"/>
        </w:rPr>
        <w:t xml:space="preserve"> to the same extent </w:t>
      </w:r>
      <w:r>
        <w:rPr>
          <w:rFonts w:cs="Times New Roman"/>
          <w:szCs w:val="24"/>
        </w:rPr>
        <w:t>that</w:t>
      </w:r>
      <w:r w:rsidRPr="000770DC">
        <w:rPr>
          <w:rFonts w:cs="Times New Roman"/>
          <w:szCs w:val="24"/>
        </w:rPr>
        <w:t xml:space="preserve"> Canada would have taxed </w:t>
      </w:r>
      <w:r>
        <w:rPr>
          <w:rFonts w:cs="Times New Roman"/>
          <w:szCs w:val="24"/>
        </w:rPr>
        <w:t>them</w:t>
      </w:r>
      <w:r w:rsidRPr="000770DC">
        <w:rPr>
          <w:rFonts w:cs="Times New Roman"/>
          <w:szCs w:val="24"/>
        </w:rPr>
        <w:t>.</w:t>
      </w:r>
    </w:p>
    <w:p w14:paraId="153E95C0" w14:textId="77777777" w:rsidR="001346AE" w:rsidRPr="000770DC" w:rsidRDefault="001346AE" w:rsidP="001346AE">
      <w:pPr>
        <w:pStyle w:val="ParaNoNdepar-AltN"/>
        <w:rPr>
          <w:rFonts w:cs="Times New Roman"/>
          <w:szCs w:val="24"/>
        </w:rPr>
      </w:pPr>
      <w:r w:rsidRPr="000770DC">
        <w:rPr>
          <w:rFonts w:cs="Times New Roman"/>
        </w:rPr>
        <w:lastRenderedPageBreak/>
        <w:t xml:space="preserve">Further, consideration of tax treaties </w:t>
      </w:r>
      <w:r w:rsidRPr="000770DC">
        <w:rPr>
          <w:rFonts w:cs="Times New Roman"/>
          <w:i/>
        </w:rPr>
        <w:t xml:space="preserve">in pari materia </w:t>
      </w:r>
      <w:r w:rsidRPr="000770DC">
        <w:rPr>
          <w:rFonts w:cs="Times New Roman"/>
        </w:rPr>
        <w:t xml:space="preserve">forming part of the broader context of the </w:t>
      </w:r>
      <w:r w:rsidRPr="000770DC">
        <w:rPr>
          <w:rFonts w:cs="Times New Roman"/>
          <w:i/>
        </w:rPr>
        <w:t xml:space="preserve">Treaty </w:t>
      </w:r>
      <w:r w:rsidRPr="000770DC">
        <w:rPr>
          <w:rFonts w:cs="Times New Roman"/>
        </w:rPr>
        <w:t xml:space="preserve">corroborates the parties’ deliberate choice to leave the business property exemption unguarded against conduit corporations established in Luxembourg. As </w:t>
      </w:r>
      <w:r>
        <w:rPr>
          <w:rFonts w:cs="Times New Roman"/>
        </w:rPr>
        <w:t>noted by Professor </w:t>
      </w:r>
      <w:r w:rsidRPr="000770DC">
        <w:rPr>
          <w:rFonts w:cs="Times New Roman"/>
        </w:rPr>
        <w:t xml:space="preserve">Arnold, Canada began including discrete purpose tests designed to prevent treaty shopping in some of the treaties it entered into </w:t>
      </w:r>
      <w:r>
        <w:rPr>
          <w:rFonts w:cs="Times New Roman"/>
        </w:rPr>
        <w:t>around</w:t>
      </w:r>
      <w:r w:rsidRPr="000770DC">
        <w:rPr>
          <w:rFonts w:cs="Times New Roman"/>
        </w:rPr>
        <w:t xml:space="preserve"> the same time </w:t>
      </w:r>
      <w:r>
        <w:rPr>
          <w:rFonts w:cs="Times New Roman"/>
        </w:rPr>
        <w:t>it entered into</w:t>
      </w:r>
      <w:r w:rsidRPr="000770DC">
        <w:rPr>
          <w:rFonts w:cs="Times New Roman"/>
        </w:rPr>
        <w:t xml:space="preserve"> the </w:t>
      </w:r>
      <w:r w:rsidRPr="000770DC">
        <w:rPr>
          <w:rFonts w:cs="Times New Roman"/>
          <w:i/>
        </w:rPr>
        <w:t>Treaty</w:t>
      </w:r>
      <w:r>
        <w:rPr>
          <w:rFonts w:cs="Times New Roman"/>
        </w:rPr>
        <w:t>, which was signed in</w:t>
      </w:r>
      <w:r w:rsidRPr="000770DC">
        <w:rPr>
          <w:rFonts w:cs="Times New Roman"/>
        </w:rPr>
        <w:t xml:space="preserve"> 1999 (</w:t>
      </w:r>
      <w:r>
        <w:rPr>
          <w:rFonts w:cs="Times New Roman"/>
        </w:rPr>
        <w:t>(2009)</w:t>
      </w:r>
      <w:r w:rsidRPr="000770DC">
        <w:rPr>
          <w:rFonts w:cs="Times New Roman"/>
        </w:rPr>
        <w:t>,</w:t>
      </w:r>
      <w:r w:rsidRPr="000770DC">
        <w:rPr>
          <w:rFonts w:cs="Times New Roman"/>
          <w:i/>
        </w:rPr>
        <w:t xml:space="preserve"> </w:t>
      </w:r>
      <w:r w:rsidRPr="000770DC">
        <w:rPr>
          <w:rFonts w:cs="Times New Roman"/>
        </w:rPr>
        <w:t xml:space="preserve">at p. 358). </w:t>
      </w:r>
      <w:r>
        <w:rPr>
          <w:rFonts w:cs="Times New Roman"/>
        </w:rPr>
        <w:t>See, e.g., the treaties with Nigeria</w:t>
      </w:r>
      <w:r w:rsidRPr="00A37947">
        <w:rPr>
          <w:rStyle w:val="Hyperlink"/>
          <w:vertAlign w:val="superscript"/>
        </w:rPr>
        <w:footnoteReference w:id="2"/>
      </w:r>
      <w:r>
        <w:rPr>
          <w:rFonts w:cs="Times New Roman"/>
        </w:rPr>
        <w:t>, Ukraine</w:t>
      </w:r>
      <w:r w:rsidRPr="00A37947">
        <w:rPr>
          <w:rStyle w:val="Hyperlink"/>
          <w:vertAlign w:val="superscript"/>
        </w:rPr>
        <w:footnoteReference w:id="3"/>
      </w:r>
      <w:r>
        <w:rPr>
          <w:rFonts w:cs="Times New Roman"/>
        </w:rPr>
        <w:t>, Kazakhstan</w:t>
      </w:r>
      <w:r w:rsidRPr="00A37947">
        <w:rPr>
          <w:rStyle w:val="Hyperlink"/>
          <w:vertAlign w:val="superscript"/>
        </w:rPr>
        <w:footnoteReference w:id="4"/>
      </w:r>
      <w:r>
        <w:rPr>
          <w:rFonts w:cs="Times New Roman"/>
        </w:rPr>
        <w:t>, Uzbekistan</w:t>
      </w:r>
      <w:r w:rsidRPr="00A37947">
        <w:rPr>
          <w:rStyle w:val="Hyperlink"/>
          <w:vertAlign w:val="superscript"/>
        </w:rPr>
        <w:footnoteReference w:id="5"/>
      </w:r>
      <w:r>
        <w:rPr>
          <w:rFonts w:cs="Times New Roman"/>
        </w:rPr>
        <w:t>, and Peru</w:t>
      </w:r>
      <w:r w:rsidRPr="00A37947">
        <w:rPr>
          <w:rStyle w:val="Hyperlink"/>
          <w:vertAlign w:val="superscript"/>
        </w:rPr>
        <w:footnoteReference w:id="6"/>
      </w:r>
      <w:r>
        <w:rPr>
          <w:rFonts w:cs="Times New Roman"/>
        </w:rPr>
        <w:t xml:space="preserve">. </w:t>
      </w:r>
      <w:r w:rsidRPr="000770DC">
        <w:rPr>
          <w:rFonts w:cs="Times New Roman"/>
        </w:rPr>
        <w:t xml:space="preserve">These provisions were designed to take back certain treaty benefits where the purpose of </w:t>
      </w:r>
      <w:r>
        <w:rPr>
          <w:rFonts w:cs="Times New Roman"/>
        </w:rPr>
        <w:t>a</w:t>
      </w:r>
      <w:r w:rsidRPr="000770DC">
        <w:rPr>
          <w:rFonts w:cs="Times New Roman"/>
        </w:rPr>
        <w:t xml:space="preserve"> transaction was to gain access to these benefits. Most likely, the creation of a conduit corporation in Luxembourg to access the exemption would have been caught by such a purpose test. Had the parties truly intended to </w:t>
      </w:r>
      <w:r>
        <w:rPr>
          <w:rFonts w:cs="Times New Roman"/>
        </w:rPr>
        <w:t>deprive such</w:t>
      </w:r>
      <w:r w:rsidRPr="000770DC">
        <w:rPr>
          <w:rFonts w:cs="Times New Roman"/>
        </w:rPr>
        <w:t xml:space="preserve"> corporations </w:t>
      </w:r>
      <w:r>
        <w:rPr>
          <w:rFonts w:cs="Times New Roman"/>
        </w:rPr>
        <w:t>of</w:t>
      </w:r>
      <w:r w:rsidRPr="000770DC">
        <w:rPr>
          <w:rFonts w:cs="Times New Roman"/>
        </w:rPr>
        <w:t xml:space="preserve"> the benefits of the carve-out, they would have made the carve-out subject to a purpose test.</w:t>
      </w:r>
    </w:p>
    <w:p w14:paraId="1D03B20E" w14:textId="77777777" w:rsidR="001346AE" w:rsidRPr="000770DC" w:rsidRDefault="001346AE" w:rsidP="001346AE">
      <w:pPr>
        <w:pStyle w:val="ParaNoNdepar-AltN"/>
        <w:rPr>
          <w:rFonts w:cs="Times New Roman"/>
        </w:rPr>
      </w:pPr>
      <w:r w:rsidRPr="000770DC">
        <w:rPr>
          <w:rFonts w:cs="Times New Roman"/>
          <w:szCs w:val="24"/>
        </w:rPr>
        <w:t xml:space="preserve">The absence of any </w:t>
      </w:r>
      <w:r>
        <w:rPr>
          <w:rFonts w:cs="Times New Roman"/>
          <w:szCs w:val="24"/>
        </w:rPr>
        <w:t xml:space="preserve">such </w:t>
      </w:r>
      <w:r w:rsidRPr="000770DC">
        <w:rPr>
          <w:rFonts w:cs="Times New Roman"/>
          <w:szCs w:val="24"/>
        </w:rPr>
        <w:t xml:space="preserve">anti-avoidance measure that would have limited access to the carve-out in a treaty with a country known for not taxing capital gains leads me to believe that Canada weighed the pros and cons and </w:t>
      </w:r>
      <w:r>
        <w:rPr>
          <w:rFonts w:cs="Times New Roman"/>
          <w:szCs w:val="24"/>
        </w:rPr>
        <w:t xml:space="preserve">concluded that its </w:t>
      </w:r>
      <w:r>
        <w:rPr>
          <w:rFonts w:cs="Times New Roman"/>
          <w:szCs w:val="24"/>
        </w:rPr>
        <w:lastRenderedPageBreak/>
        <w:t>national interest</w:t>
      </w:r>
      <w:r w:rsidRPr="000770DC">
        <w:rPr>
          <w:rFonts w:cs="Times New Roman"/>
          <w:szCs w:val="24"/>
        </w:rPr>
        <w:t xml:space="preserve"> in attracting foreign investors, using Luxembourg as a conduit to take advantage of the carve-out, outweighed its interest in collecting more tax revenues on such capital gains. This answer</w:t>
      </w:r>
      <w:r>
        <w:rPr>
          <w:rFonts w:cs="Times New Roman"/>
          <w:szCs w:val="24"/>
        </w:rPr>
        <w:t>s</w:t>
      </w:r>
      <w:r w:rsidRPr="000770DC">
        <w:rPr>
          <w:rFonts w:cs="Times New Roman"/>
          <w:szCs w:val="24"/>
        </w:rPr>
        <w:t xml:space="preserve"> the question</w:t>
      </w:r>
      <w:r>
        <w:rPr>
          <w:rFonts w:cs="Times New Roman"/>
          <w:szCs w:val="24"/>
        </w:rPr>
        <w:t xml:space="preserve"> of</w:t>
      </w:r>
      <w:r w:rsidRPr="000770DC">
        <w:rPr>
          <w:rFonts w:cs="Times New Roman"/>
          <w:szCs w:val="24"/>
        </w:rPr>
        <w:t xml:space="preserve"> “why the benefit was conferred” posed under the GAAR (</w:t>
      </w:r>
      <w:r w:rsidRPr="000770DC">
        <w:rPr>
          <w:rFonts w:cs="Times New Roman"/>
          <w:i/>
          <w:szCs w:val="24"/>
        </w:rPr>
        <w:t>Canada Trustco</w:t>
      </w:r>
      <w:r w:rsidRPr="000770DC">
        <w:rPr>
          <w:rFonts w:cs="Times New Roman"/>
          <w:szCs w:val="24"/>
        </w:rPr>
        <w:t>, at para. 66). This choice must also have been motivated by the fact that Canada was not keen on going its own way at a time whe</w:t>
      </w:r>
      <w:r>
        <w:rPr>
          <w:rFonts w:cs="Times New Roman"/>
          <w:szCs w:val="24"/>
        </w:rPr>
        <w:t>n</w:t>
      </w:r>
      <w:r w:rsidRPr="000770DC">
        <w:rPr>
          <w:rFonts w:cs="Times New Roman"/>
          <w:szCs w:val="24"/>
        </w:rPr>
        <w:t xml:space="preserve"> the international community was not yet as serious </w:t>
      </w:r>
      <w:r>
        <w:rPr>
          <w:rFonts w:cs="Times New Roman"/>
          <w:szCs w:val="24"/>
        </w:rPr>
        <w:t>about</w:t>
      </w:r>
      <w:r w:rsidRPr="000770DC">
        <w:rPr>
          <w:rFonts w:cs="Times New Roman"/>
          <w:szCs w:val="24"/>
        </w:rPr>
        <w:t xml:space="preserve"> curtailing treaty shopping as it </w:t>
      </w:r>
      <w:r>
        <w:rPr>
          <w:rFonts w:cs="Times New Roman"/>
          <w:szCs w:val="24"/>
        </w:rPr>
        <w:t>was during</w:t>
      </w:r>
      <w:r w:rsidRPr="000770DC">
        <w:rPr>
          <w:rFonts w:cs="Times New Roman"/>
          <w:szCs w:val="24"/>
        </w:rPr>
        <w:t xml:space="preserve"> the years leading to the signature and ratification of the </w:t>
      </w:r>
      <w:r w:rsidRPr="000770DC">
        <w:rPr>
          <w:rFonts w:cs="Times New Roman"/>
          <w:bCs/>
          <w:i/>
          <w:iCs/>
          <w:szCs w:val="24"/>
        </w:rPr>
        <w:t>Multilateral Convention to Implement Tax Treaty Related Measures to Prevent Base Erosion and Profit Shifting</w:t>
      </w:r>
      <w:r>
        <w:rPr>
          <w:rFonts w:cs="Times New Roman"/>
          <w:bCs/>
          <w:iCs/>
          <w:szCs w:val="24"/>
        </w:rPr>
        <w:t>, Can. T.S. 2019 No. 26,</w:t>
      </w:r>
      <w:r w:rsidRPr="000770DC">
        <w:rPr>
          <w:rFonts w:cs="Times New Roman"/>
          <w:i/>
          <w:szCs w:val="24"/>
        </w:rPr>
        <w:t xml:space="preserve"> </w:t>
      </w:r>
      <w:r w:rsidRPr="000770DC">
        <w:rPr>
          <w:rFonts w:cs="Times New Roman"/>
          <w:szCs w:val="24"/>
        </w:rPr>
        <w:t xml:space="preserve">in 2017 and </w:t>
      </w:r>
      <w:r>
        <w:rPr>
          <w:rFonts w:cs="Times New Roman"/>
          <w:szCs w:val="24"/>
        </w:rPr>
        <w:t>as it has remained to this day</w:t>
      </w:r>
      <w:r w:rsidRPr="000770DC">
        <w:rPr>
          <w:rFonts w:cs="Times New Roman"/>
          <w:szCs w:val="24"/>
        </w:rPr>
        <w:t xml:space="preserve"> (see </w:t>
      </w:r>
      <w:r w:rsidRPr="000770DC">
        <w:rPr>
          <w:rFonts w:cs="Times New Roman"/>
          <w:bCs/>
          <w:i/>
        </w:rPr>
        <w:t>Multilateral Instrument in Respect of Tax Conventions Act</w:t>
      </w:r>
      <w:r w:rsidRPr="000770DC">
        <w:rPr>
          <w:rFonts w:cs="Times New Roman"/>
          <w:bCs/>
        </w:rPr>
        <w:t xml:space="preserve">, S.C. 2019, c. 12; </w:t>
      </w:r>
      <w:r w:rsidRPr="000770DC">
        <w:rPr>
          <w:rFonts w:cs="Times New Roman"/>
          <w:szCs w:val="24"/>
        </w:rPr>
        <w:t>Arnold</w:t>
      </w:r>
      <w:r>
        <w:rPr>
          <w:rFonts w:cs="Times New Roman"/>
          <w:szCs w:val="24"/>
        </w:rPr>
        <w:t xml:space="preserve"> (2009)</w:t>
      </w:r>
      <w:r w:rsidRPr="000770DC">
        <w:rPr>
          <w:rFonts w:cs="Times New Roman"/>
          <w:szCs w:val="24"/>
        </w:rPr>
        <w:t>,</w:t>
      </w:r>
      <w:r w:rsidRPr="000770DC">
        <w:rPr>
          <w:rFonts w:cs="Times New Roman"/>
          <w:i/>
          <w:szCs w:val="24"/>
        </w:rPr>
        <w:t xml:space="preserve"> </w:t>
      </w:r>
      <w:r w:rsidRPr="000770DC">
        <w:rPr>
          <w:rFonts w:cs="Times New Roman"/>
          <w:szCs w:val="24"/>
        </w:rPr>
        <w:t>at p. 18)</w:t>
      </w:r>
      <w:r w:rsidRPr="000770DC">
        <w:rPr>
          <w:rFonts w:cs="Times New Roman"/>
          <w:i/>
          <w:szCs w:val="24"/>
        </w:rPr>
        <w:t xml:space="preserve">. </w:t>
      </w:r>
      <w:r>
        <w:rPr>
          <w:rFonts w:cs="Times New Roman"/>
          <w:szCs w:val="24"/>
        </w:rPr>
        <w:t xml:space="preserve">As </w:t>
      </w:r>
      <w:r w:rsidRPr="000770DC">
        <w:rPr>
          <w:rFonts w:cs="Times New Roman"/>
          <w:szCs w:val="24"/>
        </w:rPr>
        <w:t xml:space="preserve">a relatively small country, “Canada does not have the luxury of setting its own policy without considering what other countries do”, and it must have rightly seen multilateralism as the way forward (Li </w:t>
      </w:r>
      <w:r>
        <w:rPr>
          <w:rFonts w:cs="Times New Roman"/>
          <w:szCs w:val="24"/>
        </w:rPr>
        <w:t>and Cockfield</w:t>
      </w:r>
      <w:r w:rsidRPr="000770DC">
        <w:rPr>
          <w:rFonts w:cs="Times New Roman"/>
          <w:szCs w:val="24"/>
        </w:rPr>
        <w:t>, at p. 25).</w:t>
      </w:r>
    </w:p>
    <w:p w14:paraId="31D28B9E" w14:textId="77777777" w:rsidR="001346AE" w:rsidRPr="000770DC" w:rsidRDefault="001346AE" w:rsidP="001346AE">
      <w:pPr>
        <w:pStyle w:val="ParaNoNdepar-AltN"/>
        <w:rPr>
          <w:rFonts w:cs="Times New Roman"/>
        </w:rPr>
      </w:pPr>
      <w:r w:rsidRPr="000770DC">
        <w:rPr>
          <w:rFonts w:cs="Times New Roman"/>
        </w:rPr>
        <w:t xml:space="preserve">This is not an absurd proposition, as my colleagues assert. </w:t>
      </w:r>
      <w:r w:rsidRPr="000770DC">
        <w:rPr>
          <w:rFonts w:cs="Times New Roman"/>
          <w:szCs w:val="24"/>
        </w:rPr>
        <w:t xml:space="preserve">There is no better way to describe Canada’s attitude at the time of the </w:t>
      </w:r>
      <w:r w:rsidRPr="000770DC">
        <w:rPr>
          <w:rFonts w:cs="Times New Roman"/>
          <w:i/>
          <w:szCs w:val="24"/>
        </w:rPr>
        <w:t xml:space="preserve">Treaty </w:t>
      </w:r>
      <w:r w:rsidRPr="000770DC">
        <w:rPr>
          <w:rFonts w:cs="Times New Roman"/>
          <w:szCs w:val="24"/>
        </w:rPr>
        <w:t xml:space="preserve">when faced with the dilemma between higher tax revenues and competitiveness than to quote </w:t>
      </w:r>
      <w:r>
        <w:rPr>
          <w:rFonts w:cs="Times New Roman"/>
          <w:szCs w:val="24"/>
        </w:rPr>
        <w:t>the</w:t>
      </w:r>
      <w:r w:rsidRPr="000770DC">
        <w:rPr>
          <w:rFonts w:cs="Times New Roman"/>
          <w:szCs w:val="24"/>
        </w:rPr>
        <w:t xml:space="preserve"> words</w:t>
      </w:r>
      <w:r>
        <w:rPr>
          <w:rFonts w:cs="Times New Roman"/>
          <w:szCs w:val="24"/>
        </w:rPr>
        <w:t xml:space="preserve"> of the Department of Finance’s response to the </w:t>
      </w:r>
      <w:r w:rsidRPr="002F3291">
        <w:rPr>
          <w:rFonts w:cs="Times New Roman"/>
          <w:i/>
          <w:szCs w:val="24"/>
        </w:rPr>
        <w:t xml:space="preserve">Report of the Auditor General </w:t>
      </w:r>
      <w:r>
        <w:rPr>
          <w:rFonts w:cs="Times New Roman"/>
          <w:i/>
          <w:szCs w:val="24"/>
        </w:rPr>
        <w:t xml:space="preserve">of Canada </w:t>
      </w:r>
      <w:r w:rsidRPr="002F3291">
        <w:rPr>
          <w:rFonts w:cs="Times New Roman"/>
          <w:i/>
          <w:szCs w:val="24"/>
        </w:rPr>
        <w:t>to the House of Commons, 1992</w:t>
      </w:r>
      <w:r>
        <w:rPr>
          <w:rFonts w:cs="Times New Roman"/>
          <w:szCs w:val="24"/>
        </w:rPr>
        <w:t>, at p. 52</w:t>
      </w:r>
      <w:r w:rsidRPr="000770DC">
        <w:rPr>
          <w:rFonts w:cs="Times New Roman"/>
          <w:szCs w:val="24"/>
        </w:rPr>
        <w:t>:</w:t>
      </w:r>
    </w:p>
    <w:p w14:paraId="7542FFA4" w14:textId="77777777" w:rsidR="001346AE" w:rsidRPr="000770DC" w:rsidRDefault="001346AE" w:rsidP="001346AE">
      <w:pPr>
        <w:pStyle w:val="Citation-AltC"/>
      </w:pPr>
      <w:r w:rsidRPr="000770DC">
        <w:t xml:space="preserve">To a large degree, international norms limit the range of options available to the Canadian government and, in this context, the government’s policy has generally been </w:t>
      </w:r>
      <w:r w:rsidRPr="000770DC">
        <w:rPr>
          <w:u w:val="single"/>
        </w:rPr>
        <w:t>to favour competitiveness concerns over those of revenue generation</w:t>
      </w:r>
      <w:r w:rsidRPr="000770DC">
        <w:t>.</w:t>
      </w:r>
      <w:r>
        <w:t xml:space="preserve"> [Emphasis added.]</w:t>
      </w:r>
    </w:p>
    <w:p w14:paraId="26562F37" w14:textId="77777777" w:rsidR="001346AE" w:rsidRPr="000770DC" w:rsidRDefault="001346AE" w:rsidP="001346AE">
      <w:pPr>
        <w:pStyle w:val="ParaNoNdepar-AltN"/>
        <w:rPr>
          <w:rFonts w:cs="Times New Roman"/>
        </w:rPr>
      </w:pPr>
      <w:r w:rsidRPr="000770DC">
        <w:rPr>
          <w:rFonts w:cs="Times New Roman"/>
        </w:rPr>
        <w:lastRenderedPageBreak/>
        <w:t>In conclusion, the object, spirit</w:t>
      </w:r>
      <w:r>
        <w:rPr>
          <w:rFonts w:cs="Times New Roman"/>
        </w:rPr>
        <w:t>,</w:t>
      </w:r>
      <w:r w:rsidRPr="000770DC">
        <w:rPr>
          <w:rFonts w:cs="Times New Roman"/>
        </w:rPr>
        <w:t xml:space="preserve"> and purpose of the carve-out provided </w:t>
      </w:r>
      <w:r>
        <w:rPr>
          <w:rFonts w:cs="Times New Roman"/>
        </w:rPr>
        <w:t xml:space="preserve">for </w:t>
      </w:r>
      <w:r w:rsidRPr="000770DC">
        <w:rPr>
          <w:rFonts w:cs="Times New Roman"/>
        </w:rPr>
        <w:t xml:space="preserve">in </w:t>
      </w:r>
      <w:r>
        <w:rPr>
          <w:rFonts w:cs="Times New Roman"/>
        </w:rPr>
        <w:t>a</w:t>
      </w:r>
      <w:r w:rsidRPr="000770DC">
        <w:rPr>
          <w:rFonts w:cs="Times New Roman"/>
        </w:rPr>
        <w:t xml:space="preserve">rt. 13(4) and (5) of the </w:t>
      </w:r>
      <w:r w:rsidRPr="000770DC">
        <w:rPr>
          <w:rFonts w:cs="Times New Roman"/>
          <w:i/>
        </w:rPr>
        <w:t>Treaty</w:t>
      </w:r>
      <w:r>
        <w:rPr>
          <w:rFonts w:cs="Times New Roman"/>
        </w:rPr>
        <w:t xml:space="preserve"> are</w:t>
      </w:r>
      <w:r w:rsidRPr="000770DC">
        <w:rPr>
          <w:rFonts w:cs="Times New Roman"/>
        </w:rPr>
        <w:t xml:space="preserve"> to foster international investme</w:t>
      </w:r>
      <w:r>
        <w:rPr>
          <w:rFonts w:cs="Times New Roman"/>
        </w:rPr>
        <w:t>nt by exempting residents of a contracting s</w:t>
      </w:r>
      <w:r w:rsidRPr="000770DC">
        <w:rPr>
          <w:rFonts w:cs="Times New Roman"/>
        </w:rPr>
        <w:t>tate from taxes in the source state on capital gain</w:t>
      </w:r>
      <w:r>
        <w:rPr>
          <w:rFonts w:cs="Times New Roman"/>
        </w:rPr>
        <w:t>s</w:t>
      </w:r>
      <w:r w:rsidRPr="000770DC">
        <w:rPr>
          <w:rFonts w:cs="Times New Roman"/>
        </w:rPr>
        <w:t xml:space="preserve"> realized on the disposition of immovable property in which </w:t>
      </w:r>
      <w:r>
        <w:rPr>
          <w:rFonts w:cs="Times New Roman"/>
        </w:rPr>
        <w:t>a</w:t>
      </w:r>
      <w:r w:rsidRPr="000770DC">
        <w:rPr>
          <w:rFonts w:cs="Times New Roman"/>
        </w:rPr>
        <w:t xml:space="preserve"> business was carried on, or on the disposition of shares wh</w:t>
      </w:r>
      <w:r>
        <w:rPr>
          <w:rFonts w:cs="Times New Roman"/>
        </w:rPr>
        <w:t>ose</w:t>
      </w:r>
      <w:r w:rsidRPr="000770DC">
        <w:rPr>
          <w:rFonts w:cs="Times New Roman"/>
        </w:rPr>
        <w:t xml:space="preserve"> value is derived </w:t>
      </w:r>
      <w:r>
        <w:rPr>
          <w:rFonts w:cs="Times New Roman"/>
        </w:rPr>
        <w:t xml:space="preserve">principally </w:t>
      </w:r>
      <w:r w:rsidRPr="000770DC">
        <w:rPr>
          <w:rFonts w:cs="Times New Roman"/>
        </w:rPr>
        <w:t>from such immovable property. The fact that the capital gain</w:t>
      </w:r>
      <w:r>
        <w:rPr>
          <w:rFonts w:cs="Times New Roman"/>
        </w:rPr>
        <w:t>s</w:t>
      </w:r>
      <w:r w:rsidRPr="000770DC">
        <w:rPr>
          <w:rFonts w:cs="Times New Roman"/>
        </w:rPr>
        <w:t xml:space="preserve"> may not be taxed in Luxembourg, leading to double non</w:t>
      </w:r>
      <w:r>
        <w:rPr>
          <w:rFonts w:cs="Times New Roman"/>
        </w:rPr>
        <w:noBreakHyphen/>
      </w:r>
      <w:r w:rsidRPr="000770DC">
        <w:rPr>
          <w:rFonts w:cs="Times New Roman"/>
        </w:rPr>
        <w:t>taxation, and the fact that conduit corporations c</w:t>
      </w:r>
      <w:r>
        <w:rPr>
          <w:rFonts w:cs="Times New Roman"/>
        </w:rPr>
        <w:t>an</w:t>
      </w:r>
      <w:r w:rsidRPr="000770DC">
        <w:rPr>
          <w:rFonts w:cs="Times New Roman"/>
        </w:rPr>
        <w:t xml:space="preserve"> take advantage of the carve-out </w:t>
      </w:r>
      <w:r>
        <w:rPr>
          <w:rFonts w:cs="Times New Roman"/>
        </w:rPr>
        <w:t>are</w:t>
      </w:r>
      <w:r w:rsidRPr="000770DC">
        <w:rPr>
          <w:rFonts w:cs="Times New Roman"/>
        </w:rPr>
        <w:t xml:space="preserve"> tax planning outcomes consistent with the bargain struck between Canada and Luxembourg. Although Canada had a greater claim to tax such income </w:t>
      </w:r>
      <w:r>
        <w:rPr>
          <w:rFonts w:cs="Times New Roman"/>
        </w:rPr>
        <w:t xml:space="preserve">based </w:t>
      </w:r>
      <w:r w:rsidRPr="000770DC">
        <w:rPr>
          <w:rFonts w:cs="Times New Roman"/>
        </w:rPr>
        <w:t xml:space="preserve">on the theory of economic allegiance and would have most likely received more tax revenues without the carve-out given its traditional status as a source state, Canada agreed to forego its right to tax such capital gains, regardless of whether </w:t>
      </w:r>
      <w:r>
        <w:rPr>
          <w:rFonts w:cs="Times New Roman"/>
        </w:rPr>
        <w:t>they</w:t>
      </w:r>
      <w:r w:rsidRPr="000770DC">
        <w:rPr>
          <w:rFonts w:cs="Times New Roman"/>
        </w:rPr>
        <w:t xml:space="preserve"> would be taxed in Luxembourg, in order to attract foreign investment in business assets embodied in immovable property located in Canada (</w:t>
      </w:r>
      <w:r w:rsidRPr="00146BE2">
        <w:rPr>
          <w:rFonts w:cs="Times New Roman"/>
        </w:rPr>
        <w:t>e.g.</w:t>
      </w:r>
      <w:r w:rsidRPr="000770DC">
        <w:rPr>
          <w:rFonts w:cs="Times New Roman"/>
          <w:i/>
        </w:rPr>
        <w:t xml:space="preserve"> </w:t>
      </w:r>
      <w:r w:rsidRPr="000770DC">
        <w:rPr>
          <w:rFonts w:cs="Times New Roman"/>
        </w:rPr>
        <w:t>hotels, mines</w:t>
      </w:r>
      <w:r>
        <w:rPr>
          <w:rFonts w:cs="Times New Roman"/>
        </w:rPr>
        <w:t>,</w:t>
      </w:r>
      <w:r w:rsidRPr="000770DC">
        <w:rPr>
          <w:rFonts w:cs="Times New Roman"/>
        </w:rPr>
        <w:t xml:space="preserve"> or oil shales) and to reap the economic benefits generated by </w:t>
      </w:r>
      <w:r>
        <w:rPr>
          <w:rFonts w:cs="Times New Roman"/>
        </w:rPr>
        <w:t>that</w:t>
      </w:r>
      <w:r w:rsidRPr="000770DC">
        <w:rPr>
          <w:rFonts w:cs="Times New Roman"/>
        </w:rPr>
        <w:t xml:space="preserve"> investment. This is what was actually agreed upon. It appears that Canada </w:t>
      </w:r>
      <w:r>
        <w:rPr>
          <w:rFonts w:cs="Times New Roman"/>
        </w:rPr>
        <w:t>was</w:t>
      </w:r>
      <w:r w:rsidRPr="000770DC">
        <w:rPr>
          <w:rFonts w:cs="Times New Roman"/>
        </w:rPr>
        <w:t xml:space="preserve"> aware of tax planning strategies using conduit corporations in Luxembourg but </w:t>
      </w:r>
      <w:r>
        <w:rPr>
          <w:rFonts w:cs="Times New Roman"/>
        </w:rPr>
        <w:t xml:space="preserve">that it </w:t>
      </w:r>
      <w:r w:rsidRPr="000770DC">
        <w:rPr>
          <w:rFonts w:cs="Times New Roman"/>
        </w:rPr>
        <w:t>made a deliberate choice not to include anti-avoidance provisions that would have addressed this situation</w:t>
      </w:r>
      <w:r>
        <w:rPr>
          <w:rFonts w:cs="Times New Roman"/>
        </w:rPr>
        <w:t xml:space="preserve"> in the </w:t>
      </w:r>
      <w:r w:rsidRPr="00CD4DA3">
        <w:rPr>
          <w:rFonts w:cs="Times New Roman"/>
          <w:i/>
        </w:rPr>
        <w:t>Treaty</w:t>
      </w:r>
      <w:r w:rsidRPr="000770DC">
        <w:rPr>
          <w:rFonts w:cs="Times New Roman"/>
        </w:rPr>
        <w:t>.</w:t>
      </w:r>
    </w:p>
    <w:p w14:paraId="535E158A" w14:textId="77777777" w:rsidR="001346AE" w:rsidRPr="000770DC" w:rsidRDefault="001346AE" w:rsidP="001346AE">
      <w:pPr>
        <w:pStyle w:val="Title2LevelTitre2Niveau"/>
        <w:rPr>
          <w:rFonts w:cs="Times New Roman"/>
        </w:rPr>
      </w:pPr>
      <w:bookmarkStart w:id="45" w:name="_Toc77170386"/>
      <w:bookmarkStart w:id="46" w:name="_Toc77229386"/>
      <w:bookmarkStart w:id="47" w:name="_Toc78040597"/>
      <w:r w:rsidRPr="000770DC">
        <w:rPr>
          <w:rFonts w:cs="Times New Roman"/>
        </w:rPr>
        <w:t>Second Step: Abusiveness of the Transaction</w:t>
      </w:r>
      <w:bookmarkEnd w:id="45"/>
      <w:bookmarkEnd w:id="46"/>
      <w:bookmarkEnd w:id="47"/>
    </w:p>
    <w:p w14:paraId="5B6D30B0" w14:textId="77777777" w:rsidR="001346AE" w:rsidRPr="000770DC" w:rsidRDefault="001346AE" w:rsidP="001346AE">
      <w:pPr>
        <w:pStyle w:val="ParaNoNdepar-AltN"/>
        <w:rPr>
          <w:rStyle w:val="normaltextrun"/>
          <w:rFonts w:cs="Times New Roman"/>
        </w:rPr>
      </w:pPr>
      <w:r w:rsidRPr="000770DC">
        <w:rPr>
          <w:rStyle w:val="normaltextrun"/>
          <w:rFonts w:cs="Times New Roman"/>
        </w:rPr>
        <w:t xml:space="preserve">The second step </w:t>
      </w:r>
      <w:r>
        <w:rPr>
          <w:rStyle w:val="normaltextrun"/>
          <w:rFonts w:cs="Times New Roman"/>
        </w:rPr>
        <w:t xml:space="preserve">of the </w:t>
      </w:r>
      <w:r w:rsidRPr="000770DC">
        <w:rPr>
          <w:rStyle w:val="normaltextrun"/>
          <w:rFonts w:cs="Times New Roman"/>
        </w:rPr>
        <w:t xml:space="preserve">methodology for the abuse analysis is </w:t>
      </w:r>
      <w:r>
        <w:rPr>
          <w:rStyle w:val="normaltextrun"/>
          <w:rFonts w:cs="Times New Roman"/>
        </w:rPr>
        <w:t>“</w:t>
      </w:r>
      <w:r w:rsidRPr="000770DC">
        <w:rPr>
          <w:rStyle w:val="normaltextrun"/>
          <w:rFonts w:cs="Times New Roman"/>
        </w:rPr>
        <w:t xml:space="preserve">to examine the factual context of a case to determine whether the avoidance transaction defeated </w:t>
      </w:r>
      <w:r w:rsidRPr="000770DC">
        <w:rPr>
          <w:rStyle w:val="normaltextrun"/>
          <w:rFonts w:cs="Times New Roman"/>
        </w:rPr>
        <w:lastRenderedPageBreak/>
        <w:t>or frustrated the object, spirit or purpose of the provisions in issue</w:t>
      </w:r>
      <w:r>
        <w:rPr>
          <w:rStyle w:val="normaltextrun"/>
          <w:rFonts w:cs="Times New Roman"/>
        </w:rPr>
        <w:t>”</w:t>
      </w:r>
      <w:r w:rsidRPr="000770DC">
        <w:rPr>
          <w:rStyle w:val="normaltextrun"/>
          <w:rFonts w:cs="Times New Roman"/>
        </w:rPr>
        <w:t xml:space="preserve"> (</w:t>
      </w:r>
      <w:r w:rsidRPr="000770DC">
        <w:rPr>
          <w:rStyle w:val="normaltextrun"/>
          <w:rFonts w:cs="Times New Roman"/>
          <w:i/>
        </w:rPr>
        <w:t>Canada Trustco</w:t>
      </w:r>
      <w:r w:rsidRPr="000770DC">
        <w:rPr>
          <w:rStyle w:val="normaltextrun"/>
          <w:rFonts w:cs="Times New Roman"/>
        </w:rPr>
        <w:t>,</w:t>
      </w:r>
      <w:r w:rsidRPr="000770DC">
        <w:rPr>
          <w:rStyle w:val="normaltextrun"/>
          <w:rFonts w:cs="Times New Roman"/>
          <w:i/>
        </w:rPr>
        <w:t xml:space="preserve"> </w:t>
      </w:r>
      <w:r w:rsidRPr="000770DC">
        <w:rPr>
          <w:rStyle w:val="normaltextrun"/>
          <w:rFonts w:cs="Times New Roman"/>
        </w:rPr>
        <w:t>at para. </w:t>
      </w:r>
      <w:r>
        <w:rPr>
          <w:rStyle w:val="normaltextrun"/>
          <w:rFonts w:cs="Times New Roman"/>
        </w:rPr>
        <w:t>55).</w:t>
      </w:r>
    </w:p>
    <w:p w14:paraId="06F1BCD0" w14:textId="77777777" w:rsidR="001346AE" w:rsidRPr="000770DC" w:rsidRDefault="001346AE" w:rsidP="001346AE">
      <w:pPr>
        <w:pStyle w:val="ParaNoNdepar-AltN"/>
        <w:rPr>
          <w:rStyle w:val="normaltextrun"/>
          <w:rFonts w:cs="Times New Roman"/>
        </w:rPr>
      </w:pPr>
      <w:r w:rsidRPr="000770DC">
        <w:rPr>
          <w:rStyle w:val="normaltextrun"/>
          <w:rFonts w:cs="Times New Roman"/>
        </w:rPr>
        <w:t xml:space="preserve">Alta Luxembourg </w:t>
      </w:r>
      <w:r>
        <w:rPr>
          <w:rStyle w:val="normaltextrun"/>
          <w:rFonts w:cs="Times New Roman"/>
        </w:rPr>
        <w:t xml:space="preserve">was created as part of a </w:t>
      </w:r>
      <w:r w:rsidRPr="000770DC">
        <w:rPr>
          <w:rStyle w:val="normaltextrun"/>
          <w:rFonts w:cs="Times New Roman"/>
        </w:rPr>
        <w:t>restructur</w:t>
      </w:r>
      <w:r>
        <w:rPr>
          <w:rStyle w:val="normaltextrun"/>
          <w:rFonts w:cs="Times New Roman"/>
        </w:rPr>
        <w:t>ing</w:t>
      </w:r>
      <w:r w:rsidRPr="000770DC">
        <w:rPr>
          <w:rStyle w:val="normaltextrun"/>
          <w:rFonts w:cs="Times New Roman"/>
        </w:rPr>
        <w:t xml:space="preserve"> </w:t>
      </w:r>
      <w:r>
        <w:rPr>
          <w:rStyle w:val="normaltextrun"/>
          <w:rFonts w:cs="Times New Roman"/>
        </w:rPr>
        <w:t>of</w:t>
      </w:r>
      <w:r w:rsidRPr="000770DC">
        <w:rPr>
          <w:rStyle w:val="normaltextrun"/>
          <w:rFonts w:cs="Times New Roman"/>
        </w:rPr>
        <w:t xml:space="preserve"> activities to take advantage of the carve-out provided </w:t>
      </w:r>
      <w:r>
        <w:rPr>
          <w:rStyle w:val="normaltextrun"/>
          <w:rFonts w:cs="Times New Roman"/>
        </w:rPr>
        <w:t>for in a</w:t>
      </w:r>
      <w:r w:rsidRPr="000770DC">
        <w:rPr>
          <w:rStyle w:val="normaltextrun"/>
          <w:rFonts w:cs="Times New Roman"/>
        </w:rPr>
        <w:t xml:space="preserve">rt. 13(4) of the </w:t>
      </w:r>
      <w:r w:rsidRPr="000770DC">
        <w:rPr>
          <w:rStyle w:val="normaltextrun"/>
          <w:rFonts w:cs="Times New Roman"/>
          <w:i/>
        </w:rPr>
        <w:t>Treaty</w:t>
      </w:r>
      <w:r w:rsidRPr="000770DC">
        <w:rPr>
          <w:rStyle w:val="normaltextrun"/>
          <w:rFonts w:cs="Times New Roman"/>
        </w:rPr>
        <w:t xml:space="preserve">. It concedes that this tax benefit was derived from a transaction not arranged primarily for a </w:t>
      </w:r>
      <w:r w:rsidRPr="000770DC">
        <w:rPr>
          <w:rStyle w:val="normaltextrun"/>
          <w:rFonts w:cs="Times New Roman"/>
          <w:i/>
          <w:iCs/>
        </w:rPr>
        <w:t xml:space="preserve">bona fide </w:t>
      </w:r>
      <w:r w:rsidRPr="000770DC">
        <w:rPr>
          <w:rStyle w:val="normaltextrun"/>
          <w:rFonts w:cs="Times New Roman"/>
        </w:rPr>
        <w:t xml:space="preserve">purpose other than to obtain this benefit. However, I fail to see how this avoidance transaction </w:t>
      </w:r>
      <w:r>
        <w:rPr>
          <w:rStyle w:val="normaltextrun"/>
          <w:rFonts w:cs="Times New Roman"/>
        </w:rPr>
        <w:t>was abusive.</w:t>
      </w:r>
    </w:p>
    <w:p w14:paraId="02E5281F" w14:textId="77777777" w:rsidR="001346AE" w:rsidRPr="000770DC" w:rsidRDefault="001346AE" w:rsidP="001346AE">
      <w:pPr>
        <w:pStyle w:val="ParaNoNdepar-AltN"/>
        <w:rPr>
          <w:rStyle w:val="normaltextrun"/>
          <w:rFonts w:cs="Times New Roman"/>
        </w:rPr>
      </w:pPr>
      <w:r>
        <w:rPr>
          <w:rStyle w:val="normaltextrun"/>
          <w:rFonts w:cs="Times New Roman"/>
        </w:rPr>
        <w:t>In</w:t>
      </w:r>
      <w:r w:rsidRPr="000770DC">
        <w:rPr>
          <w:rStyle w:val="normaltextrun"/>
          <w:rFonts w:cs="Times New Roman"/>
        </w:rPr>
        <w:t xml:space="preserve"> this Court, </w:t>
      </w:r>
      <w:r>
        <w:rPr>
          <w:rStyle w:val="normaltextrun"/>
          <w:rFonts w:cs="Times New Roman"/>
        </w:rPr>
        <w:t xml:space="preserve">as in the Federal Court of Appeal, </w:t>
      </w:r>
      <w:r w:rsidRPr="000770DC">
        <w:rPr>
          <w:rStyle w:val="normaltextrun"/>
          <w:rFonts w:cs="Times New Roman"/>
        </w:rPr>
        <w:t>the Minister righ</w:t>
      </w:r>
      <w:r>
        <w:rPr>
          <w:rStyle w:val="normaltextrun"/>
          <w:rFonts w:cs="Times New Roman"/>
        </w:rPr>
        <w:t>tly</w:t>
      </w:r>
      <w:r w:rsidRPr="000770DC">
        <w:rPr>
          <w:rStyle w:val="normaltextrun"/>
          <w:rFonts w:cs="Times New Roman"/>
        </w:rPr>
        <w:t xml:space="preserve"> concedes that Alta Luxembourg is a resident of Luxembourg </w:t>
      </w:r>
      <w:r>
        <w:rPr>
          <w:rStyle w:val="normaltextrun"/>
          <w:rFonts w:cs="Times New Roman"/>
        </w:rPr>
        <w:t xml:space="preserve">for the purposes of the </w:t>
      </w:r>
      <w:r w:rsidRPr="00520AED">
        <w:rPr>
          <w:rStyle w:val="normaltextrun"/>
          <w:rFonts w:cs="Times New Roman"/>
          <w:i/>
        </w:rPr>
        <w:t>Treaty</w:t>
      </w:r>
      <w:r>
        <w:rPr>
          <w:rStyle w:val="normaltextrun"/>
          <w:rFonts w:cs="Times New Roman"/>
        </w:rPr>
        <w:t xml:space="preserve">, </w:t>
      </w:r>
      <w:r w:rsidRPr="000770DC">
        <w:rPr>
          <w:rStyle w:val="normaltextrun"/>
          <w:rFonts w:cs="Times New Roman"/>
        </w:rPr>
        <w:t xml:space="preserve">as it has its legal seat there. Moreover, nothing indicates that Alta Luxembourg was not liable to tax in Luxembourg. The gain </w:t>
      </w:r>
      <w:r>
        <w:rPr>
          <w:rStyle w:val="normaltextrun"/>
          <w:rFonts w:cs="Times New Roman"/>
        </w:rPr>
        <w:t xml:space="preserve">it </w:t>
      </w:r>
      <w:r w:rsidRPr="000770DC">
        <w:rPr>
          <w:rStyle w:val="normaltextrun"/>
          <w:rFonts w:cs="Times New Roman"/>
        </w:rPr>
        <w:t xml:space="preserve">realized on the disposition of its shares of Alta Canada was reported to the Luxembourg authorities and </w:t>
      </w:r>
      <w:r>
        <w:rPr>
          <w:rStyle w:val="normaltextrun"/>
          <w:rFonts w:cs="Times New Roman"/>
        </w:rPr>
        <w:t xml:space="preserve">was </w:t>
      </w:r>
      <w:r w:rsidRPr="000770DC">
        <w:rPr>
          <w:rStyle w:val="normaltextrun"/>
          <w:rFonts w:cs="Times New Roman"/>
        </w:rPr>
        <w:t>subject to full taxation under their domestic laws. The fact that Alta Luxembourg paid less tax in Luxembourg on this gain than it would have paid if it were a Canadian resident paying tax in Canada changes nothing in this determination</w:t>
      </w:r>
      <w:r>
        <w:rPr>
          <w:rStyle w:val="normaltextrun"/>
          <w:rFonts w:cs="Times New Roman"/>
        </w:rPr>
        <w:t>.</w:t>
      </w:r>
      <w:r w:rsidRPr="000770DC">
        <w:rPr>
          <w:rStyle w:val="normaltextrun"/>
          <w:rFonts w:cs="Times New Roman"/>
        </w:rPr>
        <w:t xml:space="preserve"> </w:t>
      </w:r>
      <w:r>
        <w:rPr>
          <w:rStyle w:val="normaltextrun"/>
          <w:rFonts w:cs="Times New Roman"/>
        </w:rPr>
        <w:t>A</w:t>
      </w:r>
      <w:r w:rsidRPr="000770DC">
        <w:rPr>
          <w:rStyle w:val="normaltextrun"/>
          <w:rFonts w:cs="Times New Roman"/>
        </w:rPr>
        <w:t xml:space="preserve">s noted by this Court in </w:t>
      </w:r>
      <w:r w:rsidRPr="000770DC">
        <w:rPr>
          <w:rStyle w:val="normaltextrun"/>
          <w:rFonts w:cs="Times New Roman"/>
          <w:i/>
        </w:rPr>
        <w:t>Copthorne</w:t>
      </w:r>
      <w:r w:rsidRPr="000770DC">
        <w:rPr>
          <w:rStyle w:val="normaltextrun"/>
          <w:rFonts w:cs="Times New Roman"/>
        </w:rPr>
        <w:t>, “determining the rationale of the relevant provisions of the Act should not be conflated with a value judgment of what is right or wrong nor with theories about what tax law ought to be or ought to do” (para. 70). Therefore, from the moment that Alta Luxembourg realized a gain on the disposition of its shares of Alta Canada, the laws of Luxembourg applied and Canada’s interest in the gain ceased. As a result, Alta Luxembourg’s resident status falls squarely within the object, spirit</w:t>
      </w:r>
      <w:r>
        <w:rPr>
          <w:rStyle w:val="normaltextrun"/>
          <w:rFonts w:cs="Times New Roman"/>
        </w:rPr>
        <w:t>,</w:t>
      </w:r>
      <w:r w:rsidRPr="000770DC">
        <w:rPr>
          <w:rStyle w:val="normaltextrun"/>
          <w:rFonts w:cs="Times New Roman"/>
        </w:rPr>
        <w:t xml:space="preserve"> and purpose</w:t>
      </w:r>
      <w:r>
        <w:rPr>
          <w:rStyle w:val="normaltextrun"/>
          <w:rFonts w:cs="Times New Roman"/>
        </w:rPr>
        <w:t xml:space="preserve"> of a</w:t>
      </w:r>
      <w:r w:rsidRPr="000770DC">
        <w:rPr>
          <w:rStyle w:val="normaltextrun"/>
          <w:rFonts w:cs="Times New Roman"/>
        </w:rPr>
        <w:t xml:space="preserve">rts. 1 and 4(1) of the </w:t>
      </w:r>
      <w:r w:rsidRPr="000770DC">
        <w:rPr>
          <w:rStyle w:val="normaltextrun"/>
          <w:rFonts w:cs="Times New Roman"/>
          <w:i/>
        </w:rPr>
        <w:t>Treaty</w:t>
      </w:r>
      <w:r w:rsidRPr="000770DC">
        <w:rPr>
          <w:rStyle w:val="normaltextrun"/>
          <w:rFonts w:cs="Times New Roman"/>
        </w:rPr>
        <w:t>.</w:t>
      </w:r>
    </w:p>
    <w:p w14:paraId="2C40D55A" w14:textId="77777777" w:rsidR="001346AE" w:rsidRPr="000770DC" w:rsidRDefault="001346AE" w:rsidP="001346AE">
      <w:pPr>
        <w:pStyle w:val="ParaNoNdepar-AltN"/>
        <w:rPr>
          <w:rStyle w:val="normaltextrun"/>
          <w:rFonts w:cs="Times New Roman"/>
        </w:rPr>
      </w:pPr>
      <w:r w:rsidRPr="000770DC">
        <w:rPr>
          <w:rStyle w:val="normaltextrun"/>
          <w:rFonts w:cs="Times New Roman"/>
        </w:rPr>
        <w:lastRenderedPageBreak/>
        <w:t xml:space="preserve">The Minister has failed to discharge </w:t>
      </w:r>
      <w:r>
        <w:rPr>
          <w:rStyle w:val="normaltextrun"/>
          <w:rFonts w:cs="Times New Roman"/>
        </w:rPr>
        <w:t>her</w:t>
      </w:r>
      <w:r w:rsidRPr="000770DC">
        <w:rPr>
          <w:rStyle w:val="normaltextrun"/>
          <w:rFonts w:cs="Times New Roman"/>
        </w:rPr>
        <w:t xml:space="preserve"> burden </w:t>
      </w:r>
      <w:r>
        <w:rPr>
          <w:rStyle w:val="normaltextrun"/>
          <w:rFonts w:cs="Times New Roman"/>
        </w:rPr>
        <w:t>of</w:t>
      </w:r>
      <w:r w:rsidRPr="000770DC">
        <w:rPr>
          <w:rStyle w:val="normaltextrun"/>
          <w:rFonts w:cs="Times New Roman"/>
        </w:rPr>
        <w:t xml:space="preserve"> establish</w:t>
      </w:r>
      <w:r>
        <w:rPr>
          <w:rStyle w:val="normaltextrun"/>
          <w:rFonts w:cs="Times New Roman"/>
        </w:rPr>
        <w:t>ing</w:t>
      </w:r>
      <w:r w:rsidRPr="000770DC">
        <w:rPr>
          <w:rStyle w:val="normaltextrun"/>
          <w:rFonts w:cs="Times New Roman"/>
        </w:rPr>
        <w:t xml:space="preserve"> that the avoidance transaction defeat</w:t>
      </w:r>
      <w:r>
        <w:rPr>
          <w:rStyle w:val="normaltextrun"/>
          <w:rFonts w:cs="Times New Roman"/>
        </w:rPr>
        <w:t>s</w:t>
      </w:r>
      <w:r w:rsidRPr="000770DC">
        <w:rPr>
          <w:rStyle w:val="normaltextrun"/>
          <w:rFonts w:cs="Times New Roman"/>
        </w:rPr>
        <w:t xml:space="preserve"> the underlying rationale</w:t>
      </w:r>
      <w:r>
        <w:rPr>
          <w:rStyle w:val="normaltextrun"/>
          <w:rFonts w:cs="Times New Roman"/>
        </w:rPr>
        <w:t>, the</w:t>
      </w:r>
      <w:r w:rsidRPr="000770DC">
        <w:rPr>
          <w:rStyle w:val="normaltextrun"/>
          <w:rFonts w:cs="Times New Roman"/>
        </w:rPr>
        <w:t xml:space="preserve"> “object, spirit, or purpose”</w:t>
      </w:r>
      <w:r>
        <w:rPr>
          <w:rStyle w:val="normaltextrun"/>
          <w:rFonts w:cs="Times New Roman"/>
        </w:rPr>
        <w:t>,</w:t>
      </w:r>
      <w:r w:rsidRPr="000770DC">
        <w:rPr>
          <w:rStyle w:val="normaltextrun"/>
          <w:rFonts w:cs="Times New Roman"/>
        </w:rPr>
        <w:t xml:space="preserve"> beyond the words of the provisions. Alta Luxembourg met the clear requirements </w:t>
      </w:r>
      <w:r>
        <w:rPr>
          <w:rStyle w:val="normaltextrun"/>
          <w:rFonts w:cs="Times New Roman"/>
        </w:rPr>
        <w:t>of a</w:t>
      </w:r>
      <w:r w:rsidRPr="000770DC">
        <w:rPr>
          <w:rStyle w:val="normaltextrun"/>
          <w:rFonts w:cs="Times New Roman"/>
        </w:rPr>
        <w:t>rts. </w:t>
      </w:r>
      <w:r>
        <w:rPr>
          <w:rStyle w:val="normaltextrun"/>
          <w:rFonts w:cs="Times New Roman"/>
        </w:rPr>
        <w:t>1, 4, and 13(4).</w:t>
      </w:r>
    </w:p>
    <w:p w14:paraId="4E4597FE" w14:textId="77777777" w:rsidR="001346AE" w:rsidRPr="000770DC" w:rsidRDefault="001346AE" w:rsidP="001346AE">
      <w:pPr>
        <w:pStyle w:val="ParaNoNdepar-AltN"/>
        <w:rPr>
          <w:rStyle w:val="normaltextrun"/>
          <w:rFonts w:cs="Times New Roman"/>
        </w:rPr>
      </w:pPr>
      <w:r w:rsidRPr="000770DC">
        <w:rPr>
          <w:rStyle w:val="normaltextrun"/>
          <w:rFonts w:cs="Times New Roman"/>
        </w:rPr>
        <w:t xml:space="preserve">The </w:t>
      </w:r>
      <w:r w:rsidRPr="000770DC">
        <w:rPr>
          <w:rStyle w:val="normaltextrun"/>
          <w:rFonts w:cs="Times New Roman"/>
          <w:i/>
        </w:rPr>
        <w:t>Treaty</w:t>
      </w:r>
      <w:r w:rsidRPr="000770DC">
        <w:rPr>
          <w:rStyle w:val="normaltextrun"/>
          <w:rFonts w:cs="Times New Roman"/>
        </w:rPr>
        <w:t xml:space="preserve"> makes </w:t>
      </w:r>
      <w:r>
        <w:rPr>
          <w:rStyle w:val="normaltextrun"/>
          <w:rFonts w:cs="Times New Roman"/>
        </w:rPr>
        <w:t xml:space="preserve">it </w:t>
      </w:r>
      <w:r w:rsidRPr="000770DC">
        <w:rPr>
          <w:rStyle w:val="normaltextrun"/>
          <w:rFonts w:cs="Times New Roman"/>
        </w:rPr>
        <w:t xml:space="preserve">clear that Canada and Luxembourg agreed that </w:t>
      </w:r>
      <w:r>
        <w:rPr>
          <w:rStyle w:val="normaltextrun"/>
          <w:rFonts w:cs="Times New Roman"/>
        </w:rPr>
        <w:t>the power to tax</w:t>
      </w:r>
      <w:r w:rsidRPr="000770DC">
        <w:rPr>
          <w:rStyle w:val="normaltextrun"/>
          <w:rFonts w:cs="Times New Roman"/>
        </w:rPr>
        <w:t xml:space="preserve"> would be allocated to Luxembourg where the conditions of the carve-out </w:t>
      </w:r>
      <w:r>
        <w:rPr>
          <w:rStyle w:val="normaltextrun"/>
          <w:rFonts w:cs="Times New Roman"/>
        </w:rPr>
        <w:t>were</w:t>
      </w:r>
      <w:r w:rsidRPr="000770DC">
        <w:rPr>
          <w:rStyle w:val="normaltextrun"/>
          <w:rFonts w:cs="Times New Roman"/>
        </w:rPr>
        <w:t xml:space="preserve"> met</w:t>
      </w:r>
      <w:r>
        <w:rPr>
          <w:rStyle w:val="normaltextrun"/>
          <w:rFonts w:cs="Times New Roman"/>
        </w:rPr>
        <w:t xml:space="preserve">. </w:t>
      </w:r>
      <w:r w:rsidRPr="000770DC">
        <w:rPr>
          <w:rStyle w:val="normaltextrun"/>
          <w:rFonts w:cs="Times New Roman"/>
        </w:rPr>
        <w:t xml:space="preserve">There is nothing in the </w:t>
      </w:r>
      <w:r w:rsidRPr="000770DC">
        <w:rPr>
          <w:rStyle w:val="normaltextrun"/>
          <w:rFonts w:cs="Times New Roman"/>
          <w:i/>
        </w:rPr>
        <w:t>Treaty</w:t>
      </w:r>
      <w:r w:rsidRPr="000770DC">
        <w:rPr>
          <w:rStyle w:val="normaltextrun"/>
          <w:rFonts w:cs="Times New Roman"/>
        </w:rPr>
        <w:t xml:space="preserve"> suggesting that a single</w:t>
      </w:r>
      <w:r>
        <w:rPr>
          <w:rStyle w:val="normaltextrun"/>
          <w:rFonts w:cs="Times New Roman"/>
        </w:rPr>
        <w:noBreakHyphen/>
        <w:t>purpose conduit corporation</w:t>
      </w:r>
      <w:r w:rsidRPr="000770DC">
        <w:rPr>
          <w:rStyle w:val="normaltextrun"/>
          <w:rFonts w:cs="Times New Roman"/>
        </w:rPr>
        <w:t xml:space="preserve"> resident in </w:t>
      </w:r>
      <w:r>
        <w:rPr>
          <w:rStyle w:val="normaltextrun"/>
          <w:rFonts w:cs="Times New Roman"/>
        </w:rPr>
        <w:t>Luxembourg</w:t>
      </w:r>
      <w:r w:rsidRPr="000770DC">
        <w:rPr>
          <w:rStyle w:val="normaltextrun"/>
          <w:rFonts w:cs="Times New Roman"/>
        </w:rPr>
        <w:t xml:space="preserve"> cannot avail itself of the benefits of the </w:t>
      </w:r>
      <w:r w:rsidRPr="000770DC">
        <w:rPr>
          <w:rStyle w:val="normaltextrun"/>
          <w:rFonts w:cs="Times New Roman"/>
          <w:i/>
        </w:rPr>
        <w:t>Treaty</w:t>
      </w:r>
      <w:r w:rsidRPr="000770DC">
        <w:rPr>
          <w:rStyle w:val="normaltextrun"/>
          <w:rFonts w:cs="Times New Roman"/>
        </w:rPr>
        <w:t xml:space="preserve"> or should be denied the</w:t>
      </w:r>
      <w:r>
        <w:rPr>
          <w:rStyle w:val="normaltextrun"/>
          <w:rFonts w:cs="Times New Roman"/>
        </w:rPr>
        <w:t>se</w:t>
      </w:r>
      <w:r w:rsidRPr="000770DC">
        <w:rPr>
          <w:rStyle w:val="normaltextrun"/>
          <w:rFonts w:cs="Times New Roman"/>
        </w:rPr>
        <w:t xml:space="preserve"> benefit</w:t>
      </w:r>
      <w:r>
        <w:rPr>
          <w:rStyle w:val="normaltextrun"/>
          <w:rFonts w:cs="Times New Roman"/>
        </w:rPr>
        <w:t>s</w:t>
      </w:r>
      <w:r w:rsidRPr="000770DC">
        <w:rPr>
          <w:rStyle w:val="normaltextrun"/>
          <w:rFonts w:cs="Times New Roman"/>
        </w:rPr>
        <w:t xml:space="preserve"> due to some other consideration such as its shareholders not being themselves resident</w:t>
      </w:r>
      <w:r>
        <w:rPr>
          <w:rStyle w:val="normaltextrun"/>
          <w:rFonts w:cs="Times New Roman"/>
        </w:rPr>
        <w:t>s</w:t>
      </w:r>
      <w:r w:rsidRPr="000770DC">
        <w:rPr>
          <w:rStyle w:val="normaltextrun"/>
          <w:rFonts w:cs="Times New Roman"/>
        </w:rPr>
        <w:t xml:space="preserve"> of Luxembourg. In this case, the provisions operated as they were intended to operate; there was no abuse, and</w:t>
      </w:r>
      <w:r>
        <w:rPr>
          <w:rStyle w:val="normaltextrun"/>
          <w:rFonts w:cs="Times New Roman"/>
        </w:rPr>
        <w:t>,</w:t>
      </w:r>
      <w:r w:rsidRPr="000770DC">
        <w:rPr>
          <w:rStyle w:val="normaltextrun"/>
          <w:rFonts w:cs="Times New Roman"/>
        </w:rPr>
        <w:t xml:space="preserve"> therefore, the GAAR cannot be applied to deny the tax benefit claimed.</w:t>
      </w:r>
    </w:p>
    <w:p w14:paraId="5EE4C1E4" w14:textId="77777777" w:rsidR="001346AE" w:rsidRPr="000770DC" w:rsidRDefault="001346AE" w:rsidP="001346AE">
      <w:pPr>
        <w:pStyle w:val="ParaNoNdepar-AltN"/>
        <w:rPr>
          <w:rFonts w:cs="Times New Roman"/>
        </w:rPr>
      </w:pPr>
      <w:r w:rsidRPr="000770DC">
        <w:rPr>
          <w:rStyle w:val="normaltextrun"/>
          <w:rFonts w:cs="Times New Roman"/>
        </w:rPr>
        <w:t>This result accords with the true intention of the</w:t>
      </w:r>
      <w:r>
        <w:rPr>
          <w:rStyle w:val="normaltextrun"/>
          <w:rFonts w:cs="Times New Roman"/>
        </w:rPr>
        <w:t xml:space="preserve"> partners to the</w:t>
      </w:r>
      <w:r w:rsidRPr="000770DC">
        <w:rPr>
          <w:rStyle w:val="normaltextrun"/>
          <w:rFonts w:cs="Times New Roman"/>
        </w:rPr>
        <w:t xml:space="preserve"> </w:t>
      </w:r>
      <w:r w:rsidRPr="000770DC">
        <w:rPr>
          <w:rStyle w:val="normaltextrun"/>
          <w:rFonts w:cs="Times New Roman"/>
          <w:i/>
        </w:rPr>
        <w:t>Treaty</w:t>
      </w:r>
      <w:r w:rsidRPr="000770DC">
        <w:rPr>
          <w:rStyle w:val="normaltextrun"/>
          <w:rFonts w:cs="Times New Roman"/>
        </w:rPr>
        <w:t xml:space="preserve"> and must be respected. As Pelletier</w:t>
      </w:r>
      <w:r>
        <w:rPr>
          <w:rStyle w:val="normaltextrun"/>
          <w:rFonts w:cs="Times New Roman"/>
        </w:rPr>
        <w:t> J.A.</w:t>
      </w:r>
      <w:r w:rsidRPr="000770DC">
        <w:rPr>
          <w:rStyle w:val="normaltextrun"/>
          <w:rFonts w:cs="Times New Roman"/>
        </w:rPr>
        <w:t xml:space="preserve"> held in </w:t>
      </w:r>
      <w:r w:rsidRPr="000770DC">
        <w:rPr>
          <w:rStyle w:val="normaltextrun"/>
          <w:rFonts w:cs="Times New Roman"/>
          <w:i/>
          <w:iCs/>
        </w:rPr>
        <w:t xml:space="preserve">MIL </w:t>
      </w:r>
      <w:r>
        <w:rPr>
          <w:rStyle w:val="normaltextrun"/>
          <w:rFonts w:cs="Times New Roman"/>
          <w:i/>
          <w:iCs/>
        </w:rPr>
        <w:t>(</w:t>
      </w:r>
      <w:r w:rsidRPr="000770DC">
        <w:rPr>
          <w:rStyle w:val="normaltextrun"/>
          <w:rFonts w:cs="Times New Roman"/>
          <w:i/>
          <w:iCs/>
        </w:rPr>
        <w:t>Investments</w:t>
      </w:r>
      <w:r>
        <w:rPr>
          <w:rStyle w:val="normaltextrun"/>
          <w:rFonts w:cs="Times New Roman"/>
          <w:i/>
          <w:iCs/>
        </w:rPr>
        <w:t>)</w:t>
      </w:r>
      <w:r w:rsidRPr="000770DC">
        <w:rPr>
          <w:rStyle w:val="normaltextrun"/>
          <w:rFonts w:cs="Times New Roman"/>
          <w:iCs/>
        </w:rPr>
        <w:t xml:space="preserve">, </w:t>
      </w:r>
      <w:r w:rsidRPr="000770DC">
        <w:rPr>
          <w:rStyle w:val="normaltextrun"/>
          <w:rFonts w:cs="Times New Roman"/>
        </w:rPr>
        <w:t>“[t]o the extent that the appellant argues that the Tax Treaty should not be interpreted so as to permit double non-taxation, the issue raised by GAAR is the incidence of Canadian taxation, not the foregoing of revenues by the Luxembourg fiscal authorities” (para. </w:t>
      </w:r>
      <w:r>
        <w:rPr>
          <w:rStyle w:val="normaltextrun"/>
          <w:rFonts w:cs="Times New Roman"/>
        </w:rPr>
        <w:t>8).</w:t>
      </w:r>
    </w:p>
    <w:p w14:paraId="08EF20C6" w14:textId="77777777" w:rsidR="001346AE" w:rsidRPr="000770DC" w:rsidRDefault="001346AE" w:rsidP="001346AE">
      <w:pPr>
        <w:pStyle w:val="ParaNoNdepar-AltN"/>
        <w:rPr>
          <w:rFonts w:cs="Times New Roman"/>
        </w:rPr>
      </w:pPr>
      <w:r w:rsidRPr="000770DC">
        <w:rPr>
          <w:rStyle w:val="normaltextrun"/>
          <w:rFonts w:cs="Times New Roman"/>
        </w:rPr>
        <w:t>A final note on the Minister’s implication that treaty shopping arrangements are inherently abusive. A broad assertion of “treaty shopping” does not conform to a proper GAAR analysis. In accordance with the separation of powers, developing tax polic</w:t>
      </w:r>
      <w:r>
        <w:rPr>
          <w:rStyle w:val="normaltextrun"/>
          <w:rFonts w:cs="Times New Roman"/>
        </w:rPr>
        <w:t>y</w:t>
      </w:r>
      <w:r w:rsidRPr="000770DC">
        <w:rPr>
          <w:rStyle w:val="normaltextrun"/>
          <w:rFonts w:cs="Times New Roman"/>
        </w:rPr>
        <w:t xml:space="preserve"> is the task of the executive and legislative branches. Courts do </w:t>
      </w:r>
      <w:r w:rsidRPr="000770DC">
        <w:rPr>
          <w:rStyle w:val="normaltextrun"/>
          <w:rFonts w:cs="Times New Roman"/>
        </w:rPr>
        <w:lastRenderedPageBreak/>
        <w:t>not have the constitutional legitimacy</w:t>
      </w:r>
      <w:r>
        <w:rPr>
          <w:rStyle w:val="normaltextrun"/>
          <w:rFonts w:cs="Times New Roman"/>
        </w:rPr>
        <w:t xml:space="preserve"> and resources to be tax policy </w:t>
      </w:r>
      <w:r w:rsidRPr="000770DC">
        <w:rPr>
          <w:rStyle w:val="normaltextrun"/>
          <w:rFonts w:cs="Times New Roman"/>
        </w:rPr>
        <w:t>makers</w:t>
      </w:r>
      <w:r>
        <w:rPr>
          <w:rStyle w:val="normaltextrun"/>
          <w:rFonts w:cs="Times New Roman"/>
        </w:rPr>
        <w:t xml:space="preserve"> </w:t>
      </w:r>
      <w:r w:rsidRPr="000770DC">
        <w:rPr>
          <w:rStyle w:val="normaltextrun"/>
          <w:rFonts w:cs="Times New Roman"/>
        </w:rPr>
        <w:t>(</w:t>
      </w:r>
      <w:r w:rsidRPr="000770DC">
        <w:rPr>
          <w:rStyle w:val="normaltextrun"/>
          <w:rFonts w:cs="Times New Roman"/>
          <w:i/>
          <w:iCs/>
        </w:rPr>
        <w:t>Canada Trustco</w:t>
      </w:r>
      <w:r w:rsidRPr="000770DC">
        <w:rPr>
          <w:rStyle w:val="normaltextrun"/>
          <w:rFonts w:cs="Times New Roman"/>
        </w:rPr>
        <w:t xml:space="preserve">, at para. 41). It is for the executive and legislative branches to decide what is right and what is wrong, and then to translate these </w:t>
      </w:r>
      <w:r>
        <w:rPr>
          <w:rStyle w:val="normaltextrun"/>
          <w:rFonts w:cs="Times New Roman"/>
        </w:rPr>
        <w:t>decisions</w:t>
      </w:r>
      <w:r w:rsidRPr="000770DC">
        <w:rPr>
          <w:rStyle w:val="normaltextrun"/>
          <w:rFonts w:cs="Times New Roman"/>
        </w:rPr>
        <w:t xml:space="preserve"> into legislation that courts can apply. It bears repeating that the application of the GAAR must not </w:t>
      </w:r>
      <w:r>
        <w:rPr>
          <w:rStyle w:val="normaltextrun"/>
          <w:rFonts w:cs="Times New Roman"/>
        </w:rPr>
        <w:t xml:space="preserve">be premised on </w:t>
      </w:r>
      <w:r w:rsidRPr="000770DC">
        <w:rPr>
          <w:rStyle w:val="normaltextrun"/>
          <w:rFonts w:cs="Times New Roman"/>
        </w:rPr>
        <w:t xml:space="preserve">“a value judgment of what is right or wrong </w:t>
      </w:r>
      <w:r>
        <w:rPr>
          <w:rStyle w:val="normaltextrun"/>
          <w:rFonts w:cs="Times New Roman"/>
        </w:rPr>
        <w:t>[or]</w:t>
      </w:r>
      <w:r w:rsidRPr="000770DC">
        <w:rPr>
          <w:rStyle w:val="normaltextrun"/>
          <w:rFonts w:cs="Times New Roman"/>
        </w:rPr>
        <w:t xml:space="preserve"> theories about what tax law ought to be or ought to do” (</w:t>
      </w:r>
      <w:r w:rsidRPr="000770DC">
        <w:rPr>
          <w:rStyle w:val="normaltextrun"/>
          <w:rFonts w:cs="Times New Roman"/>
          <w:i/>
          <w:iCs/>
        </w:rPr>
        <w:t>Copthorne</w:t>
      </w:r>
      <w:r w:rsidRPr="000770DC">
        <w:rPr>
          <w:rStyle w:val="normaltextrun"/>
          <w:rFonts w:cs="Times New Roman"/>
        </w:rPr>
        <w:t>,</w:t>
      </w:r>
      <w:r w:rsidRPr="000770DC">
        <w:rPr>
          <w:rStyle w:val="normaltextrun"/>
          <w:rFonts w:cs="Times New Roman"/>
          <w:i/>
          <w:iCs/>
        </w:rPr>
        <w:t xml:space="preserve"> </w:t>
      </w:r>
      <w:r w:rsidRPr="000770DC">
        <w:rPr>
          <w:rStyle w:val="normaltextrun"/>
          <w:rFonts w:cs="Times New Roman"/>
        </w:rPr>
        <w:t>at para. 70). Taxpayers are “entitled to select courses of action or enter into transactions that will minimize their tax liability” (</w:t>
      </w:r>
      <w:r w:rsidRPr="000770DC">
        <w:rPr>
          <w:rStyle w:val="normaltextrun"/>
          <w:rFonts w:cs="Times New Roman"/>
          <w:i/>
          <w:iCs/>
        </w:rPr>
        <w:t>Copthorne</w:t>
      </w:r>
      <w:r w:rsidRPr="000770DC">
        <w:rPr>
          <w:rStyle w:val="normaltextrun"/>
          <w:rFonts w:cs="Times New Roman"/>
        </w:rPr>
        <w:t>, at para. 65). The courts’ role is limited to determining whether a transaction abuses the object, spirit</w:t>
      </w:r>
      <w:r>
        <w:rPr>
          <w:rStyle w:val="normaltextrun"/>
          <w:rFonts w:cs="Times New Roman"/>
        </w:rPr>
        <w:t>,</w:t>
      </w:r>
      <w:r w:rsidRPr="000770DC">
        <w:rPr>
          <w:rStyle w:val="normaltextrun"/>
          <w:rFonts w:cs="Times New Roman"/>
        </w:rPr>
        <w:t xml:space="preserve"> and purpose of the specific provisions relied on by the taxpayer. It is not to rewrite tax statutes and tax treaties to prevent treaty shopping when these instruments do not clearly do so.</w:t>
      </w:r>
    </w:p>
    <w:p w14:paraId="58C8F058" w14:textId="77777777" w:rsidR="001346AE" w:rsidRPr="000770DC" w:rsidRDefault="001346AE" w:rsidP="001346AE">
      <w:pPr>
        <w:pStyle w:val="Title1LevelTitre1Niveau-AltL"/>
        <w:rPr>
          <w:rFonts w:cs="Times New Roman"/>
        </w:rPr>
      </w:pPr>
      <w:bookmarkStart w:id="48" w:name="_Toc77170387"/>
      <w:bookmarkStart w:id="49" w:name="_Toc77229387"/>
      <w:bookmarkStart w:id="50" w:name="_Toc78040598"/>
      <w:r w:rsidRPr="000770DC">
        <w:rPr>
          <w:rFonts w:cs="Times New Roman"/>
        </w:rPr>
        <w:t>Conclusion</w:t>
      </w:r>
      <w:bookmarkEnd w:id="48"/>
      <w:bookmarkEnd w:id="49"/>
      <w:bookmarkEnd w:id="50"/>
    </w:p>
    <w:p w14:paraId="2FB94473" w14:textId="77777777" w:rsidR="001346AE" w:rsidRPr="000770DC" w:rsidRDefault="001346AE" w:rsidP="001346AE">
      <w:pPr>
        <w:pStyle w:val="ParaNoNdepar-AltN"/>
        <w:rPr>
          <w:rFonts w:cs="Times New Roman"/>
        </w:rPr>
      </w:pPr>
      <w:r w:rsidRPr="000770DC">
        <w:rPr>
          <w:rFonts w:cs="Times New Roman"/>
        </w:rPr>
        <w:t>For these reasons, I</w:t>
      </w:r>
      <w:r>
        <w:rPr>
          <w:rFonts w:cs="Times New Roman"/>
        </w:rPr>
        <w:t xml:space="preserve"> would dismiss the appeal. The r</w:t>
      </w:r>
      <w:r w:rsidRPr="000770DC">
        <w:rPr>
          <w:rFonts w:cs="Times New Roman"/>
        </w:rPr>
        <w:t xml:space="preserve">espondent is entitled to its costs </w:t>
      </w:r>
      <w:r>
        <w:rPr>
          <w:rFonts w:cs="Times New Roman"/>
        </w:rPr>
        <w:t>in this appeal</w:t>
      </w:r>
      <w:r w:rsidRPr="000770DC">
        <w:rPr>
          <w:rFonts w:cs="Times New Roman"/>
        </w:rPr>
        <w:t>.</w:t>
      </w:r>
    </w:p>
    <w:p w14:paraId="5206F58F" w14:textId="77777777" w:rsidR="001346AE" w:rsidRDefault="001346AE" w:rsidP="001346AE">
      <w:pPr>
        <w:pStyle w:val="SCCNormalDoubleSpacing"/>
        <w:spacing w:after="480"/>
      </w:pPr>
    </w:p>
    <w:p w14:paraId="08160658" w14:textId="77777777" w:rsidR="001346AE" w:rsidRDefault="001346AE" w:rsidP="001346AE">
      <w:r w:rsidRPr="00173A02">
        <w:t>The reasons of</w:t>
      </w:r>
      <w:r w:rsidRPr="005E3812">
        <w:rPr>
          <w:color w:val="000000"/>
        </w:rPr>
        <w:t xml:space="preserve"> </w:t>
      </w:r>
      <w:r w:rsidRPr="005E3812">
        <w:t>Wagner C.J. and</w:t>
      </w:r>
      <w:r w:rsidRPr="00173A02">
        <w:t xml:space="preserve"> </w:t>
      </w:r>
      <w:r w:rsidRPr="005E3812">
        <w:t>Rowe and Martin </w:t>
      </w:r>
      <w:r w:rsidRPr="00173A02">
        <w:t>JJ. were delivered by</w:t>
      </w:r>
    </w:p>
    <w:p w14:paraId="4FFE0ADA" w14:textId="77777777" w:rsidR="001346AE" w:rsidRDefault="001346AE" w:rsidP="001346AE"/>
    <w:p w14:paraId="3B536F3B" w14:textId="77777777" w:rsidR="001346AE" w:rsidRPr="00255326" w:rsidRDefault="001346AE" w:rsidP="001346AE">
      <w:pPr>
        <w:pStyle w:val="JudgeJuge"/>
      </w:pPr>
      <w:r w:rsidRPr="00255326">
        <w:tab/>
        <w:t xml:space="preserve">Rowe and Martin JJ. — </w:t>
      </w:r>
    </w:p>
    <w:p w14:paraId="0ADF1031" w14:textId="77777777" w:rsidR="001346AE" w:rsidRPr="00A37947" w:rsidRDefault="001346AE" w:rsidP="00A37947">
      <w:pPr>
        <w:pStyle w:val="Title1LevelTitre1Niveau-AltL"/>
        <w:numPr>
          <w:ilvl w:val="0"/>
          <w:numId w:val="23"/>
        </w:numPr>
        <w:rPr>
          <w:rFonts w:cs="Times New Roman"/>
          <w:lang w:val="fr-CA"/>
        </w:rPr>
      </w:pPr>
      <w:r w:rsidRPr="00A37947">
        <w:rPr>
          <w:rFonts w:cs="Times New Roman"/>
        </w:rPr>
        <w:t>Overview</w:t>
      </w:r>
    </w:p>
    <w:p w14:paraId="2A7CCE8A" w14:textId="77777777" w:rsidR="001346AE" w:rsidRPr="00255326" w:rsidRDefault="001346AE" w:rsidP="001346AE">
      <w:pPr>
        <w:pStyle w:val="ParaNoNdepar-AltN"/>
        <w:tabs>
          <w:tab w:val="clear" w:pos="1166"/>
          <w:tab w:val="num" w:pos="1152"/>
        </w:tabs>
        <w:rPr>
          <w:lang w:val="en-US"/>
        </w:rPr>
      </w:pPr>
      <w:r w:rsidRPr="00255326">
        <w:lastRenderedPageBreak/>
        <w:t>Multinational companies exploiting gaps and mismatches in international tax rules erode domestic tax bases and cost countries an estimated US$100 to US$240 billion in lost revenue annually (Organisation for Economic Co</w:t>
      </w:r>
      <w:r w:rsidRPr="00255326">
        <w:noBreakHyphen/>
        <w:t xml:space="preserve">operation and Development (“OECD”), </w:t>
      </w:r>
      <w:r w:rsidRPr="00255326">
        <w:rPr>
          <w:i/>
        </w:rPr>
        <w:t>Background Brief: Inclusive Framework on BEPS</w:t>
      </w:r>
      <w:r w:rsidRPr="00255326">
        <w:t xml:space="preserve">, January 2017 (online), at p. 9). As a result, aggressive international tax avoidance has received increasing political and media scrutiny (see, e.g., </w:t>
      </w:r>
      <w:r w:rsidRPr="00255326">
        <w:rPr>
          <w:i/>
        </w:rPr>
        <w:t>The Economist</w:t>
      </w:r>
      <w:r w:rsidRPr="00255326">
        <w:t xml:space="preserve">’s “The big carve-up” </w:t>
      </w:r>
      <w:r w:rsidRPr="00255326">
        <w:rPr>
          <w:lang w:val="en-US"/>
        </w:rPr>
        <w:t xml:space="preserve">(May 15, 2021), at pp. 65-66, and </w:t>
      </w:r>
      <w:r w:rsidRPr="00255326">
        <w:rPr>
          <w:i/>
          <w:lang w:val="en-US"/>
        </w:rPr>
        <w:t>Le Monde</w:t>
      </w:r>
      <w:r w:rsidRPr="00255326">
        <w:rPr>
          <w:lang w:val="en-US"/>
        </w:rPr>
        <w:t xml:space="preserve">’s series </w:t>
      </w:r>
      <w:r w:rsidRPr="00255326">
        <w:rPr>
          <w:i/>
          <w:lang w:val="en-US"/>
        </w:rPr>
        <w:t>OpenLux: Enquête sur le Luxembourg, coffre-fort de l’Europe</w:t>
      </w:r>
      <w:r w:rsidRPr="00255326">
        <w:rPr>
          <w:lang w:val="en-US"/>
        </w:rPr>
        <w:t xml:space="preserve"> by J. Baruch et al., February 8, 2021 (online)). </w:t>
      </w:r>
    </w:p>
    <w:p w14:paraId="110C5A74"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Although it is a long standing principle in Canadian law that taxpayers may arrange their affairs to minimize their amount of tax payable (</w:t>
      </w:r>
      <w:r w:rsidRPr="00255326">
        <w:rPr>
          <w:rFonts w:cs="Times New Roman"/>
          <w:i/>
          <w:iCs/>
        </w:rPr>
        <w:t>Commissioners of Inland Revenue v. Duke of Westminster</w:t>
      </w:r>
      <w:r w:rsidRPr="00255326">
        <w:rPr>
          <w:rFonts w:cs="Times New Roman"/>
        </w:rPr>
        <w:t xml:space="preserve">, [1936] A.C. 1 (H.L.); </w:t>
      </w:r>
      <w:r w:rsidRPr="00255326">
        <w:rPr>
          <w:rFonts w:cs="Times New Roman"/>
          <w:i/>
        </w:rPr>
        <w:t>Canada Trustco Mortgage Co. v. Canada</w:t>
      </w:r>
      <w:r w:rsidRPr="00255326">
        <w:rPr>
          <w:rFonts w:cs="Times New Roman"/>
        </w:rPr>
        <w:t>, 2005 SCC 54, [2005] 2 S.C.R. 601, at para. </w:t>
      </w:r>
      <w:r w:rsidRPr="00255326">
        <w:rPr>
          <w:rFonts w:cs="Times New Roman"/>
          <w:lang w:val="en-US"/>
        </w:rPr>
        <w:t>11</w:t>
      </w:r>
      <w:r w:rsidRPr="00255326">
        <w:rPr>
          <w:rFonts w:cs="Times New Roman"/>
        </w:rPr>
        <w:t xml:space="preserve">), the freedom to do so is not without limits. Canada has acted to curb abusive international tax avoidance by enacting the general anti-avoidance rule (“GAAR”), which denies tax benefits when taxpayers engage in transactions that conform with the text of the tax rules relied upon, but do not accord with their rationale. In introducing the GAAR in our tax legislation some 30 years ago, and in making it clear that it was applicable to abuses of tax treaties, Parliament made a policy choice by which it intended to fight harmful tax avoidance schemes that cross the line of legitimate tax planning and venture into the realm of abusive tax avoidance. </w:t>
      </w:r>
    </w:p>
    <w:p w14:paraId="21F6D136"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Courts now have the responsibility to give proper effect to the intention of Parliament and ensure the GAAR plays a meaningful role in controlling avoidance </w:t>
      </w:r>
      <w:r w:rsidRPr="00255326">
        <w:rPr>
          <w:rFonts w:cs="Times New Roman"/>
        </w:rPr>
        <w:lastRenderedPageBreak/>
        <w:t xml:space="preserve">transactions that technically comply with the provisions of a tax treaty but frustrate their underlying rationale. The interpretation exercise that is mandated in a GAAR analysis thus vests upon courts the unusual duty to look </w:t>
      </w:r>
      <w:r w:rsidRPr="00255326">
        <w:rPr>
          <w:rFonts w:cs="Times New Roman"/>
          <w:i/>
        </w:rPr>
        <w:t>beyond</w:t>
      </w:r>
      <w:r w:rsidRPr="00255326">
        <w:rPr>
          <w:rFonts w:cs="Times New Roman"/>
        </w:rPr>
        <w:t xml:space="preserve"> the words of the applicable provisions to determine whether the transactions in question frustrate the underlying rationale of those provisions. Giving an interpretation confined to the black letter of these legislative provisions instead defeats Parliament’s will and fails to fulfil the courts’ role “to interpret and apply the Act as it was adopted by Parliament” (</w:t>
      </w:r>
      <w:r w:rsidRPr="00255326">
        <w:rPr>
          <w:rFonts w:cs="Times New Roman"/>
          <w:i/>
        </w:rPr>
        <w:t>Shell Canada Ltd. </w:t>
      </w:r>
      <w:r w:rsidRPr="00255326">
        <w:rPr>
          <w:rFonts w:cs="Times New Roman"/>
          <w:i/>
          <w:iCs/>
        </w:rPr>
        <w:t>v</w:t>
      </w:r>
      <w:r w:rsidRPr="00255326">
        <w:rPr>
          <w:rFonts w:cs="Times New Roman"/>
          <w:i/>
        </w:rPr>
        <w:t>. Canada</w:t>
      </w:r>
      <w:r w:rsidRPr="00255326">
        <w:rPr>
          <w:rFonts w:cs="Times New Roman"/>
        </w:rPr>
        <w:t xml:space="preserve">, [1999] 3 S.C.R. 622, at para. 45; see also </w:t>
      </w:r>
      <w:r w:rsidRPr="00255326">
        <w:rPr>
          <w:rFonts w:cs="Times New Roman"/>
          <w:i/>
        </w:rPr>
        <w:t>Canada Trustco</w:t>
      </w:r>
      <w:r w:rsidRPr="00255326">
        <w:rPr>
          <w:rFonts w:cs="Times New Roman"/>
          <w:lang w:val="en-GB"/>
        </w:rPr>
        <w:t>, at para. 13</w:t>
      </w:r>
      <w:r w:rsidRPr="00255326">
        <w:rPr>
          <w:rFonts w:cs="Times New Roman"/>
        </w:rPr>
        <w:t>).</w:t>
      </w:r>
    </w:p>
    <w:p w14:paraId="14C4B985" w14:textId="77777777" w:rsidR="001346AE" w:rsidRPr="00255326" w:rsidRDefault="001346AE" w:rsidP="001346AE">
      <w:pPr>
        <w:pStyle w:val="ParaNoNdepar-AltN"/>
        <w:tabs>
          <w:tab w:val="clear" w:pos="1166"/>
          <w:tab w:val="num" w:pos="1152"/>
        </w:tabs>
        <w:rPr>
          <w:rFonts w:cs="Times New Roman"/>
        </w:rPr>
      </w:pPr>
      <w:r w:rsidRPr="00255326">
        <w:rPr>
          <w:rFonts w:cs="Times New Roman"/>
          <w:shd w:val="clear" w:color="auto" w:fill="FFFFFF"/>
        </w:rPr>
        <w:t>Given that the GAAR can only find application where a taxpayer has complied with the strict requirements of a provision,</w:t>
      </w:r>
      <w:r w:rsidRPr="00255326">
        <w:rPr>
          <w:rFonts w:cs="Times New Roman"/>
        </w:rPr>
        <w:t xml:space="preserve"> absolute certainty cannot be achieved, nor was it intended. This is a legislative choice that Parliament made in order to strike a necessary balance between the uncertainty inherent in the GAAR and the fairness of the Canadian tax system as a whole achieved by defeating abusive tax avoidance schemes. </w:t>
      </w:r>
    </w:p>
    <w:p w14:paraId="5A0DDFEF"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Alta Energy Luxembourg S.A.R.L. (“Alta Luxembourg”) is a Luxembourg corporation created so that shareholders of Alta Energy Partners, LLC (“Alta US”), who are residents neither of Canada nor of Luxembourg, could benefit from an exemption from Canadian income tax under the </w:t>
      </w:r>
      <w:r w:rsidRPr="00255326">
        <w:rPr>
          <w:rStyle w:val="Emphasis"/>
          <w:rFonts w:cs="Times New Roman"/>
          <w:shd w:val="clear" w:color="auto" w:fill="FFFFFF"/>
        </w:rPr>
        <w:t>Convention between the Government of Canada and the Government of the Grand Duchy of Luxembourg for the Avoidance of Double Taxation and the Prevention of Fiscal Evasion with Respect to Taxes on Income and on Capital</w:t>
      </w:r>
      <w:r w:rsidRPr="00255326">
        <w:rPr>
          <w:rFonts w:cs="Times New Roman"/>
        </w:rPr>
        <w:t xml:space="preserve">, Can. T.S. 2000 No. 22 (“Treaty”), with respect to liquidation </w:t>
      </w:r>
      <w:r w:rsidRPr="00255326">
        <w:rPr>
          <w:rFonts w:cs="Times New Roman"/>
        </w:rPr>
        <w:lastRenderedPageBreak/>
        <w:t>of an investment in oil and gas properties. Despite being a mere conduit interposed in Luxembourg, Alta Luxembourg claimed a tax exemption for a capital gain of more than $380 million. The issue in this case is whether this transaction constitutes abuse under the GAAR. In effect, does Alta Luxembourg get to claim this exemption and, thereby, pay no tax at all in Canada on a multimillion dollar profit made from property in Canada, even though it had no genuine connection to Luxembourg?</w:t>
      </w:r>
    </w:p>
    <w:p w14:paraId="6154ABA3"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We conclude that Alta Luxembourg’s claim for a tax benefit under the Treaty is the result of abusive avoidance transactions. In our respectful view, the courts below did not properly identify the rationale underlying the relevant provisions of the Treaty. They gave weight only to the text and failed to consider why the provisions were put in place. This is not the exercise mandated under the GAAR.</w:t>
      </w:r>
    </w:p>
    <w:p w14:paraId="084987ED"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The object, spirit or purpose of the relevant provisions of the Treaty is to assign taxing rights to the state with the closest economic connection to the taxpayer’s income. Article 13(4) allocates to Luxembourg the right to tax its residents’ indirect gains from immovable property situated in Canada used in a business. In such cases, Luxembourg is deemed to have the closer economic connection with the taxpayer’s income because the business activity, rather than the immovable property itself, drives the value of the property. </w:t>
      </w:r>
    </w:p>
    <w:p w14:paraId="07F03E4E"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Here, a review of the factual matrix reveals that Alta Luxembourg utterly lacks a genuine economic connection with Luxembourg. Allowing it to benefit from art. 13(4) and (5) would frustrate the rationale of this provision and is thereby abusive. </w:t>
      </w:r>
      <w:r w:rsidRPr="00255326">
        <w:rPr>
          <w:rFonts w:cs="Times New Roman"/>
        </w:rPr>
        <w:lastRenderedPageBreak/>
        <w:t xml:space="preserve">The common intention of Canada and Luxembourg in entering into a tax treaty could not have been to provide avenues for residents of third-party states to indirectly obtain benefits from Luxembourg’s tax regime they could not obtain directly, despite the absence of genuine ties to that state. Accordingly, we would allow the appeal. </w:t>
      </w:r>
    </w:p>
    <w:p w14:paraId="2692FA73" w14:textId="77777777" w:rsidR="001346AE" w:rsidRPr="00255326" w:rsidRDefault="001346AE" w:rsidP="001346AE">
      <w:pPr>
        <w:pStyle w:val="Title1LevelTitre1Niveau-AltL"/>
        <w:rPr>
          <w:rFonts w:cs="Times New Roman"/>
        </w:rPr>
      </w:pPr>
      <w:r w:rsidRPr="00255326">
        <w:rPr>
          <w:rFonts w:cs="Times New Roman"/>
        </w:rPr>
        <w:t>Background</w:t>
      </w:r>
    </w:p>
    <w:p w14:paraId="6F9EC585" w14:textId="77777777" w:rsidR="001346AE" w:rsidRPr="00255326" w:rsidRDefault="001346AE" w:rsidP="001346AE">
      <w:pPr>
        <w:pStyle w:val="ParaNoNdepar-AltN"/>
        <w:tabs>
          <w:tab w:val="clear" w:pos="1166"/>
          <w:tab w:val="num" w:pos="1152"/>
        </w:tabs>
        <w:rPr>
          <w:rFonts w:eastAsia="Times New Roman" w:cs="Times New Roman"/>
          <w:szCs w:val="24"/>
          <w:lang w:val="x-none" w:eastAsia="en-CA"/>
        </w:rPr>
      </w:pPr>
      <w:r w:rsidRPr="00255326">
        <w:rPr>
          <w:rFonts w:cs="Times New Roman"/>
        </w:rPr>
        <w:t xml:space="preserve">In June 2011, Alta Energy Partners Canada Ltd. (“Alta Canada”) was incorporated under the laws of Alberta. It was a wholly owned subsidiary of Alta US, whose shareholders were foreign investors from the United States or other countries. Alta Canada carried on an unconventional shale oil business in Northern Alberta. The indirect owners of the shares of Alta Canada were advised by tax professionals that their current corporate structure was undesirable from a tax perspective — the capital gain resulting from the future disposition of the shares would be subject to Canadian taxes because the shares of Alta Canada were taxable Canadian property and Canada reserves the right to tax such capital gains under the </w:t>
      </w:r>
      <w:r w:rsidRPr="00255326">
        <w:rPr>
          <w:rFonts w:cs="Times New Roman"/>
          <w:i/>
        </w:rPr>
        <w:t>Convention Between Canada and the United States of America with Respect to Taxes on Income and on Capital</w:t>
      </w:r>
      <w:r w:rsidRPr="00255326">
        <w:rPr>
          <w:rFonts w:cs="Times New Roman"/>
        </w:rPr>
        <w:t xml:space="preserve"> (enacted in law in Canada by the </w:t>
      </w:r>
      <w:r w:rsidRPr="00255326">
        <w:rPr>
          <w:rFonts w:cs="Times New Roman"/>
          <w:i/>
        </w:rPr>
        <w:t>Canada-United States Tax Convention Act, 1984</w:t>
      </w:r>
      <w:r w:rsidRPr="00255326">
        <w:rPr>
          <w:rFonts w:cs="Times New Roman"/>
        </w:rPr>
        <w:t xml:space="preserve">, S.C. 1984, c. 20, Sch. I; see ss. 2(3)(c) and 115(1)(b) of the </w:t>
      </w:r>
      <w:r w:rsidRPr="00255326">
        <w:rPr>
          <w:rFonts w:cs="Times New Roman"/>
          <w:i/>
        </w:rPr>
        <w:t>Income Tax Act</w:t>
      </w:r>
      <w:r w:rsidRPr="00255326">
        <w:rPr>
          <w:rFonts w:cs="Times New Roman"/>
        </w:rPr>
        <w:t>,</w:t>
      </w:r>
      <w:r w:rsidRPr="00255326">
        <w:rPr>
          <w:rFonts w:cs="Times New Roman"/>
          <w:i/>
        </w:rPr>
        <w:t xml:space="preserve"> </w:t>
      </w:r>
      <w:r w:rsidRPr="00255326">
        <w:rPr>
          <w:rFonts w:cs="Times New Roman"/>
        </w:rPr>
        <w:t>R.S.C. 1985, c. 1 (5th Supp.) (“Act”). The advice highlighted the existence of a favourable exemption under other tax treaties that would lead to the non-taxation of the capital gain to be realized on the sale of the shares</w:t>
      </w:r>
      <w:r w:rsidRPr="00255326">
        <w:rPr>
          <w:rFonts w:cs="Times New Roman"/>
          <w:lang w:val="en-US"/>
        </w:rPr>
        <w:t>.</w:t>
      </w:r>
    </w:p>
    <w:p w14:paraId="390C84EA"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lastRenderedPageBreak/>
        <w:t xml:space="preserve">In April 2012, Alta Luxembourg was formed under the laws of Luxembourg for the purpose of taking advantage of the Treaty. The shares of Alta Luxembourg were still indirectly controlled by shareholders of Alta US. Alta Luxembourg had no genuine connection to Luxembourg: it had no business activity in Luxembourg and it did not hold any other investment. The sole purpose for the incorporation was to avoid paying taxes in Canada on the sale of the shares of Alta Canada. </w:t>
      </w:r>
    </w:p>
    <w:p w14:paraId="3053D9C1"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On the same day, Alta US sold all its shares of Alta Canada to Alta Luxembourg. The investors had received a confirmation from the Luxembourg tax authorities that capital gains realized on the participation in Alta Canada would be exempt from Luxembourg tax. The result was to replace Alta US with Alta Luxembourg as shareholder of Alta Canada, but to keep the same persons effectively in control. </w:t>
      </w:r>
    </w:p>
    <w:p w14:paraId="1BD5854D"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In 2013, Alta Luxembourg sold the shares of Alta Canada for an amount of approximately $680 million. The resulting capital gain was in excess of $380 million. Alta Luxembourg then claimed an exemption from Canadian income tax under art. 13(5) of the Treaty. </w:t>
      </w:r>
    </w:p>
    <w:p w14:paraId="696799AF"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The Minister of National Revenue denied the exemption, partially on the basis that the GAAR operated to deny the benefit. Alta Luxembourg appealed the assessment. The Tax Court of Canada allowed Alta Luxembourg’s appeal. It found that Alta Luxembourg could claim the exemption from Canadian income tax and that the </w:t>
      </w:r>
      <w:r w:rsidRPr="00255326">
        <w:rPr>
          <w:rFonts w:cs="Times New Roman"/>
        </w:rPr>
        <w:lastRenderedPageBreak/>
        <w:t>GAAR did not prevent this entitlement (2018 TCC 152, [2019] 5 C.T.C. 2183). The Federal Court of Appeal agreed with the Tax Court (2020 FCA 43, [2020] 5 C.T.C. 193).</w:t>
      </w:r>
    </w:p>
    <w:p w14:paraId="467FD00D" w14:textId="77777777" w:rsidR="001346AE" w:rsidRPr="00255326" w:rsidRDefault="001346AE" w:rsidP="001346AE">
      <w:pPr>
        <w:pStyle w:val="Title1LevelTitre1Niveau-AltL"/>
        <w:rPr>
          <w:rFonts w:cs="Times New Roman"/>
        </w:rPr>
      </w:pPr>
      <w:r w:rsidRPr="00255326">
        <w:rPr>
          <w:rFonts w:cs="Times New Roman"/>
        </w:rPr>
        <w:t>Analysis</w:t>
      </w:r>
    </w:p>
    <w:p w14:paraId="305D57C4" w14:textId="77777777" w:rsidR="001346AE" w:rsidRPr="00255326" w:rsidRDefault="001346AE" w:rsidP="001346AE">
      <w:pPr>
        <w:pStyle w:val="Title2LevelTitre2Niveau"/>
        <w:rPr>
          <w:rFonts w:cs="Times New Roman"/>
        </w:rPr>
      </w:pPr>
      <w:r w:rsidRPr="00255326">
        <w:rPr>
          <w:rFonts w:cs="Times New Roman"/>
        </w:rPr>
        <w:t>The Legal Framework Under the General Anti-Avoidance Rule</w:t>
      </w:r>
    </w:p>
    <w:p w14:paraId="07FCDA44"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T</w:t>
      </w:r>
      <w:r w:rsidRPr="00255326">
        <w:rPr>
          <w:rFonts w:cs="Times New Roman"/>
          <w:lang w:val="en-US"/>
        </w:rPr>
        <w:t>he GAAR, set out at s. 245 of the Act, is a tool to preserve the integrity of our tax system which seeks to</w:t>
      </w:r>
      <w:r w:rsidRPr="00255326">
        <w:rPr>
          <w:rFonts w:cs="Times New Roman"/>
        </w:rPr>
        <w:t xml:space="preserve"> respond to “the need to prevent</w:t>
      </w:r>
      <w:r w:rsidRPr="00255326">
        <w:rPr>
          <w:rFonts w:cs="Times New Roman"/>
          <w:lang w:val="en-US"/>
        </w:rPr>
        <w:t xml:space="preserve"> </w:t>
      </w:r>
      <w:r w:rsidRPr="00255326">
        <w:rPr>
          <w:rFonts w:cs="Times New Roman"/>
        </w:rPr>
        <w:t>further erosion of tax revenues through purely tax-motivated</w:t>
      </w:r>
      <w:r w:rsidRPr="00255326">
        <w:rPr>
          <w:rFonts w:cs="Times New Roman"/>
          <w:lang w:val="en-US"/>
        </w:rPr>
        <w:t xml:space="preserve"> </w:t>
      </w:r>
      <w:r w:rsidRPr="00255326">
        <w:rPr>
          <w:rFonts w:cs="Times New Roman"/>
        </w:rPr>
        <w:t>strategies</w:t>
      </w:r>
      <w:r w:rsidRPr="00255326">
        <w:rPr>
          <w:rFonts w:cs="Times New Roman"/>
          <w:lang w:val="en-US"/>
        </w:rPr>
        <w:t>” (J. Sasseville, “Implementation of the General Anti-Avoidance Rule”, in Corporate Management Tax Conference,</w:t>
      </w:r>
      <w:r w:rsidRPr="00255326">
        <w:rPr>
          <w:rFonts w:cs="Times New Roman"/>
          <w:i/>
          <w:lang w:val="en-US"/>
        </w:rPr>
        <w:t xml:space="preserve"> Income Tax Enforcement, Compliance, and Administration</w:t>
      </w:r>
      <w:r w:rsidRPr="00255326">
        <w:rPr>
          <w:rFonts w:cs="Times New Roman"/>
          <w:lang w:val="en-US"/>
        </w:rPr>
        <w:t xml:space="preserve"> (1988), 4:1, at p. 4:2). </w:t>
      </w:r>
      <w:r w:rsidRPr="00255326">
        <w:rPr>
          <w:rFonts w:cs="Times New Roman"/>
        </w:rPr>
        <w:t xml:space="preserve">Indeed, an unbridled application of the </w:t>
      </w:r>
      <w:r w:rsidRPr="00255326">
        <w:rPr>
          <w:rFonts w:cs="Times New Roman"/>
          <w:i/>
        </w:rPr>
        <w:t xml:space="preserve">Duke of Westminster </w:t>
      </w:r>
      <w:r w:rsidRPr="00255326">
        <w:rPr>
          <w:rFonts w:cs="Times New Roman"/>
        </w:rPr>
        <w:t xml:space="preserve">principle providing that a taxpayer may arrange their affairs to minimize their tax burden “can mislead taxpayers into believing that tax plans that merely comply with the technical provisions of the Act are acceptable” (V. Krishna, </w:t>
      </w:r>
      <w:r w:rsidRPr="00255326">
        <w:rPr>
          <w:rFonts w:cs="Times New Roman"/>
          <w:i/>
        </w:rPr>
        <w:t>Income Tax Law</w:t>
      </w:r>
      <w:r w:rsidRPr="00255326">
        <w:rPr>
          <w:rFonts w:cs="Times New Roman"/>
        </w:rPr>
        <w:t xml:space="preserve"> (2nd ed. 2012), at p. 473). </w:t>
      </w:r>
    </w:p>
    <w:p w14:paraId="0A4E10F0"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Establishing </w:t>
      </w:r>
      <w:r w:rsidRPr="00255326">
        <w:rPr>
          <w:rFonts w:cs="Times New Roman"/>
          <w:lang w:val="en-US"/>
        </w:rPr>
        <w:t xml:space="preserve">the line between legitimate tax planning and abusive tax avoidance is a complex balancing exercise. </w:t>
      </w:r>
      <w:r w:rsidRPr="00255326">
        <w:rPr>
          <w:rFonts w:cs="Times New Roman"/>
        </w:rPr>
        <w:t xml:space="preserve">Parliament drew that line by enacting the GAAR — “the apex of all anti-avoidance measures” (Krishna (2012), at p. 470). Section 245, which sets out the GAAR reads, in part: </w:t>
      </w:r>
    </w:p>
    <w:p w14:paraId="6FEC7D6F" w14:textId="77777777" w:rsidR="001346AE" w:rsidRPr="00255326" w:rsidRDefault="001346AE" w:rsidP="001346AE">
      <w:pPr>
        <w:pStyle w:val="Citation-AltC"/>
      </w:pPr>
      <w:r w:rsidRPr="00255326">
        <w:rPr>
          <w:b/>
        </w:rPr>
        <w:t>(2)</w:t>
      </w:r>
      <w:r w:rsidRPr="00255326">
        <w:t xml:space="preserve"> Where a transaction is an avoidance transaction, the tax consequences to a person shall be determined as is reasonable in the circumstances in </w:t>
      </w:r>
      <w:r w:rsidRPr="00255326">
        <w:lastRenderedPageBreak/>
        <w:t>order to deny a tax benefit that, but for this section, would result, directly or indirectly, from that transaction or from a series of transactions that includes that transaction.</w:t>
      </w:r>
    </w:p>
    <w:p w14:paraId="5E94F8A5" w14:textId="77777777" w:rsidR="001346AE" w:rsidRPr="00255326" w:rsidRDefault="001346AE" w:rsidP="001346AE">
      <w:pPr>
        <w:pStyle w:val="Citation-AltC"/>
      </w:pPr>
    </w:p>
    <w:p w14:paraId="1413AC62" w14:textId="77777777" w:rsidR="001346AE" w:rsidRPr="00255326" w:rsidRDefault="001346AE" w:rsidP="001346AE">
      <w:pPr>
        <w:pStyle w:val="Citation-AltC"/>
        <w:jc w:val="center"/>
      </w:pPr>
      <w:r w:rsidRPr="00255326">
        <w:t>. . .</w:t>
      </w:r>
    </w:p>
    <w:p w14:paraId="51C8E84B" w14:textId="77777777" w:rsidR="001346AE" w:rsidRPr="00255326" w:rsidRDefault="001346AE" w:rsidP="001346AE">
      <w:pPr>
        <w:pStyle w:val="Citation-AltC"/>
      </w:pPr>
    </w:p>
    <w:p w14:paraId="23846408" w14:textId="77777777" w:rsidR="001346AE" w:rsidRPr="00255326" w:rsidRDefault="001346AE" w:rsidP="001346AE">
      <w:pPr>
        <w:pStyle w:val="Citation-AltC"/>
      </w:pPr>
      <w:r w:rsidRPr="00255326">
        <w:rPr>
          <w:b/>
        </w:rPr>
        <w:t>(4)</w:t>
      </w:r>
      <w:r w:rsidRPr="00255326">
        <w:t xml:space="preserve"> Subsection (2) applies to a transaction only if it may reasonably be considered that the transaction </w:t>
      </w:r>
    </w:p>
    <w:p w14:paraId="28FE5821" w14:textId="77777777" w:rsidR="001346AE" w:rsidRPr="00255326" w:rsidRDefault="001346AE" w:rsidP="001346AE">
      <w:pPr>
        <w:pStyle w:val="Citation-AltC"/>
      </w:pPr>
    </w:p>
    <w:p w14:paraId="4087BFEE" w14:textId="77777777" w:rsidR="001346AE" w:rsidRPr="00255326" w:rsidRDefault="001346AE" w:rsidP="001346AE">
      <w:pPr>
        <w:pStyle w:val="Citation-AltC"/>
        <w:ind w:left="1440"/>
      </w:pPr>
      <w:r w:rsidRPr="00255326">
        <w:rPr>
          <w:b/>
        </w:rPr>
        <w:t>(a)</w:t>
      </w:r>
      <w:r w:rsidRPr="00255326">
        <w:t xml:space="preserve"> would, if this Act were read without reference to this section, result directly or indirectly in a misuse of the provisions of any one or more of </w:t>
      </w:r>
    </w:p>
    <w:p w14:paraId="32DAF46A" w14:textId="77777777" w:rsidR="001346AE" w:rsidRPr="00255326" w:rsidRDefault="001346AE" w:rsidP="001346AE">
      <w:pPr>
        <w:pStyle w:val="Citation-AltC"/>
        <w:ind w:left="1440"/>
      </w:pPr>
    </w:p>
    <w:p w14:paraId="14DF5004" w14:textId="77777777" w:rsidR="001346AE" w:rsidRPr="00255326" w:rsidRDefault="001346AE" w:rsidP="001346AE">
      <w:pPr>
        <w:pStyle w:val="Citation-AltC"/>
        <w:tabs>
          <w:tab w:val="left" w:pos="4590"/>
        </w:tabs>
        <w:ind w:left="1152"/>
        <w:jc w:val="center"/>
      </w:pPr>
      <w:r w:rsidRPr="00255326">
        <w:t>. . .</w:t>
      </w:r>
    </w:p>
    <w:p w14:paraId="560D6432" w14:textId="77777777" w:rsidR="001346AE" w:rsidRPr="00255326" w:rsidRDefault="001346AE" w:rsidP="001346AE">
      <w:pPr>
        <w:pStyle w:val="Citation-AltC"/>
        <w:tabs>
          <w:tab w:val="left" w:pos="4590"/>
        </w:tabs>
        <w:ind w:left="1152"/>
        <w:jc w:val="center"/>
      </w:pPr>
    </w:p>
    <w:p w14:paraId="5AC9BB96" w14:textId="77777777" w:rsidR="001346AE" w:rsidRPr="00255326" w:rsidRDefault="001346AE" w:rsidP="001346AE">
      <w:pPr>
        <w:pStyle w:val="Citation-AltC"/>
        <w:ind w:left="1800"/>
      </w:pPr>
      <w:r w:rsidRPr="00255326">
        <w:rPr>
          <w:b/>
        </w:rPr>
        <w:t>(iv)</w:t>
      </w:r>
      <w:r w:rsidRPr="00255326">
        <w:t xml:space="preserve"> a tax treaty . . . or</w:t>
      </w:r>
    </w:p>
    <w:p w14:paraId="082E5924" w14:textId="77777777" w:rsidR="001346AE" w:rsidRPr="00255326" w:rsidRDefault="001346AE" w:rsidP="001346AE">
      <w:pPr>
        <w:pStyle w:val="Citation-AltC"/>
        <w:ind w:left="1800"/>
      </w:pPr>
    </w:p>
    <w:p w14:paraId="751E5FEA" w14:textId="77777777" w:rsidR="001346AE" w:rsidRPr="00255326" w:rsidRDefault="001346AE" w:rsidP="001346AE">
      <w:pPr>
        <w:pStyle w:val="Citation-AltC"/>
        <w:jc w:val="center"/>
      </w:pPr>
      <w:r w:rsidRPr="00255326">
        <w:t>. . .</w:t>
      </w:r>
    </w:p>
    <w:p w14:paraId="295289CC" w14:textId="77777777" w:rsidR="001346AE" w:rsidRPr="00255326" w:rsidRDefault="001346AE" w:rsidP="001346AE">
      <w:pPr>
        <w:pStyle w:val="Citation-AltC"/>
        <w:jc w:val="center"/>
      </w:pPr>
    </w:p>
    <w:p w14:paraId="5E7D1F44" w14:textId="77777777" w:rsidR="001346AE" w:rsidRPr="00255326" w:rsidRDefault="001346AE" w:rsidP="001346AE">
      <w:pPr>
        <w:pStyle w:val="Citation-AltC"/>
        <w:ind w:left="1440"/>
      </w:pPr>
      <w:r w:rsidRPr="00255326">
        <w:rPr>
          <w:b/>
        </w:rPr>
        <w:t>(b)</w:t>
      </w:r>
      <w:r w:rsidRPr="00255326">
        <w:t xml:space="preserve"> would result directly or indirectly in an abuse having regard to those provisions, other than this section, read as a whole.</w:t>
      </w:r>
    </w:p>
    <w:p w14:paraId="01254A79"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There are three requirements for the GAAR to apply and to deny tax benefits: (1) there must be a </w:t>
      </w:r>
      <w:r w:rsidRPr="00255326">
        <w:rPr>
          <w:rFonts w:cs="Times New Roman"/>
          <w:i/>
        </w:rPr>
        <w:t>tax benefit</w:t>
      </w:r>
      <w:r w:rsidRPr="00255326">
        <w:rPr>
          <w:rFonts w:cs="Times New Roman"/>
        </w:rPr>
        <w:t xml:space="preserve">; (2) the transaction giving rise to the tax benefit must be an </w:t>
      </w:r>
      <w:r w:rsidRPr="00255326">
        <w:rPr>
          <w:rFonts w:cs="Times New Roman"/>
          <w:i/>
        </w:rPr>
        <w:t xml:space="preserve">avoidance transaction </w:t>
      </w:r>
      <w:r w:rsidRPr="00255326">
        <w:rPr>
          <w:rFonts w:cs="Times New Roman"/>
        </w:rPr>
        <w:t xml:space="preserve">under s. 245(3), </w:t>
      </w:r>
      <w:r w:rsidRPr="00255326">
        <w:rPr>
          <w:rFonts w:cs="Times New Roman"/>
          <w:iCs/>
        </w:rPr>
        <w:t>“</w:t>
      </w:r>
      <w:r w:rsidRPr="00255326">
        <w:rPr>
          <w:rFonts w:cs="Times New Roman"/>
        </w:rPr>
        <w:t>in the sense that it cannot be said to have been reasonably undertaken or arranged primarily for a </w:t>
      </w:r>
      <w:r w:rsidRPr="00255326">
        <w:rPr>
          <w:rFonts w:cs="Times New Roman"/>
          <w:i/>
          <w:iCs/>
        </w:rPr>
        <w:t>bona fide</w:t>
      </w:r>
      <w:r w:rsidRPr="00255326">
        <w:rPr>
          <w:rFonts w:cs="Times New Roman"/>
        </w:rPr>
        <w:t xml:space="preserve"> purpose other than to obtain a tax benefit”; and (3) the avoidance transaction must result in a </w:t>
      </w:r>
      <w:r w:rsidRPr="00255326">
        <w:rPr>
          <w:rFonts w:cs="Times New Roman"/>
          <w:i/>
        </w:rPr>
        <w:t>misuse or abuse</w:t>
      </w:r>
      <w:r w:rsidRPr="00255326">
        <w:rPr>
          <w:rFonts w:cs="Times New Roman"/>
        </w:rPr>
        <w:t xml:space="preserve"> of the Act or a tax treaty,</w:t>
      </w:r>
      <w:r w:rsidRPr="00255326">
        <w:rPr>
          <w:rFonts w:cs="Times New Roman"/>
          <w:i/>
        </w:rPr>
        <w:t xml:space="preserve"> </w:t>
      </w:r>
      <w:r w:rsidRPr="00255326">
        <w:rPr>
          <w:rFonts w:cs="Times New Roman"/>
        </w:rPr>
        <w:t>“in the sense that it cannot be reasonably concluded that a tax benefit would be consistent with the object, spirit or purpose of the provisions relied upon by the taxpayer” (</w:t>
      </w:r>
      <w:r w:rsidRPr="00255326">
        <w:rPr>
          <w:rFonts w:cs="Times New Roman"/>
          <w:i/>
        </w:rPr>
        <w:t>Canada Trustco</w:t>
      </w:r>
      <w:r w:rsidRPr="00255326">
        <w:rPr>
          <w:rFonts w:cs="Times New Roman"/>
        </w:rPr>
        <w:t xml:space="preserve">, at para. 66(1.); s. 245(3) of the Act). </w:t>
      </w:r>
      <w:r w:rsidRPr="00255326">
        <w:rPr>
          <w:rFonts w:eastAsia="Times New Roman" w:cs="Times New Roman"/>
          <w:lang w:val="en-US"/>
        </w:rPr>
        <w:t xml:space="preserve">Thus, where there is a tax benefit and an avoidance transaction, the application of the GAAR to deny the tax benefit will only be avoided </w:t>
      </w:r>
      <w:r w:rsidRPr="00255326">
        <w:rPr>
          <w:rFonts w:eastAsia="Times New Roman" w:cs="Times New Roman"/>
        </w:rPr>
        <w:t>“if it may be reasonable to consider that it did not result from abusive tax avoidance under s. 245(4)”</w:t>
      </w:r>
      <w:r w:rsidRPr="00255326">
        <w:rPr>
          <w:rFonts w:eastAsia="Times New Roman" w:cs="Times New Roman"/>
          <w:lang w:val="en-US"/>
        </w:rPr>
        <w:t xml:space="preserve"> (para. 35, see also Department of Finance, </w:t>
      </w:r>
      <w:r w:rsidRPr="00255326">
        <w:rPr>
          <w:rFonts w:eastAsia="Times New Roman" w:cs="Times New Roman"/>
          <w:i/>
          <w:lang w:val="en-US"/>
        </w:rPr>
        <w:t>Explanatory Notes to Legislation Relating to Income Tax</w:t>
      </w:r>
      <w:r w:rsidRPr="00255326">
        <w:rPr>
          <w:rFonts w:eastAsia="Times New Roman" w:cs="Times New Roman"/>
          <w:lang w:val="en-US"/>
        </w:rPr>
        <w:t xml:space="preserve"> </w:t>
      </w:r>
      <w:r w:rsidRPr="00255326">
        <w:rPr>
          <w:rFonts w:eastAsia="Times New Roman" w:cs="Times New Roman"/>
          <w:lang w:val="en-US"/>
        </w:rPr>
        <w:lastRenderedPageBreak/>
        <w:t>(1988), at p. 464).</w:t>
      </w:r>
      <w:r w:rsidRPr="00255326">
        <w:rPr>
          <w:rFonts w:cs="Times New Roman"/>
          <w:lang w:val="en-US"/>
        </w:rPr>
        <w:t xml:space="preserve"> The terms “misuse” and “abuse” are not defined in the Act. As such, courts had to ascertain the appropriate test for determining whether abusive tax avoidance had taken place.</w:t>
      </w:r>
    </w:p>
    <w:p w14:paraId="0EA6C479" w14:textId="77777777" w:rsidR="001346AE" w:rsidRPr="00255326" w:rsidRDefault="001346AE" w:rsidP="001346AE">
      <w:pPr>
        <w:pStyle w:val="Title3LevelTitre3Niveau"/>
        <w:rPr>
          <w:rFonts w:cs="Times New Roman"/>
        </w:rPr>
      </w:pPr>
      <w:r w:rsidRPr="00255326">
        <w:rPr>
          <w:rFonts w:cs="Times New Roman"/>
        </w:rPr>
        <w:t>Determining Whether There Has Been Abuse Under the GAAR</w:t>
      </w:r>
    </w:p>
    <w:p w14:paraId="2ECC187F" w14:textId="77777777" w:rsidR="001346AE" w:rsidRPr="00255326" w:rsidRDefault="001346AE" w:rsidP="001346AE">
      <w:pPr>
        <w:pStyle w:val="ParaNoNdepar-AltN"/>
        <w:tabs>
          <w:tab w:val="clear" w:pos="1166"/>
          <w:tab w:val="num" w:pos="1152"/>
        </w:tabs>
        <w:rPr>
          <w:rFonts w:eastAsia="Times New Roman" w:cs="Times New Roman"/>
          <w:lang w:val="en-US"/>
        </w:rPr>
      </w:pPr>
      <w:r w:rsidRPr="00255326">
        <w:rPr>
          <w:rFonts w:cs="Times New Roman"/>
        </w:rPr>
        <w:t>The third requirement of the GAAR is subdivided into two steps. The first is to determine the object, spirit or purpose of the provisions giving rise to the tax benefit; the second is to determine whether the transaction frustrates that purpose (</w:t>
      </w:r>
      <w:r w:rsidRPr="00255326">
        <w:rPr>
          <w:rFonts w:cs="Times New Roman"/>
          <w:i/>
        </w:rPr>
        <w:t>Canada Trustco</w:t>
      </w:r>
      <w:r w:rsidRPr="00255326">
        <w:rPr>
          <w:rFonts w:cs="Times New Roman"/>
        </w:rPr>
        <w:t>, at para. 44).</w:t>
      </w:r>
    </w:p>
    <w:p w14:paraId="66D48A80" w14:textId="77777777" w:rsidR="001346AE" w:rsidRPr="00255326" w:rsidRDefault="001346AE" w:rsidP="001346AE">
      <w:pPr>
        <w:pStyle w:val="ParaNoNdepar-AltN"/>
        <w:tabs>
          <w:tab w:val="clear" w:pos="1166"/>
          <w:tab w:val="num" w:pos="1152"/>
        </w:tabs>
        <w:rPr>
          <w:rFonts w:eastAsia="Times New Roman" w:cs="Times New Roman"/>
          <w:lang w:val="en-US"/>
        </w:rPr>
      </w:pPr>
      <w:r w:rsidRPr="00255326">
        <w:rPr>
          <w:rFonts w:cs="Times New Roman"/>
        </w:rPr>
        <w:t xml:space="preserve">First, the court must identify the </w:t>
      </w:r>
      <w:r w:rsidRPr="00255326">
        <w:rPr>
          <w:rFonts w:cs="Times New Roman"/>
          <w:lang w:val="en-US"/>
        </w:rPr>
        <w:t xml:space="preserve">“object, spirit or purpose of the provisions of the </w:t>
      </w:r>
      <w:r w:rsidRPr="00255326">
        <w:rPr>
          <w:rFonts w:cs="Times New Roman"/>
          <w:i/>
          <w:lang w:val="en-US"/>
        </w:rPr>
        <w:t>Income Tax Act</w:t>
      </w:r>
      <w:r w:rsidRPr="00255326">
        <w:rPr>
          <w:rFonts w:cs="Times New Roman"/>
          <w:lang w:val="en-US"/>
        </w:rPr>
        <w:t xml:space="preserve"> that are relied on for the tax benefit, having regard to the scheme of the Act, the relevant provisions and permissible extrinsic aids”</w:t>
      </w:r>
      <w:r w:rsidRPr="00255326" w:rsidDel="00C21F6A">
        <w:rPr>
          <w:rFonts w:cs="Times New Roman"/>
          <w:lang w:val="en-US"/>
        </w:rPr>
        <w:t xml:space="preserve"> </w:t>
      </w:r>
      <w:r w:rsidRPr="00255326">
        <w:rPr>
          <w:rFonts w:cs="Times New Roman"/>
          <w:lang w:val="en-US"/>
        </w:rPr>
        <w:t>(</w:t>
      </w:r>
      <w:r w:rsidRPr="00255326">
        <w:rPr>
          <w:rFonts w:cs="Times New Roman"/>
          <w:i/>
          <w:lang w:val="en-US"/>
        </w:rPr>
        <w:t>Canada Trustco</w:t>
      </w:r>
      <w:r w:rsidRPr="00255326">
        <w:rPr>
          <w:rFonts w:cs="Times New Roman"/>
          <w:lang w:val="en-US"/>
        </w:rPr>
        <w:t xml:space="preserve">, at para. 55). </w:t>
      </w:r>
      <w:r w:rsidRPr="00255326">
        <w:rPr>
          <w:rFonts w:eastAsia="Times New Roman" w:cs="Times New Roman"/>
          <w:lang w:val="en-US"/>
        </w:rPr>
        <w:t xml:space="preserve">As Justice Rothstein emphasized in </w:t>
      </w:r>
      <w:r w:rsidRPr="00255326">
        <w:rPr>
          <w:rFonts w:cs="Times New Roman"/>
          <w:i/>
          <w:shd w:val="clear" w:color="auto" w:fill="FFFFFF"/>
        </w:rPr>
        <w:t xml:space="preserve">Copthorne Holdings Ltd. </w:t>
      </w:r>
      <w:r w:rsidRPr="00255326">
        <w:rPr>
          <w:rFonts w:cs="Times New Roman"/>
          <w:i/>
          <w:iCs/>
          <w:shd w:val="clear" w:color="auto" w:fill="FFFFFF"/>
        </w:rPr>
        <w:t>v.</w:t>
      </w:r>
      <w:r w:rsidRPr="00255326">
        <w:rPr>
          <w:rFonts w:cs="Times New Roman"/>
          <w:i/>
          <w:shd w:val="clear" w:color="auto" w:fill="FFFFFF"/>
        </w:rPr>
        <w:t xml:space="preserve"> Canada</w:t>
      </w:r>
      <w:r w:rsidRPr="00255326">
        <w:rPr>
          <w:rFonts w:cs="Times New Roman"/>
          <w:shd w:val="clear" w:color="auto" w:fill="FFFFFF"/>
        </w:rPr>
        <w:t xml:space="preserve">, 2011 SCC 63, [2011] 3 S.C.R. 721, </w:t>
      </w:r>
      <w:r w:rsidRPr="00255326">
        <w:rPr>
          <w:rFonts w:eastAsia="Times New Roman" w:cs="Times New Roman"/>
          <w:lang w:val="en-US"/>
        </w:rPr>
        <w:t>Parliament,</w:t>
      </w:r>
      <w:r w:rsidRPr="00255326">
        <w:rPr>
          <w:rFonts w:cs="Times New Roman"/>
        </w:rPr>
        <w:t xml:space="preserve"> </w:t>
      </w:r>
      <w:r w:rsidRPr="00255326">
        <w:rPr>
          <w:rFonts w:eastAsia="Times New Roman" w:cs="Times New Roman"/>
          <w:lang w:val="en-US"/>
        </w:rPr>
        <w:t xml:space="preserve">in enacting the GAAR, has conferred an “unusual duty” on the courts to look </w:t>
      </w:r>
      <w:r w:rsidRPr="00255326">
        <w:rPr>
          <w:rFonts w:eastAsia="Times New Roman" w:cs="Times New Roman"/>
          <w:i/>
          <w:lang w:val="en-US"/>
        </w:rPr>
        <w:t>beyond</w:t>
      </w:r>
      <w:r w:rsidRPr="00255326">
        <w:rPr>
          <w:rFonts w:eastAsia="Times New Roman" w:cs="Times New Roman"/>
          <w:lang w:val="en-US"/>
        </w:rPr>
        <w:t xml:space="preserve"> the words of the statute to ascertain the object, spirit or purpose of the provisions at issue (para. 66). Ev</w:t>
      </w:r>
      <w:r w:rsidRPr="00255326">
        <w:rPr>
          <w:rFonts w:cs="Times New Roman"/>
        </w:rPr>
        <w:t>en if the taxpayer complies with the text of the provisions of the Act</w:t>
      </w:r>
      <w:r w:rsidRPr="00255326">
        <w:rPr>
          <w:rFonts w:cs="Times New Roman"/>
          <w:i/>
        </w:rPr>
        <w:t xml:space="preserve"> </w:t>
      </w:r>
      <w:r w:rsidRPr="00255326">
        <w:rPr>
          <w:rFonts w:cs="Times New Roman"/>
        </w:rPr>
        <w:t>or tax treaty, courts must determine whether the taxpayer’s transactions are in accord with the rationale of the provisions relied upon (</w:t>
      </w:r>
      <w:r w:rsidRPr="00255326">
        <w:rPr>
          <w:rFonts w:cs="Times New Roman"/>
          <w:i/>
        </w:rPr>
        <w:t>Copthorne</w:t>
      </w:r>
      <w:r w:rsidRPr="00255326">
        <w:rPr>
          <w:rFonts w:cs="Times New Roman"/>
        </w:rPr>
        <w:t>, at para. 66; Krishna (2012), at p. 486).</w:t>
      </w:r>
    </w:p>
    <w:p w14:paraId="02D24834" w14:textId="77777777" w:rsidR="001346AE" w:rsidRPr="00255326" w:rsidRDefault="001346AE" w:rsidP="001346AE">
      <w:pPr>
        <w:pStyle w:val="ParaNoNdepar-AltN"/>
        <w:tabs>
          <w:tab w:val="clear" w:pos="1166"/>
          <w:tab w:val="num" w:pos="1152"/>
        </w:tabs>
        <w:rPr>
          <w:rFonts w:cs="Times New Roman"/>
        </w:rPr>
      </w:pPr>
      <w:r w:rsidRPr="00255326">
        <w:rPr>
          <w:rFonts w:cs="Times New Roman"/>
          <w:lang w:val="en-US"/>
        </w:rPr>
        <w:t xml:space="preserve">Although the GAAR analysis involves a textual, contextual, and purposive analysis, the inquiry differs from traditional statutory interpretation. </w:t>
      </w:r>
      <w:r w:rsidRPr="00255326">
        <w:rPr>
          <w:rFonts w:cs="Times New Roman"/>
        </w:rPr>
        <w:t xml:space="preserve">Whereas the object </w:t>
      </w:r>
      <w:r w:rsidRPr="00255326">
        <w:rPr>
          <w:rFonts w:cs="Times New Roman"/>
        </w:rPr>
        <w:lastRenderedPageBreak/>
        <w:t xml:space="preserve">of traditional statutory interpretation is to “determine what the words of the statute mean”, the GAAR analysis is a “search . . . for the </w:t>
      </w:r>
      <w:r w:rsidRPr="00255326">
        <w:rPr>
          <w:rFonts w:cs="Times New Roman"/>
          <w:shd w:val="clear" w:color="auto" w:fill="FFFFFF"/>
        </w:rPr>
        <w:t>rationale that underlies the words that may not be captured by the bare meaning of the words themselves”</w:t>
      </w:r>
      <w:r w:rsidRPr="00255326">
        <w:rPr>
          <w:rFonts w:cs="Times New Roman"/>
        </w:rPr>
        <w:t xml:space="preserve"> (</w:t>
      </w:r>
      <w:r w:rsidRPr="00255326">
        <w:rPr>
          <w:rFonts w:cs="Times New Roman"/>
          <w:i/>
        </w:rPr>
        <w:t>Copthorne</w:t>
      </w:r>
      <w:r w:rsidRPr="00255326">
        <w:rPr>
          <w:rFonts w:cs="Times New Roman"/>
        </w:rPr>
        <w:t xml:space="preserve">, at para. 70). </w:t>
      </w:r>
      <w:r w:rsidRPr="00255326">
        <w:rPr>
          <w:rFonts w:cs="Times New Roman"/>
          <w:shd w:val="clear" w:color="auto" w:fill="FFFFFF"/>
        </w:rPr>
        <w:t>The question under the GAAR is not whether the taxpayer can claim a tax benefit, but rather “why the benefit was conferred” (</w:t>
      </w:r>
      <w:r w:rsidRPr="00255326">
        <w:rPr>
          <w:rFonts w:cs="Times New Roman"/>
          <w:i/>
          <w:shd w:val="clear" w:color="auto" w:fill="FFFFFF"/>
        </w:rPr>
        <w:t>Canada Trustco</w:t>
      </w:r>
      <w:r w:rsidRPr="00255326">
        <w:rPr>
          <w:rFonts w:cs="Times New Roman"/>
          <w:shd w:val="clear" w:color="auto" w:fill="FFFFFF"/>
        </w:rPr>
        <w:t>, at para. 66(4.)).</w:t>
      </w:r>
      <w:r w:rsidRPr="00255326">
        <w:rPr>
          <w:rFonts w:cs="Times New Roman"/>
        </w:rPr>
        <w:t xml:space="preserve"> Thus, </w:t>
      </w:r>
      <w:r w:rsidRPr="00255326">
        <w:rPr>
          <w:rFonts w:cs="Times New Roman"/>
          <w:shd w:val="clear" w:color="auto" w:fill="FFFFFF"/>
        </w:rPr>
        <w:t>a traditional statutory interpretation “</w:t>
      </w:r>
      <w:r w:rsidRPr="00255326">
        <w:rPr>
          <w:rFonts w:cs="Times New Roman"/>
        </w:rPr>
        <w:t xml:space="preserve">is constrained by the text of the relevant provisions in a way that a GAAR analysis is not” (D. G. Duff, </w:t>
      </w:r>
      <w:r w:rsidRPr="00255326">
        <w:rPr>
          <w:rFonts w:cs="Times New Roman"/>
          <w:lang w:val="en-US"/>
        </w:rPr>
        <w:t xml:space="preserve">“The Interpretive Exercise Under the General Anti-Avoidance Rule”, in B. J. Arnold, ed., </w:t>
      </w:r>
      <w:r w:rsidRPr="00255326">
        <w:rPr>
          <w:rFonts w:cs="Times New Roman"/>
          <w:i/>
          <w:iCs/>
          <w:lang w:val="en-US"/>
        </w:rPr>
        <w:t>The General Anti-Avoidance Rule — Past, Present, and Future</w:t>
      </w:r>
      <w:r w:rsidRPr="00255326">
        <w:rPr>
          <w:rFonts w:cs="Times New Roman"/>
          <w:lang w:val="en-US"/>
        </w:rPr>
        <w:t xml:space="preserve"> (2021), 383, at p. 406)</w:t>
      </w:r>
      <w:r w:rsidRPr="00255326">
        <w:rPr>
          <w:rFonts w:cs="Times New Roman"/>
        </w:rPr>
        <w:t>.</w:t>
      </w:r>
      <w:r w:rsidRPr="00255326">
        <w:rPr>
          <w:rFonts w:cs="Times New Roman"/>
          <w:shd w:val="clear" w:color="auto" w:fill="FFFFFF"/>
        </w:rPr>
        <w:t xml:space="preserve"> This follows by necessary implication. To determine whether a taxpayer can claim a tax benefit in the first place, the provisions of the Act must be interpreted applying the traditional textual, contextual and purposive approach. And, </w:t>
      </w:r>
      <w:r w:rsidRPr="00255326">
        <w:rPr>
          <w:rFonts w:cs="Times New Roman"/>
        </w:rPr>
        <w:t>in any GAAR case, “the text of the provisions at issue will not literally preclude a tax benefit the taxpayer seeks by entering into the transaction or series” (</w:t>
      </w:r>
      <w:r w:rsidRPr="00255326">
        <w:rPr>
          <w:rFonts w:cs="Times New Roman"/>
          <w:i/>
        </w:rPr>
        <w:t>Copthorne</w:t>
      </w:r>
      <w:r w:rsidRPr="00255326">
        <w:rPr>
          <w:rFonts w:cs="Times New Roman"/>
        </w:rPr>
        <w:t xml:space="preserve">, at </w:t>
      </w:r>
      <w:r w:rsidRPr="00255326">
        <w:rPr>
          <w:rFonts w:cs="Times New Roman"/>
          <w:lang w:val="en-US"/>
        </w:rPr>
        <w:t>para. 88)</w:t>
      </w:r>
      <w:r w:rsidRPr="00255326">
        <w:rPr>
          <w:rFonts w:cs="Times New Roman"/>
        </w:rPr>
        <w:t xml:space="preserve">. </w:t>
      </w:r>
      <w:r w:rsidRPr="00255326">
        <w:rPr>
          <w:rFonts w:cs="Times New Roman"/>
          <w:shd w:val="clear" w:color="auto" w:fill="FFFFFF"/>
        </w:rPr>
        <w:t>If the GAAR simply replicated the statutory interpretation exercise, it would be meaningless.</w:t>
      </w:r>
      <w:r w:rsidRPr="00255326">
        <w:rPr>
          <w:rFonts w:cs="Times New Roman"/>
        </w:rPr>
        <w:t xml:space="preserve"> This difference in the methodology of interpretation is pivotal to giving proper effect to the GAAR.</w:t>
      </w:r>
    </w:p>
    <w:p w14:paraId="582899B4"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Similarly, in determining the meaning of tax treaties, art. 31 of the </w:t>
      </w:r>
      <w:r w:rsidRPr="00255326">
        <w:rPr>
          <w:rFonts w:cs="Times New Roman"/>
          <w:i/>
        </w:rPr>
        <w:t>Vienna Convention on the Law of Treaties</w:t>
      </w:r>
      <w:r w:rsidRPr="00255326">
        <w:rPr>
          <w:rFonts w:cs="Times New Roman"/>
        </w:rPr>
        <w:t>, Can. T.S. 1980 No. 37, requires the terms of a treaty to be interpreted in light of their context and in light of the treaty’s object and purpose. The GAAR directs courts to go behind this meaning and to identify the rationale underlying the relevant provision of the treaty.</w:t>
      </w:r>
    </w:p>
    <w:p w14:paraId="289D6BAE"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lastRenderedPageBreak/>
        <w:t>Once the court has identified the rationale underlying the relevant provisions, the second step of the abuse analysis is “to determine whether the avoidance transaction defeated or frustrated the object, spirit or purpose of the provisions in issue” (</w:t>
      </w:r>
      <w:r w:rsidRPr="00255326">
        <w:rPr>
          <w:rFonts w:cs="Times New Roman"/>
          <w:i/>
        </w:rPr>
        <w:t>Canada Trustco</w:t>
      </w:r>
      <w:r w:rsidRPr="00255326">
        <w:rPr>
          <w:rFonts w:cs="Times New Roman"/>
        </w:rPr>
        <w:t>, at para. 55). There will be a finding of abuse: “. . . (1) where the transaction achieves an outcome the statutory provision was intended to prevent; (2) where the transaction defeats the underlying rationale of the provision; or (3) where the transaction circumvents the provision in a manner that frustrates or defeats its object, spirit or purpose . . .” (</w:t>
      </w:r>
      <w:r w:rsidRPr="00255326">
        <w:rPr>
          <w:rFonts w:cs="Times New Roman"/>
          <w:i/>
        </w:rPr>
        <w:t>Copthorne</w:t>
      </w:r>
      <w:r w:rsidRPr="00255326">
        <w:rPr>
          <w:rFonts w:cs="Times New Roman"/>
        </w:rPr>
        <w:t>, at para. 72). These considerations “are not independent of one another and may overlap” (</w:t>
      </w:r>
      <w:r w:rsidRPr="00255326">
        <w:rPr>
          <w:rFonts w:cs="Times New Roman"/>
          <w:i/>
        </w:rPr>
        <w:t>ibid.</w:t>
      </w:r>
      <w:r w:rsidRPr="00255326">
        <w:rPr>
          <w:rFonts w:cs="Times New Roman"/>
        </w:rPr>
        <w:t>). The abusive nature of the transaction “must be clear” (</w:t>
      </w:r>
      <w:r w:rsidRPr="00255326">
        <w:rPr>
          <w:rFonts w:cs="Times New Roman"/>
          <w:i/>
        </w:rPr>
        <w:t>Canada Trustco</w:t>
      </w:r>
      <w:r w:rsidRPr="00255326">
        <w:rPr>
          <w:rFonts w:cs="Times New Roman"/>
        </w:rPr>
        <w:t>, at para. 62).</w:t>
      </w:r>
    </w:p>
    <w:p w14:paraId="3A38C229"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In summary, the GAAR will not apply “to deny the tax benefi[t] that results from these transactions as long as they are carried out within the object and spirit of the provisions of the Act read as a whole” (Krishna (2012), at p. 486, quoting </w:t>
      </w:r>
      <w:r w:rsidRPr="00255326">
        <w:rPr>
          <w:rFonts w:eastAsia="Times New Roman" w:cs="Times New Roman"/>
          <w:lang w:val="en-US"/>
        </w:rPr>
        <w:t>Department of Finance (1988), at p. 464</w:t>
      </w:r>
      <w:r w:rsidRPr="00255326">
        <w:rPr>
          <w:rFonts w:cs="Times New Roman"/>
        </w:rPr>
        <w:t>). The same rule would undoubtedly apply to tax benefits arising under the Treaty. However, the GAAR applies when the taxpayer carries out transactions to obtain a tax benefit not intended by specific provisions of the Act or treaty read as a whole. In such cases, the GAAR “will override other provisions of the Act [or tax treaties] since, otherwise, its object and purpose would be defeated</w:t>
      </w:r>
      <w:r w:rsidRPr="00255326">
        <w:rPr>
          <w:rFonts w:cs="Times New Roman"/>
          <w:lang w:val="en-US"/>
        </w:rPr>
        <w:t>”</w:t>
      </w:r>
      <w:r w:rsidRPr="00255326">
        <w:rPr>
          <w:rFonts w:cs="Times New Roman"/>
        </w:rPr>
        <w:t xml:space="preserve"> (p. 489, quoting </w:t>
      </w:r>
      <w:r w:rsidRPr="00255326">
        <w:rPr>
          <w:rFonts w:eastAsia="Times New Roman" w:cs="Times New Roman"/>
          <w:lang w:val="en-US"/>
        </w:rPr>
        <w:t>Department of Finance (1988), at p. 465</w:t>
      </w:r>
      <w:r w:rsidRPr="00255326">
        <w:rPr>
          <w:rFonts w:cs="Times New Roman"/>
        </w:rPr>
        <w:t>).</w:t>
      </w:r>
    </w:p>
    <w:p w14:paraId="2E7D7178" w14:textId="77777777" w:rsidR="001346AE" w:rsidRPr="00255326" w:rsidRDefault="001346AE" w:rsidP="001346AE">
      <w:pPr>
        <w:pStyle w:val="Title3LevelTitre3Niveau"/>
        <w:rPr>
          <w:rFonts w:cs="Times New Roman"/>
        </w:rPr>
      </w:pPr>
      <w:r w:rsidRPr="00255326">
        <w:rPr>
          <w:rFonts w:cs="Times New Roman"/>
        </w:rPr>
        <w:t>Certainty, Predictability and Fairness</w:t>
      </w:r>
    </w:p>
    <w:p w14:paraId="1D76C284" w14:textId="77777777" w:rsidR="001346AE" w:rsidRPr="00255326" w:rsidRDefault="001346AE" w:rsidP="001346AE">
      <w:pPr>
        <w:pStyle w:val="ParaNoNdepar-AltN"/>
        <w:tabs>
          <w:tab w:val="clear" w:pos="1166"/>
          <w:tab w:val="num" w:pos="1152"/>
        </w:tabs>
        <w:rPr>
          <w:rFonts w:cs="Times New Roman"/>
        </w:rPr>
      </w:pPr>
      <w:r w:rsidRPr="00255326">
        <w:rPr>
          <w:rFonts w:cs="Times New Roman"/>
          <w:shd w:val="clear" w:color="auto" w:fill="FFFFFF"/>
        </w:rPr>
        <w:lastRenderedPageBreak/>
        <w:t>To the extent that the GAAR is only invoked where there will be compliance with the requirements on a literal reading of a provision,</w:t>
      </w:r>
      <w:r w:rsidRPr="00255326">
        <w:rPr>
          <w:rFonts w:cs="Times New Roman"/>
        </w:rPr>
        <w:t xml:space="preserve"> the GAAR, by nature, gives rise to an “unavoidable degree of uncertainty for taxpayers” (</w:t>
      </w:r>
      <w:r w:rsidRPr="00255326">
        <w:rPr>
          <w:rFonts w:cs="Times New Roman"/>
          <w:i/>
        </w:rPr>
        <w:t>Copthorne</w:t>
      </w:r>
      <w:r w:rsidRPr="00255326">
        <w:rPr>
          <w:rFonts w:cs="Times New Roman"/>
        </w:rPr>
        <w:t>, at para. 123). Allowing the GAAR to create this uncertainty was a deliberate choice that Parliament made when it enacted a provision that can defeat tax avoidance schemes that exploit Canada’s legislation and treaties. The Act contains numerous anti-avoidance provisions that target specific factual scenarios. Inventive tax planners may successfully avoid these provisions by using structured transactions, but those transactions may still constitute abusive tax avoidance. The GAAR was designed to act as the final, catch-all provision which can be applied where no specific anti-avoidance provision applies, exists or was circumvented. It is a “provision of last resort” (</w:t>
      </w:r>
      <w:r w:rsidRPr="00255326">
        <w:rPr>
          <w:rFonts w:cs="Times New Roman"/>
          <w:i/>
        </w:rPr>
        <w:t>Canada</w:t>
      </w:r>
      <w:r w:rsidRPr="00255326">
        <w:rPr>
          <w:rFonts w:cs="Times New Roman"/>
        </w:rPr>
        <w:t xml:space="preserve"> </w:t>
      </w:r>
      <w:r w:rsidRPr="00255326">
        <w:rPr>
          <w:rFonts w:cs="Times New Roman"/>
          <w:i/>
        </w:rPr>
        <w:t>Trustco</w:t>
      </w:r>
      <w:r w:rsidRPr="00255326">
        <w:rPr>
          <w:rFonts w:cs="Times New Roman"/>
        </w:rPr>
        <w:t xml:space="preserve">, at para. 21). </w:t>
      </w:r>
    </w:p>
    <w:p w14:paraId="70110516" w14:textId="77777777" w:rsidR="001346AE" w:rsidRPr="00255326" w:rsidRDefault="001346AE" w:rsidP="001346AE">
      <w:pPr>
        <w:pStyle w:val="ParaNoNdepar-AltN"/>
        <w:tabs>
          <w:tab w:val="clear" w:pos="1166"/>
          <w:tab w:val="num" w:pos="1152"/>
        </w:tabs>
        <w:rPr>
          <w:rFonts w:cs="Times New Roman"/>
          <w:sz w:val="22"/>
          <w:u w:val="single"/>
        </w:rPr>
      </w:pPr>
      <w:r w:rsidRPr="00255326">
        <w:rPr>
          <w:rFonts w:cs="Times New Roman"/>
        </w:rPr>
        <w:t>Absolute certainty under the GAAR does not exist. Parliament has made a tax policy choice in order to balance the principles of certainty and predictability with another principle that is as fundamental to our tax system — the principle of fairness (</w:t>
      </w:r>
      <w:r w:rsidRPr="00255326">
        <w:rPr>
          <w:rFonts w:cs="Times New Roman"/>
          <w:i/>
          <w:shd w:val="clear" w:color="auto" w:fill="FFFFFF"/>
        </w:rPr>
        <w:t>Lipson</w:t>
      </w:r>
      <w:r w:rsidRPr="00255326">
        <w:rPr>
          <w:rFonts w:cs="Times New Roman"/>
          <w:shd w:val="clear" w:color="auto" w:fill="FFFFFF"/>
        </w:rPr>
        <w:t xml:space="preserve"> </w:t>
      </w:r>
      <w:r w:rsidRPr="00255326">
        <w:rPr>
          <w:rFonts w:cs="Times New Roman"/>
          <w:i/>
          <w:iCs/>
          <w:shd w:val="clear" w:color="auto" w:fill="FFFFFF"/>
        </w:rPr>
        <w:t>v.</w:t>
      </w:r>
      <w:r w:rsidRPr="00255326">
        <w:rPr>
          <w:rFonts w:cs="Times New Roman"/>
          <w:shd w:val="clear" w:color="auto" w:fill="FFFFFF"/>
        </w:rPr>
        <w:t xml:space="preserve"> </w:t>
      </w:r>
      <w:r w:rsidRPr="00255326">
        <w:rPr>
          <w:rFonts w:cs="Times New Roman"/>
          <w:i/>
          <w:shd w:val="clear" w:color="auto" w:fill="FFFFFF"/>
        </w:rPr>
        <w:t>Canada</w:t>
      </w:r>
      <w:r w:rsidRPr="00255326">
        <w:rPr>
          <w:rFonts w:cs="Times New Roman"/>
          <w:shd w:val="clear" w:color="auto" w:fill="FFFFFF"/>
        </w:rPr>
        <w:t xml:space="preserve">, 2009 SCC 1, </w:t>
      </w:r>
      <w:r w:rsidRPr="00255326">
        <w:rPr>
          <w:rFonts w:cs="Times New Roman"/>
        </w:rPr>
        <w:t>[2009] 1 S.C.R. 3, at para. 52). The GAAR “is designed, in the complex context of the [Act],</w:t>
      </w:r>
      <w:r w:rsidRPr="00255326">
        <w:rPr>
          <w:rFonts w:cs="Times New Roman"/>
          <w:iCs/>
        </w:rPr>
        <w:t xml:space="preserve"> </w:t>
      </w:r>
      <w:r w:rsidRPr="00255326">
        <w:rPr>
          <w:rFonts w:cs="Times New Roman"/>
        </w:rPr>
        <w:t>to restrain abusive tax avoidance and to make sure that the fairness of the tax system is preserved” (</w:t>
      </w:r>
      <w:r w:rsidRPr="00255326">
        <w:rPr>
          <w:rFonts w:cs="Times New Roman"/>
          <w:i/>
        </w:rPr>
        <w:t>ibid.</w:t>
      </w:r>
      <w:r w:rsidRPr="00255326">
        <w:rPr>
          <w:rFonts w:cs="Times New Roman"/>
        </w:rPr>
        <w:t xml:space="preserve">). Sophisticated taxpayers who can afford tax professionals have access to planning strategies that lower or eliminate their tax burden through what may cross the line into abusive tax avoidance territory. Not applying the GAAR to those abusive schemes is deeply unfair not solely </w:t>
      </w:r>
      <w:r w:rsidRPr="00255326">
        <w:rPr>
          <w:rFonts w:cs="Times New Roman"/>
          <w:shd w:val="clear" w:color="auto" w:fill="FFFFFF"/>
        </w:rPr>
        <w:t xml:space="preserve">because only this select group of taxpayers may have access to such professionals, but also because the tax burden avoided by the select group falls back on the taxpayers who </w:t>
      </w:r>
      <w:r w:rsidRPr="00255326">
        <w:rPr>
          <w:rFonts w:cs="Times New Roman"/>
          <w:shd w:val="clear" w:color="auto" w:fill="FFFFFF"/>
        </w:rPr>
        <w:lastRenderedPageBreak/>
        <w:t>do not, for instance through higher tax rates (D. A. Dodge</w:t>
      </w:r>
      <w:r w:rsidRPr="00255326">
        <w:rPr>
          <w:rFonts w:cs="Times New Roman"/>
        </w:rPr>
        <w:t xml:space="preserve">, “A New and More Coherent Approach to Tax Avoidance” (1988), 36 </w:t>
      </w:r>
      <w:r w:rsidRPr="00255326">
        <w:rPr>
          <w:rFonts w:cs="Times New Roman"/>
          <w:i/>
        </w:rPr>
        <w:t>Can. Tax J.</w:t>
      </w:r>
      <w:r w:rsidRPr="00255326">
        <w:rPr>
          <w:rFonts w:cs="Times New Roman"/>
        </w:rPr>
        <w:t xml:space="preserve"> 1</w:t>
      </w:r>
      <w:r w:rsidRPr="00255326">
        <w:rPr>
          <w:rFonts w:cs="Times New Roman"/>
          <w:shd w:val="clear" w:color="auto" w:fill="FFFFFF"/>
        </w:rPr>
        <w:t xml:space="preserve">, at pp.  4, 8 and 9). </w:t>
      </w:r>
    </w:p>
    <w:p w14:paraId="57FD139A" w14:textId="77777777" w:rsidR="001346AE" w:rsidRPr="00255326" w:rsidRDefault="001346AE" w:rsidP="001346AE">
      <w:pPr>
        <w:pStyle w:val="ParaNoNdepar-AltN"/>
        <w:tabs>
          <w:tab w:val="clear" w:pos="1166"/>
          <w:tab w:val="num" w:pos="1152"/>
        </w:tabs>
        <w:rPr>
          <w:rFonts w:cs="Times New Roman"/>
          <w:sz w:val="22"/>
          <w:u w:val="single"/>
        </w:rPr>
      </w:pPr>
      <w:r w:rsidRPr="00255326">
        <w:rPr>
          <w:rFonts w:cs="Times New Roman"/>
        </w:rPr>
        <w:t>Professor J. Li underscores this essential balancing role the GAAR plays in our tax system, as recognized in our jurisprudence:</w:t>
      </w:r>
    </w:p>
    <w:p w14:paraId="22E5E977" w14:textId="77777777" w:rsidR="001346AE" w:rsidRPr="00255326" w:rsidRDefault="001346AE" w:rsidP="001346AE">
      <w:pPr>
        <w:pStyle w:val="Citation-AltC"/>
        <w:ind w:firstLine="274"/>
      </w:pPr>
      <w:r w:rsidRPr="00255326">
        <w:t xml:space="preserve">As the Supreme Court noted in </w:t>
      </w:r>
      <w:r w:rsidRPr="00255326">
        <w:rPr>
          <w:i/>
          <w:iCs/>
        </w:rPr>
        <w:t>Canada Trustco</w:t>
      </w:r>
      <w:r w:rsidRPr="00255326">
        <w:rPr>
          <w:iCs/>
        </w:rPr>
        <w:t>,</w:t>
      </w:r>
      <w:r w:rsidRPr="00255326">
        <w:rPr>
          <w:i/>
          <w:iCs/>
        </w:rPr>
        <w:t xml:space="preserve"> </w:t>
      </w:r>
      <w:r w:rsidRPr="00255326">
        <w:t xml:space="preserve">the preservation of </w:t>
      </w:r>
      <w:r w:rsidRPr="00255326">
        <w:rPr>
          <w:lang w:val="en-US"/>
        </w:rPr>
        <w:t>“</w:t>
      </w:r>
      <w:r w:rsidRPr="00255326">
        <w:t xml:space="preserve">certainty, predictability and fairness” for individual taxpayers is considered a “basic tenet of tax law” [at para. 61]. </w:t>
      </w:r>
      <w:r w:rsidRPr="00255326">
        <w:rPr>
          <w:u w:val="single"/>
        </w:rPr>
        <w:t>On the other hand, the GAAR requires the balancing of this set of policy concerns against the concern for protection of the tax base and the fairness of the tax system as a whole.</w:t>
      </w:r>
    </w:p>
    <w:p w14:paraId="693A50FF" w14:textId="77777777" w:rsidR="001346AE" w:rsidRPr="00255326" w:rsidRDefault="001346AE" w:rsidP="001346AE">
      <w:pPr>
        <w:pStyle w:val="Citation-AltC"/>
      </w:pPr>
    </w:p>
    <w:p w14:paraId="7D422D83" w14:textId="77777777" w:rsidR="001346AE" w:rsidRPr="00255326" w:rsidRDefault="001346AE" w:rsidP="001346AE">
      <w:pPr>
        <w:pStyle w:val="Citation-AltC"/>
        <w:ind w:firstLine="274"/>
        <w:rPr>
          <w:lang w:val="en-US"/>
        </w:rPr>
      </w:pPr>
      <w:r w:rsidRPr="00255326">
        <w:t>. . . t</w:t>
      </w:r>
      <w:r w:rsidRPr="00255326">
        <w:rPr>
          <w:lang w:val="x-none"/>
        </w:rPr>
        <w:t>he GAAR cases generally involve situations that do not concern the majority</w:t>
      </w:r>
      <w:r w:rsidRPr="00255326">
        <w:rPr>
          <w:lang w:val="en-US"/>
        </w:rPr>
        <w:t xml:space="preserve"> </w:t>
      </w:r>
      <w:r w:rsidRPr="00255326">
        <w:rPr>
          <w:lang w:val="x-none"/>
        </w:rPr>
        <w:t xml:space="preserve">of taxpayers, </w:t>
      </w:r>
      <w:r w:rsidRPr="00255326">
        <w:rPr>
          <w:u w:val="single"/>
          <w:lang w:val="x-none"/>
        </w:rPr>
        <w:t>and the transactions are well planned and executed on the basis of</w:t>
      </w:r>
      <w:r w:rsidRPr="00255326">
        <w:rPr>
          <w:u w:val="single"/>
          <w:lang w:val="en-US"/>
        </w:rPr>
        <w:t xml:space="preserve"> </w:t>
      </w:r>
      <w:r w:rsidRPr="00255326">
        <w:rPr>
          <w:u w:val="single"/>
          <w:lang w:val="x-none"/>
        </w:rPr>
        <w:t>professional tax advice. Therefore, the requirement of certainty does not ring true</w:t>
      </w:r>
      <w:r w:rsidRPr="00255326">
        <w:rPr>
          <w:u w:val="single"/>
          <w:lang w:val="en-US"/>
        </w:rPr>
        <w:t xml:space="preserve"> </w:t>
      </w:r>
      <w:r w:rsidRPr="00255326">
        <w:rPr>
          <w:u w:val="single"/>
          <w:lang w:val="x-none"/>
        </w:rPr>
        <w:t>in GAAR cases.</w:t>
      </w:r>
      <w:r w:rsidRPr="00255326">
        <w:rPr>
          <w:lang w:val="en-US"/>
        </w:rPr>
        <w:t xml:space="preserve"> [E</w:t>
      </w:r>
      <w:r w:rsidRPr="00255326">
        <w:t>mphasis added; footnotes omitted.]</w:t>
      </w:r>
    </w:p>
    <w:p w14:paraId="6ED8E37D" w14:textId="77777777" w:rsidR="001346AE" w:rsidRPr="00255326" w:rsidRDefault="001346AE" w:rsidP="001346AE">
      <w:pPr>
        <w:pStyle w:val="Citation-AltC"/>
        <w:rPr>
          <w:lang w:val="x-none"/>
        </w:rPr>
      </w:pPr>
    </w:p>
    <w:p w14:paraId="119C17A4" w14:textId="77777777" w:rsidR="001346AE" w:rsidRPr="00255326" w:rsidRDefault="001346AE" w:rsidP="001346AE">
      <w:pPr>
        <w:pStyle w:val="Citation-AltC"/>
        <w:rPr>
          <w:u w:val="single"/>
        </w:rPr>
      </w:pPr>
      <w:r w:rsidRPr="00255326">
        <w:t xml:space="preserve">(“‘Economic Substance’: Drawing the Line Between Legitimate Tax Minimization and Abusive Tax Avoidance” (2006), 54 </w:t>
      </w:r>
      <w:r w:rsidRPr="00255326">
        <w:rPr>
          <w:i/>
          <w:iCs/>
        </w:rPr>
        <w:t>Can. Tax J.</w:t>
      </w:r>
      <w:r w:rsidRPr="00255326">
        <w:t xml:space="preserve"> 23, at p. 40)</w:t>
      </w:r>
    </w:p>
    <w:p w14:paraId="2C43B157"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Consequently, a finding that the GAAR applies to deny the tax benefits conferred by clear provisions where avoidance transactions defeat their underlying rationale does not run counter to the principles of certainty, predictability and fairness. The application of the GAAR in these circumstances upholds the balance Parliament sought to strike between those principles and gives effect to its intent to curb abusive tax avoidance (Department of Finance</w:t>
      </w:r>
      <w:r w:rsidRPr="00255326">
        <w:rPr>
          <w:rFonts w:cs="Times New Roman"/>
          <w:i/>
          <w:iCs/>
        </w:rPr>
        <w:t xml:space="preserve"> </w:t>
      </w:r>
      <w:r w:rsidRPr="00255326">
        <w:rPr>
          <w:rFonts w:cs="Times New Roman"/>
          <w:iCs/>
        </w:rPr>
        <w:t>(</w:t>
      </w:r>
      <w:r w:rsidRPr="00255326">
        <w:rPr>
          <w:rFonts w:cs="Times New Roman"/>
        </w:rPr>
        <w:t xml:space="preserve">1988), at p. 461, cited in </w:t>
      </w:r>
      <w:r w:rsidRPr="00255326">
        <w:rPr>
          <w:rFonts w:cs="Times New Roman"/>
          <w:i/>
        </w:rPr>
        <w:t>Canada Trustco</w:t>
      </w:r>
      <w:r w:rsidRPr="00255326">
        <w:rPr>
          <w:rFonts w:cs="Times New Roman"/>
        </w:rPr>
        <w:t>, at para. 15).</w:t>
      </w:r>
    </w:p>
    <w:p w14:paraId="3BF72A60" w14:textId="77777777" w:rsidR="001346AE" w:rsidRPr="00255326" w:rsidRDefault="001346AE" w:rsidP="001346AE">
      <w:pPr>
        <w:pStyle w:val="ParaNoNdepar-AltN"/>
        <w:tabs>
          <w:tab w:val="clear" w:pos="1166"/>
          <w:tab w:val="num" w:pos="1152"/>
        </w:tabs>
        <w:rPr>
          <w:rFonts w:cs="Times New Roman"/>
          <w:lang w:val="en-US"/>
        </w:rPr>
      </w:pPr>
      <w:r w:rsidRPr="00255326">
        <w:rPr>
          <w:rFonts w:cs="Times New Roman"/>
        </w:rPr>
        <w:lastRenderedPageBreak/>
        <w:t xml:space="preserve">This is the view that the majority upheld in </w:t>
      </w:r>
      <w:r w:rsidRPr="00255326">
        <w:rPr>
          <w:rFonts w:cs="Times New Roman"/>
          <w:i/>
        </w:rPr>
        <w:t>Lipson</w:t>
      </w:r>
      <w:r w:rsidRPr="00255326">
        <w:rPr>
          <w:rFonts w:cs="Times New Roman"/>
        </w:rPr>
        <w:t xml:space="preserve">. In that case, the dissenting judges were of the view that the </w:t>
      </w:r>
      <w:r w:rsidRPr="00255326">
        <w:rPr>
          <w:rFonts w:cs="Times New Roman"/>
          <w:i/>
        </w:rPr>
        <w:t>Duke of Westminster</w:t>
      </w:r>
      <w:r w:rsidRPr="00255326">
        <w:rPr>
          <w:rFonts w:cs="Times New Roman"/>
        </w:rPr>
        <w:t xml:space="preserve"> principle should prevail over the GAAR on the basis that, if not contained, the GAAR was a “weapon” that “</w:t>
      </w:r>
      <w:r w:rsidRPr="00255326">
        <w:rPr>
          <w:rFonts w:cs="Times New Roman"/>
          <w:shd w:val="clear" w:color="auto" w:fill="FFFFFF"/>
        </w:rPr>
        <w:t>could have a widespread, serious and unpredictable effect on legitimate tax planning” (para. 55). Justice LeBel, for the majority, found that this approach “</w:t>
      </w:r>
      <w:r w:rsidRPr="00255326">
        <w:rPr>
          <w:rFonts w:cs="Times New Roman"/>
        </w:rPr>
        <w:t xml:space="preserve">essentially gut[ted] the GAAR and rea[d] it out of the [Act] under the guise of an exercise in legal interpretation” (para. 52). Overemphasizing the principles of certainty and predictability to the detriment of that of fairness is contrary to Parliament’s will. In the words of LeBel J., </w:t>
      </w:r>
      <w:r w:rsidRPr="00255326" w:rsidDel="00B831B4">
        <w:rPr>
          <w:rFonts w:cs="Times New Roman"/>
        </w:rPr>
        <w:t>the “desire to avoid uncertainty cannot justify ignoring a provision of the</w:t>
      </w:r>
      <w:r w:rsidRPr="00255326">
        <w:rPr>
          <w:rFonts w:cs="Times New Roman"/>
        </w:rPr>
        <w:t xml:space="preserve"> [Act] </w:t>
      </w:r>
      <w:r w:rsidRPr="00255326" w:rsidDel="00B831B4">
        <w:rPr>
          <w:rFonts w:cs="Times New Roman"/>
        </w:rPr>
        <w:t>that is clearly intended to apply to transactions that would otherwise be valid on their face” (</w:t>
      </w:r>
      <w:r w:rsidRPr="00255326">
        <w:rPr>
          <w:rFonts w:cs="Times New Roman"/>
          <w:i/>
        </w:rPr>
        <w:t>ibid.</w:t>
      </w:r>
      <w:r w:rsidRPr="00255326" w:rsidDel="00B831B4">
        <w:rPr>
          <w:rFonts w:cs="Times New Roman"/>
        </w:rPr>
        <w:t>). Courts have the obligation to animate all parts of Parliament’s legislation, including s.</w:t>
      </w:r>
      <w:r w:rsidRPr="00255326">
        <w:rPr>
          <w:rFonts w:cs="Times New Roman"/>
        </w:rPr>
        <w:t> </w:t>
      </w:r>
      <w:r w:rsidRPr="00255326" w:rsidDel="00B831B4">
        <w:rPr>
          <w:rFonts w:cs="Times New Roman"/>
        </w:rPr>
        <w:t xml:space="preserve">245 of the Act. </w:t>
      </w:r>
    </w:p>
    <w:p w14:paraId="14218190" w14:textId="77777777" w:rsidR="001346AE" w:rsidRPr="00255326" w:rsidRDefault="001346AE" w:rsidP="001346AE">
      <w:pPr>
        <w:pStyle w:val="Title3LevelTitre3Niveau"/>
        <w:rPr>
          <w:rFonts w:cs="Times New Roman"/>
        </w:rPr>
      </w:pPr>
      <w:r w:rsidRPr="00255326">
        <w:rPr>
          <w:rFonts w:cs="Times New Roman"/>
          <w:lang w:val="en-US"/>
        </w:rPr>
        <w:t>The Application of the GAAR to Bilateral Tax Conventions</w:t>
      </w:r>
    </w:p>
    <w:p w14:paraId="64743F3C"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Following the introduction of s. 245 of the Act, the question of whether this provision applied to tax treaties gave rise to much debate among commentators and scholars (</w:t>
      </w:r>
      <w:r w:rsidRPr="00255326">
        <w:rPr>
          <w:rFonts w:cs="Times New Roman"/>
          <w:lang w:val="en-US"/>
        </w:rPr>
        <w:t xml:space="preserve">W. I. Innes, P. J. Boyle and J. A. Nitikman, </w:t>
      </w:r>
      <w:r w:rsidRPr="00255326">
        <w:rPr>
          <w:rFonts w:cs="Times New Roman"/>
          <w:i/>
          <w:lang w:val="en-US"/>
        </w:rPr>
        <w:t xml:space="preserve">The Essential GAAR Manual: </w:t>
      </w:r>
      <w:r w:rsidRPr="00255326">
        <w:rPr>
          <w:rFonts w:cs="Times New Roman"/>
          <w:bCs/>
          <w:i/>
          <w:lang w:val="en-US"/>
        </w:rPr>
        <w:t>Policies, Principles and Procedures</w:t>
      </w:r>
      <w:r w:rsidRPr="00255326">
        <w:rPr>
          <w:rFonts w:cs="Times New Roman"/>
          <w:lang w:val="en-US"/>
        </w:rPr>
        <w:t xml:space="preserve"> (2006)</w:t>
      </w:r>
      <w:r w:rsidRPr="00255326">
        <w:rPr>
          <w:rFonts w:cs="Times New Roman"/>
        </w:rPr>
        <w:t>, at p. 198-204). This debate is now settled.</w:t>
      </w:r>
    </w:p>
    <w:p w14:paraId="5AAADD67" w14:textId="77777777" w:rsidR="001346AE" w:rsidRPr="00255326" w:rsidRDefault="001346AE" w:rsidP="001346AE">
      <w:pPr>
        <w:pStyle w:val="ParaNoNdepar-AltN"/>
        <w:tabs>
          <w:tab w:val="clear" w:pos="1166"/>
          <w:tab w:val="num" w:pos="1152"/>
        </w:tabs>
        <w:rPr>
          <w:rFonts w:cs="Times New Roman"/>
          <w:b/>
          <w:bCs/>
          <w:i/>
          <w:lang w:val="en-US"/>
        </w:rPr>
      </w:pPr>
      <w:r w:rsidRPr="00255326">
        <w:rPr>
          <w:rFonts w:cs="Times New Roman"/>
          <w:lang w:val="en-US"/>
        </w:rPr>
        <w:t xml:space="preserve">As  Bowman J. (as he then was) had opined in </w:t>
      </w:r>
      <w:r w:rsidRPr="00255326">
        <w:rPr>
          <w:rFonts w:cs="Times New Roman"/>
          <w:i/>
        </w:rPr>
        <w:t>RMM Canadian</w:t>
      </w:r>
      <w:r w:rsidRPr="00255326">
        <w:rPr>
          <w:rFonts w:cs="Times New Roman"/>
          <w:i/>
          <w:lang w:val="en-US"/>
        </w:rPr>
        <w:t xml:space="preserve"> </w:t>
      </w:r>
      <w:r w:rsidRPr="00255326">
        <w:rPr>
          <w:rFonts w:cs="Times New Roman"/>
          <w:i/>
        </w:rPr>
        <w:t>Enterprises Inc. v. R.</w:t>
      </w:r>
      <w:r w:rsidRPr="00255326">
        <w:rPr>
          <w:rFonts w:cs="Times New Roman"/>
          <w:lang w:val="en-US"/>
        </w:rPr>
        <w:t>,</w:t>
      </w:r>
      <w:r w:rsidRPr="00255326">
        <w:rPr>
          <w:rFonts w:cs="Times New Roman"/>
        </w:rPr>
        <w:t xml:space="preserve"> [1998] 1 C.T.C. 2300, at paras. 52-54 and 56, quoting </w:t>
      </w:r>
      <w:r w:rsidRPr="00255326">
        <w:rPr>
          <w:rFonts w:cs="Times New Roman"/>
          <w:i/>
        </w:rPr>
        <w:t>McNichol v. The Queen</w:t>
      </w:r>
      <w:r w:rsidRPr="00255326">
        <w:rPr>
          <w:rFonts w:cs="Times New Roman"/>
        </w:rPr>
        <w:t xml:space="preserve"> (1997), 97 D.T.C. 111, at p</w:t>
      </w:r>
      <w:r>
        <w:rPr>
          <w:rFonts w:cs="Times New Roman"/>
        </w:rPr>
        <w:t>p</w:t>
      </w:r>
      <w:r w:rsidRPr="00255326">
        <w:rPr>
          <w:rFonts w:cs="Times New Roman"/>
        </w:rPr>
        <w:t xml:space="preserve">. 120-21, </w:t>
      </w:r>
      <w:r w:rsidRPr="00255326">
        <w:rPr>
          <w:rFonts w:cs="Times New Roman"/>
          <w:lang w:val="en-US"/>
        </w:rPr>
        <w:t xml:space="preserve">the Minister could use the GAAR to deny tax benefits arising from the exploitation of Canada’s tax treaties. Parliament later </w:t>
      </w:r>
      <w:r w:rsidRPr="00255326">
        <w:rPr>
          <w:rFonts w:cs="Times New Roman"/>
          <w:lang w:val="en-US"/>
        </w:rPr>
        <w:lastRenderedPageBreak/>
        <w:t>confirmed that s. 245 applied to tax treaty benefits when it enacted s. 245(4)</w:t>
      </w:r>
      <w:r>
        <w:rPr>
          <w:rFonts w:cs="Times New Roman"/>
          <w:lang w:val="en-US"/>
        </w:rPr>
        <w:t>(a)</w:t>
      </w:r>
      <w:r w:rsidRPr="00255326">
        <w:rPr>
          <w:rFonts w:cs="Times New Roman"/>
          <w:lang w:val="en-US"/>
        </w:rPr>
        <w:t xml:space="preserve">(iv) of the Act in the </w:t>
      </w:r>
      <w:r w:rsidRPr="00255326">
        <w:rPr>
          <w:rFonts w:cs="Times New Roman"/>
          <w:i/>
          <w:lang w:val="en-US"/>
        </w:rPr>
        <w:t>Budget Implementation Act, 2004, No. 2</w:t>
      </w:r>
      <w:r w:rsidRPr="00255326">
        <w:rPr>
          <w:rFonts w:cs="Times New Roman"/>
          <w:lang w:val="en-US"/>
        </w:rPr>
        <w:t xml:space="preserve">, S.C. 2005, c. 19, s. 52(2). It also enacted s. 4.1 of the </w:t>
      </w:r>
      <w:r w:rsidRPr="00255326">
        <w:rPr>
          <w:rFonts w:cs="Times New Roman"/>
          <w:bCs/>
          <w:i/>
          <w:lang w:val="en-US"/>
        </w:rPr>
        <w:t>Income Tax Conventions Interpretation Act</w:t>
      </w:r>
      <w:r w:rsidRPr="00255326">
        <w:rPr>
          <w:rFonts w:cs="Times New Roman"/>
          <w:bCs/>
          <w:lang w:val="en-US"/>
        </w:rPr>
        <w:t>, R.S.C. 1985, c. I-4 (“</w:t>
      </w:r>
      <w:r w:rsidRPr="00255326">
        <w:rPr>
          <w:rFonts w:cs="Times New Roman"/>
          <w:bCs/>
          <w:i/>
          <w:lang w:val="en-US"/>
        </w:rPr>
        <w:t>ITCIA</w:t>
      </w:r>
      <w:r w:rsidRPr="00255326">
        <w:rPr>
          <w:rFonts w:cs="Times New Roman"/>
          <w:bCs/>
          <w:lang w:val="en-US"/>
        </w:rPr>
        <w:t xml:space="preserve">”), which </w:t>
      </w:r>
      <w:r w:rsidRPr="00255326">
        <w:rPr>
          <w:rFonts w:cs="Times New Roman"/>
        </w:rPr>
        <w:t xml:space="preserve">provides that “[n]otwithstanding the provisions of a convention . . . it is hereby declared . . . that section 245 of the [Act] applies to any benefit provided under the convention.” And, in the event of inconsistency between the Treaty and the </w:t>
      </w:r>
      <w:r w:rsidRPr="00255326">
        <w:rPr>
          <w:rFonts w:cs="Times New Roman"/>
          <w:i/>
        </w:rPr>
        <w:t>ITCIA</w:t>
      </w:r>
      <w:r w:rsidRPr="00255326">
        <w:rPr>
          <w:rFonts w:cs="Times New Roman"/>
        </w:rPr>
        <w:t>, the provisions of that act prevail (</w:t>
      </w:r>
      <w:r w:rsidRPr="00255326">
        <w:rPr>
          <w:rFonts w:cs="Times New Roman"/>
          <w:i/>
        </w:rPr>
        <w:t xml:space="preserve">Income Tax Conventions Implementation Act, </w:t>
      </w:r>
      <w:r w:rsidRPr="00255326">
        <w:rPr>
          <w:rFonts w:cs="Times New Roman"/>
          <w:i/>
          <w:iCs/>
          <w:lang w:val="en-US"/>
        </w:rPr>
        <w:t>1999</w:t>
      </w:r>
      <w:r w:rsidRPr="00255326">
        <w:rPr>
          <w:rFonts w:cs="Times New Roman"/>
          <w:lang w:val="en-US"/>
        </w:rPr>
        <w:t xml:space="preserve">, S.C. 2000, c. 11, </w:t>
      </w:r>
      <w:r w:rsidRPr="00255326">
        <w:rPr>
          <w:rFonts w:cs="Times New Roman"/>
        </w:rPr>
        <w:t xml:space="preserve">s. 51(2)). The courts are bound to give effect to Parliament’s legislative </w:t>
      </w:r>
      <w:r w:rsidRPr="00255326">
        <w:rPr>
          <w:rFonts w:cs="Times New Roman"/>
          <w:shd w:val="clear" w:color="auto" w:fill="FFFFFF"/>
        </w:rPr>
        <w:t>efforts to clearly communicate its intent to curb tax avoidance arising from an improper use of some of Canada’s tax treaties through the application of the GAAR</w:t>
      </w:r>
      <w:r w:rsidRPr="00255326">
        <w:rPr>
          <w:rFonts w:cs="Times New Roman"/>
        </w:rPr>
        <w:t>. The result is that “tax treaties must be interpreted in the same manner as domestic legislation when analyzing potentially abusive avoidance transactions” (</w:t>
      </w:r>
      <w:r w:rsidRPr="00255326">
        <w:rPr>
          <w:rFonts w:cs="Times New Roman"/>
          <w:i/>
          <w:lang w:val="en-US"/>
        </w:rPr>
        <w:t>MIL (Investments) S.A. v. R.</w:t>
      </w:r>
      <w:r w:rsidRPr="00255326">
        <w:rPr>
          <w:rFonts w:cs="Times New Roman"/>
          <w:lang w:val="en-US"/>
        </w:rPr>
        <w:t>, 2006 TCC 460, [2006] 5 C.T.C. 2552</w:t>
      </w:r>
      <w:r w:rsidRPr="00255326">
        <w:rPr>
          <w:rFonts w:cs="Times New Roman"/>
        </w:rPr>
        <w:t xml:space="preserve"> (“</w:t>
      </w:r>
      <w:r w:rsidRPr="00255326">
        <w:rPr>
          <w:rFonts w:cs="Times New Roman"/>
          <w:i/>
        </w:rPr>
        <w:t xml:space="preserve">MIL </w:t>
      </w:r>
      <w:r w:rsidRPr="00255326">
        <w:rPr>
          <w:rFonts w:cs="Times New Roman"/>
        </w:rPr>
        <w:t>(TCC)”), at para. 28). Contrary to our colleague Côté J.’s suggestion, this is not an impermissible extension of the GAAR. If there were any doubts about the application of the GAAR to tax treaties, they were unequivocally resolved when Parliament amended the Act in 2005</w:t>
      </w:r>
      <w:r w:rsidRPr="00255326">
        <w:rPr>
          <w:rFonts w:cs="Times New Roman"/>
          <w:lang w:val="en-US"/>
        </w:rPr>
        <w:t xml:space="preserve"> </w:t>
      </w:r>
      <w:r w:rsidRPr="00255326">
        <w:rPr>
          <w:rFonts w:cs="Times New Roman"/>
          <w:shd w:val="clear" w:color="auto" w:fill="FFFFFF"/>
        </w:rPr>
        <w:t xml:space="preserve">(see Standing Senate Committee on National Finance, </w:t>
      </w:r>
      <w:r w:rsidRPr="00255326">
        <w:rPr>
          <w:rFonts w:cs="Times New Roman"/>
          <w:i/>
          <w:shd w:val="clear" w:color="auto" w:fill="FFFFFF"/>
        </w:rPr>
        <w:t>Proceedings of the Standing Senate Committee on National Finance</w:t>
      </w:r>
      <w:r w:rsidRPr="00255326">
        <w:rPr>
          <w:rFonts w:cs="Times New Roman"/>
          <w:shd w:val="clear" w:color="auto" w:fill="FFFFFF"/>
        </w:rPr>
        <w:t>, Nos. 19 and 20, 1st Sess., 38th Parl., April 20 and May 2, 2005, at pp. 19:16-17, 19:22, and 19:26-27)</w:t>
      </w:r>
      <w:r w:rsidRPr="00255326">
        <w:rPr>
          <w:rFonts w:cs="Times New Roman"/>
        </w:rPr>
        <w:t>.</w:t>
      </w:r>
    </w:p>
    <w:p w14:paraId="67FC94E1" w14:textId="77777777" w:rsidR="001346AE" w:rsidRPr="00255326" w:rsidRDefault="001346AE" w:rsidP="001346AE">
      <w:pPr>
        <w:pStyle w:val="ParaNoNdepar-AltN"/>
        <w:tabs>
          <w:tab w:val="clear" w:pos="1166"/>
          <w:tab w:val="num" w:pos="1152"/>
        </w:tabs>
        <w:rPr>
          <w:rFonts w:cs="Times New Roman"/>
          <w:lang w:val="en-US"/>
        </w:rPr>
      </w:pPr>
      <w:r w:rsidRPr="00255326">
        <w:rPr>
          <w:rFonts w:cs="Times New Roman"/>
          <w:lang w:val="en-US"/>
        </w:rPr>
        <w:t>Therefore, although this Court’s pronouncements on the GAAR were made in the context of alleged abuses of the Act, there is no dispute that the GAAR also applies to avoidance transactions that abuse or misuse tax treaties</w:t>
      </w:r>
      <w:r w:rsidRPr="00255326">
        <w:rPr>
          <w:rFonts w:cs="Times New Roman"/>
          <w:shd w:val="clear" w:color="auto" w:fill="FFFFFF"/>
        </w:rPr>
        <w:t>.</w:t>
      </w:r>
    </w:p>
    <w:p w14:paraId="5FE85B1F" w14:textId="77777777" w:rsidR="001346AE" w:rsidRPr="00255326" w:rsidRDefault="001346AE" w:rsidP="001346AE">
      <w:pPr>
        <w:pStyle w:val="ParaNoNdepar-AltN"/>
        <w:tabs>
          <w:tab w:val="clear" w:pos="1166"/>
          <w:tab w:val="num" w:pos="1152"/>
        </w:tabs>
        <w:rPr>
          <w:rFonts w:cs="Times New Roman"/>
          <w:b/>
          <w:bCs/>
          <w:i/>
          <w:lang w:val="en-US"/>
        </w:rPr>
      </w:pPr>
      <w:r w:rsidRPr="00255326">
        <w:rPr>
          <w:rFonts w:cs="Times New Roman"/>
          <w:lang w:val="en-US"/>
        </w:rPr>
        <w:lastRenderedPageBreak/>
        <w:t xml:space="preserve">The backdrop against which this amendment was brought provides insight. It followed a report by the Auditor General of Canada on what was then the Canada Customs and Revenue Agency (“CCRA”), in which it identified a number of tax avoidance schemes that exploited some of Canada’s tax treaties. </w:t>
      </w:r>
      <w:r w:rsidRPr="00255326">
        <w:rPr>
          <w:rFonts w:cs="Times New Roman"/>
          <w:shd w:val="clear" w:color="auto" w:fill="FFFFFF"/>
        </w:rPr>
        <w:t>In discussing the tax treaty Canada concluded with Barbados, the Auditor General observed the following:</w:t>
      </w:r>
    </w:p>
    <w:p w14:paraId="6FFC96DD" w14:textId="77777777" w:rsidR="001346AE" w:rsidRPr="00255326" w:rsidRDefault="001346AE" w:rsidP="001346AE">
      <w:pPr>
        <w:pStyle w:val="Citation-AltC"/>
        <w:ind w:firstLine="274"/>
      </w:pPr>
      <w:r w:rsidRPr="00255326">
        <w:t xml:space="preserve">During our review of non-resident files, we noted that the Agency has discovered a number of schemes developed to exploit the Canada-Barbados Income Tax Agreement. </w:t>
      </w:r>
      <w:r w:rsidRPr="00255326">
        <w:rPr>
          <w:u w:val="single"/>
        </w:rPr>
        <w:t>Canada usually signs tax treaties to avoid double taxation. Barbados does not tax capital gains. However, the Agreement allows a resident of Barbados to claim a Canadian tax exemption on a capital gain that would otherwise be subject to Canadian tax. The Agency is currently reviewing transactions that move capital gains from Canada to Barbados.</w:t>
      </w:r>
      <w:r w:rsidRPr="00255326">
        <w:t xml:space="preserve"> [Emphasis added.]</w:t>
      </w:r>
    </w:p>
    <w:p w14:paraId="48349DFC" w14:textId="77777777" w:rsidR="001346AE" w:rsidRPr="00255326" w:rsidRDefault="001346AE" w:rsidP="001346AE">
      <w:pPr>
        <w:pStyle w:val="Citation-AltC"/>
      </w:pPr>
    </w:p>
    <w:p w14:paraId="259DB693" w14:textId="77777777" w:rsidR="001346AE" w:rsidRPr="00255326" w:rsidRDefault="001346AE" w:rsidP="001346AE">
      <w:pPr>
        <w:pStyle w:val="Citation-AltC"/>
      </w:pPr>
      <w:r w:rsidRPr="00255326">
        <w:t xml:space="preserve">(Office of the Auditor General, </w:t>
      </w:r>
      <w:r w:rsidRPr="00255326">
        <w:rPr>
          <w:i/>
        </w:rPr>
        <w:t>Report of the Auditor General of Canada to the House of Commons — Chapter 7 — Canada Customs and Revenue Agency, International Tax Administration: Non-Residents Subject to Canadian Income Tax</w:t>
      </w:r>
      <w:r w:rsidRPr="00255326">
        <w:t xml:space="preserve"> (2001), at para. </w:t>
      </w:r>
      <w:r w:rsidRPr="00255326">
        <w:rPr>
          <w:lang w:val="en-US"/>
        </w:rPr>
        <w:t>7.85</w:t>
      </w:r>
      <w:r w:rsidRPr="00255326">
        <w:t>)</w:t>
      </w:r>
    </w:p>
    <w:p w14:paraId="2E71D9B4" w14:textId="77777777" w:rsidR="001346AE" w:rsidRPr="00255326" w:rsidRDefault="001346AE" w:rsidP="001346AE">
      <w:pPr>
        <w:pStyle w:val="ParaNoNdepar-AltN"/>
        <w:tabs>
          <w:tab w:val="clear" w:pos="1166"/>
          <w:tab w:val="num" w:pos="1152"/>
        </w:tabs>
        <w:rPr>
          <w:rFonts w:cs="Times New Roman"/>
          <w:bCs/>
          <w:shd w:val="clear" w:color="auto" w:fill="FFFFFF"/>
          <w:lang w:val="en-US"/>
        </w:rPr>
      </w:pPr>
      <w:r w:rsidRPr="00255326">
        <w:rPr>
          <w:rFonts w:cs="Times New Roman"/>
          <w:shd w:val="clear" w:color="auto" w:fill="FFFFFF"/>
        </w:rPr>
        <w:t xml:space="preserve">One of the schemes given as an example of an exploitation of Canada’s tax treaties is strikingly similar to the facts of the present case: a non-resident company held shares of a Canadian company, the proceeds of the sale of which shares would be taxable in Canada. The non-resident company shifted its residence to Barbados and claimed a Canadian tax exemption on the capital gain provided under the treaty between Canada and Barbados (para 7.89). </w:t>
      </w:r>
    </w:p>
    <w:p w14:paraId="60B99FFC" w14:textId="77777777" w:rsidR="001346AE" w:rsidRPr="00255326" w:rsidRDefault="001346AE" w:rsidP="001346AE">
      <w:pPr>
        <w:pStyle w:val="ParaNoNdepar-AltN"/>
        <w:tabs>
          <w:tab w:val="clear" w:pos="1166"/>
          <w:tab w:val="num" w:pos="1152"/>
        </w:tabs>
        <w:rPr>
          <w:rFonts w:cs="Times New Roman"/>
          <w:bCs/>
          <w:shd w:val="clear" w:color="auto" w:fill="FFFFFF"/>
          <w:lang w:val="en-US"/>
        </w:rPr>
      </w:pPr>
      <w:r w:rsidRPr="00255326">
        <w:rPr>
          <w:rFonts w:cs="Times New Roman"/>
          <w:shd w:val="clear" w:color="auto" w:fill="FFFFFF"/>
        </w:rPr>
        <w:t>The Auditor General recommended that the CCRA “</w:t>
      </w:r>
      <w:r w:rsidRPr="00255326">
        <w:rPr>
          <w:rFonts w:cs="Times New Roman"/>
        </w:rPr>
        <w:t xml:space="preserve">continue to be vigilant in ensuring that tax treaties are not used inappropriately to reduce Canadian tax </w:t>
      </w:r>
      <w:r w:rsidRPr="00255326">
        <w:rPr>
          <w:rFonts w:cs="Times New Roman"/>
          <w:u w:val="single"/>
        </w:rPr>
        <w:t>and, if necessary, should seek legislative or treaty changes to protect Canada’s tax base</w:t>
      </w:r>
      <w:r w:rsidRPr="00255326">
        <w:rPr>
          <w:rFonts w:cs="Times New Roman"/>
        </w:rPr>
        <w:t xml:space="preserve">” </w:t>
      </w:r>
      <w:r w:rsidRPr="00255326">
        <w:rPr>
          <w:rFonts w:cs="Times New Roman"/>
        </w:rPr>
        <w:lastRenderedPageBreak/>
        <w:t>(para. 7.91 (emphasis added)). Parliament opted to make clear that the GAAR would be its preferred tool to curb tax avoidance arising from an improper use of Canada’s tax treaties.</w:t>
      </w:r>
    </w:p>
    <w:p w14:paraId="4C3B7F55" w14:textId="77777777" w:rsidR="001346AE" w:rsidRPr="00255326" w:rsidRDefault="001346AE" w:rsidP="001346AE">
      <w:pPr>
        <w:pStyle w:val="Title2LevelTitre2Niveau"/>
        <w:rPr>
          <w:rFonts w:cs="Times New Roman"/>
        </w:rPr>
      </w:pPr>
      <w:r w:rsidRPr="00255326">
        <w:rPr>
          <w:rFonts w:cs="Times New Roman"/>
        </w:rPr>
        <w:t>Application</w:t>
      </w:r>
    </w:p>
    <w:p w14:paraId="2190B23A" w14:textId="77777777" w:rsidR="001346AE" w:rsidRPr="00255326" w:rsidRDefault="001346AE" w:rsidP="001346AE">
      <w:pPr>
        <w:pStyle w:val="ParaNoNdepar-AltN"/>
        <w:tabs>
          <w:tab w:val="clear" w:pos="1166"/>
          <w:tab w:val="num" w:pos="1152"/>
        </w:tabs>
        <w:rPr>
          <w:rFonts w:cs="Times New Roman"/>
        </w:rPr>
      </w:pPr>
      <w:r w:rsidRPr="00255326">
        <w:rPr>
          <w:rFonts w:cs="Times New Roman"/>
          <w:lang w:val="en-US"/>
        </w:rPr>
        <w:t xml:space="preserve">We now turn to applying the principles laid out above to the facts of this case. </w:t>
      </w:r>
      <w:r w:rsidRPr="00255326">
        <w:rPr>
          <w:rFonts w:cs="Times New Roman"/>
        </w:rPr>
        <w:t xml:space="preserve">Since the first two steps of the GAAR framework are not at issue, we will focus solely on the abuse analysis. </w:t>
      </w:r>
    </w:p>
    <w:p w14:paraId="47122673" w14:textId="77777777" w:rsidR="001346AE" w:rsidRPr="00255326" w:rsidRDefault="001346AE" w:rsidP="001346AE">
      <w:pPr>
        <w:pStyle w:val="Title3LevelTitre3Niveau"/>
        <w:rPr>
          <w:rFonts w:cs="Times New Roman"/>
        </w:rPr>
      </w:pPr>
      <w:r w:rsidRPr="00255326">
        <w:rPr>
          <w:rFonts w:cs="Times New Roman"/>
        </w:rPr>
        <w:t>Object, Spirit or Purpose of Articles 1, 4 and 13 of the Treaty</w:t>
      </w:r>
    </w:p>
    <w:p w14:paraId="1E59D947"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The Crown submits that, with respect to “shares which derive their value principally from immovable property used in a company’s business”, the rationale underlying the relevant provisions of the Treaty is to allocate taxing rights to the state of residence, as the economic connection to the company’s state of residence would usually outweigh the connection to the source state as the </w:t>
      </w:r>
      <w:r w:rsidRPr="00255326">
        <w:rPr>
          <w:rFonts w:cs="Times New Roman"/>
          <w:i/>
        </w:rPr>
        <w:t>situs</w:t>
      </w:r>
      <w:r w:rsidRPr="00255326">
        <w:rPr>
          <w:rFonts w:cs="Times New Roman"/>
        </w:rPr>
        <w:t xml:space="preserve"> of the immovable property (A.F., at para. 65). Alta Luxembourg adopts the view of the courts below, according to which the rationale is no broader than the text of the relevant provisions of the Treaty (A.F., at para. 97). The rationale is simply to “exempt residents of Luxembourg from Canadian taxation where there is an investment in immovable property used in a business” (</w:t>
      </w:r>
      <w:r>
        <w:rPr>
          <w:rFonts w:cs="Times New Roman"/>
        </w:rPr>
        <w:t>T.C.C.</w:t>
      </w:r>
      <w:r w:rsidRPr="00255326">
        <w:rPr>
          <w:rFonts w:cs="Times New Roman"/>
        </w:rPr>
        <w:t xml:space="preserve"> reasons, at para. 100; see also C.A. reasons, at para. 67). </w:t>
      </w:r>
    </w:p>
    <w:p w14:paraId="77F147EA"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lastRenderedPageBreak/>
        <w:t xml:space="preserve">We agree with the Crown. </w:t>
      </w:r>
      <w:r w:rsidRPr="00255326">
        <w:rPr>
          <w:rFonts w:cs="Times New Roman"/>
          <w:lang w:val="en-US"/>
        </w:rPr>
        <w:t>Contrary to the result reached in the courts below, this is not a case where the text of a provision fully expresses its underlying rationale; failing to have regard to this rationale renders the GAAR “meaningless” (</w:t>
      </w:r>
      <w:r w:rsidRPr="00255326">
        <w:rPr>
          <w:rFonts w:cs="Times New Roman"/>
          <w:i/>
          <w:lang w:val="en-US"/>
        </w:rPr>
        <w:t>Copthorne</w:t>
      </w:r>
      <w:r w:rsidRPr="00255326">
        <w:rPr>
          <w:rFonts w:cs="Times New Roman"/>
          <w:lang w:val="en-US"/>
        </w:rPr>
        <w:t xml:space="preserve">, at paras. 110-11). </w:t>
      </w:r>
      <w:r w:rsidRPr="00255326">
        <w:rPr>
          <w:rFonts w:cs="Times New Roman"/>
        </w:rPr>
        <w:t>We conclude that the rationale underlying arts. 1, 4 and 13 of the Treaty is to assign taxing rights to the state with the stronger economic claim to the income. Canada is presumed to have the stronger connection to capital gains related to passive investment in immovable property situated in Canada realized by residents of Luxembourg.</w:t>
      </w:r>
      <w:r w:rsidRPr="00255326">
        <w:rPr>
          <w:rFonts w:cs="Times New Roman"/>
          <w:szCs w:val="24"/>
        </w:rPr>
        <w:t xml:space="preserve"> However, when the value of the immovable is driven by a company’s business</w:t>
      </w:r>
      <w:r w:rsidRPr="00255326">
        <w:rPr>
          <w:rStyle w:val="CommentReference"/>
          <w:rFonts w:cs="Times New Roman"/>
          <w:szCs w:val="24"/>
        </w:rPr>
        <w:t xml:space="preserve"> — </w:t>
      </w:r>
      <w:r w:rsidRPr="00255326">
        <w:rPr>
          <w:rFonts w:cs="Times New Roman"/>
        </w:rPr>
        <w:t xml:space="preserve">that is, when residents of Luxembourg realize a gain from immovable property used in a business — </w:t>
      </w:r>
      <w:r w:rsidRPr="00255326">
        <w:rPr>
          <w:rFonts w:cs="Times New Roman"/>
          <w:szCs w:val="24"/>
        </w:rPr>
        <w:t>Luxembourg is deemed to have the closer economic connection. The rationale underlying the carve-out in art. 13(4) is to reflect the state of residence’s stronger economic claim to tax the income. In this case, the state of residence is Luxembourg but the state with the stronger economic claim to tax the income is Canada.</w:t>
      </w:r>
      <w:r w:rsidRPr="00255326">
        <w:rPr>
          <w:rFonts w:cs="Times New Roman"/>
        </w:rPr>
        <w:t xml:space="preserve"> </w:t>
      </w:r>
    </w:p>
    <w:p w14:paraId="7E60D503" w14:textId="77777777" w:rsidR="001346AE" w:rsidRPr="00255326" w:rsidRDefault="001346AE" w:rsidP="001346AE">
      <w:pPr>
        <w:pStyle w:val="Title4LevelTitre4Niveau"/>
        <w:rPr>
          <w:rFonts w:cs="Times New Roman"/>
        </w:rPr>
      </w:pPr>
      <w:r w:rsidRPr="00255326">
        <w:rPr>
          <w:rFonts w:cs="Times New Roman"/>
        </w:rPr>
        <w:t>The Text of the Relevant Provisions</w:t>
      </w:r>
    </w:p>
    <w:p w14:paraId="63D8E1C7"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The relevant provisions of the Treaty are the following:</w:t>
      </w:r>
    </w:p>
    <w:p w14:paraId="125A7BB8" w14:textId="77777777" w:rsidR="001346AE" w:rsidRPr="00255326" w:rsidRDefault="001346AE" w:rsidP="001346AE">
      <w:pPr>
        <w:ind w:left="1170"/>
        <w:jc w:val="center"/>
        <w:rPr>
          <w:b/>
          <w:u w:val="single"/>
          <w:lang w:val="en"/>
        </w:rPr>
      </w:pPr>
      <w:r w:rsidRPr="00255326">
        <w:rPr>
          <w:b/>
          <w:u w:val="single"/>
          <w:lang w:val="en"/>
        </w:rPr>
        <w:t>ARTICLE 1</w:t>
      </w:r>
    </w:p>
    <w:p w14:paraId="3448EEF4" w14:textId="77777777" w:rsidR="001346AE" w:rsidRPr="00255326" w:rsidRDefault="001346AE" w:rsidP="001346AE">
      <w:pPr>
        <w:ind w:left="1170"/>
        <w:jc w:val="center"/>
        <w:rPr>
          <w:b/>
          <w:lang w:val="en"/>
        </w:rPr>
      </w:pPr>
    </w:p>
    <w:p w14:paraId="6D03C774" w14:textId="77777777" w:rsidR="001346AE" w:rsidRPr="00255326" w:rsidRDefault="001346AE" w:rsidP="001346AE">
      <w:pPr>
        <w:ind w:left="1170"/>
        <w:jc w:val="center"/>
        <w:rPr>
          <w:b/>
          <w:u w:val="single"/>
        </w:rPr>
      </w:pPr>
      <w:r w:rsidRPr="00255326">
        <w:rPr>
          <w:b/>
          <w:u w:val="single"/>
        </w:rPr>
        <w:t>I. Scope of the Convention</w:t>
      </w:r>
    </w:p>
    <w:p w14:paraId="45078B8D" w14:textId="77777777" w:rsidR="001346AE" w:rsidRPr="00255326" w:rsidRDefault="001346AE" w:rsidP="001346AE">
      <w:pPr>
        <w:ind w:left="1170"/>
        <w:jc w:val="center"/>
        <w:rPr>
          <w:b/>
          <w:lang w:val="en"/>
        </w:rPr>
      </w:pPr>
    </w:p>
    <w:p w14:paraId="4D8174F7" w14:textId="77777777" w:rsidR="001346AE" w:rsidRPr="00255326" w:rsidRDefault="001346AE" w:rsidP="001346AE">
      <w:pPr>
        <w:ind w:left="1170"/>
        <w:jc w:val="center"/>
        <w:rPr>
          <w:b/>
          <w:u w:val="single"/>
          <w:lang w:val="en"/>
        </w:rPr>
      </w:pPr>
      <w:r w:rsidRPr="00255326">
        <w:rPr>
          <w:b/>
          <w:u w:val="single"/>
          <w:lang w:val="en"/>
        </w:rPr>
        <w:t>Persons Covered</w:t>
      </w:r>
    </w:p>
    <w:p w14:paraId="7A711246" w14:textId="77777777" w:rsidR="001346AE" w:rsidRPr="00255326" w:rsidRDefault="001346AE" w:rsidP="001346AE">
      <w:pPr>
        <w:ind w:left="1170"/>
        <w:jc w:val="center"/>
        <w:rPr>
          <w:lang w:val="en"/>
        </w:rPr>
      </w:pPr>
    </w:p>
    <w:p w14:paraId="5ED712DF" w14:textId="77777777" w:rsidR="001346AE" w:rsidRPr="00255326" w:rsidRDefault="001346AE" w:rsidP="001346AE">
      <w:pPr>
        <w:ind w:left="1170"/>
        <w:jc w:val="both"/>
        <w:rPr>
          <w:lang w:val="en"/>
        </w:rPr>
      </w:pPr>
      <w:r w:rsidRPr="00255326">
        <w:rPr>
          <w:lang w:val="en"/>
        </w:rPr>
        <w:t>This Convention shall apply to persons who are residents of one or both of the Contracting States.</w:t>
      </w:r>
    </w:p>
    <w:p w14:paraId="7BFBD032" w14:textId="77777777" w:rsidR="001346AE" w:rsidRPr="00255326" w:rsidRDefault="001346AE" w:rsidP="001346AE">
      <w:pPr>
        <w:ind w:left="1170"/>
        <w:jc w:val="both"/>
        <w:rPr>
          <w:lang w:val="en"/>
        </w:rPr>
      </w:pPr>
    </w:p>
    <w:p w14:paraId="066F108B" w14:textId="77777777" w:rsidR="001346AE" w:rsidRPr="00255326" w:rsidRDefault="001346AE" w:rsidP="001346AE">
      <w:pPr>
        <w:ind w:left="1170"/>
        <w:jc w:val="center"/>
        <w:rPr>
          <w:b/>
          <w:u w:val="single"/>
          <w:lang w:val="en"/>
        </w:rPr>
      </w:pPr>
      <w:r w:rsidRPr="00255326">
        <w:rPr>
          <w:b/>
          <w:u w:val="single"/>
          <w:lang w:val="en"/>
        </w:rPr>
        <w:t>ARTICLE 4</w:t>
      </w:r>
    </w:p>
    <w:p w14:paraId="6DDA5A11" w14:textId="77777777" w:rsidR="001346AE" w:rsidRPr="00255326" w:rsidRDefault="001346AE" w:rsidP="001346AE">
      <w:pPr>
        <w:ind w:left="1170"/>
        <w:jc w:val="both"/>
        <w:rPr>
          <w:lang w:val="en"/>
        </w:rPr>
      </w:pPr>
    </w:p>
    <w:p w14:paraId="6CBE3981" w14:textId="77777777" w:rsidR="001346AE" w:rsidRPr="00255326" w:rsidRDefault="001346AE" w:rsidP="001346AE">
      <w:pPr>
        <w:ind w:left="1170"/>
        <w:jc w:val="center"/>
        <w:rPr>
          <w:lang w:val="en"/>
        </w:rPr>
      </w:pPr>
      <w:r w:rsidRPr="00255326">
        <w:rPr>
          <w:b/>
          <w:u w:val="single"/>
          <w:lang w:val="en"/>
        </w:rPr>
        <w:t>Resident</w:t>
      </w:r>
    </w:p>
    <w:p w14:paraId="58B10977" w14:textId="77777777" w:rsidR="001346AE" w:rsidRPr="00255326" w:rsidRDefault="001346AE" w:rsidP="001346AE">
      <w:pPr>
        <w:ind w:left="1170"/>
        <w:jc w:val="both"/>
        <w:rPr>
          <w:lang w:val="en"/>
        </w:rPr>
      </w:pPr>
    </w:p>
    <w:p w14:paraId="1AC500F6" w14:textId="77777777" w:rsidR="001346AE" w:rsidRPr="00255326" w:rsidRDefault="001346AE" w:rsidP="001346AE">
      <w:pPr>
        <w:ind w:left="1440" w:hanging="270"/>
        <w:jc w:val="both"/>
        <w:rPr>
          <w:lang w:val="en"/>
        </w:rPr>
      </w:pPr>
      <w:r w:rsidRPr="00255326">
        <w:rPr>
          <w:lang w:val="en"/>
        </w:rPr>
        <w:t>1.</w:t>
      </w:r>
      <w:r w:rsidRPr="00255326">
        <w:rPr>
          <w:lang w:val="en"/>
        </w:rPr>
        <w:tab/>
        <w:t xml:space="preserve">For the purposes of this Convention, the term “resident of a Contracting State” means any person who, under the laws of that State, is liable to tax therein by reason of that person’s domicile, residence, place of management or any other criterion of a similar nature. This term also includes a Contracting State or a political subdivision or local authority thereof or any agency or instrumentality of any such State, subdivision or authority. This term, however, does not include any person who is liable to tax in that State in respect only of income from sources in that State. </w:t>
      </w:r>
    </w:p>
    <w:p w14:paraId="12C291F8" w14:textId="77777777" w:rsidR="001346AE" w:rsidRPr="00255326" w:rsidRDefault="001346AE" w:rsidP="001346AE">
      <w:pPr>
        <w:ind w:left="1170"/>
        <w:jc w:val="both"/>
        <w:rPr>
          <w:lang w:val="en"/>
        </w:rPr>
      </w:pPr>
    </w:p>
    <w:p w14:paraId="4D669E33" w14:textId="77777777" w:rsidR="001346AE" w:rsidRPr="00255326" w:rsidRDefault="001346AE" w:rsidP="001346AE">
      <w:pPr>
        <w:ind w:left="1170"/>
        <w:jc w:val="center"/>
        <w:rPr>
          <w:b/>
          <w:u w:val="single"/>
          <w:lang w:val="en"/>
        </w:rPr>
      </w:pPr>
      <w:r w:rsidRPr="00255326">
        <w:rPr>
          <w:b/>
          <w:u w:val="single"/>
          <w:lang w:val="en"/>
        </w:rPr>
        <w:t>ARTICLE 13</w:t>
      </w:r>
    </w:p>
    <w:p w14:paraId="74CFF2D3" w14:textId="77777777" w:rsidR="001346AE" w:rsidRPr="00255326" w:rsidRDefault="001346AE" w:rsidP="001346AE">
      <w:pPr>
        <w:ind w:left="1170"/>
        <w:jc w:val="center"/>
        <w:rPr>
          <w:b/>
          <w:lang w:val="en"/>
        </w:rPr>
      </w:pPr>
    </w:p>
    <w:p w14:paraId="68A382DC" w14:textId="77777777" w:rsidR="001346AE" w:rsidRPr="00255326" w:rsidRDefault="001346AE" w:rsidP="001346AE">
      <w:pPr>
        <w:ind w:left="1170"/>
        <w:jc w:val="center"/>
        <w:rPr>
          <w:b/>
          <w:u w:val="single"/>
          <w:lang w:val="en"/>
        </w:rPr>
      </w:pPr>
      <w:r w:rsidRPr="00255326">
        <w:rPr>
          <w:b/>
          <w:u w:val="single"/>
          <w:lang w:val="en"/>
        </w:rPr>
        <w:t>Capital Gains</w:t>
      </w:r>
    </w:p>
    <w:p w14:paraId="63E015A6" w14:textId="77777777" w:rsidR="001346AE" w:rsidRPr="00255326" w:rsidRDefault="001346AE" w:rsidP="001346AE">
      <w:pPr>
        <w:ind w:left="1170"/>
        <w:jc w:val="center"/>
        <w:rPr>
          <w:b/>
          <w:u w:val="single"/>
          <w:lang w:val="en"/>
        </w:rPr>
      </w:pPr>
    </w:p>
    <w:p w14:paraId="26AB7871" w14:textId="77777777" w:rsidR="001346AE" w:rsidRPr="00255326" w:rsidRDefault="001346AE" w:rsidP="001346AE">
      <w:pPr>
        <w:ind w:left="1440" w:hanging="270"/>
        <w:jc w:val="both"/>
        <w:rPr>
          <w:lang w:val="en"/>
        </w:rPr>
      </w:pPr>
      <w:r w:rsidRPr="00255326">
        <w:rPr>
          <w:lang w:val="en"/>
        </w:rPr>
        <w:t>1. Gains derived by a resident of a Contracting State from the alienation of immovable property situated in the other Contracting State may be taxed in that other State.</w:t>
      </w:r>
    </w:p>
    <w:p w14:paraId="1B38598D" w14:textId="77777777" w:rsidR="001346AE" w:rsidRPr="00255326" w:rsidRDefault="001346AE" w:rsidP="001346AE">
      <w:pPr>
        <w:ind w:left="1170"/>
        <w:jc w:val="both"/>
        <w:rPr>
          <w:lang w:val="en"/>
        </w:rPr>
      </w:pPr>
    </w:p>
    <w:p w14:paraId="5BD0292C" w14:textId="77777777" w:rsidR="001346AE" w:rsidRPr="00255326" w:rsidRDefault="001346AE" w:rsidP="001346AE">
      <w:pPr>
        <w:ind w:left="1440" w:hanging="270"/>
        <w:jc w:val="both"/>
        <w:rPr>
          <w:lang w:val="en"/>
        </w:rPr>
      </w:pPr>
      <w:r w:rsidRPr="00255326">
        <w:rPr>
          <w:lang w:val="en"/>
        </w:rPr>
        <w:t>4.</w:t>
      </w:r>
      <w:r w:rsidRPr="00255326">
        <w:rPr>
          <w:lang w:val="en"/>
        </w:rPr>
        <w:tab/>
      </w:r>
      <w:r w:rsidRPr="00255326">
        <w:rPr>
          <w:u w:val="single"/>
          <w:lang w:val="en"/>
        </w:rPr>
        <w:t>Gains derived by a resident of a Contracting State from the alienation of:</w:t>
      </w:r>
    </w:p>
    <w:p w14:paraId="5BC86A9A" w14:textId="77777777" w:rsidR="001346AE" w:rsidRPr="00255326" w:rsidRDefault="001346AE" w:rsidP="001346AE">
      <w:pPr>
        <w:ind w:left="1710" w:hanging="270"/>
        <w:jc w:val="both"/>
        <w:rPr>
          <w:lang w:val="en"/>
        </w:rPr>
      </w:pPr>
      <w:r w:rsidRPr="00255326">
        <w:rPr>
          <w:lang w:val="en"/>
        </w:rPr>
        <w:t>a.</w:t>
      </w:r>
      <w:r w:rsidRPr="00255326">
        <w:rPr>
          <w:lang w:val="en"/>
        </w:rPr>
        <w:tab/>
      </w:r>
      <w:r w:rsidRPr="00255326">
        <w:rPr>
          <w:u w:val="single"/>
          <w:lang w:val="en"/>
        </w:rPr>
        <w:t>shares</w:t>
      </w:r>
      <w:r w:rsidRPr="00255326">
        <w:rPr>
          <w:lang w:val="en"/>
        </w:rPr>
        <w:t xml:space="preserve"> (other than shares listed on an approved stock exchange in the other Contracting State) </w:t>
      </w:r>
      <w:r w:rsidRPr="00255326">
        <w:rPr>
          <w:u w:val="single"/>
          <w:lang w:val="en"/>
        </w:rPr>
        <w:t>forming part of a substantial interest in the capital stock of a company the value of which shares is derived principally from immovable property situated in that other State</w:t>
      </w:r>
      <w:r w:rsidRPr="00255326">
        <w:rPr>
          <w:lang w:val="en"/>
        </w:rPr>
        <w:t xml:space="preserve">; or </w:t>
      </w:r>
    </w:p>
    <w:p w14:paraId="32AE8C2F" w14:textId="77777777" w:rsidR="001346AE" w:rsidRPr="00255326" w:rsidRDefault="001346AE" w:rsidP="001346AE">
      <w:pPr>
        <w:ind w:left="1710" w:hanging="270"/>
        <w:jc w:val="both"/>
        <w:rPr>
          <w:lang w:val="en"/>
        </w:rPr>
      </w:pPr>
      <w:r w:rsidRPr="00255326">
        <w:rPr>
          <w:lang w:val="en"/>
        </w:rPr>
        <w:t>b.</w:t>
      </w:r>
      <w:r w:rsidRPr="00255326">
        <w:rPr>
          <w:lang w:val="en"/>
        </w:rPr>
        <w:tab/>
        <w:t xml:space="preserve">an interest in a partnership, trust or estate, the value of which is derived principally from immovable property situated in that other State, </w:t>
      </w:r>
    </w:p>
    <w:p w14:paraId="6D44B2AD" w14:textId="77777777" w:rsidR="001346AE" w:rsidRPr="00255326" w:rsidRDefault="001346AE" w:rsidP="001346AE">
      <w:pPr>
        <w:ind w:left="1170"/>
        <w:jc w:val="both"/>
        <w:rPr>
          <w:lang w:val="en"/>
        </w:rPr>
      </w:pPr>
    </w:p>
    <w:p w14:paraId="7F877B3F" w14:textId="77777777" w:rsidR="001346AE" w:rsidRPr="00255326" w:rsidRDefault="001346AE" w:rsidP="001346AE">
      <w:pPr>
        <w:tabs>
          <w:tab w:val="left" w:pos="1980"/>
        </w:tabs>
        <w:ind w:left="1440"/>
        <w:jc w:val="both"/>
        <w:rPr>
          <w:lang w:val="en"/>
        </w:rPr>
      </w:pPr>
      <w:r w:rsidRPr="00255326">
        <w:rPr>
          <w:lang w:val="en"/>
        </w:rPr>
        <w:t xml:space="preserve">may be taxed in that other State. For the purposes of this paragraph, </w:t>
      </w:r>
      <w:r w:rsidRPr="00255326">
        <w:rPr>
          <w:u w:val="single"/>
          <w:lang w:val="en"/>
        </w:rPr>
        <w:t>the term “immovable property” does not include property</w:t>
      </w:r>
      <w:r w:rsidRPr="00255326">
        <w:rPr>
          <w:lang w:val="en"/>
        </w:rPr>
        <w:t xml:space="preserve"> (other than rental property) </w:t>
      </w:r>
      <w:r w:rsidRPr="00255326">
        <w:rPr>
          <w:u w:val="single"/>
          <w:lang w:val="en"/>
        </w:rPr>
        <w:t>in which the business of the company, partnership, trust or estate was carried on</w:t>
      </w:r>
      <w:r w:rsidRPr="00255326">
        <w:rPr>
          <w:lang w:val="en"/>
        </w:rPr>
        <w:t xml:space="preserve">; and a substantial interest exists when the resident and persons related thereto own 10 per cent or more of the shares of any class or the capital stock of a company. </w:t>
      </w:r>
    </w:p>
    <w:p w14:paraId="0B902F61" w14:textId="77777777" w:rsidR="001346AE" w:rsidRPr="00255326" w:rsidRDefault="001346AE" w:rsidP="001346AE">
      <w:pPr>
        <w:ind w:left="1170"/>
        <w:jc w:val="both"/>
        <w:rPr>
          <w:lang w:val="en"/>
        </w:rPr>
      </w:pPr>
    </w:p>
    <w:p w14:paraId="357649B9" w14:textId="77777777" w:rsidR="001346AE" w:rsidRPr="00255326" w:rsidRDefault="001346AE" w:rsidP="001346AE">
      <w:pPr>
        <w:ind w:left="1440" w:hanging="270"/>
        <w:jc w:val="both"/>
        <w:rPr>
          <w:lang w:val="en"/>
        </w:rPr>
      </w:pPr>
      <w:r w:rsidRPr="00255326">
        <w:rPr>
          <w:lang w:val="en"/>
        </w:rPr>
        <w:t>5.</w:t>
      </w:r>
      <w:r w:rsidRPr="00255326">
        <w:rPr>
          <w:lang w:val="en"/>
        </w:rPr>
        <w:tab/>
        <w:t>Gains from the alienation of any property, other than that referred to in paragraphs 1 to 4 shall be taxable only in the Contracting State of which the alienator is a resident.</w:t>
      </w:r>
    </w:p>
    <w:p w14:paraId="15F6FB80"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Article 1 provides that the Treaty applies to “residents” of Canada or Luxembourg. Article 4 defines “resident” as persons who are liable to pay tax under </w:t>
      </w:r>
      <w:r w:rsidRPr="00255326">
        <w:rPr>
          <w:rFonts w:cs="Times New Roman"/>
        </w:rPr>
        <w:lastRenderedPageBreak/>
        <w:t>the laws of the state. Article 13 of the Treaty provides for the allocation of the right to tax capital gains between Canada and Luxembourg. Under art. 13(5), the state of residence (here, Luxembourg) retains its jurisdiction to tax capital gains unless the exceptions in art. 13(1) to (4) of the Treaty apply.</w:t>
      </w:r>
    </w:p>
    <w:p w14:paraId="3F1B274E"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Article 13(1) preserves the right of the source state (here, Canada) to tax gains derived from immovable property situated in that state. This exception is reinforced by art. 13(4), which provides that the source state also preserves its right to tax capital gains arising from the disposition of shares the value of which is derived principally from immovable property situated in the source state. Article 13(4) is effectively an anti-avoidance rule: it prevents companies from avoiding source state taxation and thereby contradicting art. 13(1) simply by using a corporate vehicle to hold and sell the immovable property (J. Li and F. Avella, “Article 13: Capital Gains”, in </w:t>
      </w:r>
      <w:r w:rsidRPr="00255326">
        <w:rPr>
          <w:rFonts w:cs="Times New Roman"/>
          <w:i/>
        </w:rPr>
        <w:t>Global Tax Treaty Commentaries</w:t>
      </w:r>
      <w:r w:rsidRPr="00255326">
        <w:rPr>
          <w:rFonts w:cs="Times New Roman"/>
        </w:rPr>
        <w:t>, May 30, 2020 (online),</w:t>
      </w:r>
      <w:r w:rsidRPr="00255326">
        <w:rPr>
          <w:rFonts w:cs="Times New Roman"/>
          <w:i/>
        </w:rPr>
        <w:t xml:space="preserve"> </w:t>
      </w:r>
      <w:r w:rsidRPr="00255326">
        <w:rPr>
          <w:rFonts w:cs="Times New Roman"/>
        </w:rPr>
        <w:t xml:space="preserve">at s. 1.1.2.5; see also </w:t>
      </w:r>
      <w:r>
        <w:rPr>
          <w:rFonts w:cs="Times New Roman"/>
        </w:rPr>
        <w:t>T.C.C.</w:t>
      </w:r>
      <w:r w:rsidRPr="00255326">
        <w:rPr>
          <w:rFonts w:cs="Times New Roman"/>
        </w:rPr>
        <w:t xml:space="preserve"> reasons, at para. 41).</w:t>
      </w:r>
    </w:p>
    <w:p w14:paraId="0FBFB1F5"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Finally, there is a carve-out to the exception set out by art. 13(4), for property in which the company carries on business. Capital gains arising from the disposition of such property will be taxable in the state of residence as such gains fall under the rule provided by art. 13(5). In this case, the Tax Court judge found that the carve-out applies to the disposition of the shares in Alta Canada, which can be taxed by the state of residence (Luxembourg) and not by Canada.</w:t>
      </w:r>
    </w:p>
    <w:p w14:paraId="481AB695"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lastRenderedPageBreak/>
        <w:t>Although the text of art. 13 of the Treaty sets out a clear distributive scheme to allocate taxing rights, it sheds little light on the rationale underlying this allocation. Canada and Luxembourg did not allocate taxing rights at random; there is a logic underlying the distributive scheme set out in art. 13 of the Treaty. It is this rationale that we must identify in order to give effect to the GAAR.</w:t>
      </w:r>
    </w:p>
    <w:p w14:paraId="43DB3CE8" w14:textId="77777777" w:rsidR="001346AE" w:rsidRPr="00255326" w:rsidRDefault="001346AE" w:rsidP="001346AE">
      <w:pPr>
        <w:pStyle w:val="Title4LevelTitre4Niveau"/>
        <w:rPr>
          <w:rFonts w:cs="Times New Roman"/>
        </w:rPr>
      </w:pPr>
      <w:r w:rsidRPr="00255326">
        <w:rPr>
          <w:rFonts w:cs="Times New Roman"/>
        </w:rPr>
        <w:t>Context: Specific Anti-Avoidance Provisions</w:t>
      </w:r>
    </w:p>
    <w:p w14:paraId="4CBC74C2" w14:textId="77777777" w:rsidR="001346AE" w:rsidRPr="00255326" w:rsidRDefault="001346AE" w:rsidP="001346AE">
      <w:pPr>
        <w:pStyle w:val="ParaNoNdepar-AltN"/>
        <w:tabs>
          <w:tab w:val="clear" w:pos="1166"/>
          <w:tab w:val="num" w:pos="1152"/>
        </w:tabs>
        <w:rPr>
          <w:rFonts w:cs="Times New Roman"/>
          <w:shd w:val="clear" w:color="auto" w:fill="FFFFFF"/>
        </w:rPr>
      </w:pPr>
      <w:r w:rsidRPr="00255326">
        <w:rPr>
          <w:rFonts w:cs="Times New Roman"/>
        </w:rPr>
        <w:t>Alta Luxembourg</w:t>
      </w:r>
      <w:r w:rsidRPr="00255326">
        <w:rPr>
          <w:rFonts w:cs="Times New Roman"/>
          <w:shd w:val="clear" w:color="auto" w:fill="FFFFFF"/>
        </w:rPr>
        <w:t xml:space="preserve"> argues that the Crown’s submitted rationale, specifically what it calls a “substantial economic connection test”, has the effect of changing the bargain struck between Canada and Luxembourg. It contends that </w:t>
      </w:r>
      <w:r w:rsidRPr="00255326">
        <w:rPr>
          <w:rFonts w:cs="Times New Roman"/>
        </w:rPr>
        <w:t xml:space="preserve">the </w:t>
      </w:r>
      <w:r w:rsidRPr="00255326">
        <w:rPr>
          <w:rFonts w:cs="Times New Roman"/>
          <w:shd w:val="clear" w:color="auto" w:fill="FFFFFF"/>
        </w:rPr>
        <w:t xml:space="preserve">Crown is seeking to add the unstated condition that a taxpayer must have substantial economic ties to the contracting state of residence in order to qualify as a “resident” under the </w:t>
      </w:r>
      <w:r w:rsidRPr="00255326">
        <w:rPr>
          <w:rFonts w:cs="Times New Roman"/>
        </w:rPr>
        <w:t xml:space="preserve">Treaty. </w:t>
      </w:r>
      <w:r w:rsidRPr="00255326">
        <w:rPr>
          <w:rFonts w:cs="Times New Roman"/>
          <w:shd w:val="clear" w:color="auto" w:fill="FFFFFF"/>
        </w:rPr>
        <w:t>Canada could have negotiated the inclusion of a provision that could have achieved a similar effect but elected not to.</w:t>
      </w:r>
      <w:r w:rsidRPr="00255326">
        <w:rPr>
          <w:rFonts w:cs="Times New Roman"/>
          <w:shd w:val="clear" w:color="auto" w:fill="FFFFFF"/>
          <w:lang w:val="en-US"/>
        </w:rPr>
        <w:t xml:space="preserve"> Specifically, </w:t>
      </w:r>
      <w:r w:rsidRPr="00255326">
        <w:rPr>
          <w:rFonts w:cs="Times New Roman"/>
        </w:rPr>
        <w:t>Alta Luxembourg</w:t>
      </w:r>
      <w:r w:rsidRPr="00255326">
        <w:rPr>
          <w:rFonts w:cs="Times New Roman"/>
          <w:shd w:val="clear" w:color="auto" w:fill="FFFFFF"/>
          <w:lang w:val="en-US"/>
        </w:rPr>
        <w:t xml:space="preserve"> submits that, in negotiating with Luxembourg, Canada chose not to include one — or many</w:t>
      </w:r>
      <w:r w:rsidRPr="00255326">
        <w:rPr>
          <w:rFonts w:cs="Times New Roman"/>
          <w:shd w:val="clear" w:color="auto" w:fill="FFFFFF"/>
        </w:rPr>
        <w:t xml:space="preserve"> — </w:t>
      </w:r>
      <w:r w:rsidRPr="00255326">
        <w:rPr>
          <w:rFonts w:cs="Times New Roman"/>
          <w:shd w:val="clear" w:color="auto" w:fill="FFFFFF"/>
          <w:lang w:val="en-US"/>
        </w:rPr>
        <w:t xml:space="preserve">of the specific anti-avoidance rules discussed in the 1998 OECD “Commentary on Article 1”, in </w:t>
      </w:r>
      <w:r w:rsidRPr="00255326">
        <w:rPr>
          <w:rFonts w:cs="Times New Roman"/>
          <w:i/>
          <w:shd w:val="clear" w:color="auto" w:fill="FFFFFF"/>
          <w:lang w:val="en-US"/>
        </w:rPr>
        <w:t>Model Tax</w:t>
      </w:r>
      <w:r w:rsidRPr="00255326">
        <w:rPr>
          <w:rFonts w:cs="Times New Roman"/>
          <w:shd w:val="clear" w:color="auto" w:fill="FFFFFF"/>
          <w:lang w:val="en-US"/>
        </w:rPr>
        <w:t xml:space="preserve"> </w:t>
      </w:r>
      <w:r w:rsidRPr="00255326">
        <w:rPr>
          <w:rFonts w:cs="Times New Roman"/>
          <w:i/>
          <w:shd w:val="clear" w:color="auto" w:fill="FFFFFF"/>
          <w:lang w:val="en-US"/>
        </w:rPr>
        <w:t>Convention on Income and Capital: Condensed Version</w:t>
      </w:r>
      <w:r w:rsidRPr="00255326">
        <w:rPr>
          <w:rFonts w:cs="Times New Roman"/>
          <w:shd w:val="clear" w:color="auto" w:fill="FFFFFF"/>
        </w:rPr>
        <w:t xml:space="preserve">. Therefore, Alta Luxembourg says, the Minister should not be allowed to rely on the GAAR to deny treaty benefits to an entity meeting the residency requirements outlined in the </w:t>
      </w:r>
      <w:r w:rsidRPr="00255326">
        <w:rPr>
          <w:rFonts w:cs="Times New Roman"/>
        </w:rPr>
        <w:t>Treaty</w:t>
      </w:r>
      <w:r w:rsidRPr="00255326">
        <w:rPr>
          <w:rFonts w:cs="Times New Roman"/>
          <w:shd w:val="clear" w:color="auto" w:fill="FFFFFF"/>
          <w:lang w:val="en-US"/>
        </w:rPr>
        <w:t xml:space="preserve">. </w:t>
      </w:r>
    </w:p>
    <w:p w14:paraId="74D82691" w14:textId="77777777" w:rsidR="001346AE" w:rsidRPr="00255326" w:rsidRDefault="001346AE" w:rsidP="001346AE">
      <w:pPr>
        <w:pStyle w:val="ParaNoNdepar-AltN"/>
        <w:tabs>
          <w:tab w:val="clear" w:pos="1166"/>
          <w:tab w:val="num" w:pos="1152"/>
        </w:tabs>
        <w:rPr>
          <w:rFonts w:cs="Times New Roman"/>
          <w:shd w:val="clear" w:color="auto" w:fill="FFFFFF"/>
        </w:rPr>
      </w:pPr>
      <w:r w:rsidRPr="00255326">
        <w:rPr>
          <w:rFonts w:cs="Times New Roman"/>
          <w:shd w:val="clear" w:color="auto" w:fill="FFFFFF"/>
          <w:lang w:val="en-US"/>
        </w:rPr>
        <w:t xml:space="preserve">This argument must fail as it ignores the very justifications behind the legislative choice to introduce a general anti-avoidance </w:t>
      </w:r>
      <w:r w:rsidRPr="00255326">
        <w:rPr>
          <w:rFonts w:cs="Times New Roman"/>
          <w:shd w:val="clear" w:color="auto" w:fill="FFFFFF"/>
        </w:rPr>
        <w:t xml:space="preserve">provision in a tax system. While there are specific rules that may have permitted the denial of the tax benefits conferred </w:t>
      </w:r>
      <w:r w:rsidRPr="00255326">
        <w:rPr>
          <w:rFonts w:cs="Times New Roman"/>
          <w:shd w:val="clear" w:color="auto" w:fill="FFFFFF"/>
        </w:rPr>
        <w:lastRenderedPageBreak/>
        <w:t xml:space="preserve">here had they been included in the Treaty, it does not follow that the GAAR cannot apply to deny the tax benefit. </w:t>
      </w:r>
    </w:p>
    <w:p w14:paraId="234C7EB1" w14:textId="77777777" w:rsidR="001346AE" w:rsidRPr="00255326" w:rsidRDefault="001346AE" w:rsidP="001346AE">
      <w:pPr>
        <w:pStyle w:val="ParaNoNdepar-AltN"/>
        <w:tabs>
          <w:tab w:val="clear" w:pos="1166"/>
          <w:tab w:val="num" w:pos="1152"/>
        </w:tabs>
        <w:rPr>
          <w:rFonts w:cs="Times New Roman"/>
          <w:shd w:val="clear" w:color="auto" w:fill="FFFFFF"/>
        </w:rPr>
      </w:pPr>
      <w:r w:rsidRPr="00255326">
        <w:rPr>
          <w:rFonts w:cs="Times New Roman"/>
          <w:lang w:val="en-US"/>
        </w:rPr>
        <w:t>S</w:t>
      </w:r>
      <w:r w:rsidRPr="00255326">
        <w:rPr>
          <w:rFonts w:cs="Times New Roman"/>
        </w:rPr>
        <w:t>ince not every tax avoidance strategy can be foreseen, the effectiveness of specific provisions is limited to Parliament’s ability to anticipate such schemes. For this reason, those provisions cannot completely thwart inappropriate tax avoidance (</w:t>
      </w:r>
      <w:r w:rsidRPr="00255326">
        <w:rPr>
          <w:rFonts w:cs="Times New Roman"/>
          <w:lang w:val="x-none"/>
        </w:rPr>
        <w:t xml:space="preserve">Canada, </w:t>
      </w:r>
      <w:r w:rsidRPr="00255326">
        <w:rPr>
          <w:rFonts w:cs="Times New Roman"/>
          <w:i/>
          <w:lang w:val="x-none"/>
        </w:rPr>
        <w:t>Report of the Royal Commission on Taxation</w:t>
      </w:r>
      <w:r w:rsidRPr="00255326">
        <w:rPr>
          <w:rFonts w:cs="Times New Roman"/>
          <w:lang w:val="x-none"/>
        </w:rPr>
        <w:t xml:space="preserve"> (1966),</w:t>
      </w:r>
      <w:r w:rsidRPr="00255326">
        <w:rPr>
          <w:rFonts w:cs="Times New Roman"/>
          <w:i/>
          <w:lang w:val="x-none"/>
        </w:rPr>
        <w:t xml:space="preserve"> </w:t>
      </w:r>
      <w:r w:rsidRPr="00255326">
        <w:rPr>
          <w:rFonts w:cs="Times New Roman"/>
          <w:lang w:val="x-none"/>
        </w:rPr>
        <w:t>vol.</w:t>
      </w:r>
      <w:r w:rsidRPr="00255326">
        <w:rPr>
          <w:rFonts w:cs="Times New Roman"/>
          <w:lang w:val="en-US"/>
        </w:rPr>
        <w:t> </w:t>
      </w:r>
      <w:r w:rsidRPr="00255326">
        <w:rPr>
          <w:rFonts w:cs="Times New Roman"/>
          <w:lang w:val="x-none"/>
        </w:rPr>
        <w:t>3,</w:t>
      </w:r>
      <w:r w:rsidRPr="00255326">
        <w:rPr>
          <w:rFonts w:cs="Times New Roman"/>
        </w:rPr>
        <w:t xml:space="preserve"> at p. 554</w:t>
      </w:r>
      <w:r w:rsidRPr="00255326">
        <w:rPr>
          <w:rFonts w:cs="Times New Roman"/>
          <w:lang w:val="en-US"/>
        </w:rPr>
        <w:t>).</w:t>
      </w:r>
      <w:r w:rsidRPr="00255326">
        <w:rPr>
          <w:rFonts w:cs="Times New Roman"/>
          <w:shd w:val="clear" w:color="auto" w:fill="FFFFFF"/>
        </w:rPr>
        <w:t xml:space="preserve"> Before the inception of the GAAR, the increased use of complex tax avoidance schemes and matching responses to curb them left </w:t>
      </w:r>
      <w:r w:rsidRPr="00255326">
        <w:rPr>
          <w:rFonts w:cs="Times New Roman"/>
          <w:shd w:val="clear" w:color="auto" w:fill="FFFFFF"/>
          <w:lang w:val="en-US"/>
        </w:rPr>
        <w:t>taxpayers with the expectation that</w:t>
      </w:r>
      <w:r w:rsidRPr="00255326">
        <w:rPr>
          <w:rFonts w:cs="Times New Roman"/>
          <w:shd w:val="clear" w:color="auto" w:fill="FFFFFF"/>
          <w:lang w:val="x-none"/>
        </w:rPr>
        <w:t xml:space="preserve"> purely tax-motivated transactions</w:t>
      </w:r>
      <w:r w:rsidRPr="00255326">
        <w:rPr>
          <w:rFonts w:cs="Times New Roman"/>
          <w:shd w:val="clear" w:color="auto" w:fill="FFFFFF"/>
          <w:lang w:val="en-US"/>
        </w:rPr>
        <w:t xml:space="preserve"> that were inconsistent with the rationale of the provisions relied upon</w:t>
      </w:r>
      <w:r w:rsidRPr="00255326">
        <w:rPr>
          <w:rFonts w:cs="Times New Roman"/>
          <w:shd w:val="clear" w:color="auto" w:fill="FFFFFF"/>
          <w:lang w:val="x-none"/>
        </w:rPr>
        <w:t xml:space="preserve"> </w:t>
      </w:r>
      <w:r w:rsidRPr="00255326">
        <w:rPr>
          <w:rFonts w:cs="Times New Roman"/>
          <w:shd w:val="clear" w:color="auto" w:fill="FFFFFF"/>
          <w:lang w:val="en-US"/>
        </w:rPr>
        <w:t>were</w:t>
      </w:r>
      <w:r w:rsidRPr="00255326">
        <w:rPr>
          <w:rFonts w:cs="Times New Roman"/>
          <w:shd w:val="clear" w:color="auto" w:fill="FFFFFF"/>
          <w:lang w:val="x-none"/>
        </w:rPr>
        <w:t xml:space="preserve"> acceptable </w:t>
      </w:r>
      <w:r w:rsidRPr="00255326">
        <w:rPr>
          <w:rFonts w:cs="Times New Roman"/>
          <w:shd w:val="clear" w:color="auto" w:fill="FFFFFF"/>
          <w:lang w:val="en-US"/>
        </w:rPr>
        <w:t>as long as they are not</w:t>
      </w:r>
      <w:r w:rsidRPr="00255326">
        <w:rPr>
          <w:rFonts w:cs="Times New Roman"/>
          <w:shd w:val="clear" w:color="auto" w:fill="FFFFFF"/>
          <w:lang w:val="x-none"/>
        </w:rPr>
        <w:t xml:space="preserve"> </w:t>
      </w:r>
      <w:r w:rsidRPr="00255326">
        <w:rPr>
          <w:rFonts w:cs="Times New Roman"/>
          <w:shd w:val="clear" w:color="auto" w:fill="FFFFFF"/>
          <w:lang w:val="en-US"/>
        </w:rPr>
        <w:t>targeted</w:t>
      </w:r>
      <w:r w:rsidRPr="00255326">
        <w:rPr>
          <w:rFonts w:cs="Times New Roman"/>
          <w:shd w:val="clear" w:color="auto" w:fill="FFFFFF"/>
          <w:lang w:val="x-none"/>
        </w:rPr>
        <w:t xml:space="preserve"> by specific legislation</w:t>
      </w:r>
      <w:r w:rsidRPr="00255326">
        <w:rPr>
          <w:rFonts w:cs="Times New Roman"/>
          <w:shd w:val="clear" w:color="auto" w:fill="FFFFFF"/>
          <w:lang w:val="en-US"/>
        </w:rPr>
        <w:t xml:space="preserve"> (Dodge, at p. 4).</w:t>
      </w:r>
      <w:r w:rsidRPr="00255326">
        <w:rPr>
          <w:rFonts w:cs="Times New Roman"/>
          <w:lang w:val="en-US"/>
        </w:rPr>
        <w:t xml:space="preserve"> Additionally, </w:t>
      </w:r>
      <w:r w:rsidRPr="00255326">
        <w:rPr>
          <w:rFonts w:cs="Times New Roman"/>
          <w:shd w:val="clear" w:color="auto" w:fill="FFFFFF"/>
        </w:rPr>
        <w:t>because legislation is generally prospective, specific anti-avoidance rules permit the early participants in avoidance schemes — those who can afford “the most astute tax advisers” — to enjoy the benefits of those schemes (p. 9). This may result in the loss of significant tax revenues.</w:t>
      </w:r>
    </w:p>
    <w:p w14:paraId="48A50313" w14:textId="77777777" w:rsidR="001346AE" w:rsidRPr="00255326" w:rsidRDefault="001346AE" w:rsidP="001346AE">
      <w:pPr>
        <w:pStyle w:val="ParaNoNdepar-AltN"/>
        <w:tabs>
          <w:tab w:val="clear" w:pos="1166"/>
          <w:tab w:val="num" w:pos="1152"/>
        </w:tabs>
        <w:rPr>
          <w:rFonts w:cs="Times New Roman"/>
          <w:shd w:val="clear" w:color="auto" w:fill="FFFFFF"/>
          <w:lang w:val="en-US"/>
        </w:rPr>
      </w:pPr>
      <w:r w:rsidRPr="00255326">
        <w:rPr>
          <w:rFonts w:cs="Times New Roman"/>
          <w:shd w:val="clear" w:color="auto" w:fill="FFFFFF"/>
          <w:lang w:val="en-US"/>
        </w:rPr>
        <w:t>The GAAR was enacted as a much needed modernization of Canada’s tools against tax avoidance. It was meant to respond appropriately to the proliferation of such complex arrangements and to reduce the burden of having to</w:t>
      </w:r>
      <w:r w:rsidRPr="00255326">
        <w:rPr>
          <w:rFonts w:cs="Times New Roman"/>
          <w:shd w:val="clear" w:color="auto" w:fill="FFFFFF"/>
        </w:rPr>
        <w:t xml:space="preserve"> </w:t>
      </w:r>
      <w:r w:rsidRPr="00255326">
        <w:rPr>
          <w:rFonts w:cs="Times New Roman"/>
          <w:shd w:val="clear" w:color="auto" w:fill="FFFFFF"/>
          <w:lang w:val="en-US"/>
        </w:rPr>
        <w:t>perpetually address</w:t>
      </w:r>
      <w:r w:rsidRPr="00255326">
        <w:rPr>
          <w:rFonts w:cs="Times New Roman"/>
          <w:shd w:val="clear" w:color="auto" w:fill="FFFFFF"/>
        </w:rPr>
        <w:t xml:space="preserve"> abusive </w:t>
      </w:r>
      <w:r w:rsidRPr="00255326">
        <w:rPr>
          <w:rFonts w:cs="Times New Roman"/>
          <w:shd w:val="clear" w:color="auto" w:fill="FFFFFF"/>
          <w:lang w:val="en-US"/>
        </w:rPr>
        <w:t>schemes</w:t>
      </w:r>
      <w:r w:rsidRPr="00255326">
        <w:rPr>
          <w:rFonts w:cs="Times New Roman"/>
          <w:shd w:val="clear" w:color="auto" w:fill="FFFFFF"/>
        </w:rPr>
        <w:t xml:space="preserve"> </w:t>
      </w:r>
      <w:r w:rsidRPr="00255326">
        <w:rPr>
          <w:rFonts w:cs="Times New Roman"/>
          <w:shd w:val="clear" w:color="auto" w:fill="FFFFFF"/>
          <w:lang w:val="en-US"/>
        </w:rPr>
        <w:t>with</w:t>
      </w:r>
      <w:r w:rsidRPr="00255326">
        <w:rPr>
          <w:rFonts w:cs="Times New Roman"/>
          <w:shd w:val="clear" w:color="auto" w:fill="FFFFFF"/>
        </w:rPr>
        <w:t xml:space="preserve"> specific legislation </w:t>
      </w:r>
      <w:r w:rsidRPr="00255326">
        <w:rPr>
          <w:rFonts w:cs="Times New Roman"/>
          <w:shd w:val="clear" w:color="auto" w:fill="FFFFFF"/>
          <w:lang w:val="en-US"/>
        </w:rPr>
        <w:t>matching each newly marketed</w:t>
      </w:r>
      <w:r w:rsidRPr="00255326">
        <w:rPr>
          <w:rFonts w:cs="Times New Roman"/>
          <w:shd w:val="clear" w:color="auto" w:fill="FFFFFF"/>
        </w:rPr>
        <w:t xml:space="preserve"> </w:t>
      </w:r>
      <w:r w:rsidRPr="00255326">
        <w:rPr>
          <w:rFonts w:cs="Times New Roman"/>
          <w:shd w:val="clear" w:color="auto" w:fill="FFFFFF"/>
          <w:lang w:val="en-US"/>
        </w:rPr>
        <w:t>“</w:t>
      </w:r>
      <w:r w:rsidRPr="00255326">
        <w:rPr>
          <w:rFonts w:cs="Times New Roman"/>
          <w:shd w:val="clear" w:color="auto" w:fill="FFFFFF"/>
        </w:rPr>
        <w:t xml:space="preserve">purely tax-motivated scheme” </w:t>
      </w:r>
      <w:r w:rsidRPr="00255326">
        <w:rPr>
          <w:rFonts w:cs="Times New Roman"/>
          <w:shd w:val="clear" w:color="auto" w:fill="FFFFFF"/>
          <w:lang w:val="en-US"/>
        </w:rPr>
        <w:t xml:space="preserve">(Dodge, at pp. 4 and 8). The </w:t>
      </w:r>
      <w:r w:rsidRPr="00255326">
        <w:rPr>
          <w:rFonts w:cs="Times New Roman"/>
          <w:i/>
          <w:shd w:val="clear" w:color="auto" w:fill="FFFFFF"/>
          <w:lang w:val="en-US"/>
        </w:rPr>
        <w:t>Explanatory Notes</w:t>
      </w:r>
      <w:r w:rsidRPr="00255326">
        <w:rPr>
          <w:rFonts w:cs="Times New Roman"/>
          <w:shd w:val="clear" w:color="auto" w:fill="FFFFFF"/>
          <w:lang w:val="en-US"/>
        </w:rPr>
        <w:t xml:space="preserve"> issued with the GAAR stated that it was to apply “as a provision of last resort </w:t>
      </w:r>
      <w:r w:rsidRPr="00255326">
        <w:rPr>
          <w:rFonts w:cs="Times New Roman"/>
          <w:u w:val="single"/>
          <w:shd w:val="clear" w:color="auto" w:fill="FFFFFF"/>
          <w:lang w:val="en-US"/>
        </w:rPr>
        <w:t>after the application of the other provisions of the Act, including specific anti-avoidance measures</w:t>
      </w:r>
      <w:r w:rsidRPr="00255326">
        <w:rPr>
          <w:rFonts w:cs="Times New Roman"/>
          <w:shd w:val="clear" w:color="auto" w:fill="FFFFFF"/>
          <w:lang w:val="en-US"/>
        </w:rPr>
        <w:t>” (</w:t>
      </w:r>
      <w:r w:rsidRPr="00255326">
        <w:rPr>
          <w:rFonts w:eastAsia="Times New Roman" w:cs="Times New Roman"/>
          <w:lang w:val="en-US"/>
        </w:rPr>
        <w:t>Department of Finance</w:t>
      </w:r>
      <w:r w:rsidRPr="00255326">
        <w:rPr>
          <w:rFonts w:cs="Times New Roman"/>
          <w:shd w:val="clear" w:color="auto" w:fill="FFFFFF"/>
          <w:lang w:val="en-US"/>
        </w:rPr>
        <w:t xml:space="preserve"> (1988), at p. 461 (emphasis added)).</w:t>
      </w:r>
    </w:p>
    <w:p w14:paraId="7D73C145" w14:textId="77777777" w:rsidR="001346AE" w:rsidRPr="00255326" w:rsidRDefault="001346AE" w:rsidP="001346AE">
      <w:pPr>
        <w:pStyle w:val="ParaNoNdepar-AltN"/>
        <w:tabs>
          <w:tab w:val="clear" w:pos="1166"/>
          <w:tab w:val="num" w:pos="1152"/>
        </w:tabs>
        <w:rPr>
          <w:rFonts w:cs="Times New Roman"/>
          <w:shd w:val="clear" w:color="auto" w:fill="FFFFFF"/>
          <w:lang w:val="en-US"/>
        </w:rPr>
      </w:pPr>
      <w:r w:rsidRPr="00255326">
        <w:rPr>
          <w:rFonts w:cs="Times New Roman"/>
          <w:lang w:val="en-US"/>
        </w:rPr>
        <w:lastRenderedPageBreak/>
        <w:t xml:space="preserve">Here, </w:t>
      </w:r>
      <w:r w:rsidRPr="00255326">
        <w:rPr>
          <w:rFonts w:cs="Times New Roman"/>
        </w:rPr>
        <w:t xml:space="preserve">Alta Luxembourg’s position essentially amounts to an argument based on the “implied exclusion” rule: if the contracting parties had meant to include an anti-avoidance provision within the Treaty, they would have done so expressly. This very reasoning was unanimously rejected by this Court in </w:t>
      </w:r>
      <w:r w:rsidRPr="00255326">
        <w:rPr>
          <w:rFonts w:cs="Times New Roman"/>
          <w:i/>
        </w:rPr>
        <w:t>Copthorne</w:t>
      </w:r>
      <w:r w:rsidRPr="00255326">
        <w:rPr>
          <w:rFonts w:cs="Times New Roman"/>
        </w:rPr>
        <w:t>.</w:t>
      </w:r>
    </w:p>
    <w:p w14:paraId="5CCA7E4F" w14:textId="77777777" w:rsidR="001346AE" w:rsidRPr="00255326" w:rsidRDefault="001346AE" w:rsidP="001346AE">
      <w:pPr>
        <w:pStyle w:val="ParaNoNdepar-AltN"/>
        <w:tabs>
          <w:tab w:val="clear" w:pos="1166"/>
          <w:tab w:val="num" w:pos="1152"/>
        </w:tabs>
        <w:rPr>
          <w:rFonts w:cs="Times New Roman"/>
          <w:shd w:val="clear" w:color="auto" w:fill="FFFFFF"/>
        </w:rPr>
      </w:pPr>
      <w:r w:rsidRPr="00255326">
        <w:rPr>
          <w:rFonts w:cs="Times New Roman"/>
        </w:rPr>
        <w:t>In that case, a parent and a subsidiary corporations strategically became sister corporations to conduct a horizontal, rather than vertical, amalgamation. This had the effect of increasing the paid-up capital of the shares of the amalgamated corporations compared to the paid-up capital that would have been otherwise available.</w:t>
      </w:r>
      <w:r w:rsidRPr="00255326">
        <w:rPr>
          <w:rFonts w:cs="Times New Roman"/>
          <w:shd w:val="clear" w:color="auto" w:fill="FFFFFF"/>
        </w:rPr>
        <w:t xml:space="preserve"> </w:t>
      </w:r>
      <w:r w:rsidRPr="00255326">
        <w:rPr>
          <w:rFonts w:cs="Times New Roman"/>
        </w:rPr>
        <w:t xml:space="preserve">The taxpayer argued that because </w:t>
      </w:r>
      <w:r w:rsidRPr="00255326">
        <w:rPr>
          <w:rFonts w:cs="Times New Roman"/>
          <w:lang w:val="en-US"/>
        </w:rPr>
        <w:t>its transactions were not caught by the detailed provisions seeking to prevent taxpayers from</w:t>
      </w:r>
      <w:r w:rsidRPr="00255326">
        <w:rPr>
          <w:rFonts w:cs="Times New Roman"/>
        </w:rPr>
        <w:t xml:space="preserve"> inappropriately preserving paid-up capital, no abusive tax avoidance could have resulted. Parliament, the argument went, would have expressly referred to such transactions if it had meant for them to be included under the provisions. This Court rejected this argument.</w:t>
      </w:r>
    </w:p>
    <w:p w14:paraId="5F5C7B7B"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Rothstein J. stated that the implied exclusion argument, while relevant in an exercise of statutory interpretation, does not align with “the nature of a GAAR analysis” and “is misplaced where it relies exclusively on the text of the [paid-up capital] provisions without regard to their underlying rationale” (paras. 109 and 111). He also warned that “[i]f such an approach were accepted, it would be a full response in all GAAR cases, because the actions of a taxpayer will always be permitted by the text of the Act” (para. 111). </w:t>
      </w:r>
    </w:p>
    <w:p w14:paraId="79FA1544"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lastRenderedPageBreak/>
        <w:t>As a result, although the provisions at issue did not impose express limits on the preservation of paid-up capital on a horizontal amalgamation, the GAAR applied to deny the tax benefit. This conclusion was justified because the series of transactions allowed for the preservation of the paid-up capital upon a “horizontal” amalgamation that allowed the taxpayer to obtain tax benefits that would not have been available in a vertical amalgamation, a result contrary to the underlying rationale of the relevant provision (</w:t>
      </w:r>
      <w:r w:rsidRPr="00255326">
        <w:rPr>
          <w:rFonts w:cs="Times New Roman"/>
          <w:i/>
        </w:rPr>
        <w:t>Copthorne</w:t>
      </w:r>
      <w:r w:rsidRPr="00255326">
        <w:rPr>
          <w:rFonts w:cs="Times New Roman"/>
        </w:rPr>
        <w:t>, at para. 126).</w:t>
      </w:r>
    </w:p>
    <w:p w14:paraId="0A0ECE03" w14:textId="77777777" w:rsidR="001346AE" w:rsidRPr="00255326" w:rsidRDefault="001346AE" w:rsidP="001346AE">
      <w:pPr>
        <w:pStyle w:val="ParaNoNdepar-AltN"/>
        <w:tabs>
          <w:tab w:val="clear" w:pos="1166"/>
          <w:tab w:val="num" w:pos="1152"/>
        </w:tabs>
        <w:rPr>
          <w:rFonts w:cs="Times New Roman"/>
          <w:shd w:val="clear" w:color="auto" w:fill="FFFFFF"/>
          <w:lang w:val="en-US"/>
        </w:rPr>
      </w:pPr>
      <w:r w:rsidRPr="00255326">
        <w:rPr>
          <w:rFonts w:cs="Times New Roman"/>
          <w:shd w:val="clear" w:color="auto" w:fill="FFFFFF"/>
          <w:lang w:val="en-US"/>
        </w:rPr>
        <w:t>Moreover</w:t>
      </w:r>
      <w:r w:rsidRPr="00255326">
        <w:rPr>
          <w:rFonts w:cs="Times New Roman"/>
          <w:lang w:val="en-US"/>
        </w:rPr>
        <w:t xml:space="preserve">, relying on </w:t>
      </w:r>
      <w:r w:rsidRPr="00255326">
        <w:rPr>
          <w:rFonts w:cs="Times New Roman"/>
          <w:i/>
          <w:lang w:val="en-US"/>
        </w:rPr>
        <w:t>Prévost</w:t>
      </w:r>
      <w:r w:rsidRPr="00255326">
        <w:rPr>
          <w:rFonts w:cs="Times New Roman"/>
          <w:lang w:val="en-US"/>
        </w:rPr>
        <w:t xml:space="preserve"> </w:t>
      </w:r>
      <w:r w:rsidRPr="00255326">
        <w:rPr>
          <w:rFonts w:cs="Times New Roman"/>
          <w:i/>
          <w:lang w:val="en-US"/>
        </w:rPr>
        <w:t>Car Inc. v. Canada</w:t>
      </w:r>
      <w:r w:rsidRPr="00255326">
        <w:rPr>
          <w:rFonts w:cs="Times New Roman"/>
          <w:lang w:val="en-US"/>
        </w:rPr>
        <w:t xml:space="preserve">, 2009 FCA 57, [2010] 2 F.C.R. 65, to suggest that Canada could have relied on the notion of beneficial ownership to prevent the tax avoidance that took place here is misplaced. </w:t>
      </w:r>
      <w:r w:rsidRPr="00255326">
        <w:rPr>
          <w:rFonts w:cs="Times New Roman"/>
          <w:shd w:val="clear" w:color="auto" w:fill="FFFFFF"/>
          <w:lang w:val="en-US"/>
        </w:rPr>
        <w:t xml:space="preserve">Not only was Canada entitled to rely on the GAAR rather than negotiate a specific anti-avoidance rule in the Treaty, </w:t>
      </w:r>
      <w:r w:rsidRPr="00255326">
        <w:rPr>
          <w:rFonts w:cs="Times New Roman"/>
          <w:szCs w:val="24"/>
        </w:rPr>
        <w:t xml:space="preserve">it is important to note that the provision at issue in that case was art. 10, not art. 13, dealing not with capital gains but with dividends. </w:t>
      </w:r>
    </w:p>
    <w:p w14:paraId="750209C0" w14:textId="77777777" w:rsidR="001346AE" w:rsidRPr="00255326" w:rsidRDefault="001346AE" w:rsidP="001346AE">
      <w:pPr>
        <w:pStyle w:val="ParaNoNdepar-AltN"/>
        <w:tabs>
          <w:tab w:val="clear" w:pos="1166"/>
          <w:tab w:val="num" w:pos="1152"/>
        </w:tabs>
        <w:rPr>
          <w:rFonts w:cs="Times New Roman"/>
        </w:rPr>
      </w:pPr>
      <w:r w:rsidRPr="00255326">
        <w:rPr>
          <w:rFonts w:cs="Times New Roman"/>
          <w:shd w:val="clear" w:color="auto" w:fill="FFFFFF"/>
          <w:lang w:val="en-US"/>
        </w:rPr>
        <w:t>Indeed, b</w:t>
      </w:r>
      <w:r w:rsidRPr="00255326">
        <w:rPr>
          <w:rFonts w:cs="Times New Roman"/>
          <w:shd w:val="clear" w:color="auto" w:fill="FFFFFF"/>
        </w:rPr>
        <w:t xml:space="preserve">eneficial ownership is utterly foreign to art. 13. This notion is relevant to, as noted, art. 10, as well as arts. 11 and 12 of the 2003 OECD “Model Convention with Respect to Taxes on Income and on Capital”, in </w:t>
      </w:r>
      <w:r w:rsidRPr="00255326">
        <w:rPr>
          <w:rFonts w:cs="Times New Roman"/>
          <w:i/>
          <w:shd w:val="clear" w:color="auto" w:fill="FFFFFF"/>
        </w:rPr>
        <w:t>Model Tax Convention on Income and on Capital: Condensed Version</w:t>
      </w:r>
      <w:r w:rsidRPr="00255326">
        <w:rPr>
          <w:rFonts w:cs="Times New Roman"/>
          <w:shd w:val="clear" w:color="auto" w:fill="FFFFFF"/>
        </w:rPr>
        <w:t xml:space="preserve">, dealing respectively with the payment of dividends, interest and royalties. In a </w:t>
      </w:r>
      <w:r w:rsidRPr="00255326">
        <w:rPr>
          <w:rFonts w:cs="Times New Roman"/>
        </w:rPr>
        <w:t xml:space="preserve">paper on whether the concept of beneficial ownership should be extended to arts. 13 and 21 of the 2001 United Nations </w:t>
      </w:r>
      <w:r w:rsidRPr="00255326">
        <w:rPr>
          <w:rFonts w:cs="Times New Roman"/>
          <w:i/>
        </w:rPr>
        <w:t>Model Double Taxation Convention between Developed and Developing Countries</w:t>
      </w:r>
      <w:r w:rsidRPr="00255326">
        <w:rPr>
          <w:rFonts w:cs="Times New Roman"/>
        </w:rPr>
        <w:t>, U.N. Doc. ST/ESA/PAD/SER.E/213 (identical in structure to the OECD “Model Convention”), Professor P. Baker</w:t>
      </w:r>
      <w:r w:rsidRPr="00255326">
        <w:rPr>
          <w:rFonts w:cs="Times New Roman"/>
          <w:shd w:val="clear" w:color="auto" w:fill="FFFFFF"/>
        </w:rPr>
        <w:t xml:space="preserve"> explained, in 2008, that “</w:t>
      </w:r>
      <w:r w:rsidRPr="00255326">
        <w:rPr>
          <w:rFonts w:cs="Times New Roman"/>
        </w:rPr>
        <w:t xml:space="preserve">the inclusion of a beneficial </w:t>
      </w:r>
      <w:r w:rsidRPr="00255326">
        <w:rPr>
          <w:rFonts w:cs="Times New Roman"/>
        </w:rPr>
        <w:lastRenderedPageBreak/>
        <w:t xml:space="preserve">ownership limitation in the capital gains article of specific, bi-lateral conventions is not part of the current treaty practice of any state” and that “[t]here is also </w:t>
      </w:r>
      <w:r w:rsidRPr="00255326">
        <w:rPr>
          <w:rFonts w:cs="Times New Roman"/>
          <w:u w:val="single"/>
        </w:rPr>
        <w:t>something of a conceptual gulf between applying the beneficial ownership concept to items of income — such as dividends, interest and royalties — and applying it to a capital gain</w:t>
      </w:r>
      <w:r w:rsidRPr="00255326">
        <w:rPr>
          <w:rFonts w:cs="Times New Roman"/>
        </w:rPr>
        <w:t>” (</w:t>
      </w:r>
      <w:r w:rsidRPr="00255326">
        <w:rPr>
          <w:rFonts w:cs="Times New Roman"/>
          <w:i/>
        </w:rPr>
        <w:t>The United Nations Model Double Taxation Convention Between Developed and Developing Countries: Possible Extension of the Beneficial Ownership Concept</w:t>
      </w:r>
      <w:r w:rsidRPr="00255326">
        <w:rPr>
          <w:rFonts w:cs="Times New Roman"/>
        </w:rPr>
        <w:t xml:space="preserve">, U.N. Doc. E/C.18/2008/CRP.2/Add.1, Ann., October 17, 2008, at paras. 54-55 (emphasis added)). While Professor Baker did state that the “theoretical differences between a flow of income — as in the case of dividends, interest and royalties — and the effective beneficiary of a capital gain, are not insurmountable”, he then went on to state that “[i]t [was] also worth bearing in mind that </w:t>
      </w:r>
      <w:r w:rsidRPr="00255326">
        <w:rPr>
          <w:rFonts w:cs="Times New Roman"/>
          <w:u w:val="single"/>
        </w:rPr>
        <w:t>there is something of a conflict in legal concepts in recognising that the owner of an asset who disposes of that asset may not be the beneficial owner of the capital gain arising from the asset</w:t>
      </w:r>
      <w:r w:rsidRPr="00255326">
        <w:rPr>
          <w:rFonts w:cs="Times New Roman"/>
        </w:rPr>
        <w:t xml:space="preserve">” (para. 58 (emphasis added)). Further, in a subsequent report, the United Nations’ committee of experts overseeing the subcommittee who had commissioned Professor Baker’s paper concluded that “[t]here was ultimately only limited support for inserting beneficial ownership in article 13” (Committee of Experts on International Cooperation in Tax Matters, </w:t>
      </w:r>
      <w:r w:rsidRPr="00255326">
        <w:rPr>
          <w:rFonts w:cs="Times New Roman"/>
          <w:i/>
        </w:rPr>
        <w:t>Report on the fourth session (20-24 October 2008)</w:t>
      </w:r>
      <w:r w:rsidRPr="00255326">
        <w:rPr>
          <w:rFonts w:cs="Times New Roman"/>
        </w:rPr>
        <w:t xml:space="preserve">, U.N. Doc. E/2008/45 (Supp.), 2008, at para. 46). </w:t>
      </w:r>
    </w:p>
    <w:p w14:paraId="6A3D0196"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But, of more relevance to the present debate, the examples of tax treaty abuse through the use of art. 13 reviewed by Professor Baker involved, as here, transfers of residence before the disposal of an asset. He explained that the introduction of “[a] beneficial ownership limitation would not necessarily counter [these] </w:t>
      </w:r>
      <w:r w:rsidRPr="00255326">
        <w:rPr>
          <w:rFonts w:cs="Times New Roman"/>
        </w:rPr>
        <w:lastRenderedPageBreak/>
        <w:t>transactions” (para. 53). For all these reasons, beneficial</w:t>
      </w:r>
      <w:r w:rsidRPr="00255326">
        <w:rPr>
          <w:rFonts w:cs="Times New Roman"/>
          <w:shd w:val="clear" w:color="auto" w:fill="FFFFFF"/>
        </w:rPr>
        <w:t xml:space="preserve"> ownership would not be an appropriate anti-avoidance tool to curb tax treaty exploitation involving art. 13 dealing with the realization of capital gains. </w:t>
      </w:r>
    </w:p>
    <w:p w14:paraId="4172B4A1" w14:textId="4F014D4D" w:rsidR="001346AE" w:rsidRPr="00255326" w:rsidRDefault="001346AE" w:rsidP="001346AE">
      <w:pPr>
        <w:pStyle w:val="ParaNoNdepar-AltN"/>
        <w:tabs>
          <w:tab w:val="clear" w:pos="1166"/>
          <w:tab w:val="num" w:pos="1152"/>
        </w:tabs>
        <w:rPr>
          <w:rFonts w:cs="Times New Roman"/>
          <w:shd w:val="clear" w:color="auto" w:fill="FFFFFF"/>
          <w:lang w:val="en-US"/>
        </w:rPr>
      </w:pPr>
      <w:r w:rsidRPr="00255326">
        <w:rPr>
          <w:rFonts w:cs="Times New Roman"/>
          <w:shd w:val="clear" w:color="auto" w:fill="FFFFFF"/>
          <w:lang w:val="en-US"/>
        </w:rPr>
        <w:t xml:space="preserve">In sum, </w:t>
      </w:r>
      <w:r w:rsidRPr="00255326">
        <w:rPr>
          <w:rFonts w:cs="Times New Roman"/>
          <w:shd w:val="clear" w:color="auto" w:fill="FFFFFF"/>
        </w:rPr>
        <w:t xml:space="preserve">by Alta Luxembourg’s logic, if the lack of a specific tax-avoidance provision in the </w:t>
      </w:r>
      <w:r w:rsidRPr="00255326">
        <w:rPr>
          <w:rFonts w:cs="Times New Roman"/>
        </w:rPr>
        <w:t xml:space="preserve">Treaty </w:t>
      </w:r>
      <w:r w:rsidRPr="00255326">
        <w:rPr>
          <w:rFonts w:cs="Times New Roman"/>
          <w:shd w:val="clear" w:color="auto" w:fill="FFFFFF"/>
        </w:rPr>
        <w:t xml:space="preserve">is fatal to the Crown’s position, not only would the GAAR be prevented from applying to tax treaties, it would also be prevented from applying in cases of abuse of the Act that are not specifically addressed. In our view, </w:t>
      </w:r>
      <w:r w:rsidRPr="00255326">
        <w:rPr>
          <w:rFonts w:cs="Times New Roman"/>
          <w:shd w:val="clear" w:color="auto" w:fill="FFFFFF"/>
          <w:lang w:val="en-US"/>
        </w:rPr>
        <w:t xml:space="preserve">no inference can be drawn from the absence of an anti-avoidance rule designed to counter the particular scheme employed in this case. To do so would be inconsistent with of the role of the GAAR relative to other anti-avoidance tools. It would also be </w:t>
      </w:r>
      <w:r w:rsidRPr="00255326">
        <w:rPr>
          <w:rFonts w:cs="Times New Roman"/>
          <w:shd w:val="clear" w:color="auto" w:fill="FFFFFF"/>
        </w:rPr>
        <w:t>patently contrary to this Court’s repeated holding that the GAAR is a provision of last resort, and can only find application where no other provisions of the Act do (</w:t>
      </w:r>
      <w:r w:rsidRPr="00255326">
        <w:rPr>
          <w:rFonts w:cs="Times New Roman"/>
          <w:i/>
        </w:rPr>
        <w:t>Canada Trustco</w:t>
      </w:r>
      <w:r w:rsidRPr="00255326">
        <w:rPr>
          <w:rFonts w:cs="Times New Roman"/>
          <w:shd w:val="clear" w:color="auto" w:fill="FFFFFF"/>
        </w:rPr>
        <w:t xml:space="preserve">, at para. 21; </w:t>
      </w:r>
      <w:r w:rsidRPr="00255326">
        <w:rPr>
          <w:rFonts w:cs="Times New Roman"/>
          <w:i/>
          <w:shd w:val="clear" w:color="auto" w:fill="FFFFFF"/>
        </w:rPr>
        <w:t>Copthorne</w:t>
      </w:r>
      <w:r w:rsidRPr="00255326">
        <w:rPr>
          <w:rFonts w:cs="Times New Roman"/>
          <w:shd w:val="clear" w:color="auto" w:fill="FFFFFF"/>
        </w:rPr>
        <w:t xml:space="preserve">, at para. 66). </w:t>
      </w:r>
      <w:r w:rsidRPr="00255326">
        <w:rPr>
          <w:rFonts w:cs="Times New Roman"/>
        </w:rPr>
        <w:t>Thus, the absence of specific anti-avoidance rule</w:t>
      </w:r>
      <w:r w:rsidR="007E4B3F">
        <w:rPr>
          <w:rFonts w:cs="Times New Roman"/>
        </w:rPr>
        <w:t>s</w:t>
      </w:r>
      <w:bookmarkStart w:id="51" w:name="_GoBack"/>
      <w:bookmarkEnd w:id="51"/>
      <w:r w:rsidRPr="00255326">
        <w:rPr>
          <w:rFonts w:cs="Times New Roman"/>
        </w:rPr>
        <w:t xml:space="preserve"> in the relevant provisions of the Treaty sheds little light on their underlying rationale.</w:t>
      </w:r>
    </w:p>
    <w:p w14:paraId="688855DC" w14:textId="77777777" w:rsidR="001346AE" w:rsidRPr="00255326" w:rsidRDefault="001346AE" w:rsidP="001346AE">
      <w:pPr>
        <w:pStyle w:val="Title4LevelTitre4Niveau"/>
        <w:rPr>
          <w:rFonts w:cs="Times New Roman"/>
        </w:rPr>
      </w:pPr>
      <w:r w:rsidRPr="00255326">
        <w:rPr>
          <w:rFonts w:cs="Times New Roman"/>
        </w:rPr>
        <w:t>The Purpose of the Relevant Provisions: Economic Allegiance Underlies the Distributive Scheme</w:t>
      </w:r>
    </w:p>
    <w:p w14:paraId="5152BCCD"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The Treaty, like other bilateral tax treaties, allocates the right to tax between contracting states so as to avoid double taxation (</w:t>
      </w:r>
      <w:r w:rsidRPr="00255326">
        <w:rPr>
          <w:rFonts w:eastAsia="Times New Roman" w:cs="Times New Roman"/>
          <w:lang w:val="en-US" w:bidi="en-US"/>
        </w:rPr>
        <w:t>E. C. C. M. Kemmeren,</w:t>
      </w:r>
      <w:r w:rsidRPr="00255326">
        <w:rPr>
          <w:rFonts w:eastAsia="Times New Roman" w:cs="Times New Roman"/>
          <w:lang w:val="x-none" w:bidi="en-US"/>
        </w:rPr>
        <w:t xml:space="preserve"> “Legal and Economic Principles Support </w:t>
      </w:r>
      <w:r w:rsidRPr="00255326">
        <w:rPr>
          <w:rFonts w:eastAsia="Times New Roman" w:cs="Times New Roman"/>
          <w:lang w:val="en-US" w:bidi="en-US"/>
        </w:rPr>
        <w:t xml:space="preserve">an </w:t>
      </w:r>
      <w:r w:rsidRPr="00255326">
        <w:rPr>
          <w:rFonts w:eastAsia="Times New Roman" w:cs="Times New Roman"/>
          <w:lang w:val="x-none" w:bidi="en-US"/>
        </w:rPr>
        <w:t>Origin and Import</w:t>
      </w:r>
      <w:r w:rsidRPr="00255326">
        <w:rPr>
          <w:rFonts w:eastAsia="Times New Roman" w:cs="Times New Roman"/>
          <w:lang w:val="en-US" w:bidi="en-US"/>
        </w:rPr>
        <w:t xml:space="preserve"> </w:t>
      </w:r>
      <w:r w:rsidRPr="00255326">
        <w:rPr>
          <w:rFonts w:eastAsia="Times New Roman" w:cs="Times New Roman"/>
          <w:lang w:val="x-none" w:bidi="en-US"/>
        </w:rPr>
        <w:t>Neutrality-Based over a Residence and Export Neutrality</w:t>
      </w:r>
      <w:r w:rsidRPr="00255326">
        <w:rPr>
          <w:rFonts w:eastAsia="Times New Roman" w:cs="Times New Roman"/>
          <w:lang w:val="en-US" w:bidi="en-US"/>
        </w:rPr>
        <w:t>-</w:t>
      </w:r>
      <w:r w:rsidRPr="00255326">
        <w:rPr>
          <w:rFonts w:eastAsia="Times New Roman" w:cs="Times New Roman"/>
          <w:lang w:val="x-none" w:bidi="en-US"/>
        </w:rPr>
        <w:t>Based Tax Treaty Policy”, in</w:t>
      </w:r>
      <w:r w:rsidRPr="00255326">
        <w:rPr>
          <w:rFonts w:eastAsia="Times New Roman" w:cs="Times New Roman"/>
          <w:lang w:val="en-US" w:bidi="en-US"/>
        </w:rPr>
        <w:t xml:space="preserve"> </w:t>
      </w:r>
      <w:r w:rsidRPr="00255326">
        <w:rPr>
          <w:rFonts w:eastAsia="Times New Roman" w:cs="Times New Roman"/>
          <w:lang w:val="x-none" w:bidi="en-US"/>
        </w:rPr>
        <w:t>M</w:t>
      </w:r>
      <w:r w:rsidRPr="00255326">
        <w:rPr>
          <w:rFonts w:eastAsia="Times New Roman" w:cs="Times New Roman"/>
          <w:lang w:val="en-US" w:bidi="en-US"/>
        </w:rPr>
        <w:t>. </w:t>
      </w:r>
      <w:r w:rsidRPr="00255326">
        <w:rPr>
          <w:rFonts w:eastAsia="Times New Roman" w:cs="Times New Roman"/>
          <w:lang w:val="x-none" w:bidi="en-US"/>
        </w:rPr>
        <w:t>Lang et al</w:t>
      </w:r>
      <w:r w:rsidRPr="00255326">
        <w:rPr>
          <w:rFonts w:eastAsia="Times New Roman" w:cs="Times New Roman"/>
          <w:lang w:val="en-US" w:bidi="en-US"/>
        </w:rPr>
        <w:t>.,</w:t>
      </w:r>
      <w:r w:rsidRPr="00255326">
        <w:rPr>
          <w:rFonts w:eastAsia="Times New Roman" w:cs="Times New Roman"/>
          <w:i/>
          <w:lang w:val="x-none" w:bidi="en-US"/>
        </w:rPr>
        <w:t xml:space="preserve"> </w:t>
      </w:r>
      <w:r w:rsidRPr="00255326">
        <w:rPr>
          <w:rFonts w:eastAsia="Times New Roman" w:cs="Times New Roman"/>
          <w:lang w:val="x-none" w:bidi="en-US"/>
        </w:rPr>
        <w:t>eds</w:t>
      </w:r>
      <w:r w:rsidRPr="00255326">
        <w:rPr>
          <w:rFonts w:eastAsia="Times New Roman" w:cs="Times New Roman"/>
          <w:lang w:val="en-US" w:bidi="en-US"/>
        </w:rPr>
        <w:t>.</w:t>
      </w:r>
      <w:r w:rsidRPr="00255326">
        <w:rPr>
          <w:rFonts w:eastAsia="Times New Roman" w:cs="Times New Roman"/>
          <w:lang w:val="x-none" w:bidi="en-US"/>
        </w:rPr>
        <w:t xml:space="preserve">, </w:t>
      </w:r>
      <w:r w:rsidRPr="00255326">
        <w:rPr>
          <w:rFonts w:eastAsia="Times New Roman" w:cs="Times New Roman"/>
          <w:i/>
          <w:lang w:val="x-none" w:bidi="en-US"/>
        </w:rPr>
        <w:t xml:space="preserve">Tax Treaties: Building Bridges </w:t>
      </w:r>
      <w:r w:rsidRPr="00255326">
        <w:rPr>
          <w:rFonts w:eastAsia="Times New Roman" w:cs="Times New Roman"/>
          <w:i/>
          <w:lang w:val="en-US" w:bidi="en-US"/>
        </w:rPr>
        <w:t>b</w:t>
      </w:r>
      <w:r w:rsidRPr="00255326">
        <w:rPr>
          <w:rFonts w:eastAsia="Times New Roman" w:cs="Times New Roman"/>
          <w:i/>
          <w:lang w:val="x-none" w:bidi="en-US"/>
        </w:rPr>
        <w:t xml:space="preserve">etween Law and Economics </w:t>
      </w:r>
      <w:r w:rsidRPr="00255326">
        <w:rPr>
          <w:rFonts w:eastAsia="Times New Roman" w:cs="Times New Roman"/>
          <w:lang w:val="en-US" w:bidi="en-US"/>
        </w:rPr>
        <w:t>(</w:t>
      </w:r>
      <w:r w:rsidRPr="00255326">
        <w:rPr>
          <w:rFonts w:eastAsia="Times New Roman" w:cs="Times New Roman"/>
          <w:lang w:val="x-none" w:bidi="en-US"/>
        </w:rPr>
        <w:t>2010</w:t>
      </w:r>
      <w:r w:rsidRPr="00255326">
        <w:rPr>
          <w:rFonts w:eastAsia="Times New Roman" w:cs="Times New Roman"/>
          <w:lang w:val="en-US" w:bidi="en-US"/>
        </w:rPr>
        <w:t>), 237</w:t>
      </w:r>
      <w:r w:rsidRPr="00255326">
        <w:rPr>
          <w:rFonts w:eastAsia="Times New Roman" w:cs="Times New Roman"/>
          <w:lang w:val="x-none" w:bidi="en-US"/>
        </w:rPr>
        <w:t>,</w:t>
      </w:r>
      <w:r w:rsidRPr="00255326">
        <w:rPr>
          <w:rFonts w:eastAsia="Times New Roman" w:cs="Times New Roman"/>
          <w:lang w:val="en-US" w:bidi="en-US"/>
        </w:rPr>
        <w:t xml:space="preserve"> at pp. 239 and 243</w:t>
      </w:r>
      <w:r w:rsidRPr="00255326">
        <w:rPr>
          <w:rFonts w:cs="Times New Roman"/>
        </w:rPr>
        <w:t xml:space="preserve">; K. Vogel, “Double Tax Treaties and Their Interpretation” (1986), 4 </w:t>
      </w:r>
      <w:r w:rsidRPr="00255326">
        <w:rPr>
          <w:rFonts w:cs="Times New Roman"/>
          <w:i/>
        </w:rPr>
        <w:t xml:space="preserve">Int’l Tax </w:t>
      </w:r>
      <w:r w:rsidRPr="00255326">
        <w:rPr>
          <w:rFonts w:cs="Times New Roman"/>
          <w:i/>
        </w:rPr>
        <w:lastRenderedPageBreak/>
        <w:t>&amp; Bus. Law.</w:t>
      </w:r>
      <w:r w:rsidRPr="00255326">
        <w:rPr>
          <w:rFonts w:cs="Times New Roman"/>
        </w:rPr>
        <w:t xml:space="preserve"> 1, at pp. 8 and 22</w:t>
      </w:r>
      <w:r w:rsidRPr="00255326">
        <w:rPr>
          <w:rFonts w:eastAsia="Times New Roman" w:cs="Times New Roman"/>
          <w:lang w:val="en-US" w:bidi="en-US"/>
        </w:rPr>
        <w:t xml:space="preserve">; </w:t>
      </w:r>
      <w:r w:rsidRPr="00255326">
        <w:rPr>
          <w:rFonts w:cs="Times New Roman"/>
          <w:i/>
        </w:rPr>
        <w:t xml:space="preserve">Crown Forest </w:t>
      </w:r>
      <w:r w:rsidRPr="00255326">
        <w:rPr>
          <w:rFonts w:cs="Times New Roman"/>
          <w:i/>
          <w:spacing w:val="-3"/>
          <w:shd w:val="clear" w:color="auto" w:fill="FFFFFF"/>
        </w:rPr>
        <w:t xml:space="preserve">Industries Ltd. </w:t>
      </w:r>
      <w:r w:rsidRPr="00255326">
        <w:rPr>
          <w:rFonts w:cs="Times New Roman"/>
          <w:i/>
          <w:iCs/>
          <w:spacing w:val="-3"/>
          <w:shd w:val="clear" w:color="auto" w:fill="FFFFFF"/>
        </w:rPr>
        <w:t>v</w:t>
      </w:r>
      <w:r w:rsidRPr="00255326">
        <w:rPr>
          <w:rFonts w:cs="Times New Roman"/>
          <w:i/>
          <w:spacing w:val="-3"/>
          <w:shd w:val="clear" w:color="auto" w:fill="FFFFFF"/>
        </w:rPr>
        <w:t>. Canada</w:t>
      </w:r>
      <w:r w:rsidRPr="00255326">
        <w:rPr>
          <w:rFonts w:cs="Times New Roman"/>
          <w:spacing w:val="-3"/>
          <w:shd w:val="clear" w:color="auto" w:fill="FFFFFF"/>
        </w:rPr>
        <w:t xml:space="preserve">, </w:t>
      </w:r>
      <w:r w:rsidRPr="00255326">
        <w:rPr>
          <w:rFonts w:cs="Times New Roman"/>
          <w:spacing w:val="-3"/>
        </w:rPr>
        <w:t>[1995] 2 S.C.R. 802</w:t>
      </w:r>
      <w:r w:rsidRPr="00255326">
        <w:rPr>
          <w:rFonts w:cs="Times New Roman"/>
        </w:rPr>
        <w:t>, at para. 46</w:t>
      </w:r>
      <w:r w:rsidRPr="00255326">
        <w:rPr>
          <w:rFonts w:eastAsia="Times New Roman" w:cs="Times New Roman"/>
          <w:lang w:val="en-US" w:bidi="en-US"/>
        </w:rPr>
        <w:t>)</w:t>
      </w:r>
      <w:r w:rsidRPr="00255326">
        <w:rPr>
          <w:rFonts w:cs="Times New Roman"/>
        </w:rPr>
        <w:t>. The allocation of taxing powers follows the theory of “economic allegiance”, under which an economic connection between t</w:t>
      </w:r>
      <w:r>
        <w:rPr>
          <w:rFonts w:cs="Times New Roman"/>
        </w:rPr>
        <w:t xml:space="preserve">he state and the taxpayer </w:t>
      </w:r>
      <w:r w:rsidRPr="00255326">
        <w:rPr>
          <w:rFonts w:cs="Times New Roman"/>
        </w:rPr>
        <w:t xml:space="preserve">serves as the basis of taxation (Li and Avella, at s. 1.1.2.1, referring to League of Nations, Economic and Financial Commission, </w:t>
      </w:r>
      <w:r w:rsidRPr="00255326">
        <w:rPr>
          <w:rFonts w:cs="Times New Roman"/>
          <w:i/>
        </w:rPr>
        <w:t>Report on Double Taxation Submitted to the Financial Committee</w:t>
      </w:r>
      <w:r w:rsidRPr="00255326">
        <w:rPr>
          <w:rFonts w:cs="Times New Roman"/>
        </w:rPr>
        <w:t xml:space="preserve"> (1923)). This means that taxes should be paid on income where it has the strongest “economic interests” or ties, either in the state of residence or the source state. </w:t>
      </w:r>
    </w:p>
    <w:p w14:paraId="6E21E32E"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The theory of economic allegiance explains why arts. 1 and 4 provide that beneficiaries of the Treaty are the residents of either state. Contracting states extend the benefits of the tax treaties only to their residents (that is, persons liable to pay tax in their state) because residence is an appropriate criterion to ensure that the treaty will “cover only persons who had an economic allegiance to one or both of the contracting states” (P. J. Hattingh, “Article 1 of the OECD Model: Historical Background and the Issues Surrounding It” (2003), 57 </w:t>
      </w:r>
      <w:r w:rsidRPr="00255326">
        <w:rPr>
          <w:rFonts w:cs="Times New Roman"/>
          <w:i/>
        </w:rPr>
        <w:t>Bull. Int’l Fisc. Doc.</w:t>
      </w:r>
      <w:r w:rsidRPr="00255326">
        <w:rPr>
          <w:rFonts w:cs="Times New Roman"/>
        </w:rPr>
        <w:t xml:space="preserve"> 215, at p. 221). </w:t>
      </w:r>
    </w:p>
    <w:p w14:paraId="25154C55"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Following the theory of economic allegiance, active income is generally taxable in the source country (where the income is earned) while passive income is taxed primarily in the residence country (J. Li and A. Cockfield, with J. S. Wilkie, </w:t>
      </w:r>
      <w:r w:rsidRPr="00255326">
        <w:rPr>
          <w:rFonts w:cs="Times New Roman"/>
          <w:i/>
        </w:rPr>
        <w:t>International Taxation in Canada: Principles and Practices</w:t>
      </w:r>
      <w:r w:rsidRPr="00255326">
        <w:rPr>
          <w:rFonts w:cs="Times New Roman"/>
        </w:rPr>
        <w:t xml:space="preserve"> (4th ed. 2018), at pp. 46-47).</w:t>
      </w:r>
    </w:p>
    <w:p w14:paraId="3D1E0CA8"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lastRenderedPageBreak/>
        <w:t xml:space="preserve">While capital gains “do not fit nicely in either ‘active income’ or ‘passive income’” (J. Li, A. Cockfield and J. S. Wilkie, </w:t>
      </w:r>
      <w:r w:rsidRPr="00255326">
        <w:rPr>
          <w:rFonts w:cs="Times New Roman"/>
          <w:i/>
        </w:rPr>
        <w:t>International Taxation in Canada: Principles and Practices</w:t>
      </w:r>
      <w:r w:rsidRPr="00255326">
        <w:rPr>
          <w:rFonts w:cs="Times New Roman"/>
        </w:rPr>
        <w:t xml:space="preserve"> (2nd ed. 2011), at p. 44), nonetheless the distributive scheme of art. 13 reflects, as well, the theory of economic allegiance (Li and Avella, at s. 1.1.2.1). Depending on where the economic connection is stronger, the right to tax the capital gain will be allocated to either the source state or the residence state. As a general rule, residence is taken to indicate the state to which economic ties are closest. </w:t>
      </w:r>
      <w:r w:rsidRPr="00255326">
        <w:rPr>
          <w:rFonts w:cs="Times New Roman"/>
          <w:lang w:val="en"/>
        </w:rPr>
        <w:t>The state of residence is typically where “capital is accumulated and consumed” (</w:t>
      </w:r>
      <w:r w:rsidRPr="00255326">
        <w:rPr>
          <w:rFonts w:cs="Times New Roman"/>
          <w:i/>
          <w:lang w:val="en"/>
        </w:rPr>
        <w:t>ibid.</w:t>
      </w:r>
      <w:r w:rsidRPr="00255326">
        <w:rPr>
          <w:rFonts w:cs="Times New Roman"/>
        </w:rPr>
        <w:t>), so it has the greater claim to tax. As Professor Krishna explains, “[t]he obligation to pay tax based on residence derives from the principle that persons who benefit from their economic and social affiliation with a country have an obligation to contribute to its public finances” (</w:t>
      </w:r>
      <w:r w:rsidRPr="00255326">
        <w:rPr>
          <w:rFonts w:cs="Times New Roman"/>
          <w:i/>
        </w:rPr>
        <w:t>Fundamentals of Canadian Income Tax</w:t>
      </w:r>
      <w:r w:rsidRPr="00255326">
        <w:rPr>
          <w:rFonts w:cs="Times New Roman"/>
        </w:rPr>
        <w:t xml:space="preserve"> (2nd ed. 2019), vol. 1, at p. 103).</w:t>
      </w:r>
    </w:p>
    <w:p w14:paraId="44D85037"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Article 13(5) of the Treaty reflects this principle: with certain exceptions, c</w:t>
      </w:r>
      <w:r w:rsidRPr="00255326">
        <w:rPr>
          <w:rFonts w:cs="Times New Roman"/>
          <w:lang w:val="en"/>
        </w:rPr>
        <w:t xml:space="preserve">apital gains are taxable only in the state in which the taxpayer is a resident, because residence connotes this close connection. </w:t>
      </w:r>
    </w:p>
    <w:p w14:paraId="398A16E3"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Gains deriving from immovable property form part of such an exception (see, generally, art. 13(1) and (4)). In relation to immovable property, the capital gain is generally connected predominantly to the </w:t>
      </w:r>
      <w:r w:rsidRPr="00255326">
        <w:rPr>
          <w:rFonts w:cs="Times New Roman"/>
          <w:i/>
        </w:rPr>
        <w:t>situs</w:t>
      </w:r>
      <w:r w:rsidRPr="00255326">
        <w:rPr>
          <w:rFonts w:cs="Times New Roman"/>
        </w:rPr>
        <w:t xml:space="preserve"> of the property, which justifies allocating taxing rights to the source state. The rationale behind source taxation is that “a person who receives income from a person or property situated in a state has such a close relation with the state where the person or property is </w:t>
      </w:r>
      <w:r w:rsidRPr="00255326">
        <w:rPr>
          <w:rFonts w:cs="Times New Roman"/>
          <w:i/>
        </w:rPr>
        <w:t>physically</w:t>
      </w:r>
      <w:r w:rsidRPr="00255326">
        <w:rPr>
          <w:rFonts w:cs="Times New Roman"/>
        </w:rPr>
        <w:t xml:space="preserve"> located that an </w:t>
      </w:r>
      <w:r w:rsidRPr="00255326">
        <w:rPr>
          <w:rFonts w:cs="Times New Roman"/>
        </w:rPr>
        <w:lastRenderedPageBreak/>
        <w:t>obligation to support that state is justified on grounds of the relationship” (</w:t>
      </w:r>
      <w:r w:rsidRPr="00255326">
        <w:rPr>
          <w:rFonts w:eastAsia="Times New Roman" w:cs="Times New Roman"/>
          <w:lang w:val="en-US" w:bidi="en-US"/>
        </w:rPr>
        <w:t>Kemmeren,</w:t>
      </w:r>
      <w:r w:rsidRPr="00255326">
        <w:rPr>
          <w:rFonts w:cs="Times New Roman"/>
        </w:rPr>
        <w:t xml:space="preserve"> at p. 262 (emphasis in original)</w:t>
      </w:r>
      <w:r w:rsidRPr="00255326">
        <w:rPr>
          <w:rFonts w:cs="Times New Roman"/>
          <w:lang w:val="en-US"/>
        </w:rPr>
        <w:t>;</w:t>
      </w:r>
      <w:r w:rsidRPr="00255326">
        <w:rPr>
          <w:rFonts w:cs="Times New Roman"/>
        </w:rPr>
        <w:t xml:space="preserve"> see also </w:t>
      </w:r>
      <w:r w:rsidRPr="00255326">
        <w:rPr>
          <w:rFonts w:cs="Times New Roman"/>
          <w:lang w:val="en-US"/>
        </w:rPr>
        <w:t xml:space="preserve">A. Christians and N. Benoît-Guay, “Status and Structure of Tax Treaties”, in J.-P. Vidal, ed., </w:t>
      </w:r>
      <w:r w:rsidRPr="00255326">
        <w:rPr>
          <w:rFonts w:cs="Times New Roman"/>
          <w:i/>
          <w:lang w:val="en-US"/>
        </w:rPr>
        <w:t>Introduction to International Tax in Canada</w:t>
      </w:r>
      <w:r w:rsidRPr="00255326">
        <w:rPr>
          <w:rFonts w:cs="Times New Roman"/>
          <w:lang w:val="en-US"/>
        </w:rPr>
        <w:t xml:space="preserve"> (9th ed. 2021), at p. 4/14 to 4/15</w:t>
      </w:r>
      <w:r w:rsidRPr="00255326">
        <w:rPr>
          <w:rFonts w:cs="Times New Roman"/>
        </w:rPr>
        <w:t xml:space="preserve">). This principle explains why art. 13(1) and (4) allocates to the source state the right to tax gains derived directly or indirectly from immovable property situated in that state (Li and Avella, at ss. 1.1.2.1 and 1.1.2.5; OECD, “Commentary on Article 13”, in </w:t>
      </w:r>
      <w:r w:rsidRPr="00255326">
        <w:rPr>
          <w:rFonts w:cs="Times New Roman"/>
          <w:i/>
        </w:rPr>
        <w:t>Model Tax Convention on Income and on Capital: Condensed Version</w:t>
      </w:r>
      <w:r w:rsidRPr="00255326">
        <w:rPr>
          <w:rFonts w:cs="Times New Roman"/>
        </w:rPr>
        <w:t xml:space="preserve"> (2017) (“2017 Commentary”), at para. 4; S. Simontacchi, </w:t>
      </w:r>
      <w:r w:rsidRPr="00255326">
        <w:rPr>
          <w:rFonts w:cs="Times New Roman"/>
          <w:i/>
          <w:iCs/>
        </w:rPr>
        <w:t xml:space="preserve">Taxation of Capital Gains under the OECD Model Convention: With special regard to Immovable Property </w:t>
      </w:r>
      <w:r w:rsidRPr="00255326">
        <w:rPr>
          <w:rFonts w:cs="Times New Roman"/>
          <w:iCs/>
        </w:rPr>
        <w:t>(</w:t>
      </w:r>
      <w:r w:rsidRPr="00255326">
        <w:rPr>
          <w:rFonts w:cs="Times New Roman"/>
        </w:rPr>
        <w:t>2007), vol. 29, at p. 201).</w:t>
      </w:r>
    </w:p>
    <w:p w14:paraId="019CD231" w14:textId="77777777" w:rsidR="001346AE" w:rsidRPr="00255326" w:rsidRDefault="001346AE" w:rsidP="001346AE">
      <w:pPr>
        <w:pStyle w:val="ParaNoNdepar-AltN"/>
        <w:tabs>
          <w:tab w:val="clear" w:pos="1166"/>
          <w:tab w:val="num" w:pos="1152"/>
        </w:tabs>
        <w:rPr>
          <w:rFonts w:cs="Times New Roman"/>
          <w:lang w:val="en-US"/>
        </w:rPr>
      </w:pPr>
      <w:r w:rsidRPr="00255326">
        <w:rPr>
          <w:rFonts w:cs="Times New Roman"/>
        </w:rPr>
        <w:t xml:space="preserve">Finally, the carve-out of art. 13(4) allocates the taxing right to the state of residence for its residents’ capital gains from immovable property when it is driven by business activity, to reflect what Canada and Luxembourg considered to be closer economic ties with the residence state. </w:t>
      </w:r>
      <w:r w:rsidRPr="00255326">
        <w:rPr>
          <w:rFonts w:cs="Times New Roman"/>
          <w:lang w:val="en-US"/>
        </w:rPr>
        <w:t xml:space="preserve">“The rationale underlying this carve-out is that where a non-resident </w:t>
      </w:r>
      <w:r w:rsidRPr="00255326">
        <w:rPr>
          <w:rFonts w:cs="Times New Roman"/>
          <w:u w:val="single"/>
        </w:rPr>
        <w:t>actively</w:t>
      </w:r>
      <w:r w:rsidRPr="00255326">
        <w:rPr>
          <w:rFonts w:cs="Times New Roman"/>
          <w:lang w:val="en-US"/>
        </w:rPr>
        <w:t xml:space="preserve"> invests in immovable property situated in the source country, tax should be levied in the residence country” (Christians and Benoît-Guay, at p. 4/15 (emphasis added)). When business is carried on in an immovable property, the business activity — rather than the immovable property itself — drives value. </w:t>
      </w:r>
      <w:r w:rsidRPr="00255326">
        <w:rPr>
          <w:rFonts w:cs="Times New Roman"/>
        </w:rPr>
        <w:t>Accordingly, the economic justification for source state taxation is weaker.</w:t>
      </w:r>
    </w:p>
    <w:p w14:paraId="78385F77"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It is worth recalling that art. 13(4) is intended to prevent taxpayers from circumventing source state taxation (art. 13(1)) by interposing a company to alienate immovable property. This justification for source state taxation is weaker when the </w:t>
      </w:r>
      <w:r w:rsidRPr="00255326">
        <w:rPr>
          <w:rFonts w:cs="Times New Roman"/>
        </w:rPr>
        <w:lastRenderedPageBreak/>
        <w:t xml:space="preserve">company carries on a business in the immovable property because “the assumption that a corporate veil has been interposed between the shareholder and the immovable property is questionable, and equating the alienation of shares in the company to the alienation of the underlying immovable property does not seem tenable” (S. Simontacchi, “Immovable Property Companies as Defined in Article 13(4) of the OECD Model” (2006), 60 </w:t>
      </w:r>
      <w:r w:rsidRPr="00255326">
        <w:rPr>
          <w:rFonts w:cs="Times New Roman"/>
          <w:i/>
        </w:rPr>
        <w:t>Bull. Int’l Tax’n</w:t>
      </w:r>
      <w:r w:rsidRPr="00255326">
        <w:rPr>
          <w:rFonts w:cs="Times New Roman"/>
        </w:rPr>
        <w:t xml:space="preserve"> 29, at p. 31). </w:t>
      </w:r>
    </w:p>
    <w:p w14:paraId="25B344E1"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The carve-out is not in the 2017 OECD “Model Convention”, but it is contemplated by the OECD’s commentaries as an option for contracting parties who want to allocate taxing rights to the residence state for immovable properties such as mines and hotels (2017 Commentary, at paras. 28.5-28.7). As a result, we agree with the Tax Court that one of the purposes of the carve-out is “to encourage investments by Luxembourg residents in Immovable Property acquired to be used in a company’s business” (para. 43).</w:t>
      </w:r>
    </w:p>
    <w:p w14:paraId="69663949"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Relying on </w:t>
      </w:r>
      <w:r w:rsidRPr="00255326">
        <w:rPr>
          <w:rFonts w:cs="Times New Roman"/>
          <w:i/>
        </w:rPr>
        <w:t>Fundy Settlement v. Canada</w:t>
      </w:r>
      <w:r w:rsidRPr="00255326">
        <w:rPr>
          <w:rFonts w:cs="Times New Roman"/>
        </w:rPr>
        <w:t>, 2010 FCA 309, [2012] 2 F.C.R. 374, the Federal Court of Appeal rejected the theory of “economic allegiance” as the rationale underlying art. 13(4) of the Treaty because “[t]here is no distinction in the Luxembourg Convention between residents with strong economic or commercial ties and those with weak or no commercial or economic ties” (</w:t>
      </w:r>
      <w:r w:rsidRPr="00255326">
        <w:rPr>
          <w:rFonts w:cs="Times New Roman"/>
          <w:i/>
        </w:rPr>
        <w:t>R. v. MIL (Investments) S.A.</w:t>
      </w:r>
      <w:r w:rsidRPr="00255326">
        <w:rPr>
          <w:rFonts w:cs="Times New Roman"/>
        </w:rPr>
        <w:t>, 2007 FCA 236, [2007] 4 C.T.C. 235 (“</w:t>
      </w:r>
      <w:r w:rsidRPr="00255326">
        <w:rPr>
          <w:rFonts w:cs="Times New Roman"/>
          <w:i/>
        </w:rPr>
        <w:t xml:space="preserve">MIL </w:t>
      </w:r>
      <w:r w:rsidRPr="00255326">
        <w:rPr>
          <w:rFonts w:cs="Times New Roman"/>
        </w:rPr>
        <w:t xml:space="preserve">(FCA)”), at para. 6). </w:t>
      </w:r>
    </w:p>
    <w:p w14:paraId="11B0A5A6"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In our view, the reasoning adopted in </w:t>
      </w:r>
      <w:r w:rsidRPr="00255326">
        <w:rPr>
          <w:rFonts w:cs="Times New Roman"/>
          <w:i/>
        </w:rPr>
        <w:t>Fundy Settlement</w:t>
      </w:r>
      <w:r w:rsidRPr="00255326">
        <w:rPr>
          <w:rFonts w:cs="Times New Roman"/>
        </w:rPr>
        <w:t xml:space="preserve">, </w:t>
      </w:r>
      <w:r w:rsidRPr="00255326">
        <w:rPr>
          <w:rFonts w:cs="Times New Roman"/>
          <w:i/>
        </w:rPr>
        <w:t xml:space="preserve">MIL </w:t>
      </w:r>
      <w:r w:rsidRPr="00255326">
        <w:rPr>
          <w:rFonts w:cs="Times New Roman"/>
        </w:rPr>
        <w:t xml:space="preserve">(TCC) and </w:t>
      </w:r>
      <w:r w:rsidRPr="00255326">
        <w:rPr>
          <w:rFonts w:cs="Times New Roman"/>
          <w:i/>
        </w:rPr>
        <w:t xml:space="preserve">MIL </w:t>
      </w:r>
      <w:r w:rsidRPr="00255326">
        <w:rPr>
          <w:rFonts w:cs="Times New Roman"/>
        </w:rPr>
        <w:t xml:space="preserve">(FCA) departs from the proper approach under the GAAR, which focuses on the </w:t>
      </w:r>
      <w:r w:rsidRPr="00255326">
        <w:rPr>
          <w:rFonts w:cs="Times New Roman"/>
        </w:rPr>
        <w:lastRenderedPageBreak/>
        <w:t xml:space="preserve">“why” — the rationale — behind the text of the relevant provisions; these cases should not be followed. </w:t>
      </w:r>
      <w:r w:rsidRPr="00255326">
        <w:rPr>
          <w:rFonts w:cs="Times New Roman"/>
          <w:lang w:val="en-US"/>
        </w:rPr>
        <w:t xml:space="preserve">If relying on the text of a treaty provision is sufficient to avoid abusing a treaty, then the GAAR is effectively rendered powerless to address abusive transactions structured around tax treaties, notwithstanding the retroactive 2005 amendments to s. 245 of the Act to ensure that the GAAR applied to tax treaties. As Professor G. T. Loomer explains, this analysis “seems to ensure that </w:t>
      </w:r>
      <w:r w:rsidRPr="00255326">
        <w:rPr>
          <w:rFonts w:cs="Times New Roman"/>
        </w:rPr>
        <w:t xml:space="preserve">any avoidance strategy involving a Canadian tax treaty, no matter how blatant, will be immune to the GAAR provided the intermediate entity is formally established in the particular state and meets the technical requirements of the particular treaty provisions relied upon” (“Tax Treaty Abuse: Is Canada Responding Effectively?”, in Oxford University Centre for Business Taxation, Working Paper No. 09/05 (revised March 2009), at s. 4.3.3). We would also note that, when this Court disposed of the appeal in </w:t>
      </w:r>
      <w:r w:rsidRPr="00255326">
        <w:rPr>
          <w:rFonts w:cs="Times New Roman"/>
          <w:i/>
        </w:rPr>
        <w:t xml:space="preserve">Fundy Settlement </w:t>
      </w:r>
      <w:r w:rsidRPr="00255326">
        <w:rPr>
          <w:rFonts w:cs="Times New Roman"/>
        </w:rPr>
        <w:t>on other grounds, it specified that it “should not be understood as endorsing the reasons of the Federal Court of Appeal” on the GAAR (</w:t>
      </w:r>
      <w:r w:rsidRPr="00255326">
        <w:rPr>
          <w:rFonts w:cs="Times New Roman"/>
          <w:i/>
        </w:rPr>
        <w:t>Fundy Settlement v. Canada</w:t>
      </w:r>
      <w:r w:rsidRPr="00255326">
        <w:rPr>
          <w:rFonts w:cs="Times New Roman"/>
        </w:rPr>
        <w:t xml:space="preserve">, 2012 SCC 14, [2012] 1 S.C.R. 520, at para. 19). </w:t>
      </w:r>
    </w:p>
    <w:p w14:paraId="40CF9C02" w14:textId="77777777" w:rsidR="001346AE" w:rsidRPr="00255326" w:rsidRDefault="001346AE" w:rsidP="001346AE">
      <w:pPr>
        <w:pStyle w:val="ParaNoNdepar-AltN"/>
        <w:tabs>
          <w:tab w:val="clear" w:pos="1166"/>
          <w:tab w:val="num" w:pos="1152"/>
        </w:tabs>
        <w:rPr>
          <w:rFonts w:cs="Times New Roman"/>
          <w:shd w:val="clear" w:color="auto" w:fill="FFFFFF"/>
        </w:rPr>
      </w:pPr>
      <w:r w:rsidRPr="00255326">
        <w:rPr>
          <w:rFonts w:cs="Times New Roman"/>
        </w:rPr>
        <w:t xml:space="preserve">Alta Luxembourg similarly argues that </w:t>
      </w:r>
      <w:r w:rsidRPr="00255326">
        <w:rPr>
          <w:rFonts w:cs="Times New Roman"/>
          <w:shd w:val="clear" w:color="auto" w:fill="FFFFFF"/>
        </w:rPr>
        <w:t xml:space="preserve">this Court held, in </w:t>
      </w:r>
      <w:r w:rsidRPr="00255326">
        <w:rPr>
          <w:rFonts w:cs="Times New Roman"/>
          <w:i/>
        </w:rPr>
        <w:t>Crown Forest</w:t>
      </w:r>
      <w:r w:rsidRPr="00255326">
        <w:rPr>
          <w:rFonts w:cs="Times New Roman"/>
          <w:spacing w:val="-3"/>
        </w:rPr>
        <w:t>,</w:t>
      </w:r>
      <w:r w:rsidRPr="00255326">
        <w:rPr>
          <w:rFonts w:cs="Times New Roman"/>
          <w:i/>
          <w:shd w:val="clear" w:color="auto" w:fill="FFFFFF"/>
        </w:rPr>
        <w:t xml:space="preserve"> </w:t>
      </w:r>
      <w:r w:rsidRPr="00255326">
        <w:rPr>
          <w:rFonts w:cs="Times New Roman"/>
          <w:shd w:val="clear" w:color="auto" w:fill="FFFFFF"/>
        </w:rPr>
        <w:t xml:space="preserve">that residence under bilateral tax conventions is established where a taxpayer is subject to full tax liability in the contracting state. In its view, the Crown is seeking to add the unstated condition that a taxpayer must have substantial economic ties to the contracting state of residence in order to qualify as a “resident” under the </w:t>
      </w:r>
      <w:r w:rsidRPr="00255326">
        <w:rPr>
          <w:rFonts w:cs="Times New Roman"/>
        </w:rPr>
        <w:t>Treaty</w:t>
      </w:r>
      <w:r w:rsidRPr="00255326">
        <w:rPr>
          <w:rFonts w:cs="Times New Roman"/>
          <w:shd w:val="clear" w:color="auto" w:fill="FFFFFF"/>
        </w:rPr>
        <w:t>.</w:t>
      </w:r>
      <w:r w:rsidRPr="00255326">
        <w:rPr>
          <w:rFonts w:cs="Times New Roman"/>
        </w:rPr>
        <w:t xml:space="preserve"> </w:t>
      </w:r>
    </w:p>
    <w:p w14:paraId="77A0D63C" w14:textId="77777777" w:rsidR="001346AE" w:rsidRPr="00255326" w:rsidRDefault="001346AE" w:rsidP="001346AE">
      <w:pPr>
        <w:pStyle w:val="ParaNoNdepar-AltN"/>
        <w:tabs>
          <w:tab w:val="clear" w:pos="1166"/>
          <w:tab w:val="num" w:pos="1152"/>
        </w:tabs>
        <w:rPr>
          <w:rFonts w:cs="Times New Roman"/>
          <w:shd w:val="clear" w:color="auto" w:fill="FFFFFF"/>
        </w:rPr>
      </w:pPr>
      <w:r w:rsidRPr="00255326">
        <w:rPr>
          <w:rFonts w:cs="Times New Roman"/>
          <w:shd w:val="clear" w:color="auto" w:fill="FFFFFF"/>
        </w:rPr>
        <w:t xml:space="preserve">We disagree. This argument ignores the fact that </w:t>
      </w:r>
      <w:r w:rsidRPr="00255326">
        <w:rPr>
          <w:rFonts w:cs="Times New Roman"/>
          <w:i/>
          <w:shd w:val="clear" w:color="auto" w:fill="FFFFFF"/>
        </w:rPr>
        <w:t>Crown Forest</w:t>
      </w:r>
      <w:r w:rsidRPr="00255326">
        <w:rPr>
          <w:rFonts w:cs="Times New Roman"/>
          <w:shd w:val="clear" w:color="auto" w:fill="FFFFFF"/>
        </w:rPr>
        <w:t xml:space="preserve"> did not deal with the application of the GAAR. The Court in that case had to interpret the term </w:t>
      </w:r>
      <w:r w:rsidRPr="00255326">
        <w:rPr>
          <w:rFonts w:cs="Times New Roman"/>
          <w:shd w:val="clear" w:color="auto" w:fill="FFFFFF"/>
        </w:rPr>
        <w:lastRenderedPageBreak/>
        <w:t xml:space="preserve">“resident” under the </w:t>
      </w:r>
      <w:r w:rsidRPr="00255326">
        <w:rPr>
          <w:rFonts w:cs="Times New Roman"/>
          <w:i/>
          <w:shd w:val="clear" w:color="auto" w:fill="FFFFFF"/>
        </w:rPr>
        <w:t>Canada-United States Tax Convention Act, 1984</w:t>
      </w:r>
      <w:r w:rsidRPr="00255326">
        <w:rPr>
          <w:rFonts w:cs="Times New Roman"/>
          <w:shd w:val="clear" w:color="auto" w:fill="FFFFFF"/>
        </w:rPr>
        <w:t xml:space="preserve">. By contrast, where, as here, the GAAR is invoked to deny a tax benefit that would otherwise be available based on the text of the provisions, one must look beyond the text in order to determine whether conferring such benefit frustrates or exploits the underlying rationale of the provisions. This does not mean that Alta Luxembourg must meet an “unstated condition” in addition to qualifying as a “resident” under arts. 1 and 4 of the </w:t>
      </w:r>
      <w:r w:rsidRPr="00255326">
        <w:rPr>
          <w:rFonts w:cs="Times New Roman"/>
        </w:rPr>
        <w:t>Treaty</w:t>
      </w:r>
      <w:r w:rsidRPr="00255326">
        <w:rPr>
          <w:rFonts w:cs="Times New Roman"/>
          <w:shd w:val="clear" w:color="auto" w:fill="FFFFFF"/>
        </w:rPr>
        <w:t xml:space="preserve">. Rather, the Crown raises the need for economic ties to Luxembourg in relation to the object, spirit or purpose underpinning the relevant provisions. For the Crown, granting the tax benefit to </w:t>
      </w:r>
      <w:r w:rsidRPr="00255326">
        <w:rPr>
          <w:rFonts w:cs="Times New Roman"/>
        </w:rPr>
        <w:t>Alta Luxembourg</w:t>
      </w:r>
      <w:r w:rsidRPr="00255326">
        <w:rPr>
          <w:rFonts w:cs="Times New Roman"/>
          <w:shd w:val="clear" w:color="auto" w:fill="FFFFFF"/>
        </w:rPr>
        <w:t xml:space="preserve"> in the circumstances where it fails to have any real, substantial economic connection to the state of residence would frustrate the underlying rationale of the relevant provisions. This accords with the proper methodology under the GAAR.</w:t>
      </w:r>
    </w:p>
    <w:p w14:paraId="7047B002"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In sum, the distributive scheme allocates taxing rights based on the strength of the economic connection between the income and the contracting states. The carve-out of art. 13(4) follows the same logic: when a taxpayer carries on a business in an immovable property, it derives benefits more from the residence state and that state’s commercial legal framework than from the source state’s infrastructure. This connection between the income and the residence state forms the economic basis for residence state taxation.</w:t>
      </w:r>
    </w:p>
    <w:p w14:paraId="09383271" w14:textId="77777777" w:rsidR="001346AE" w:rsidRPr="00255326" w:rsidRDefault="001346AE" w:rsidP="001346AE">
      <w:pPr>
        <w:pStyle w:val="Title4LevelTitre4Niveau"/>
        <w:rPr>
          <w:rFonts w:cs="Times New Roman"/>
        </w:rPr>
      </w:pPr>
      <w:r w:rsidRPr="00255326">
        <w:rPr>
          <w:rFonts w:cs="Times New Roman"/>
        </w:rPr>
        <w:t>Conclusion on the Rationale for the Relevant Provisions</w:t>
      </w:r>
    </w:p>
    <w:p w14:paraId="4BF3DA50"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lastRenderedPageBreak/>
        <w:t>We conclude that the rationale for the relevant provisions of the Treaty is to allocate taxation rights to the contracting state which has the strongest economic claim to the relevant income. The carve-out assigns the right to tax capital gains arising from the disposition of immovable property in which business is carried on to the resident state. The rationale behind the carve-out is to encourage investment; it reflects the fact that the business activity, rather than the immovable property itself, drives the value of the property. Accordingly, the economic justification for source state taxation — an exception to the general principle of taxation in the state of residence — is weaker. The state of residence has the stronger economic claim to tax the income.</w:t>
      </w:r>
    </w:p>
    <w:p w14:paraId="650B10EB" w14:textId="77777777" w:rsidR="001346AE" w:rsidRPr="00255326" w:rsidRDefault="001346AE" w:rsidP="001346AE">
      <w:pPr>
        <w:pStyle w:val="Title3LevelTitre3Niveau"/>
        <w:rPr>
          <w:rFonts w:cs="Times New Roman"/>
          <w:lang w:val="en-US"/>
        </w:rPr>
      </w:pPr>
      <w:r w:rsidRPr="00255326">
        <w:rPr>
          <w:rFonts w:cs="Times New Roman"/>
          <w:lang w:val="en-US"/>
        </w:rPr>
        <w:t>Was There an Abuse of the Provisions of the Treaty?</w:t>
      </w:r>
    </w:p>
    <w:p w14:paraId="7494E9C0"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The courts below erred in law by failing to identify the object, spirit or purpose of the Treaty’s relevant provisions and, instead, merely restated art. 13(5). The courts failed to focus on the reason for the article. Consequently, we are called on to conduct the abuse analysis afresh and to determine whether the transaction falls within or frustrates the rationale of the relevant provisions of the Treaty (</w:t>
      </w:r>
      <w:r w:rsidRPr="00255326">
        <w:rPr>
          <w:rFonts w:cs="Times New Roman"/>
          <w:i/>
        </w:rPr>
        <w:t>Canada v.</w:t>
      </w:r>
      <w:r w:rsidRPr="00255326">
        <w:rPr>
          <w:rFonts w:cs="Times New Roman"/>
        </w:rPr>
        <w:t xml:space="preserve"> </w:t>
      </w:r>
      <w:r w:rsidRPr="00255326">
        <w:rPr>
          <w:rFonts w:cs="Times New Roman"/>
          <w:i/>
        </w:rPr>
        <w:t>594710 British Columbia Ltd.</w:t>
      </w:r>
      <w:r w:rsidRPr="00255326">
        <w:rPr>
          <w:rFonts w:cs="Times New Roman"/>
        </w:rPr>
        <w:t>, 2018 FCA 166, [2019] 5 C.T.C. 1, at para. 64).</w:t>
      </w:r>
    </w:p>
    <w:p w14:paraId="0FD8578D"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 In our view, Alta Luxembourg’s presence in Luxembourg is not genuine — it is mere gossamer. As such allowing it to enjoy tax benefits conferred on the basis of the stronger economic connection between the taxpayer’s income and Luxembourg frustrates the object, spirit or purpose of the provisions of the Treaty. </w:t>
      </w:r>
    </w:p>
    <w:p w14:paraId="79A365CE"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lastRenderedPageBreak/>
        <w:t>Alta Luxembourg’s lack of substantial economic connection is plain from a review of the record. Alta Luxembourg was created and controlled by Alta US and its American and other foreign shareholders whose jurisdiction did not have a tax treaty with a similar exemption as the Treaty. The transaction was structured to ensure no gain would be realized in Luxembourg and that all proceeds of the sale would flow to the shareholders. As a senior managing director of the private equity firm behind the restructuring said, the objective was not to establish a genuine presence in Luxembourg, but rather to ensure that “everything will . . . flow through vehicles and no Canadian taxes will be paid” (A.R., vol. IV, at p. 106). After the transaction, Alta Luxembourg did not carry business in Luxembourg.</w:t>
      </w:r>
    </w:p>
    <w:p w14:paraId="0C8588C6"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Alta Luxembourg’s presence in Luxembourg was manufactured out of whole cloth. The shareholders and investors of Alta US retained “domiciliation services” to provide a corporate presence in Luxembourg and benefit from the Treaty. Email exchanges preceding the transaction make it clear that the service provider’s role was solely to ensure that Alta Luxembourg had the minimum “substance requirements” so the shareholders and investors of Alta US could “avail [themselves of] the benefits under the Canada/Luxembourg tax treaty (i.e., to alleviate Canadian tax leakage)” (A.R., vol. IV, at pp. 138-39). Calls for Alta Luxembourg would be routed to a switchboard and answered by an employee from the service provider. In addition to providing a corporate presence to Alta Luxembourg, the service provider also held board meetings for Alta Luxembourg. The members of the board of Alta Luxembourg were composed of two classes of managers: Class A managers, and Class B managers. All Class B managers were provided by the service provider and never met with </w:t>
      </w:r>
      <w:r w:rsidRPr="00255326">
        <w:rPr>
          <w:rFonts w:cs="Times New Roman"/>
        </w:rPr>
        <w:lastRenderedPageBreak/>
        <w:t xml:space="preserve">Class A managers. In essence, Alta Luxembourg only existed through the service provider. It was an empty shell. </w:t>
      </w:r>
    </w:p>
    <w:p w14:paraId="79DCCDFF"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Canada and Luxembourg agreed to the carve-out for the purpose of reflecting the closer economic connection between Luxembourg and its residents who carry on business in an immovable property situated in Canada. Yet the avoidance transactions were structured around a shell company with no real ties to Luxembourg, which was created solely to obtain a tax benefit under the Treaty. Therefore, the transactions led to an outcome that defeats the rationale underlying the allocation of taxing rights to Luxembourg over a class of capital gains. Indeed, this is precisely the type of transaction that the authors Li and Avella qualify as abusive uses of tax treaties: “. . . using interposed companies in an intermediary jurisdiction to take advantage of that jurisdiction’s treaty network . . .” in relation to capital gains (s. 2.1.1.3). </w:t>
      </w:r>
    </w:p>
    <w:p w14:paraId="26D7A713"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Canada has deliberately decided not to extend the benefit of the treaty exemption found in the Treaty to the residents of the jurisdictions of the shareholders of Alta US. With regards to the provisions at issue, the common intention of Canada and Luxembourg could not have been to provide an avenue for residents of third-party states to indirectly obtain tax benefits they could not obtain directly absent any real economic connection with Luxembourg. This is “</w:t>
      </w:r>
      <w:r w:rsidRPr="00255326">
        <w:rPr>
          <w:rFonts w:cs="Times New Roman"/>
          <w:spacing w:val="-3"/>
          <w:shd w:val="clear" w:color="auto" w:fill="FFFFFF"/>
        </w:rPr>
        <w:t>patently contrary to the basis on which” states cede their “jurisdiction to tax as the source country” (</w:t>
      </w:r>
      <w:r w:rsidRPr="00255326">
        <w:rPr>
          <w:rFonts w:cs="Times New Roman"/>
          <w:i/>
          <w:spacing w:val="-3"/>
          <w:shd w:val="clear" w:color="auto" w:fill="FFFFFF"/>
        </w:rPr>
        <w:t>Crown Forest</w:t>
      </w:r>
      <w:r w:rsidRPr="00255326">
        <w:rPr>
          <w:rFonts w:cs="Times New Roman"/>
          <w:spacing w:val="-3"/>
          <w:shd w:val="clear" w:color="auto" w:fill="FFFFFF"/>
        </w:rPr>
        <w:t>,</w:t>
      </w:r>
      <w:r w:rsidRPr="00255326">
        <w:rPr>
          <w:rFonts w:cs="Times New Roman"/>
          <w:i/>
          <w:spacing w:val="-3"/>
          <w:shd w:val="clear" w:color="auto" w:fill="FFFFFF"/>
        </w:rPr>
        <w:t xml:space="preserve"> </w:t>
      </w:r>
      <w:r w:rsidRPr="00255326">
        <w:rPr>
          <w:rFonts w:cs="Times New Roman"/>
          <w:spacing w:val="-3"/>
          <w:shd w:val="clear" w:color="auto" w:fill="FFFFFF"/>
        </w:rPr>
        <w:t>at para. 52)</w:t>
      </w:r>
      <w:r w:rsidRPr="00255326">
        <w:rPr>
          <w:rFonts w:cs="Times New Roman"/>
        </w:rPr>
        <w:t xml:space="preserve">. Our colleague’s reasons assume that the federal government deliberately set out, in the exercise of its treaty making authority, to create the conditions for unlimited tax avoidance by means of schemes such as that in which Alta Luxembourg was used. </w:t>
      </w:r>
      <w:r w:rsidRPr="00255326">
        <w:rPr>
          <w:rFonts w:cs="Times New Roman"/>
        </w:rPr>
        <w:lastRenderedPageBreak/>
        <w:t xml:space="preserve">To state such a proposition is to expose its absurdity, yet our colleague seeks to legitimize such blatantly abusive tax avoidance based on her view that Canada should have negotiated different treaty terms. The focus on what else could hypothetically have been agreed to is misplaced. It involves </w:t>
      </w:r>
      <w:r w:rsidRPr="00255326">
        <w:rPr>
          <w:rFonts w:cs="Times New Roman"/>
          <w:i/>
          <w:iCs/>
        </w:rPr>
        <w:t xml:space="preserve">ex ante </w:t>
      </w:r>
      <w:r w:rsidRPr="00255326">
        <w:rPr>
          <w:rFonts w:cs="Times New Roman"/>
        </w:rPr>
        <w:t>speculation about how the treaty parties ought to have proceeded based on alternatives said to have been available to them. However, such an argument gives primacy to what is not there. We are of the view that Parliament was entitled to rely on the GAAR to address abusive uses of the Treaty rather than negotiate the inclusion of a specific rule. The focus should be on what was actually agreed upon and whether the underlying rationale of the relevant provisions was frustrated by the avoidance transactions undertaken. In the give and take of treaty negotiation, Canada certainly did not give up the GAAR.</w:t>
      </w:r>
    </w:p>
    <w:p w14:paraId="3A314C0F"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The Auditor General raised concerns with precisely these types of schemes 20 years ago and recommended that Parliament take legislative action to protect Canada’s tax base. Parliament addressed this “mischief” with the enactment of s. 4.1 </w:t>
      </w:r>
      <w:r w:rsidRPr="00255326">
        <w:rPr>
          <w:rFonts w:cs="Times New Roman"/>
          <w:i/>
        </w:rPr>
        <w:t>ITCIA</w:t>
      </w:r>
      <w:r w:rsidRPr="00255326">
        <w:rPr>
          <w:rFonts w:cs="Times New Roman"/>
        </w:rPr>
        <w:t xml:space="preserve"> to ensure the Minister could rely on the GAAR to deny tax benefits obtained through the use of schemes found to be abusive under the GAAR analysis. To borrow the words of Li and Cockfield, to “ascertain whether Parliament . . . intended to prohibit a particular tax-avoidance transaction”, it is wise to determine what is the “mischief” it sought to remove (p. 380).</w:t>
      </w:r>
    </w:p>
    <w:p w14:paraId="103FB238"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In addition, the avoidance transactions run contrary to the objective of encouraging trade and investment which underlies the carve-out. They were not an acquisition or an investment, but rather a liquidation of an existing investment in </w:t>
      </w:r>
      <w:r w:rsidRPr="00255326">
        <w:rPr>
          <w:rFonts w:cs="Times New Roman"/>
        </w:rPr>
        <w:lastRenderedPageBreak/>
        <w:t xml:space="preserve">Canada without paying tax on the capital gain. Thus, the transactions are disconnected from the economic objectives underlying the bargain. </w:t>
      </w:r>
    </w:p>
    <w:p w14:paraId="76A4CEDB"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Further, although “insufficient by itself to establish abusive tax avoidance”, our jurisprudence is clear that the absence of a </w:t>
      </w:r>
      <w:r w:rsidRPr="00255326">
        <w:rPr>
          <w:rFonts w:cs="Times New Roman"/>
          <w:i/>
        </w:rPr>
        <w:t>bona fide</w:t>
      </w:r>
      <w:r w:rsidRPr="00255326">
        <w:rPr>
          <w:rFonts w:cs="Times New Roman"/>
        </w:rPr>
        <w:t xml:space="preserve"> non-tax purpose “may form part of the factual context that the courts may consider in the analysis of abusive tax avoidance allegations under s. 245(4)” (</w:t>
      </w:r>
      <w:r w:rsidRPr="00255326">
        <w:rPr>
          <w:rFonts w:cs="Times New Roman"/>
          <w:i/>
        </w:rPr>
        <w:t>Canada Trustco</w:t>
      </w:r>
      <w:r w:rsidRPr="00255326">
        <w:rPr>
          <w:rFonts w:cs="Times New Roman"/>
        </w:rPr>
        <w:t xml:space="preserve">, at para. 58; see also </w:t>
      </w:r>
      <w:r w:rsidRPr="00255326">
        <w:rPr>
          <w:rFonts w:cs="Times New Roman"/>
          <w:i/>
          <w:shd w:val="clear" w:color="auto" w:fill="FFFFFF"/>
        </w:rPr>
        <w:t>Lipson</w:t>
      </w:r>
      <w:r w:rsidRPr="00255326">
        <w:rPr>
          <w:rFonts w:cs="Times New Roman"/>
          <w:shd w:val="clear" w:color="auto" w:fill="FFFFFF"/>
        </w:rPr>
        <w:t>,</w:t>
      </w:r>
      <w:r w:rsidRPr="00255326">
        <w:rPr>
          <w:rFonts w:cs="Times New Roman"/>
          <w:i/>
          <w:shd w:val="clear" w:color="auto" w:fill="FFFFFF"/>
        </w:rPr>
        <w:t xml:space="preserve"> </w:t>
      </w:r>
      <w:r w:rsidRPr="00255326">
        <w:rPr>
          <w:rFonts w:cs="Times New Roman"/>
        </w:rPr>
        <w:t xml:space="preserve">at para. 38). The absence of </w:t>
      </w:r>
      <w:r w:rsidRPr="00255326">
        <w:rPr>
          <w:rFonts w:cs="Times New Roman"/>
          <w:i/>
        </w:rPr>
        <w:t>bona fide</w:t>
      </w:r>
      <w:r w:rsidRPr="00255326">
        <w:rPr>
          <w:rFonts w:cs="Times New Roman"/>
        </w:rPr>
        <w:t xml:space="preserve"> non-tax purpose is relevant when the rationale of the provisions at issue means “that a particular tax benefit may apply only to transactions with a certain economic, commercial, family or other non-tax purpose” (</w:t>
      </w:r>
      <w:r w:rsidRPr="00255326">
        <w:rPr>
          <w:rFonts w:cs="Times New Roman"/>
          <w:i/>
        </w:rPr>
        <w:t>Canada Trustco</w:t>
      </w:r>
      <w:r w:rsidRPr="00255326">
        <w:rPr>
          <w:rFonts w:cs="Times New Roman"/>
        </w:rPr>
        <w:t>, at para. 58).</w:t>
      </w:r>
    </w:p>
    <w:p w14:paraId="2BA09076"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Here, the Minister is seeking to apply the GAAR in the context of </w:t>
      </w:r>
      <w:r w:rsidRPr="00255326">
        <w:rPr>
          <w:rFonts w:cs="Times New Roman"/>
          <w:bCs/>
          <w:lang w:val="en-US"/>
        </w:rPr>
        <w:t xml:space="preserve">a purely tax-motivated corporate restructuring resulting in a shift of residence to Luxembourg, a reorganization for which there was no </w:t>
      </w:r>
      <w:r w:rsidRPr="00255326">
        <w:rPr>
          <w:rFonts w:cs="Times New Roman"/>
          <w:bCs/>
          <w:i/>
          <w:lang w:val="en-US"/>
        </w:rPr>
        <w:t>bona fide</w:t>
      </w:r>
      <w:r w:rsidRPr="00255326">
        <w:rPr>
          <w:rFonts w:cs="Times New Roman"/>
          <w:bCs/>
          <w:lang w:val="en-US"/>
        </w:rPr>
        <w:t xml:space="preserve"> non-tax purpose. Given that the rationale of the relevant provisions is to reflect the economic ties with Luxembourg, the state of residence, </w:t>
      </w:r>
      <w:r w:rsidRPr="00255326">
        <w:rPr>
          <w:rFonts w:cs="Times New Roman"/>
        </w:rPr>
        <w:t>this utter lack of any non-tax purpose is a relevant underlying factor that can be considered in the analysis under s. 245(4) of the Act.</w:t>
      </w:r>
    </w:p>
    <w:p w14:paraId="49D2BDBB"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While the Crown has conceded that Alta Luxembourg was a resident of Luxembourg under art. 4 of the Treaty, contrary to the Federal Court of Appeal, we do not consider the residency requirement to be determinative in the context of a GAAR analysis.</w:t>
      </w:r>
      <w:r w:rsidRPr="00255326">
        <w:rPr>
          <w:rFonts w:cs="Times New Roman"/>
          <w:shd w:val="clear" w:color="auto" w:fill="FFFFFF"/>
        </w:rPr>
        <w:t xml:space="preserve"> </w:t>
      </w:r>
      <w:r w:rsidRPr="00255326">
        <w:rPr>
          <w:rFonts w:cs="Times New Roman"/>
        </w:rPr>
        <w:t xml:space="preserve">Again, the GAAR framework requires courts to give effect to the rationale underlying the text of the relevant provisions. The reasoning of the Federal Court of </w:t>
      </w:r>
      <w:r w:rsidRPr="00255326">
        <w:rPr>
          <w:rFonts w:cs="Times New Roman"/>
        </w:rPr>
        <w:lastRenderedPageBreak/>
        <w:t>Appeal would effectively amount to holding that the GAAR does not apply to tax treaties when the benefit is to be exempt from taxation in Canada, i.e. when Canada has ceded its right to its treaty partner. Since being exempt from taxation in Canada is the main tax benefit provided by tax treaties, the GAAR, a general rule of last resort, would be rendered nugatory as a rule in relation to abuses of tax treaties. Technical compliance with a tax treaty in a way that frustrates the underlying rationale of the provisions relied upon by the taxpayer is precisely what triggers the GAAR. Alta Luxembourg complied with the words of the relevant provisions of the Treaty, but not their rationale. It is that to which the GAAR requires courts to give effect.</w:t>
      </w:r>
    </w:p>
    <w:p w14:paraId="34C597FC"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We acknowledge that finding that a transaction structured to claim tax benefits from a treaty can be abusive when a resident lacks economic connections to the state of residence may produce more uncertainty than mechanically applying the words of the Treaty. However, Parliament struck the balance it considered proper between certainty and fairness to the tax system as a whole. The facts of this case are a patent example of a sophisticated taxpayer effecting a restructuring on the basis of professional tax advice to avoid Canadian tax. In such cases, the principle of fairness ought not to be ignored. As for the degree of uncertainty introduced by the GAAR, it is counterbalanced by the Crown’s burden to show that the avoidance transactions frustrate the object, spirit or purpose of the provisions relied on by the taxpayer and by the fact that any doubt under the GAAR analysis is to be resolved in favour of the taxpayer (</w:t>
      </w:r>
      <w:r w:rsidRPr="00255326">
        <w:rPr>
          <w:rFonts w:cs="Times New Roman"/>
          <w:i/>
        </w:rPr>
        <w:t>Canada Trustco</w:t>
      </w:r>
      <w:r w:rsidRPr="00255326">
        <w:rPr>
          <w:rFonts w:cs="Times New Roman"/>
        </w:rPr>
        <w:t>, at para. 69). In this case, the abuse is clear. The evidence demonstrates that Alta Luxembourg had no genuine economic connections with Luxembourg as it was a mere conduit interposed in Luxembourg for residents of third-</w:t>
      </w:r>
      <w:r w:rsidRPr="00255326">
        <w:rPr>
          <w:rFonts w:cs="Times New Roman"/>
        </w:rPr>
        <w:lastRenderedPageBreak/>
        <w:t xml:space="preserve">party states to avail themselves of a tax exemption under the Treaty. We agree with our colleague that the lack of any non-tax purpose, although relevant, does not on its own lead to the determination of abuse in this case. Rather, it is this lack of any genuine economic connection to Luxembourg that frustrates the rationale of the relevant provisions of the Treaty. The Crown has discharged its burden. </w:t>
      </w:r>
    </w:p>
    <w:p w14:paraId="1B646B5A" w14:textId="77777777" w:rsidR="001346AE" w:rsidRPr="00255326" w:rsidRDefault="001346AE" w:rsidP="001346AE">
      <w:pPr>
        <w:pStyle w:val="ParaNoNdepar-AltN"/>
        <w:tabs>
          <w:tab w:val="clear" w:pos="1166"/>
          <w:tab w:val="num" w:pos="1080"/>
          <w:tab w:val="num" w:pos="1602"/>
        </w:tabs>
        <w:rPr>
          <w:rFonts w:cs="Times New Roman"/>
          <w:shd w:val="clear" w:color="auto" w:fill="FFFFFF"/>
        </w:rPr>
      </w:pPr>
      <w:r w:rsidRPr="00255326">
        <w:rPr>
          <w:rFonts w:cs="Times New Roman"/>
          <w:lang w:val="en-US"/>
        </w:rPr>
        <w:t>Finally, we wish to comment on an observation made at paras. 84-85 of</w:t>
      </w:r>
      <w:r>
        <w:rPr>
          <w:rFonts w:cs="Times New Roman"/>
          <w:lang w:val="en-US"/>
        </w:rPr>
        <w:t xml:space="preserve"> the Tax Court</w:t>
      </w:r>
      <w:r w:rsidRPr="00255326">
        <w:rPr>
          <w:rFonts w:cs="Times New Roman"/>
          <w:lang w:val="en-US"/>
        </w:rPr>
        <w:t xml:space="preserve"> decision. The Tax Court explained that a party negotiating a tax treaty is presumed to be aware of the other state’s tax system, such that Canada, as a state which taxes capital gains, should have seen to the prevention of a double exemption of this type of income. To be clear, the Crown’s position, as we understand it, is not that the GAAR is invoked because the capital gain did not go on to be taxed in Luxembourg. Rather, the Crown is seeking the application of the GAAR because in its view, </w:t>
      </w:r>
      <w:r w:rsidRPr="00255326">
        <w:rPr>
          <w:rFonts w:cs="Times New Roman"/>
        </w:rPr>
        <w:t>Alta Luxembourg</w:t>
      </w:r>
      <w:r w:rsidRPr="00255326">
        <w:rPr>
          <w:rFonts w:cs="Times New Roman"/>
          <w:lang w:val="en-US"/>
        </w:rPr>
        <w:t xml:space="preserve"> had no economic connection to Luxembourg and therefore the underlying rationale of arts. 1, 4 and 13(4) that it identified is frustrated. </w:t>
      </w:r>
    </w:p>
    <w:p w14:paraId="76771623"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In sum, we are of the view that Alta Luxembourg’s patent lack of economic connection to Luxembourg frustrates the underlying rationale of the relevant provisions of the Treaty to allocate the taxation rights to the contracting state with the strongest economic claim. The transactions are the product of a contrivance which was not reasonably contemplated within the object, spirit or purpose of art. 13(4). As a result, the avoidance transactions frustrate the rationale of art. 13(4) and constitute abuse under the GAAR.</w:t>
      </w:r>
      <w:r w:rsidRPr="00255326" w:rsidDel="00AF7E62">
        <w:rPr>
          <w:rFonts w:cs="Times New Roman"/>
        </w:rPr>
        <w:t xml:space="preserve"> </w:t>
      </w:r>
      <w:r w:rsidRPr="00255326">
        <w:rPr>
          <w:rFonts w:cs="Times New Roman"/>
        </w:rPr>
        <w:t>Accordingly, the tax benefit conferred by the relevant provisions is denied.</w:t>
      </w:r>
    </w:p>
    <w:p w14:paraId="519930A1" w14:textId="77777777" w:rsidR="001346AE" w:rsidRPr="00255326" w:rsidRDefault="001346AE" w:rsidP="001346AE">
      <w:pPr>
        <w:pStyle w:val="Title3LevelTitre3Niveau"/>
        <w:rPr>
          <w:rFonts w:cs="Times New Roman"/>
        </w:rPr>
      </w:pPr>
      <w:r w:rsidRPr="00255326">
        <w:rPr>
          <w:rFonts w:cs="Times New Roman"/>
        </w:rPr>
        <w:lastRenderedPageBreak/>
        <w:t>A Word on Treaty Shopping</w:t>
      </w:r>
    </w:p>
    <w:p w14:paraId="7CEB6A53"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We pause to say a word on whether treaty shopping constitutes an improper use of tax treaties, as this was extensively discussed by the parties and in the courts below. The OECD </w:t>
      </w:r>
      <w:r w:rsidRPr="00255326">
        <w:rPr>
          <w:rFonts w:cs="Times New Roman"/>
          <w:i/>
        </w:rPr>
        <w:t>Glossary of Tax Terms</w:t>
      </w:r>
      <w:r w:rsidRPr="00255326">
        <w:rPr>
          <w:rFonts w:cs="Times New Roman"/>
        </w:rPr>
        <w:t xml:space="preserve"> (online) defines “treaty shopping” as follows: </w:t>
      </w:r>
    </w:p>
    <w:p w14:paraId="6E5AEA2F" w14:textId="77777777" w:rsidR="001346AE" w:rsidRPr="00255326" w:rsidRDefault="001346AE" w:rsidP="001346AE">
      <w:pPr>
        <w:pStyle w:val="Citation-AltC"/>
        <w:ind w:firstLine="274"/>
      </w:pPr>
      <w:r w:rsidRPr="00255326">
        <w:t>An analysis of tax treaty provisions to structure an international transaction or operation so as to take advantage of a particular tax treaty. The term is normally applied to a situation where a person not resident of either the treaty countries establishes an entity in one of the treaty countries in order to obtain treaty benefits.</w:t>
      </w:r>
    </w:p>
    <w:p w14:paraId="30D70CFA" w14:textId="77777777" w:rsidR="001346AE" w:rsidRPr="00255326" w:rsidRDefault="001346AE" w:rsidP="001346AE">
      <w:pPr>
        <w:pStyle w:val="Citation-AltC"/>
      </w:pPr>
    </w:p>
    <w:p w14:paraId="4519AF0F" w14:textId="77777777" w:rsidR="001346AE" w:rsidRDefault="001346AE" w:rsidP="001346AE">
      <w:pPr>
        <w:pStyle w:val="Citation-AltC"/>
        <w:ind w:left="0"/>
      </w:pPr>
    </w:p>
    <w:p w14:paraId="055D9CEF" w14:textId="77777777" w:rsidR="001346AE" w:rsidRPr="00255326" w:rsidRDefault="001346AE" w:rsidP="001346AE">
      <w:pPr>
        <w:pStyle w:val="Citation-AltC"/>
        <w:ind w:left="0"/>
      </w:pPr>
      <w:r w:rsidRPr="00255326">
        <w:t xml:space="preserve">(See also </w:t>
      </w:r>
      <w:r w:rsidRPr="00255326">
        <w:rPr>
          <w:i/>
        </w:rPr>
        <w:t>Crown Forest</w:t>
      </w:r>
      <w:r w:rsidRPr="00255326">
        <w:t>, at para. 52.)</w:t>
      </w:r>
    </w:p>
    <w:p w14:paraId="735A1F10"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On this issue, we agree with the Crown that the Treaty is not intended to provide avenues for residents of third-party states to benefit from their treaty partner’s tax regime in the absence of genuine ties to that state. As this Court held in </w:t>
      </w:r>
      <w:r w:rsidRPr="00255326">
        <w:rPr>
          <w:rFonts w:cs="Times New Roman"/>
          <w:i/>
        </w:rPr>
        <w:t>Crown Forest</w:t>
      </w:r>
      <w:r w:rsidRPr="00255326">
        <w:rPr>
          <w:rFonts w:cs="Times New Roman"/>
        </w:rPr>
        <w:t xml:space="preserve">, there is no reason to assume that </w:t>
      </w:r>
      <w:r w:rsidRPr="00255326">
        <w:rPr>
          <w:rFonts w:cs="Times New Roman"/>
          <w:spacing w:val="-3"/>
        </w:rPr>
        <w:t>Canada would enter into tax treaties to “ced[e] its taxing authority to a jurisdiction that is a stranger to the Convention</w:t>
      </w:r>
      <w:r w:rsidRPr="00255326">
        <w:rPr>
          <w:rFonts w:cs="Times New Roman"/>
          <w:lang w:val="en-GB"/>
        </w:rPr>
        <w:t xml:space="preserve">” (para. 49). </w:t>
      </w:r>
    </w:p>
    <w:p w14:paraId="6366A963" w14:textId="77777777" w:rsidR="001346AE" w:rsidRPr="00255326" w:rsidRDefault="001346AE" w:rsidP="001346AE">
      <w:pPr>
        <w:pStyle w:val="ParaNoNdepar-AltN"/>
        <w:tabs>
          <w:tab w:val="clear" w:pos="1166"/>
          <w:tab w:val="num" w:pos="1152"/>
        </w:tabs>
        <w:rPr>
          <w:rFonts w:cs="Times New Roman"/>
        </w:rPr>
      </w:pPr>
      <w:r w:rsidRPr="00255326">
        <w:rPr>
          <w:rFonts w:cs="Times New Roman"/>
        </w:rPr>
        <w:t xml:space="preserve">Treaty shopping connotes “a premeditated effort to take advantage of the international tax treaty network, and careful selection of the most favorable treaty for a specific purpose” (H. D. Rosenbloom, “Tax Treaty Abuse: Policies and Issues” (1983), 15 </w:t>
      </w:r>
      <w:r w:rsidRPr="00255326">
        <w:rPr>
          <w:rFonts w:cs="Times New Roman"/>
          <w:i/>
        </w:rPr>
        <w:t>Law &amp; Pol’y Int’l Bus.</w:t>
      </w:r>
      <w:r w:rsidRPr="00255326">
        <w:rPr>
          <w:rFonts w:cs="Times New Roman"/>
        </w:rPr>
        <w:t xml:space="preserve"> 763, at p. 766, cited in D. G. Duff, “Tax Treaty Abuse and the Principal Purpose Test — Part 1” (2018), 66 </w:t>
      </w:r>
      <w:r w:rsidRPr="00255326">
        <w:rPr>
          <w:rFonts w:cs="Times New Roman"/>
          <w:i/>
        </w:rPr>
        <w:t>Can. Tax J.</w:t>
      </w:r>
      <w:r w:rsidRPr="00255326">
        <w:rPr>
          <w:rFonts w:cs="Times New Roman"/>
        </w:rPr>
        <w:t xml:space="preserve"> 619, at pp. 623-24). Treaty shopping typically involves the practice of non-residents establishing a </w:t>
      </w:r>
      <w:r w:rsidRPr="00255326">
        <w:rPr>
          <w:rFonts w:cs="Times New Roman"/>
        </w:rPr>
        <w:lastRenderedPageBreak/>
        <w:t xml:space="preserve">minimal presence or economic activity in a country in order to benefit from the jurisdiction’s treaty network with other countries (V. Krishna, “Using Beneficial Ownership to Prevent Treaty Shopping” (2009), 56 </w:t>
      </w:r>
      <w:r w:rsidRPr="00255326">
        <w:rPr>
          <w:rFonts w:cs="Times New Roman"/>
          <w:i/>
        </w:rPr>
        <w:t xml:space="preserve">Tax Notes Int’l </w:t>
      </w:r>
      <w:r w:rsidRPr="00255326">
        <w:rPr>
          <w:rFonts w:cs="Times New Roman"/>
        </w:rPr>
        <w:t>537, at p. 540).</w:t>
      </w:r>
    </w:p>
    <w:p w14:paraId="747D2F7A" w14:textId="77777777" w:rsidR="001346AE" w:rsidRPr="00255326" w:rsidRDefault="001346AE" w:rsidP="001346AE">
      <w:pPr>
        <w:pStyle w:val="ParaNoNdepar-AltN"/>
        <w:tabs>
          <w:tab w:val="clear" w:pos="1166"/>
          <w:tab w:val="num" w:pos="1152"/>
        </w:tabs>
        <w:rPr>
          <w:rFonts w:cs="Times New Roman"/>
        </w:rPr>
      </w:pPr>
      <w:r w:rsidRPr="00255326">
        <w:rPr>
          <w:rFonts w:cs="Times New Roman"/>
          <w:lang w:val="en-GB"/>
        </w:rPr>
        <w:t xml:space="preserve">Treaty shopping </w:t>
      </w:r>
      <w:r w:rsidRPr="00255326">
        <w:rPr>
          <w:rFonts w:cs="Times New Roman"/>
        </w:rPr>
        <w:t>has notably been criticized on the grounds that it produces outcomes contrary to the intention of the contracting states, such as reduced taxation and non-taxation, which can lead to an unintended erosion of national tax bases (Duff (2018), at pp. 624-25; see also B. J. Arnold and J. R. Wilson, “Aggressive International Tax Planning by Multinational Corporations: The Canadian Context and Possible Responses”</w:t>
      </w:r>
      <w:r>
        <w:rPr>
          <w:rFonts w:cs="Times New Roman"/>
        </w:rPr>
        <w:t>,</w:t>
      </w:r>
      <w:r w:rsidRPr="00255326">
        <w:rPr>
          <w:rFonts w:cs="Times New Roman"/>
        </w:rPr>
        <w:t xml:space="preserve"> University of Calgary School of Public Policy,</w:t>
      </w:r>
      <w:r>
        <w:rPr>
          <w:rFonts w:cs="Times New Roman"/>
        </w:rPr>
        <w:t xml:space="preserve"> vol. 7,</w:t>
      </w:r>
      <w:r w:rsidRPr="00255326">
        <w:rPr>
          <w:rFonts w:cs="Times New Roman"/>
        </w:rPr>
        <w:t xml:space="preserve"> Research Paper No. 29</w:t>
      </w:r>
      <w:r>
        <w:rPr>
          <w:rFonts w:cs="Times New Roman"/>
        </w:rPr>
        <w:t xml:space="preserve"> (2014)</w:t>
      </w:r>
      <w:r w:rsidRPr="00255326">
        <w:rPr>
          <w:rFonts w:cs="Times New Roman"/>
        </w:rPr>
        <w:t xml:space="preserve">, at p. 56). Indeed, </w:t>
      </w:r>
      <w:r w:rsidRPr="00255326">
        <w:rPr>
          <w:rFonts w:cs="Times New Roman"/>
          <w:lang w:val="en-US"/>
        </w:rPr>
        <w:t xml:space="preserve">treaty shopping can indirectly and unwittingly provide tax benefits for residents of third-party states, contrary to Canada’s intention to extend such benefits solely to the residents of the treaty partner (Department of Finance, </w:t>
      </w:r>
      <w:r w:rsidRPr="00255326">
        <w:rPr>
          <w:rFonts w:cs="Times New Roman"/>
          <w:i/>
          <w:lang w:val="en-US"/>
        </w:rPr>
        <w:t>Consultation Paper on Treaty Shopping — The Problem and Possible Solutions</w:t>
      </w:r>
      <w:r w:rsidRPr="00255326">
        <w:rPr>
          <w:rFonts w:cs="Times New Roman"/>
          <w:lang w:val="en-US"/>
        </w:rPr>
        <w:t xml:space="preserve">, August 12, 2013 (online)). </w:t>
      </w:r>
      <w:r w:rsidRPr="00255326">
        <w:rPr>
          <w:rFonts w:cs="Times New Roman"/>
        </w:rPr>
        <w:t xml:space="preserve">As a result, treaty shopping can upset the “balance of sacrifices” that underlies a tax treaty and reduce the incentive to conclude a tax treaty. </w:t>
      </w:r>
      <w:r w:rsidRPr="00255326">
        <w:rPr>
          <w:rFonts w:cs="Times New Roman"/>
          <w:lang w:val="en-US"/>
        </w:rPr>
        <w:t xml:space="preserve">Why would a state negotiate a tax treaty with Canada and make the concessions such a process entails if its residents can access Canada’s tax treaty network through treaty shopping arrangements </w:t>
      </w:r>
      <w:r w:rsidRPr="00255326">
        <w:rPr>
          <w:rFonts w:cs="Times New Roman"/>
        </w:rPr>
        <w:t xml:space="preserve">(Duff (2018), at p. 624; </w:t>
      </w:r>
      <w:r w:rsidRPr="00255326">
        <w:rPr>
          <w:rFonts w:cs="Times New Roman"/>
          <w:lang w:val="en-US"/>
        </w:rPr>
        <w:t xml:space="preserve">OECD, </w:t>
      </w:r>
      <w:r w:rsidRPr="00255326">
        <w:rPr>
          <w:rFonts w:cs="Times New Roman"/>
          <w:bCs/>
          <w:i/>
          <w:lang w:val="en-US"/>
        </w:rPr>
        <w:t>Action</w:t>
      </w:r>
      <w:r w:rsidRPr="00255326">
        <w:rPr>
          <w:rFonts w:cs="Times New Roman"/>
          <w:i/>
        </w:rPr>
        <w:t> </w:t>
      </w:r>
      <w:r w:rsidRPr="00255326">
        <w:rPr>
          <w:rFonts w:cs="Times New Roman"/>
          <w:bCs/>
          <w:i/>
          <w:lang w:val="en-US"/>
        </w:rPr>
        <w:t xml:space="preserve">6 </w:t>
      </w:r>
      <w:r w:rsidRPr="00255326">
        <w:rPr>
          <w:rFonts w:cs="Times New Roman"/>
          <w:i/>
          <w:lang w:val="en-US"/>
        </w:rPr>
        <w:t>Prevention of tax treaty abuse</w:t>
      </w:r>
      <w:r w:rsidRPr="00255326">
        <w:rPr>
          <w:rFonts w:cs="Times New Roman"/>
          <w:lang w:val="en-US"/>
        </w:rPr>
        <w:t xml:space="preserve"> (online); see also J. Li, “</w:t>
      </w:r>
      <w:r w:rsidRPr="00255326">
        <w:rPr>
          <w:rFonts w:cs="Times New Roman"/>
        </w:rPr>
        <w:t>Beneficial Ownership in Tax Treaties: Judicial Interpretation and the Case for Clarity</w:t>
      </w:r>
      <w:r w:rsidRPr="00402304">
        <w:t xml:space="preserve">”, in P. Baker and C. Bobbett, eds., </w:t>
      </w:r>
      <w:r w:rsidRPr="00402304">
        <w:rPr>
          <w:i/>
        </w:rPr>
        <w:t>Tax Polymath: A life in international taxation</w:t>
      </w:r>
      <w:r w:rsidRPr="00402304">
        <w:t xml:space="preserve"> (2011), 187,</w:t>
      </w:r>
      <w:r w:rsidRPr="00255326">
        <w:rPr>
          <w:rFonts w:cs="Times New Roman"/>
          <w:lang w:val="en-US"/>
        </w:rPr>
        <w:t xml:space="preserve"> at p. 191)?</w:t>
      </w:r>
    </w:p>
    <w:p w14:paraId="01934679" w14:textId="77777777" w:rsidR="001346AE" w:rsidRPr="00255326" w:rsidRDefault="001346AE" w:rsidP="001346AE">
      <w:pPr>
        <w:pStyle w:val="ParaNoNdepar-AltN"/>
        <w:tabs>
          <w:tab w:val="clear" w:pos="1166"/>
          <w:tab w:val="num" w:pos="1152"/>
        </w:tabs>
        <w:rPr>
          <w:rFonts w:cs="Times New Roman"/>
        </w:rPr>
      </w:pPr>
      <w:r w:rsidRPr="00255326">
        <w:rPr>
          <w:rFonts w:cs="Times New Roman"/>
          <w:lang w:val="en-GB"/>
        </w:rPr>
        <w:lastRenderedPageBreak/>
        <w:t xml:space="preserve">In </w:t>
      </w:r>
      <w:r w:rsidRPr="00255326">
        <w:rPr>
          <w:rFonts w:cs="Times New Roman"/>
          <w:i/>
          <w:lang w:val="en-GB"/>
        </w:rPr>
        <w:t>Crown Forest</w:t>
      </w:r>
      <w:r w:rsidRPr="00255326">
        <w:rPr>
          <w:rFonts w:cs="Times New Roman"/>
          <w:lang w:val="en-GB"/>
        </w:rPr>
        <w:t>,</w:t>
      </w:r>
      <w:r w:rsidRPr="00255326">
        <w:rPr>
          <w:rFonts w:cs="Times New Roman"/>
          <w:i/>
          <w:lang w:val="en-GB"/>
        </w:rPr>
        <w:t xml:space="preserve"> </w:t>
      </w:r>
      <w:r w:rsidRPr="00255326">
        <w:rPr>
          <w:rFonts w:cs="Times New Roman"/>
          <w:lang w:val="en-GB"/>
        </w:rPr>
        <w:t>this Court unanimously stated that treaty shopping is “highly undesirable” and “patently contrary to the basis on which Canada ceded its jurisdiction to tax as the source country” (para. </w:t>
      </w:r>
      <w:r w:rsidRPr="00255326">
        <w:rPr>
          <w:rFonts w:cs="Times New Roman"/>
        </w:rPr>
        <w:t>52). It added that such behaviour “i</w:t>
      </w:r>
      <w:r w:rsidRPr="00255326">
        <w:rPr>
          <w:rFonts w:cs="Times New Roman"/>
          <w:spacing w:val="-3"/>
          <w:shd w:val="clear" w:color="auto" w:fill="FFFFFF"/>
        </w:rPr>
        <w:t>s not to be encouraged or promoted by judicial interpretation of existing agreements” (para. 49).</w:t>
      </w:r>
    </w:p>
    <w:p w14:paraId="0A0339D8" w14:textId="77777777" w:rsidR="001346AE" w:rsidRPr="00255326" w:rsidRDefault="001346AE" w:rsidP="001346AE">
      <w:pPr>
        <w:pStyle w:val="ParaNoNdepar-AltN"/>
        <w:tabs>
          <w:tab w:val="clear" w:pos="1166"/>
          <w:tab w:val="num" w:pos="1152"/>
        </w:tabs>
        <w:rPr>
          <w:rFonts w:cs="Times New Roman"/>
        </w:rPr>
      </w:pPr>
      <w:r w:rsidRPr="00255326">
        <w:rPr>
          <w:rFonts w:cs="Times New Roman"/>
          <w:lang w:val="en-US"/>
        </w:rPr>
        <w:t xml:space="preserve">Nevertheless, we agree with </w:t>
      </w:r>
      <w:r w:rsidRPr="00255326">
        <w:rPr>
          <w:rFonts w:cs="Times New Roman"/>
        </w:rPr>
        <w:t>Alta Luxembourg</w:t>
      </w:r>
      <w:r w:rsidRPr="00255326">
        <w:rPr>
          <w:rFonts w:cs="Times New Roman"/>
          <w:lang w:val="en-US"/>
        </w:rPr>
        <w:t xml:space="preserve"> that treaty shopping is not inherently abusive. </w:t>
      </w:r>
      <w:r w:rsidRPr="00255326">
        <w:rPr>
          <w:rFonts w:cs="Times New Roman"/>
        </w:rPr>
        <w:t>There is nothing necessarily improper about minimizing tax liability by selecting a beneficial tax regime in making an investment in a foreign jurisdiction (</w:t>
      </w:r>
      <w:r w:rsidRPr="00255326">
        <w:rPr>
          <w:rFonts w:cs="Times New Roman"/>
          <w:i/>
        </w:rPr>
        <w:t>Crown Forest</w:t>
      </w:r>
      <w:r w:rsidRPr="00255326">
        <w:rPr>
          <w:rFonts w:cs="Times New Roman"/>
        </w:rPr>
        <w:t>, at para. 49). Certain jurisdictions may provide tax incentives to attract businesses and investment; as such, taxpayers are entitled to avail themselves of such benefits to minimize tax. Thus, merely selecting a treaty to minimize tax, on its own, is not abusive</w:t>
      </w:r>
      <w:r w:rsidRPr="00255326">
        <w:rPr>
          <w:rFonts w:cs="Times New Roman"/>
          <w:bCs/>
        </w:rPr>
        <w:t>. In fact, it may be consonant with one of the main purposes of tax treaties: encouraging trade and investment.</w:t>
      </w:r>
    </w:p>
    <w:p w14:paraId="38CEDB8D" w14:textId="77777777" w:rsidR="001346AE" w:rsidRPr="00255326" w:rsidRDefault="001346AE" w:rsidP="001346AE">
      <w:pPr>
        <w:pStyle w:val="ParaNoNdepar-AltN"/>
        <w:tabs>
          <w:tab w:val="clear" w:pos="1166"/>
          <w:tab w:val="num" w:pos="1152"/>
        </w:tabs>
        <w:rPr>
          <w:rFonts w:cs="Times New Roman"/>
          <w:lang w:val="en-US"/>
        </w:rPr>
      </w:pPr>
      <w:r w:rsidRPr="00255326">
        <w:rPr>
          <w:rFonts w:cs="Times New Roman"/>
        </w:rPr>
        <w:t xml:space="preserve">However, where </w:t>
      </w:r>
      <w:r w:rsidRPr="00255326">
        <w:rPr>
          <w:rFonts w:cs="Times New Roman"/>
          <w:lang w:val="en-US"/>
        </w:rPr>
        <w:t>taxing rights in a tax treaty are allocated on the basis of economic allegiance</w:t>
      </w:r>
      <w:r w:rsidRPr="00255326">
        <w:rPr>
          <w:rFonts w:cs="Times New Roman"/>
        </w:rPr>
        <w:t xml:space="preserve"> and conduit entities claim tax benefits despite the absence of any genuine economic connection with the state of residence, treaty shopping is, in our view, abusive. As Professors N. Bammens and L. De Broe explain, the use of “conduit companies” is disconnected from the objectives of bilateral tax treaties:</w:t>
      </w:r>
    </w:p>
    <w:p w14:paraId="72C98B85" w14:textId="77777777" w:rsidR="001346AE" w:rsidRPr="00255326" w:rsidRDefault="001346AE" w:rsidP="001346AE">
      <w:pPr>
        <w:pStyle w:val="Citation-AltC"/>
      </w:pPr>
      <w:r w:rsidRPr="00255326">
        <w:rPr>
          <w:lang w:val="en-US"/>
        </w:rPr>
        <w:t xml:space="preserve">. . . tax treaties are concluded for reasons of an economic nature: the contracting states want to stimulate reciprocal commercial relations by preventing double taxation. </w:t>
      </w:r>
      <w:r w:rsidRPr="00255326">
        <w:rPr>
          <w:u w:val="single"/>
        </w:rPr>
        <w:t>The use of conduit companies and treaty shopping structures has very little to do with this economic objective. Treaty shopping thus upsets the balance and reciprocity of the tax treaty: in order to preserve a tax treaty’s inherent reciprocity, its benefits must not be extended to persons not entitled to them.</w:t>
      </w:r>
      <w:r w:rsidRPr="00255326">
        <w:t xml:space="preserve"> [Emphasis added; footnotes omitted.]</w:t>
      </w:r>
    </w:p>
    <w:p w14:paraId="38FA6700" w14:textId="77777777" w:rsidR="001346AE" w:rsidRPr="00255326" w:rsidRDefault="001346AE" w:rsidP="001346AE">
      <w:pPr>
        <w:pStyle w:val="Citation-AltC"/>
      </w:pPr>
    </w:p>
    <w:p w14:paraId="794E443D" w14:textId="77777777" w:rsidR="001346AE" w:rsidRPr="00255326" w:rsidRDefault="001346AE" w:rsidP="001346AE">
      <w:pPr>
        <w:pStyle w:val="Citation-AltC"/>
        <w:rPr>
          <w:lang w:val="en-US"/>
        </w:rPr>
      </w:pPr>
      <w:r w:rsidRPr="00255326">
        <w:t xml:space="preserve">(“Treaty Shopping and Avoidance of Abuse”, in Lang et al., </w:t>
      </w:r>
      <w:r w:rsidRPr="00255326">
        <w:rPr>
          <w:i/>
        </w:rPr>
        <w:t>Tax Treaties</w:t>
      </w:r>
      <w:r w:rsidRPr="00255326">
        <w:t>, 51, at p. 52; see also Li and Avella, at s. 2.1.1.3.)</w:t>
      </w:r>
    </w:p>
    <w:p w14:paraId="4A9CBED0" w14:textId="77777777" w:rsidR="001346AE" w:rsidRPr="00255326" w:rsidRDefault="001346AE" w:rsidP="001346AE">
      <w:pPr>
        <w:pStyle w:val="ParaNoNdepar-AltN"/>
        <w:tabs>
          <w:tab w:val="clear" w:pos="1166"/>
          <w:tab w:val="num" w:pos="1152"/>
        </w:tabs>
        <w:rPr>
          <w:rFonts w:cs="Times New Roman"/>
          <w:lang w:val="en-US"/>
        </w:rPr>
      </w:pPr>
      <w:r w:rsidRPr="00255326">
        <w:rPr>
          <w:rFonts w:cs="Times New Roman"/>
        </w:rPr>
        <w:t xml:space="preserve">In such cases, as here, the avoidance transaction would be contrary to the objectives of bilateral tax treaties and frustrate the object, spirit or purpose of the specific provisions related to the allocation of taxing rights. </w:t>
      </w:r>
      <w:r w:rsidRPr="00255326">
        <w:rPr>
          <w:rFonts w:cs="Times New Roman"/>
          <w:lang w:val="en-US"/>
        </w:rPr>
        <w:t xml:space="preserve">Preventing such abuse is the purpose of the GAAR: “. . . </w:t>
      </w:r>
      <w:r w:rsidRPr="00255326">
        <w:rPr>
          <w:rFonts w:cs="Times New Roman"/>
        </w:rPr>
        <w:t xml:space="preserve">most double tax treaties do not contain specific limitations on the ability of third-country residents to treaty shop [and instead] rely on the concept of beneficial ownership or on domestic anti-abuse legislation to safeguard against hollow conduits” (Krishna (2009), at p. 540). </w:t>
      </w:r>
      <w:r w:rsidRPr="00255326">
        <w:rPr>
          <w:rFonts w:cs="Times New Roman"/>
          <w:shd w:val="clear" w:color="auto" w:fill="FFFFFF"/>
        </w:rPr>
        <w:t>Similarly, C. A. Brown and J. Bogle are of the view that the GAAR is “</w:t>
      </w:r>
      <w:r w:rsidRPr="00255326">
        <w:rPr>
          <w:rFonts w:cs="Times New Roman"/>
        </w:rPr>
        <w:t xml:space="preserve">[t]he primary tool to fight treaty shopping in Canada currently” (“Treaty Shopping and the New Multilateral Tax Agreement — Is it Business as Usual in Canada?” (2020), 43 </w:t>
      </w:r>
      <w:r w:rsidRPr="00255326">
        <w:rPr>
          <w:rFonts w:cs="Times New Roman"/>
          <w:i/>
        </w:rPr>
        <w:t>Dal. L.J.</w:t>
      </w:r>
      <w:r w:rsidRPr="00255326">
        <w:rPr>
          <w:rFonts w:cs="Times New Roman"/>
        </w:rPr>
        <w:t xml:space="preserve"> 1, at p. 4).</w:t>
      </w:r>
    </w:p>
    <w:p w14:paraId="7A5105B4" w14:textId="77777777" w:rsidR="001346AE" w:rsidRPr="00255326" w:rsidRDefault="001346AE" w:rsidP="001346AE">
      <w:pPr>
        <w:pStyle w:val="ParaNoNdepar-AltN"/>
        <w:tabs>
          <w:tab w:val="clear" w:pos="1166"/>
          <w:tab w:val="num" w:pos="1152"/>
        </w:tabs>
        <w:rPr>
          <w:rFonts w:cs="Times New Roman"/>
        </w:rPr>
      </w:pPr>
      <w:r w:rsidRPr="00255326">
        <w:rPr>
          <w:rFonts w:cs="Times New Roman"/>
          <w:lang w:val="en-US"/>
        </w:rPr>
        <w:t xml:space="preserve">In conclusion, not all types of treaty shopping lead to abuse of a tax treaty. Only when an avoidance transaction frustrates the rationale of the relevant treaty provision will treaty shopping be abusive and the tax benefit denied. For instance, where contracting parties allocate taxing rights to the state of residence on the basis of economic allegiance, as in this case, </w:t>
      </w:r>
      <w:r w:rsidRPr="00255326">
        <w:rPr>
          <w:rFonts w:cs="Times New Roman"/>
          <w:bCs/>
          <w:lang w:val="en-US"/>
        </w:rPr>
        <w:t xml:space="preserve">treaty shopping </w:t>
      </w:r>
      <w:r w:rsidRPr="00255326">
        <w:rPr>
          <w:rFonts w:cs="Times New Roman"/>
          <w:lang w:val="en-US"/>
        </w:rPr>
        <w:t xml:space="preserve">will </w:t>
      </w:r>
      <w:r w:rsidRPr="00255326">
        <w:rPr>
          <w:rFonts w:cs="Times New Roman"/>
          <w:bCs/>
          <w:lang w:val="en-US"/>
        </w:rPr>
        <w:t xml:space="preserve">be abusive </w:t>
      </w:r>
      <w:r w:rsidRPr="00255326">
        <w:rPr>
          <w:rFonts w:cs="Times New Roman"/>
          <w:lang w:val="en-US"/>
        </w:rPr>
        <w:t>if the resident of a third-party state uses a conduit company to claim treaty benefits conferred by provisions requiring a genuine economic connection with the residence state. Therein lies the undermining of these provisions’ rationale clothed in a formalistic adherence to their text. Ignoring this is to render the GAAR empty of meaningful effect.</w:t>
      </w:r>
    </w:p>
    <w:p w14:paraId="1154C9EC" w14:textId="77777777" w:rsidR="001346AE" w:rsidRPr="00255326" w:rsidRDefault="001346AE" w:rsidP="001346AE">
      <w:pPr>
        <w:pStyle w:val="Title1LevelTitre1Niveau-AltL"/>
        <w:rPr>
          <w:rFonts w:cs="Times New Roman"/>
        </w:rPr>
      </w:pPr>
      <w:r w:rsidRPr="00255326">
        <w:rPr>
          <w:rFonts w:cs="Times New Roman"/>
        </w:rPr>
        <w:lastRenderedPageBreak/>
        <w:t>Disposition</w:t>
      </w:r>
    </w:p>
    <w:p w14:paraId="7CD31C33" w14:textId="77777777" w:rsidR="001346AE" w:rsidRPr="00255326" w:rsidRDefault="001346AE" w:rsidP="001346AE">
      <w:pPr>
        <w:pStyle w:val="ParaNoNdepar-AltN"/>
        <w:tabs>
          <w:tab w:val="clear" w:pos="1166"/>
          <w:tab w:val="num" w:pos="1152"/>
        </w:tabs>
        <w:rPr>
          <w:rFonts w:cs="Times New Roman"/>
          <w:lang w:val="en-US"/>
        </w:rPr>
      </w:pPr>
      <w:r w:rsidRPr="00255326">
        <w:rPr>
          <w:rFonts w:cs="Times New Roman"/>
        </w:rPr>
        <w:t>We would allow the Crown’s appeal and set aside the judgments of the Federal Court of Appeal and the Tax Court of Canada, with costs. Alta Luxembourg</w:t>
      </w:r>
      <w:r w:rsidRPr="00255326">
        <w:rPr>
          <w:rFonts w:cs="Times New Roman"/>
          <w:lang w:val="en-US"/>
        </w:rPr>
        <w:t xml:space="preserve">’s appeal under the Act from the </w:t>
      </w:r>
      <w:r w:rsidRPr="00255326">
        <w:rPr>
          <w:rFonts w:cs="Times New Roman"/>
        </w:rPr>
        <w:t xml:space="preserve">Minister of National Revenue’s assessment for the 2013 taxation year should be dismissed. </w:t>
      </w:r>
    </w:p>
    <w:p w14:paraId="77519328" w14:textId="77777777" w:rsidR="001346AE" w:rsidRPr="001346AE" w:rsidRDefault="001346AE" w:rsidP="001346AE">
      <w:pPr>
        <w:pStyle w:val="SCCNormalDoubleSpacing"/>
        <w:spacing w:after="480"/>
      </w:pPr>
    </w:p>
    <w:p w14:paraId="75E52E38" w14:textId="5A805145" w:rsidR="009B57B3" w:rsidRPr="00AB4F2E" w:rsidRDefault="009B57B3" w:rsidP="00F840A4">
      <w:pPr>
        <w:pStyle w:val="SCCNormalDoubleSpacing"/>
        <w:spacing w:after="480"/>
        <w:rPr>
          <w:i/>
        </w:rPr>
      </w:pPr>
      <w:r w:rsidRPr="00AB4F2E">
        <w:tab/>
      </w:r>
      <w:r w:rsidR="00AB4F2E" w:rsidRPr="006C23E5">
        <w:rPr>
          <w:i/>
        </w:rPr>
        <w:t>Appeal</w:t>
      </w:r>
      <w:r w:rsidR="00AB4F2E" w:rsidRPr="006C23E5">
        <w:t xml:space="preserve"> </w:t>
      </w:r>
      <w:r w:rsidR="00AB4F2E" w:rsidRPr="006C23E5">
        <w:rPr>
          <w:i/>
        </w:rPr>
        <w:t xml:space="preserve">dismissed with costs, </w:t>
      </w:r>
      <w:r w:rsidR="00AB4F2E" w:rsidRPr="006C23E5">
        <w:rPr>
          <w:smallCaps/>
        </w:rPr>
        <w:t xml:space="preserve">Wagner C.J. </w:t>
      </w:r>
      <w:r w:rsidR="00AB4F2E" w:rsidRPr="006C23E5">
        <w:rPr>
          <w:i/>
        </w:rPr>
        <w:t xml:space="preserve">and </w:t>
      </w:r>
      <w:r w:rsidR="00AB4F2E" w:rsidRPr="006C23E5">
        <w:rPr>
          <w:smallCaps/>
        </w:rPr>
        <w:t>Rowe</w:t>
      </w:r>
      <w:r w:rsidR="00AB4F2E" w:rsidRPr="006C23E5">
        <w:rPr>
          <w:i/>
        </w:rPr>
        <w:t xml:space="preserve"> and </w:t>
      </w:r>
      <w:r w:rsidR="00AB4F2E" w:rsidRPr="006C23E5">
        <w:rPr>
          <w:smallCaps/>
        </w:rPr>
        <w:t xml:space="preserve">Martin JJ. </w:t>
      </w:r>
      <w:r w:rsidR="00AB4F2E" w:rsidRPr="006C23E5">
        <w:rPr>
          <w:i/>
        </w:rPr>
        <w:t>dissenting.</w:t>
      </w:r>
    </w:p>
    <w:p w14:paraId="351EF92D" w14:textId="77777777" w:rsidR="00840E80" w:rsidRPr="00AB4F2E" w:rsidRDefault="00026FE7" w:rsidP="00F840A4">
      <w:pPr>
        <w:pStyle w:val="SCCLawFirm"/>
        <w:spacing w:after="480"/>
      </w:pPr>
      <w:r w:rsidRPr="00AB4F2E">
        <w:tab/>
      </w:r>
      <w:r w:rsidR="00840E80" w:rsidRPr="00AB4F2E">
        <w:t>Solicitor for the appellant: Attorney General of Canada, Vancouver.</w:t>
      </w:r>
    </w:p>
    <w:p w14:paraId="31F4929D" w14:textId="7FCC08FF" w:rsidR="009B57B3" w:rsidRPr="00AB4F2E" w:rsidRDefault="00840E80" w:rsidP="00F840A4">
      <w:pPr>
        <w:pStyle w:val="SCCLawFirm"/>
        <w:spacing w:after="480"/>
      </w:pPr>
      <w:r w:rsidRPr="00AB4F2E">
        <w:tab/>
        <w:t xml:space="preserve">Solicitors for the respondent: Thorsteinssons, </w:t>
      </w:r>
      <w:r w:rsidR="00F67DE3" w:rsidRPr="00AB4F2E">
        <w:t>Toront</w:t>
      </w:r>
      <w:r w:rsidR="00D9046E">
        <w:t>o.</w:t>
      </w:r>
    </w:p>
    <w:sectPr w:rsidR="009B57B3" w:rsidRPr="00AB4F2E"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8757A" w14:textId="77777777" w:rsidR="008C5D38" w:rsidRDefault="008C5D38">
      <w:r>
        <w:separator/>
      </w:r>
    </w:p>
  </w:endnote>
  <w:endnote w:type="continuationSeparator" w:id="0">
    <w:p w14:paraId="32442213" w14:textId="77777777" w:rsidR="008C5D38" w:rsidRDefault="008C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5748B" w14:textId="77777777" w:rsidR="008C5D38" w:rsidRDefault="008C5D38">
      <w:r>
        <w:separator/>
      </w:r>
    </w:p>
  </w:footnote>
  <w:footnote w:type="continuationSeparator" w:id="0">
    <w:p w14:paraId="1D5F35DD" w14:textId="77777777" w:rsidR="008C5D38" w:rsidRDefault="008C5D38">
      <w:r>
        <w:continuationSeparator/>
      </w:r>
    </w:p>
  </w:footnote>
  <w:footnote w:id="1">
    <w:p w14:paraId="7183B981" w14:textId="77777777" w:rsidR="008C5D38" w:rsidRPr="00DC40E6" w:rsidRDefault="008C5D38" w:rsidP="001346AE">
      <w:pPr>
        <w:pStyle w:val="FootnoteText"/>
      </w:pPr>
      <w:r>
        <w:rPr>
          <w:rStyle w:val="FootnoteReference"/>
        </w:rPr>
        <w:footnoteRef/>
      </w:r>
      <w:r>
        <w:t xml:space="preserve">  Several </w:t>
      </w:r>
      <w:r>
        <w:rPr>
          <w:lang w:val="en-US"/>
        </w:rPr>
        <w:t xml:space="preserve">versions of the OECD </w:t>
      </w:r>
      <w:r>
        <w:rPr>
          <w:i/>
          <w:iCs/>
          <w:lang w:val="en-US"/>
        </w:rPr>
        <w:t xml:space="preserve">Model Treaty </w:t>
      </w:r>
      <w:r>
        <w:rPr>
          <w:lang w:val="en-US"/>
        </w:rPr>
        <w:t xml:space="preserve">and its Introductions and Commentaries are cited in these reasons: the 1977 “Commentary on Article 1”, in </w:t>
      </w:r>
      <w:r>
        <w:rPr>
          <w:i/>
          <w:iCs/>
          <w:lang w:val="en-US"/>
        </w:rPr>
        <w:t>Model Double Taxation Convention on Income and on Capital</w:t>
      </w:r>
      <w:r>
        <w:rPr>
          <w:lang w:val="en-US"/>
        </w:rPr>
        <w:t xml:space="preserve">; the 1998 “Model Convention with Respect to Taxes on Income and on Capital”, “Commentary on Article 1”, “Commentary on Article 4” and “Commentary on Article 13”, in </w:t>
      </w:r>
      <w:r>
        <w:rPr>
          <w:i/>
          <w:iCs/>
          <w:lang w:val="en-US"/>
        </w:rPr>
        <w:t>Model Convention with Respect to Taxes on Income and on Capital: Condensed Version</w:t>
      </w:r>
      <w:r>
        <w:rPr>
          <w:lang w:val="en-US"/>
        </w:rPr>
        <w:t xml:space="preserve">; the 2003 “Model Convention with Respect to Taxes on Income and on Capital”, “Introduction” and “Commentary on Article 1”, in </w:t>
      </w:r>
      <w:r>
        <w:rPr>
          <w:i/>
          <w:iCs/>
          <w:lang w:val="en-US"/>
        </w:rPr>
        <w:t>Model Tax Convention on Income and on Capital: Condensed Version</w:t>
      </w:r>
      <w:r>
        <w:rPr>
          <w:lang w:val="en-US"/>
        </w:rPr>
        <w:t xml:space="preserve">; and the 2017 “Model Convention with Respect to Taxes on Income and on Capital” and “Introduction”, in </w:t>
      </w:r>
      <w:r>
        <w:rPr>
          <w:i/>
          <w:iCs/>
          <w:lang w:val="en-US"/>
        </w:rPr>
        <w:t>Model Tax Convention on Income and on Capital: Condensed Version</w:t>
      </w:r>
      <w:r>
        <w:rPr>
          <w:lang w:val="en-US"/>
        </w:rPr>
        <w:t>.</w:t>
      </w:r>
    </w:p>
  </w:footnote>
  <w:footnote w:id="2">
    <w:p w14:paraId="65707FE0" w14:textId="77777777" w:rsidR="008C5D38" w:rsidRPr="00C323A1" w:rsidRDefault="008C5D38" w:rsidP="001346AE">
      <w:pPr>
        <w:pStyle w:val="FootnoteText"/>
        <w:rPr>
          <w:lang w:val="en-US"/>
        </w:rPr>
      </w:pPr>
      <w:r>
        <w:rPr>
          <w:rStyle w:val="FootnoteReference"/>
        </w:rPr>
        <w:footnoteRef/>
      </w:r>
      <w:r>
        <w:t xml:space="preserve">  </w:t>
      </w:r>
      <w:r>
        <w:rPr>
          <w:bCs/>
          <w:i/>
        </w:rPr>
        <w:t>Agreement between the Government of Canada and the Government of the Federal Republic of Nigeria for the Avoidance of Double Taxation and the Prevention of Fiscal Evasion with Respect to Taxes on Income and on Capital Gains</w:t>
      </w:r>
      <w:r>
        <w:rPr>
          <w:bCs/>
        </w:rPr>
        <w:t>,</w:t>
      </w:r>
      <w:r w:rsidRPr="00184288">
        <w:rPr>
          <w:bCs/>
          <w:sz w:val="24"/>
          <w:szCs w:val="24"/>
        </w:rPr>
        <w:t xml:space="preserve"> </w:t>
      </w:r>
      <w:r w:rsidRPr="00184288">
        <w:rPr>
          <w:bCs/>
        </w:rPr>
        <w:t>Can. T.S. 1999 No. 48</w:t>
      </w:r>
      <w:r>
        <w:rPr>
          <w:bCs/>
        </w:rPr>
        <w:t xml:space="preserve">, </w:t>
      </w:r>
      <w:r>
        <w:t>arts. 10(7), 11(8) and 12(7).</w:t>
      </w:r>
    </w:p>
  </w:footnote>
  <w:footnote w:id="3">
    <w:p w14:paraId="27E69183" w14:textId="77777777" w:rsidR="008C5D38" w:rsidRPr="002F3291" w:rsidRDefault="008C5D38" w:rsidP="001346AE">
      <w:pPr>
        <w:pStyle w:val="FootnoteText"/>
        <w:rPr>
          <w:lang w:val="en-US"/>
        </w:rPr>
      </w:pPr>
      <w:r>
        <w:rPr>
          <w:rStyle w:val="FootnoteReference"/>
        </w:rPr>
        <w:footnoteRef/>
      </w:r>
      <w:r>
        <w:t xml:space="preserve">  </w:t>
      </w:r>
      <w:r>
        <w:rPr>
          <w:bCs/>
          <w:i/>
        </w:rPr>
        <w:t>Convention between the Government of Canada and the Government of Ukraine for the Avoidance of Double Taxation and the Prevention of Fiscal Evasion with Respect to Taxes on Income and on Capital</w:t>
      </w:r>
      <w:r>
        <w:rPr>
          <w:bCs/>
        </w:rPr>
        <w:t xml:space="preserve">, </w:t>
      </w:r>
      <w:r w:rsidRPr="00184288">
        <w:rPr>
          <w:bCs/>
        </w:rPr>
        <w:t>Can. T.S. 1997 No. 39</w:t>
      </w:r>
      <w:r>
        <w:rPr>
          <w:bCs/>
        </w:rPr>
        <w:t>, arts. 11(8) and 12(8).</w:t>
      </w:r>
    </w:p>
  </w:footnote>
  <w:footnote w:id="4">
    <w:p w14:paraId="53691FF6" w14:textId="77777777" w:rsidR="008C5D38" w:rsidRPr="002F3291" w:rsidRDefault="008C5D38" w:rsidP="001346AE">
      <w:pPr>
        <w:pStyle w:val="FootnoteText"/>
        <w:rPr>
          <w:lang w:val="en-US"/>
        </w:rPr>
      </w:pPr>
      <w:r>
        <w:rPr>
          <w:rStyle w:val="FootnoteReference"/>
        </w:rPr>
        <w:footnoteRef/>
      </w:r>
      <w:r>
        <w:t xml:space="preserve">  </w:t>
      </w:r>
      <w:r>
        <w:rPr>
          <w:bCs/>
          <w:i/>
        </w:rPr>
        <w:t>Convention between the Government of Canada and the Government of the Republic of Kazakhstan for the Avoidance of Double Taxation and the Prevention of Fiscal Evasion with Respect to Taxes on Income and on Capital</w:t>
      </w:r>
      <w:r w:rsidRPr="00184288">
        <w:rPr>
          <w:bCs/>
        </w:rPr>
        <w:t>, Can. T.S. 1998 No. 13</w:t>
      </w:r>
      <w:r>
        <w:rPr>
          <w:bCs/>
        </w:rPr>
        <w:t>, arts. 11(8) and 12(7).</w:t>
      </w:r>
    </w:p>
  </w:footnote>
  <w:footnote w:id="5">
    <w:p w14:paraId="02FC0440" w14:textId="77777777" w:rsidR="008C5D38" w:rsidRPr="002F3291" w:rsidRDefault="008C5D38" w:rsidP="001346AE">
      <w:pPr>
        <w:pStyle w:val="FootnoteText"/>
        <w:rPr>
          <w:lang w:val="en-US"/>
        </w:rPr>
      </w:pPr>
      <w:r>
        <w:rPr>
          <w:rStyle w:val="FootnoteReference"/>
        </w:rPr>
        <w:footnoteRef/>
      </w:r>
      <w:r>
        <w:t xml:space="preserve">  </w:t>
      </w:r>
      <w:r>
        <w:rPr>
          <w:bCs/>
          <w:i/>
        </w:rPr>
        <w:t>Convention between the Government of Canada and the Government of the Republic of Uzbekistan for the Avoidance of Double Taxation and the Prevention of Fiscal Evasion with Respect to Taxes on Income and on Capital</w:t>
      </w:r>
      <w:r>
        <w:t xml:space="preserve">, </w:t>
      </w:r>
      <w:r w:rsidRPr="00184288">
        <w:rPr>
          <w:bCs/>
        </w:rPr>
        <w:t>Can. T.S. 2000 No. 18</w:t>
      </w:r>
      <w:r>
        <w:t xml:space="preserve">, </w:t>
      </w:r>
      <w:r>
        <w:rPr>
          <w:bCs/>
        </w:rPr>
        <w:t>arts. 11(8) and 12(7).</w:t>
      </w:r>
    </w:p>
  </w:footnote>
  <w:footnote w:id="6">
    <w:p w14:paraId="193BC399" w14:textId="77777777" w:rsidR="008C5D38" w:rsidRPr="002F3291" w:rsidRDefault="008C5D38" w:rsidP="001346AE">
      <w:pPr>
        <w:pStyle w:val="FootnoteText"/>
        <w:rPr>
          <w:lang w:val="en-US"/>
        </w:rPr>
      </w:pPr>
      <w:r>
        <w:rPr>
          <w:rStyle w:val="FootnoteReference"/>
        </w:rPr>
        <w:footnoteRef/>
      </w:r>
      <w:r>
        <w:t xml:space="preserve">  </w:t>
      </w:r>
      <w:r>
        <w:rPr>
          <w:bCs/>
          <w:i/>
        </w:rPr>
        <w:t>Convention Between the Government of Canada and the Government of the Republic of Peru for the Avoidance of Double Taxation and the Prevention of Fiscal Evasion with Respect to Taxes on Income and on Capital</w:t>
      </w:r>
      <w:r>
        <w:t xml:space="preserve">, </w:t>
      </w:r>
      <w:r w:rsidRPr="00184288">
        <w:rPr>
          <w:bCs/>
        </w:rPr>
        <w:t>Can. T.S. 2002 No. 23</w:t>
      </w:r>
      <w:r>
        <w:rPr>
          <w:bCs/>
        </w:rPr>
        <w:t>,</w:t>
      </w:r>
      <w:r>
        <w:t xml:space="preserve"> arts. 10(7), 11(7), and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37FF" w14:textId="77777777" w:rsidR="008C5D38" w:rsidRPr="00450352" w:rsidRDefault="008C5D38"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307E"/>
    <w:multiLevelType w:val="hybridMultilevel"/>
    <w:tmpl w:val="40B6167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CF6F93"/>
    <w:multiLevelType w:val="multilevel"/>
    <w:tmpl w:val="31C6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86F1A"/>
    <w:multiLevelType w:val="hybridMultilevel"/>
    <w:tmpl w:val="EF124658"/>
    <w:lvl w:ilvl="0" w:tplc="AE5C7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CB1DF6"/>
    <w:multiLevelType w:val="hybridMultilevel"/>
    <w:tmpl w:val="8C807C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417801"/>
    <w:multiLevelType w:val="multilevel"/>
    <w:tmpl w:val="103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3F566B"/>
    <w:multiLevelType w:val="multilevel"/>
    <w:tmpl w:val="369EB2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283EE8"/>
    <w:multiLevelType w:val="multilevel"/>
    <w:tmpl w:val="28F0E824"/>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3AA3001"/>
    <w:multiLevelType w:val="hybridMultilevel"/>
    <w:tmpl w:val="697878B0"/>
    <w:lvl w:ilvl="0" w:tplc="7BEC7816">
      <w:start w:val="1"/>
      <w:numFmt w:val="upperRoman"/>
      <w:lvlText w:val="%1."/>
      <w:lvlJc w:val="left"/>
      <w:pPr>
        <w:ind w:left="1886" w:hanging="72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375B0C"/>
    <w:multiLevelType w:val="multilevel"/>
    <w:tmpl w:val="51E0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4433C5"/>
    <w:multiLevelType w:val="hybridMultilevel"/>
    <w:tmpl w:val="1A4AF6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A28C5"/>
    <w:multiLevelType w:val="multilevel"/>
    <w:tmpl w:val="85FE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F15EA3"/>
    <w:multiLevelType w:val="multilevel"/>
    <w:tmpl w:val="BE28A1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7B6C27CC"/>
    <w:multiLevelType w:val="multilevel"/>
    <w:tmpl w:val="DECE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3"/>
  </w:num>
  <w:num w:numId="4">
    <w:abstractNumId w:val="9"/>
  </w:num>
  <w:num w:numId="5">
    <w:abstractNumId w:val="10"/>
  </w:num>
  <w:num w:numId="6">
    <w:abstractNumId w:val="11"/>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18"/>
  </w:num>
  <w:num w:numId="11">
    <w:abstractNumId w:val="7"/>
  </w:num>
  <w:num w:numId="12">
    <w:abstractNumId w:val="17"/>
  </w:num>
  <w:num w:numId="13">
    <w:abstractNumId w:val="14"/>
  </w:num>
  <w:num w:numId="14">
    <w:abstractNumId w:val="16"/>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12"/>
  </w:num>
  <w:num w:numId="21">
    <w:abstractNumId w:val="15"/>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978"/>
    <w:rsid w:val="00000ED4"/>
    <w:rsid w:val="00002B11"/>
    <w:rsid w:val="000170DA"/>
    <w:rsid w:val="00025198"/>
    <w:rsid w:val="00026FE7"/>
    <w:rsid w:val="00027519"/>
    <w:rsid w:val="00054482"/>
    <w:rsid w:val="000578A3"/>
    <w:rsid w:val="000648CC"/>
    <w:rsid w:val="000837B1"/>
    <w:rsid w:val="00083C71"/>
    <w:rsid w:val="0008787C"/>
    <w:rsid w:val="000A75BF"/>
    <w:rsid w:val="000B1380"/>
    <w:rsid w:val="000B74F1"/>
    <w:rsid w:val="000C23CE"/>
    <w:rsid w:val="000C59B8"/>
    <w:rsid w:val="000C6AF0"/>
    <w:rsid w:val="000D1820"/>
    <w:rsid w:val="000E0133"/>
    <w:rsid w:val="000F1E54"/>
    <w:rsid w:val="000F6A15"/>
    <w:rsid w:val="00104F33"/>
    <w:rsid w:val="00111DE2"/>
    <w:rsid w:val="00114222"/>
    <w:rsid w:val="00116B38"/>
    <w:rsid w:val="0012260F"/>
    <w:rsid w:val="00132C2A"/>
    <w:rsid w:val="001346AE"/>
    <w:rsid w:val="00134F48"/>
    <w:rsid w:val="00135406"/>
    <w:rsid w:val="00135972"/>
    <w:rsid w:val="001426A9"/>
    <w:rsid w:val="00145843"/>
    <w:rsid w:val="00154D7C"/>
    <w:rsid w:val="001570B0"/>
    <w:rsid w:val="0015752C"/>
    <w:rsid w:val="00157737"/>
    <w:rsid w:val="00165277"/>
    <w:rsid w:val="00170592"/>
    <w:rsid w:val="001821AE"/>
    <w:rsid w:val="001851DC"/>
    <w:rsid w:val="00186351"/>
    <w:rsid w:val="00195D83"/>
    <w:rsid w:val="00196629"/>
    <w:rsid w:val="001A00C1"/>
    <w:rsid w:val="001B33E0"/>
    <w:rsid w:val="001B43AA"/>
    <w:rsid w:val="001B4573"/>
    <w:rsid w:val="001C779F"/>
    <w:rsid w:val="001D2AC1"/>
    <w:rsid w:val="001D4E88"/>
    <w:rsid w:val="001E5DF6"/>
    <w:rsid w:val="001F3C48"/>
    <w:rsid w:val="00213E7C"/>
    <w:rsid w:val="00216369"/>
    <w:rsid w:val="00220FC2"/>
    <w:rsid w:val="002222F4"/>
    <w:rsid w:val="00224FC0"/>
    <w:rsid w:val="00225EA4"/>
    <w:rsid w:val="00226EAF"/>
    <w:rsid w:val="00231F3A"/>
    <w:rsid w:val="00234199"/>
    <w:rsid w:val="002359CA"/>
    <w:rsid w:val="002406EE"/>
    <w:rsid w:val="002417F0"/>
    <w:rsid w:val="00243EC8"/>
    <w:rsid w:val="00250ABA"/>
    <w:rsid w:val="00270D93"/>
    <w:rsid w:val="002745CC"/>
    <w:rsid w:val="002828B4"/>
    <w:rsid w:val="002A4C1A"/>
    <w:rsid w:val="002B7924"/>
    <w:rsid w:val="002C48ED"/>
    <w:rsid w:val="002D28C3"/>
    <w:rsid w:val="002D39A4"/>
    <w:rsid w:val="002D452B"/>
    <w:rsid w:val="002D6A22"/>
    <w:rsid w:val="002E395A"/>
    <w:rsid w:val="002E6705"/>
    <w:rsid w:val="002F1458"/>
    <w:rsid w:val="002F284B"/>
    <w:rsid w:val="002F4613"/>
    <w:rsid w:val="002F4E74"/>
    <w:rsid w:val="00301D08"/>
    <w:rsid w:val="0030329A"/>
    <w:rsid w:val="0031086F"/>
    <w:rsid w:val="00313D41"/>
    <w:rsid w:val="0031414C"/>
    <w:rsid w:val="00314E01"/>
    <w:rsid w:val="0031607C"/>
    <w:rsid w:val="0032089D"/>
    <w:rsid w:val="003310DE"/>
    <w:rsid w:val="003323B0"/>
    <w:rsid w:val="00347E60"/>
    <w:rsid w:val="0035169A"/>
    <w:rsid w:val="0035259D"/>
    <w:rsid w:val="00364B18"/>
    <w:rsid w:val="00370CED"/>
    <w:rsid w:val="00377112"/>
    <w:rsid w:val="00384F5A"/>
    <w:rsid w:val="003872DA"/>
    <w:rsid w:val="00397FC4"/>
    <w:rsid w:val="003A125D"/>
    <w:rsid w:val="003A4C70"/>
    <w:rsid w:val="003B20F8"/>
    <w:rsid w:val="003B215F"/>
    <w:rsid w:val="003B5B4E"/>
    <w:rsid w:val="003C799C"/>
    <w:rsid w:val="003D0399"/>
    <w:rsid w:val="003E1C71"/>
    <w:rsid w:val="003E364F"/>
    <w:rsid w:val="003F327B"/>
    <w:rsid w:val="0040172E"/>
    <w:rsid w:val="00402304"/>
    <w:rsid w:val="00406166"/>
    <w:rsid w:val="0040704B"/>
    <w:rsid w:val="00410A55"/>
    <w:rsid w:val="00411300"/>
    <w:rsid w:val="00415417"/>
    <w:rsid w:val="00415E1B"/>
    <w:rsid w:val="00426659"/>
    <w:rsid w:val="00450352"/>
    <w:rsid w:val="00453F59"/>
    <w:rsid w:val="00454BDB"/>
    <w:rsid w:val="004600DF"/>
    <w:rsid w:val="00464800"/>
    <w:rsid w:val="00465132"/>
    <w:rsid w:val="00465C31"/>
    <w:rsid w:val="00466D6B"/>
    <w:rsid w:val="00474487"/>
    <w:rsid w:val="00477F38"/>
    <w:rsid w:val="0048054A"/>
    <w:rsid w:val="00480C90"/>
    <w:rsid w:val="0048396F"/>
    <w:rsid w:val="00493C18"/>
    <w:rsid w:val="004959FA"/>
    <w:rsid w:val="004A600C"/>
    <w:rsid w:val="004A6118"/>
    <w:rsid w:val="004B03AB"/>
    <w:rsid w:val="004B093F"/>
    <w:rsid w:val="004C1340"/>
    <w:rsid w:val="004C478D"/>
    <w:rsid w:val="004D3052"/>
    <w:rsid w:val="004D3A37"/>
    <w:rsid w:val="004E2C26"/>
    <w:rsid w:val="004E41C4"/>
    <w:rsid w:val="004F0602"/>
    <w:rsid w:val="004F36FF"/>
    <w:rsid w:val="004F7DDB"/>
    <w:rsid w:val="005125A8"/>
    <w:rsid w:val="005161EF"/>
    <w:rsid w:val="00521AE8"/>
    <w:rsid w:val="005227F5"/>
    <w:rsid w:val="00527180"/>
    <w:rsid w:val="0054201E"/>
    <w:rsid w:val="00555291"/>
    <w:rsid w:val="00566AD1"/>
    <w:rsid w:val="00581C49"/>
    <w:rsid w:val="00583EDE"/>
    <w:rsid w:val="005A3516"/>
    <w:rsid w:val="005A6079"/>
    <w:rsid w:val="005A6675"/>
    <w:rsid w:val="005B282E"/>
    <w:rsid w:val="005C6838"/>
    <w:rsid w:val="005E4698"/>
    <w:rsid w:val="005F1FC6"/>
    <w:rsid w:val="00604174"/>
    <w:rsid w:val="00610539"/>
    <w:rsid w:val="00613969"/>
    <w:rsid w:val="00614B5F"/>
    <w:rsid w:val="0062508E"/>
    <w:rsid w:val="00625C35"/>
    <w:rsid w:val="00633CBD"/>
    <w:rsid w:val="006525FD"/>
    <w:rsid w:val="00656313"/>
    <w:rsid w:val="006565F4"/>
    <w:rsid w:val="00663E48"/>
    <w:rsid w:val="00684EEA"/>
    <w:rsid w:val="0069689B"/>
    <w:rsid w:val="006A1551"/>
    <w:rsid w:val="006B5FF5"/>
    <w:rsid w:val="006B7B7B"/>
    <w:rsid w:val="006C1186"/>
    <w:rsid w:val="006C23E5"/>
    <w:rsid w:val="006C6D5A"/>
    <w:rsid w:val="006D7754"/>
    <w:rsid w:val="006E3729"/>
    <w:rsid w:val="006E5185"/>
    <w:rsid w:val="006F30AF"/>
    <w:rsid w:val="00701759"/>
    <w:rsid w:val="007050E7"/>
    <w:rsid w:val="00705C15"/>
    <w:rsid w:val="0071600E"/>
    <w:rsid w:val="007208D1"/>
    <w:rsid w:val="0072663D"/>
    <w:rsid w:val="0073598B"/>
    <w:rsid w:val="00741E34"/>
    <w:rsid w:val="00747288"/>
    <w:rsid w:val="00747DD3"/>
    <w:rsid w:val="007549C8"/>
    <w:rsid w:val="00754A0B"/>
    <w:rsid w:val="00757A2F"/>
    <w:rsid w:val="00766D14"/>
    <w:rsid w:val="00767A0F"/>
    <w:rsid w:val="007876D4"/>
    <w:rsid w:val="00792157"/>
    <w:rsid w:val="00792F07"/>
    <w:rsid w:val="007A05F6"/>
    <w:rsid w:val="007A4259"/>
    <w:rsid w:val="007A5A9A"/>
    <w:rsid w:val="007B6F4A"/>
    <w:rsid w:val="007D3DA8"/>
    <w:rsid w:val="007D7C70"/>
    <w:rsid w:val="007E073E"/>
    <w:rsid w:val="007E1C47"/>
    <w:rsid w:val="007E337A"/>
    <w:rsid w:val="007E4B3F"/>
    <w:rsid w:val="007E5C70"/>
    <w:rsid w:val="007F0653"/>
    <w:rsid w:val="007F2FF5"/>
    <w:rsid w:val="007F3F08"/>
    <w:rsid w:val="00804CC6"/>
    <w:rsid w:val="008076E0"/>
    <w:rsid w:val="00817190"/>
    <w:rsid w:val="00820EE5"/>
    <w:rsid w:val="008260E2"/>
    <w:rsid w:val="00831C72"/>
    <w:rsid w:val="008322BD"/>
    <w:rsid w:val="00833E0A"/>
    <w:rsid w:val="00834F73"/>
    <w:rsid w:val="00840E80"/>
    <w:rsid w:val="00841AFB"/>
    <w:rsid w:val="00843ED2"/>
    <w:rsid w:val="00852F24"/>
    <w:rsid w:val="00864CF8"/>
    <w:rsid w:val="00872819"/>
    <w:rsid w:val="00874914"/>
    <w:rsid w:val="00891422"/>
    <w:rsid w:val="00892E1A"/>
    <w:rsid w:val="008A3F29"/>
    <w:rsid w:val="008B660A"/>
    <w:rsid w:val="008C01DA"/>
    <w:rsid w:val="008C345A"/>
    <w:rsid w:val="008C5D38"/>
    <w:rsid w:val="008D33A9"/>
    <w:rsid w:val="008F78E9"/>
    <w:rsid w:val="00910E31"/>
    <w:rsid w:val="00911989"/>
    <w:rsid w:val="009179F9"/>
    <w:rsid w:val="00933E5E"/>
    <w:rsid w:val="00935218"/>
    <w:rsid w:val="009403F3"/>
    <w:rsid w:val="009554E9"/>
    <w:rsid w:val="009555B7"/>
    <w:rsid w:val="009567AA"/>
    <w:rsid w:val="00967374"/>
    <w:rsid w:val="00983780"/>
    <w:rsid w:val="0099399D"/>
    <w:rsid w:val="009A3160"/>
    <w:rsid w:val="009A343A"/>
    <w:rsid w:val="009A43CB"/>
    <w:rsid w:val="009A568E"/>
    <w:rsid w:val="009B2F23"/>
    <w:rsid w:val="009B57B3"/>
    <w:rsid w:val="009C5B92"/>
    <w:rsid w:val="009D2920"/>
    <w:rsid w:val="009D5AEB"/>
    <w:rsid w:val="009D6048"/>
    <w:rsid w:val="009E1542"/>
    <w:rsid w:val="009E4F3E"/>
    <w:rsid w:val="009E6AF7"/>
    <w:rsid w:val="009F066D"/>
    <w:rsid w:val="009F0E33"/>
    <w:rsid w:val="009F2856"/>
    <w:rsid w:val="00A0177D"/>
    <w:rsid w:val="00A030CE"/>
    <w:rsid w:val="00A05718"/>
    <w:rsid w:val="00A149DF"/>
    <w:rsid w:val="00A1755C"/>
    <w:rsid w:val="00A21B90"/>
    <w:rsid w:val="00A33CB1"/>
    <w:rsid w:val="00A37947"/>
    <w:rsid w:val="00A41805"/>
    <w:rsid w:val="00A42DCD"/>
    <w:rsid w:val="00A52AFB"/>
    <w:rsid w:val="00A548CB"/>
    <w:rsid w:val="00A5521C"/>
    <w:rsid w:val="00A562E3"/>
    <w:rsid w:val="00A63C78"/>
    <w:rsid w:val="00A643E7"/>
    <w:rsid w:val="00A73C38"/>
    <w:rsid w:val="00A75E4C"/>
    <w:rsid w:val="00AA53EE"/>
    <w:rsid w:val="00AB3F24"/>
    <w:rsid w:val="00AB4F2E"/>
    <w:rsid w:val="00AB670D"/>
    <w:rsid w:val="00AC1742"/>
    <w:rsid w:val="00AD083A"/>
    <w:rsid w:val="00AD2074"/>
    <w:rsid w:val="00AD291A"/>
    <w:rsid w:val="00AD4125"/>
    <w:rsid w:val="00AE4535"/>
    <w:rsid w:val="00AF03C5"/>
    <w:rsid w:val="00B000D8"/>
    <w:rsid w:val="00B00F75"/>
    <w:rsid w:val="00B03C62"/>
    <w:rsid w:val="00B04A4F"/>
    <w:rsid w:val="00B145B6"/>
    <w:rsid w:val="00B1717F"/>
    <w:rsid w:val="00B17DD6"/>
    <w:rsid w:val="00B279EB"/>
    <w:rsid w:val="00B27E58"/>
    <w:rsid w:val="00B40D60"/>
    <w:rsid w:val="00B47E6B"/>
    <w:rsid w:val="00B50C81"/>
    <w:rsid w:val="00B557F8"/>
    <w:rsid w:val="00B71C96"/>
    <w:rsid w:val="00B815FC"/>
    <w:rsid w:val="00B86E75"/>
    <w:rsid w:val="00B93FBC"/>
    <w:rsid w:val="00B96415"/>
    <w:rsid w:val="00BA7DA0"/>
    <w:rsid w:val="00BB2EE4"/>
    <w:rsid w:val="00BC2108"/>
    <w:rsid w:val="00BC5B06"/>
    <w:rsid w:val="00BD0E9E"/>
    <w:rsid w:val="00BD1BEC"/>
    <w:rsid w:val="00BD32FF"/>
    <w:rsid w:val="00C02092"/>
    <w:rsid w:val="00C037B8"/>
    <w:rsid w:val="00C074AF"/>
    <w:rsid w:val="00C15A9B"/>
    <w:rsid w:val="00C16092"/>
    <w:rsid w:val="00C174E6"/>
    <w:rsid w:val="00C24D91"/>
    <w:rsid w:val="00C253D5"/>
    <w:rsid w:val="00C333A6"/>
    <w:rsid w:val="00C44DBA"/>
    <w:rsid w:val="00C53F14"/>
    <w:rsid w:val="00C54A09"/>
    <w:rsid w:val="00C600CF"/>
    <w:rsid w:val="00C6084F"/>
    <w:rsid w:val="00C62A66"/>
    <w:rsid w:val="00C71458"/>
    <w:rsid w:val="00C77613"/>
    <w:rsid w:val="00C828E7"/>
    <w:rsid w:val="00C84D12"/>
    <w:rsid w:val="00C86719"/>
    <w:rsid w:val="00C87600"/>
    <w:rsid w:val="00C921DD"/>
    <w:rsid w:val="00CA6391"/>
    <w:rsid w:val="00CC34BD"/>
    <w:rsid w:val="00CC6EBA"/>
    <w:rsid w:val="00CD320A"/>
    <w:rsid w:val="00CE161A"/>
    <w:rsid w:val="00CE1BA6"/>
    <w:rsid w:val="00CE2217"/>
    <w:rsid w:val="00CE3171"/>
    <w:rsid w:val="00CF1601"/>
    <w:rsid w:val="00CF3E27"/>
    <w:rsid w:val="00D0172F"/>
    <w:rsid w:val="00D068A7"/>
    <w:rsid w:val="00D1129E"/>
    <w:rsid w:val="00D16FA1"/>
    <w:rsid w:val="00D17476"/>
    <w:rsid w:val="00D32086"/>
    <w:rsid w:val="00D37A3F"/>
    <w:rsid w:val="00D4431D"/>
    <w:rsid w:val="00D4667A"/>
    <w:rsid w:val="00D63A1C"/>
    <w:rsid w:val="00D7516F"/>
    <w:rsid w:val="00D8579F"/>
    <w:rsid w:val="00D87704"/>
    <w:rsid w:val="00D9046E"/>
    <w:rsid w:val="00D95F8E"/>
    <w:rsid w:val="00DA003E"/>
    <w:rsid w:val="00DA0590"/>
    <w:rsid w:val="00DA77CF"/>
    <w:rsid w:val="00DB3450"/>
    <w:rsid w:val="00DB7BEA"/>
    <w:rsid w:val="00DC1739"/>
    <w:rsid w:val="00DC1788"/>
    <w:rsid w:val="00DE319C"/>
    <w:rsid w:val="00DE5D28"/>
    <w:rsid w:val="00DF0CA8"/>
    <w:rsid w:val="00DF2B48"/>
    <w:rsid w:val="00DF49A7"/>
    <w:rsid w:val="00DF6749"/>
    <w:rsid w:val="00E07EE2"/>
    <w:rsid w:val="00E07FD1"/>
    <w:rsid w:val="00E104EA"/>
    <w:rsid w:val="00E130DB"/>
    <w:rsid w:val="00E176D8"/>
    <w:rsid w:val="00E22A3F"/>
    <w:rsid w:val="00E22F1C"/>
    <w:rsid w:val="00E24573"/>
    <w:rsid w:val="00E2469D"/>
    <w:rsid w:val="00E25E1E"/>
    <w:rsid w:val="00E27EE7"/>
    <w:rsid w:val="00E35404"/>
    <w:rsid w:val="00E45109"/>
    <w:rsid w:val="00E47B7A"/>
    <w:rsid w:val="00E56223"/>
    <w:rsid w:val="00E56A44"/>
    <w:rsid w:val="00E60269"/>
    <w:rsid w:val="00E70BB2"/>
    <w:rsid w:val="00E76254"/>
    <w:rsid w:val="00E7754E"/>
    <w:rsid w:val="00E77932"/>
    <w:rsid w:val="00E81A80"/>
    <w:rsid w:val="00E85730"/>
    <w:rsid w:val="00E910E1"/>
    <w:rsid w:val="00E916F9"/>
    <w:rsid w:val="00E96F0B"/>
    <w:rsid w:val="00E97830"/>
    <w:rsid w:val="00ED3985"/>
    <w:rsid w:val="00ED4D78"/>
    <w:rsid w:val="00EE643C"/>
    <w:rsid w:val="00EF0683"/>
    <w:rsid w:val="00EF69D2"/>
    <w:rsid w:val="00EF766E"/>
    <w:rsid w:val="00F0070C"/>
    <w:rsid w:val="00F00EB7"/>
    <w:rsid w:val="00F02123"/>
    <w:rsid w:val="00F10403"/>
    <w:rsid w:val="00F26796"/>
    <w:rsid w:val="00F26E56"/>
    <w:rsid w:val="00F36AB6"/>
    <w:rsid w:val="00F37A09"/>
    <w:rsid w:val="00F409CE"/>
    <w:rsid w:val="00F4379D"/>
    <w:rsid w:val="00F50D2D"/>
    <w:rsid w:val="00F56C8B"/>
    <w:rsid w:val="00F641B9"/>
    <w:rsid w:val="00F64F36"/>
    <w:rsid w:val="00F66810"/>
    <w:rsid w:val="00F67DE3"/>
    <w:rsid w:val="00F83668"/>
    <w:rsid w:val="00F840A4"/>
    <w:rsid w:val="00F846D9"/>
    <w:rsid w:val="00F84DF4"/>
    <w:rsid w:val="00F85A9B"/>
    <w:rsid w:val="00F85C97"/>
    <w:rsid w:val="00F93679"/>
    <w:rsid w:val="00FA0C34"/>
    <w:rsid w:val="00FB37D2"/>
    <w:rsid w:val="00FB7822"/>
    <w:rsid w:val="00FC4EFB"/>
    <w:rsid w:val="00FD068D"/>
    <w:rsid w:val="00FD4F28"/>
    <w:rsid w:val="00FE66AE"/>
    <w:rsid w:val="00FE6784"/>
    <w:rsid w:val="00FE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C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4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346A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6525FD"/>
    <w:rPr>
      <w:color w:val="0000FF" w:themeColor="hyperlink"/>
      <w:u w:val="single"/>
    </w:rPr>
  </w:style>
  <w:style w:type="character" w:styleId="CommentReference">
    <w:name w:val="annotation reference"/>
    <w:basedOn w:val="DefaultParagraphFont"/>
    <w:uiPriority w:val="99"/>
    <w:semiHidden/>
    <w:unhideWhenUsed/>
    <w:rsid w:val="001821AE"/>
    <w:rPr>
      <w:sz w:val="16"/>
      <w:szCs w:val="16"/>
    </w:rPr>
  </w:style>
  <w:style w:type="paragraph" w:styleId="CommentText">
    <w:name w:val="annotation text"/>
    <w:basedOn w:val="Normal"/>
    <w:link w:val="CommentTextChar"/>
    <w:uiPriority w:val="99"/>
    <w:unhideWhenUsed/>
    <w:rsid w:val="001821AE"/>
    <w:rPr>
      <w:sz w:val="20"/>
    </w:rPr>
  </w:style>
  <w:style w:type="character" w:customStyle="1" w:styleId="CommentTextChar">
    <w:name w:val="Comment Text Char"/>
    <w:basedOn w:val="DefaultParagraphFont"/>
    <w:link w:val="CommentText"/>
    <w:uiPriority w:val="99"/>
    <w:rsid w:val="001821AE"/>
  </w:style>
  <w:style w:type="character" w:styleId="Emphasis">
    <w:name w:val="Emphasis"/>
    <w:basedOn w:val="DefaultParagraphFont"/>
    <w:uiPriority w:val="20"/>
    <w:qFormat/>
    <w:rsid w:val="00DF6749"/>
    <w:rPr>
      <w:i/>
      <w:iCs/>
    </w:rPr>
  </w:style>
  <w:style w:type="paragraph" w:styleId="CommentSubject">
    <w:name w:val="annotation subject"/>
    <w:basedOn w:val="CommentText"/>
    <w:next w:val="CommentText"/>
    <w:link w:val="CommentSubjectChar"/>
    <w:uiPriority w:val="99"/>
    <w:semiHidden/>
    <w:unhideWhenUsed/>
    <w:rsid w:val="00E76254"/>
    <w:rPr>
      <w:b/>
      <w:bCs/>
    </w:rPr>
  </w:style>
  <w:style w:type="character" w:customStyle="1" w:styleId="CommentSubjectChar">
    <w:name w:val="Comment Subject Char"/>
    <w:basedOn w:val="CommentTextChar"/>
    <w:link w:val="CommentSubject"/>
    <w:uiPriority w:val="99"/>
    <w:semiHidden/>
    <w:rsid w:val="00E76254"/>
    <w:rPr>
      <w:b/>
      <w:bCs/>
    </w:rPr>
  </w:style>
  <w:style w:type="paragraph" w:styleId="FootnoteText">
    <w:name w:val="footnote text"/>
    <w:basedOn w:val="Normal"/>
    <w:link w:val="FootnoteTextChar"/>
    <w:uiPriority w:val="99"/>
    <w:unhideWhenUsed/>
    <w:rsid w:val="000D1820"/>
    <w:rPr>
      <w:sz w:val="20"/>
    </w:rPr>
  </w:style>
  <w:style w:type="character" w:customStyle="1" w:styleId="FootnoteTextChar">
    <w:name w:val="Footnote Text Char"/>
    <w:basedOn w:val="DefaultParagraphFont"/>
    <w:link w:val="FootnoteText"/>
    <w:uiPriority w:val="99"/>
    <w:rsid w:val="000D1820"/>
  </w:style>
  <w:style w:type="paragraph" w:customStyle="1" w:styleId="SCCLsocOtherPartyRoleSeparator">
    <w:name w:val="SCC.Lsoc.OtherPartyRoleSeparator"/>
    <w:basedOn w:val="Normal"/>
    <w:next w:val="Normal"/>
    <w:link w:val="SCCLsocOtherPartyRoleSeparatorChar"/>
    <w:rsid w:val="001346AE"/>
    <w:pPr>
      <w:spacing w:after="480"/>
    </w:pPr>
    <w:rPr>
      <w:rFonts w:eastAsiaTheme="minorHAnsi" w:cstheme="minorBidi"/>
      <w:szCs w:val="22"/>
      <w:lang w:eastAsia="en-US"/>
    </w:rPr>
  </w:style>
  <w:style w:type="paragraph" w:customStyle="1" w:styleId="SCCCoram">
    <w:name w:val="SCC.Coram"/>
    <w:basedOn w:val="Normal"/>
    <w:next w:val="Normal"/>
    <w:link w:val="SCCCoramChar"/>
    <w:rsid w:val="001346A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346AE"/>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346AE"/>
    <w:rPr>
      <w:rFonts w:eastAsiaTheme="minorHAnsi" w:cstheme="minorBidi"/>
      <w:sz w:val="24"/>
      <w:szCs w:val="22"/>
      <w:lang w:eastAsia="en-US"/>
    </w:rPr>
  </w:style>
  <w:style w:type="character" w:customStyle="1" w:styleId="SCCBanSummaryChar">
    <w:name w:val="SCC.BanSummary Char"/>
    <w:basedOn w:val="DefaultParagraphFont"/>
    <w:link w:val="SCCBanSummary"/>
    <w:rsid w:val="001346AE"/>
    <w:rPr>
      <w:b/>
      <w:sz w:val="24"/>
    </w:rPr>
  </w:style>
  <w:style w:type="table" w:styleId="TableGrid">
    <w:name w:val="Table Grid"/>
    <w:basedOn w:val="TableNormal"/>
    <w:uiPriority w:val="59"/>
    <w:rsid w:val="001346A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346A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346A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346AE"/>
    <w:pPr>
      <w:tabs>
        <w:tab w:val="left" w:pos="1166"/>
      </w:tabs>
      <w:spacing w:after="480" w:line="480" w:lineRule="auto"/>
    </w:pPr>
    <w:rPr>
      <w:smallCaps/>
      <w:sz w:val="24"/>
      <w:szCs w:val="24"/>
    </w:rPr>
  </w:style>
  <w:style w:type="paragraph" w:customStyle="1" w:styleId="ParaNoNdepar-AltN">
    <w:name w:val="Para. No. / Nº de par. - Alt N"/>
    <w:qFormat/>
    <w:rsid w:val="001346AE"/>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1346AE"/>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346A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346AE"/>
    <w:pPr>
      <w:numPr>
        <w:ilvl w:val="2"/>
      </w:numPr>
      <w:outlineLvl w:val="2"/>
    </w:pPr>
  </w:style>
  <w:style w:type="paragraph" w:customStyle="1" w:styleId="Title4LevelTitre4Niveau">
    <w:name w:val="Title 4 Level / Titre 4 Niveau"/>
    <w:basedOn w:val="Title3LevelTitre3Niveau"/>
    <w:next w:val="ParaNoNdepar-AltN"/>
    <w:uiPriority w:val="4"/>
    <w:qFormat/>
    <w:rsid w:val="001346A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346AE"/>
    <w:pPr>
      <w:numPr>
        <w:ilvl w:val="4"/>
      </w:numPr>
      <w:outlineLvl w:val="4"/>
    </w:pPr>
  </w:style>
  <w:style w:type="paragraph" w:styleId="TOC1">
    <w:name w:val="toc 1"/>
    <w:basedOn w:val="Normal"/>
    <w:next w:val="Normal"/>
    <w:autoRedefine/>
    <w:uiPriority w:val="39"/>
    <w:unhideWhenUsed/>
    <w:rsid w:val="001346AE"/>
    <w:pPr>
      <w:tabs>
        <w:tab w:val="left" w:pos="360"/>
        <w:tab w:val="right" w:leader="dot" w:pos="8270"/>
      </w:tabs>
      <w:spacing w:before="120" w:after="120"/>
    </w:pPr>
    <w:rPr>
      <w:noProof/>
    </w:rPr>
  </w:style>
  <w:style w:type="paragraph" w:styleId="TOC2">
    <w:name w:val="toc 2"/>
    <w:basedOn w:val="Normal"/>
    <w:next w:val="Normal"/>
    <w:autoRedefine/>
    <w:uiPriority w:val="39"/>
    <w:unhideWhenUsed/>
    <w:rsid w:val="001346A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346A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346A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346A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346AE"/>
    <w:pPr>
      <w:tabs>
        <w:tab w:val="left" w:pos="2160"/>
        <w:tab w:val="right" w:leader="dot" w:pos="8270"/>
      </w:tabs>
      <w:spacing w:after="100"/>
      <w:ind w:left="1800"/>
    </w:pPr>
    <w:rPr>
      <w:noProof/>
    </w:rPr>
  </w:style>
  <w:style w:type="table" w:customStyle="1" w:styleId="TableGrid1">
    <w:name w:val="Table Grid1"/>
    <w:basedOn w:val="TableNormal"/>
    <w:uiPriority w:val="59"/>
    <w:rsid w:val="001346A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346AE"/>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346AE"/>
    <w:pPr>
      <w:numPr>
        <w:ilvl w:val="5"/>
      </w:numPr>
      <w:outlineLvl w:val="5"/>
    </w:pPr>
    <w:rPr>
      <w:i/>
      <w:u w:val="none"/>
    </w:rPr>
  </w:style>
  <w:style w:type="character" w:styleId="FootnoteReference">
    <w:name w:val="footnote reference"/>
    <w:basedOn w:val="DefaultParagraphFont"/>
    <w:uiPriority w:val="99"/>
    <w:semiHidden/>
    <w:unhideWhenUsed/>
    <w:rsid w:val="001346AE"/>
    <w:rPr>
      <w:vertAlign w:val="superscript"/>
    </w:rPr>
  </w:style>
  <w:style w:type="character" w:customStyle="1" w:styleId="normaltextrun">
    <w:name w:val="normaltextrun"/>
    <w:basedOn w:val="DefaultParagraphFont"/>
    <w:rsid w:val="001346AE"/>
  </w:style>
  <w:style w:type="paragraph" w:customStyle="1" w:styleId="paragraph">
    <w:name w:val="paragraph"/>
    <w:basedOn w:val="Normal"/>
    <w:rsid w:val="001346AE"/>
    <w:pPr>
      <w:spacing w:before="100" w:beforeAutospacing="1" w:after="100" w:afterAutospacing="1"/>
    </w:pPr>
    <w:rPr>
      <w:szCs w:val="24"/>
      <w:lang w:val="fr-CA" w:eastAsia="fr-CA"/>
    </w:rPr>
  </w:style>
  <w:style w:type="character" w:customStyle="1" w:styleId="eop">
    <w:name w:val="eop"/>
    <w:basedOn w:val="DefaultParagraphFont"/>
    <w:rsid w:val="001346AE"/>
  </w:style>
  <w:style w:type="paragraph" w:styleId="IntenseQuote">
    <w:name w:val="Intense Quote"/>
    <w:basedOn w:val="Normal"/>
    <w:link w:val="IntenseQuoteChar"/>
    <w:uiPriority w:val="30"/>
    <w:qFormat/>
    <w:rsid w:val="001346AE"/>
    <w:pPr>
      <w:spacing w:before="100" w:beforeAutospacing="1" w:after="100" w:afterAutospacing="1"/>
    </w:pPr>
    <w:rPr>
      <w:szCs w:val="24"/>
      <w:lang w:val="en-US" w:eastAsia="en-US"/>
    </w:rPr>
  </w:style>
  <w:style w:type="character" w:customStyle="1" w:styleId="IntenseQuoteChar">
    <w:name w:val="Intense Quote Char"/>
    <w:basedOn w:val="DefaultParagraphFont"/>
    <w:link w:val="IntenseQuote"/>
    <w:uiPriority w:val="30"/>
    <w:rsid w:val="001346AE"/>
    <w:rPr>
      <w:sz w:val="24"/>
      <w:szCs w:val="24"/>
      <w:lang w:val="en-US" w:eastAsia="en-US"/>
    </w:rPr>
  </w:style>
  <w:style w:type="paragraph" w:styleId="ListParagraph">
    <w:name w:val="List Paragraph"/>
    <w:basedOn w:val="Normal"/>
    <w:uiPriority w:val="34"/>
    <w:qFormat/>
    <w:rsid w:val="001346AE"/>
    <w:pPr>
      <w:spacing w:after="200" w:line="276" w:lineRule="auto"/>
      <w:ind w:left="720"/>
      <w:contextualSpacing/>
    </w:pPr>
    <w:rPr>
      <w:rFonts w:eastAsiaTheme="minorHAnsi" w:cstheme="minorBidi"/>
      <w:szCs w:val="22"/>
      <w:lang w:eastAsia="en-US"/>
    </w:rPr>
  </w:style>
  <w:style w:type="character" w:customStyle="1" w:styleId="Heading3Char">
    <w:name w:val="Heading 3 Char"/>
    <w:basedOn w:val="DefaultParagraphFont"/>
    <w:link w:val="Heading3"/>
    <w:uiPriority w:val="9"/>
    <w:semiHidden/>
    <w:rsid w:val="001346AE"/>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346AE"/>
    <w:rPr>
      <w:color w:val="800080" w:themeColor="followedHyperlink"/>
      <w:u w:val="single"/>
    </w:rPr>
  </w:style>
  <w:style w:type="paragraph" w:styleId="Revision">
    <w:name w:val="Revision"/>
    <w:hidden/>
    <w:uiPriority w:val="99"/>
    <w:semiHidden/>
    <w:rsid w:val="001346AE"/>
    <w:rPr>
      <w:sz w:val="24"/>
      <w:szCs w:val="24"/>
    </w:rPr>
  </w:style>
  <w:style w:type="table" w:customStyle="1" w:styleId="TableGrid2">
    <w:name w:val="Table Grid2"/>
    <w:basedOn w:val="TableNormal"/>
    <w:next w:val="TableGrid"/>
    <w:uiPriority w:val="59"/>
    <w:rsid w:val="001346A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49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29869</Words>
  <Characters>154040</Characters>
  <Application>Microsoft Office Word</Application>
  <DocSecurity>0</DocSecurity>
  <Lines>1283</Lines>
  <Paragraphs>367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2023-05-03T14:36:00Z</dcterms:created>
  <dcterms:modified xsi:type="dcterms:W3CDTF">2023-05-03T14:36:00Z</dcterms:modified>
</cp:coreProperties>
</file>